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JSZC-320500-JZCG-G2026-0063</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苏州市中医医院</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苏州市中医医院服务器</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85"/>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hint="eastAsia" w:ascii="宋体" w:hAnsi="宋体"/>
          <w:b/>
          <w:sz w:val="32"/>
        </w:rPr>
        <w:t xml:space="preserve">3</w:t>
      </w:r>
      <w:r>
        <w:rPr>
          <w:rFonts w:ascii="宋体" w:hAnsi="宋体"/>
          <w:b/>
          <w:sz w:val="32"/>
        </w:rPr>
        <w:t xml:space="preserve"> </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92"/>
        <w:ind w:firstLine="0"/>
        <w:jc w:val="left"/>
        <w:spacing w:before="120" w:after="120"/>
        <w:tabs>
          <w:tab w:val="right" w:pos="9856" w:leader="dot"/>
        </w:tabs>
        <w:rPr>
          <w:rStyle w:val="924"/>
          <w:rFonts w:ascii="宋体" w:hAnsi="宋体" w:cs="Calibri"/>
          <w:bCs/>
          <w:caps/>
          <w:color w:val="auto"/>
          <w:sz w:val="32"/>
          <w:szCs w:val="32"/>
        </w:rPr>
        <w:outlineLvl w:val="9"/>
      </w:pPr>
      <w:r>
        <w:rPr>
          <w:rFonts w:ascii="宋体" w:hAnsi="宋体" w:cs="Calibri"/>
          <w:bCs/>
          <w:caps/>
          <w:color w:val="auto"/>
          <w:sz w:val="32"/>
          <w:szCs w:val="32"/>
        </w:rPr>
      </w:r>
      <w:r/>
    </w:p>
    <w:p>
      <w:pPr>
        <w:pStyle w:val="892"/>
        <w:ind w:firstLine="0"/>
        <w:jc w:val="left"/>
        <w:spacing w:before="120" w:after="120"/>
        <w:tabs>
          <w:tab w:val="right" w:pos="9854" w:leader="dot"/>
        </w:tabs>
        <w:rPr>
          <w:rStyle w:val="924"/>
          <w:rFonts w:ascii="宋体" w:hAnsi="宋体" w:cs="Calibri"/>
          <w:bCs/>
          <w:caps/>
          <w:color w:val="auto"/>
          <w:sz w:val="32"/>
          <w:szCs w:val="32"/>
        </w:rPr>
        <w:outlineLvl w:val="9"/>
      </w:pPr>
      <w:r>
        <w:rPr>
          <w:rStyle w:val="924"/>
          <w:rFonts w:ascii="宋体" w:hAnsi="宋体" w:cs="Calibri"/>
          <w:bCs/>
          <w:caps/>
          <w:color w:val="auto"/>
          <w:sz w:val="32"/>
        </w:rPr>
        <w:fldChar w:fldCharType="begin"/>
      </w:r>
      <w:r>
        <w:rPr>
          <w:rStyle w:val="924"/>
          <w:rFonts w:ascii="宋体" w:hAnsi="宋体" w:cs="Calibri"/>
          <w:bCs/>
          <w:caps/>
          <w:color w:val="auto"/>
          <w:sz w:val="32"/>
        </w:rPr>
        <w:instrText xml:space="preserve"> TOC \o "1-1" \h \z \u </w:instrText>
      </w:r>
      <w:r>
        <w:rPr>
          <w:rStyle w:val="924"/>
          <w:rFonts w:ascii="宋体" w:hAnsi="宋体" w:cs="Calibri"/>
          <w:bCs/>
          <w:caps/>
          <w:color w:val="auto"/>
          <w:sz w:val="32"/>
        </w:rPr>
        <w:fldChar w:fldCharType="separate"/>
      </w:r>
      <w:hyperlink w:tooltip="#_Toc105397776" w:anchor="_Toc105397776" w:history="1">
        <w:r>
          <w:rPr>
            <w:rStyle w:val="924"/>
            <w:rFonts w:ascii="宋体" w:hAnsi="宋体" w:cs="Calibri"/>
            <w:bCs/>
            <w:caps/>
            <w:color w:val="auto"/>
            <w:sz w:val="32"/>
            <w:szCs w:val="32"/>
          </w:rPr>
          <w:t xml:space="preserve">第一章 投标邀请函</w:t>
        </w:r>
        <w:r>
          <w:rPr>
            <w:rStyle w:val="924"/>
            <w:rFonts w:ascii="宋体" w:hAnsi="宋体" w:cs="Calibri"/>
            <w:bCs/>
            <w:caps/>
            <w:color w:val="auto"/>
            <w:sz w:val="32"/>
            <w:szCs w:val="32"/>
          </w:rPr>
          <w:tab/>
        </w:r>
        <w:r>
          <w:rPr>
            <w:rStyle w:val="924"/>
            <w:rFonts w:ascii="宋体" w:hAnsi="宋体" w:cs="Calibri"/>
            <w:bCs/>
            <w:caps/>
            <w:color w:val="auto"/>
            <w:sz w:val="32"/>
            <w:szCs w:val="32"/>
          </w:rPr>
          <w:fldChar w:fldCharType="begin"/>
        </w:r>
        <w:r>
          <w:rPr>
            <w:rStyle w:val="924"/>
            <w:rFonts w:ascii="宋体" w:hAnsi="宋体" w:cs="Calibri"/>
            <w:bCs/>
            <w:caps/>
            <w:color w:val="auto"/>
            <w:sz w:val="32"/>
            <w:szCs w:val="32"/>
          </w:rPr>
          <w:instrText xml:space="preserve"> PAGEREF _Toc105397776 \h </w:instrText>
        </w:r>
        <w:r>
          <w:rPr>
            <w:rStyle w:val="924"/>
            <w:rFonts w:ascii="宋体" w:hAnsi="宋体" w:cs="Calibri"/>
            <w:bCs/>
            <w:caps/>
            <w:color w:val="auto"/>
            <w:sz w:val="32"/>
            <w:szCs w:val="32"/>
          </w:rPr>
        </w:r>
        <w:r>
          <w:rPr>
            <w:rStyle w:val="924"/>
            <w:rFonts w:ascii="宋体" w:hAnsi="宋体" w:cs="Calibri"/>
            <w:bCs/>
            <w:caps/>
            <w:color w:val="auto"/>
            <w:sz w:val="32"/>
            <w:szCs w:val="32"/>
          </w:rPr>
          <w:fldChar w:fldCharType="separate"/>
        </w:r>
        <w:r>
          <w:rPr>
            <w:rStyle w:val="924"/>
            <w:rFonts w:hint="eastAsia" w:ascii="宋体" w:hAnsi="宋体" w:cs="Calibri"/>
            <w:bCs/>
            <w:caps/>
            <w:color w:val="auto"/>
            <w:sz w:val="32"/>
            <w:szCs w:val="32"/>
          </w:rPr>
          <w:t xml:space="preserve">5</w:t>
        </w:r>
        <w:r>
          <w:rPr>
            <w:rStyle w:val="924"/>
            <w:rFonts w:ascii="宋体" w:hAnsi="宋体" w:cs="Calibri"/>
            <w:bCs/>
            <w:caps/>
            <w:color w:val="auto"/>
            <w:sz w:val="32"/>
            <w:szCs w:val="32"/>
          </w:rPr>
          <w:fldChar w:fldCharType="end"/>
        </w:r>
      </w:hyperlink>
      <w:r/>
      <w:r/>
    </w:p>
    <w:p>
      <w:pPr>
        <w:pStyle w:val="892"/>
        <w:ind w:firstLine="0"/>
        <w:jc w:val="left"/>
        <w:spacing w:before="120" w:after="120"/>
        <w:tabs>
          <w:tab w:val="right" w:pos="9854" w:leader="dot"/>
        </w:tabs>
        <w:rPr>
          <w:rStyle w:val="924"/>
          <w:rFonts w:ascii="宋体" w:hAnsi="宋体" w:cs="Calibri"/>
          <w:bCs/>
          <w:caps/>
          <w:color w:val="auto"/>
          <w:sz w:val="32"/>
          <w:szCs w:val="32"/>
        </w:rPr>
        <w:outlineLvl w:val="9"/>
      </w:pPr>
      <w:r/>
      <w:hyperlink w:tooltip="#_Toc105397777" w:anchor="_Toc105397777" w:history="1">
        <w:r>
          <w:rPr>
            <w:rStyle w:val="924"/>
            <w:rFonts w:ascii="宋体" w:hAnsi="宋体" w:cs="Calibri"/>
            <w:bCs/>
            <w:caps/>
            <w:color w:val="auto"/>
            <w:sz w:val="32"/>
            <w:szCs w:val="32"/>
          </w:rPr>
          <w:t xml:space="preserve">第二章 投标人须知</w:t>
        </w:r>
        <w:r>
          <w:rPr>
            <w:rStyle w:val="924"/>
            <w:rFonts w:ascii="宋体" w:hAnsi="宋体" w:cs="Calibri"/>
            <w:bCs/>
            <w:caps/>
            <w:color w:val="auto"/>
            <w:sz w:val="32"/>
            <w:szCs w:val="32"/>
          </w:rPr>
          <w:tab/>
        </w:r>
        <w:r>
          <w:rPr>
            <w:rStyle w:val="924"/>
            <w:rFonts w:ascii="宋体" w:hAnsi="宋体" w:cs="Calibri"/>
            <w:bCs/>
            <w:caps/>
            <w:color w:val="auto"/>
            <w:sz w:val="32"/>
            <w:szCs w:val="32"/>
          </w:rPr>
          <w:fldChar w:fldCharType="begin"/>
        </w:r>
        <w:r>
          <w:rPr>
            <w:rStyle w:val="924"/>
            <w:rFonts w:ascii="宋体" w:hAnsi="宋体" w:cs="Calibri"/>
            <w:bCs/>
            <w:caps/>
            <w:color w:val="auto"/>
            <w:sz w:val="32"/>
            <w:szCs w:val="32"/>
          </w:rPr>
          <w:instrText xml:space="preserve"> PAGEREF _Toc105397777 \h </w:instrText>
        </w:r>
        <w:r>
          <w:rPr>
            <w:rStyle w:val="924"/>
            <w:rFonts w:ascii="宋体" w:hAnsi="宋体" w:cs="Calibri"/>
            <w:bCs/>
            <w:caps/>
            <w:color w:val="auto"/>
            <w:sz w:val="32"/>
            <w:szCs w:val="32"/>
          </w:rPr>
        </w:r>
        <w:r>
          <w:rPr>
            <w:rStyle w:val="924"/>
            <w:rFonts w:ascii="宋体" w:hAnsi="宋体" w:cs="Calibri"/>
            <w:bCs/>
            <w:caps/>
            <w:color w:val="auto"/>
            <w:sz w:val="32"/>
            <w:szCs w:val="32"/>
          </w:rPr>
          <w:fldChar w:fldCharType="separate"/>
        </w:r>
        <w:r>
          <w:rPr>
            <w:rStyle w:val="924"/>
            <w:rFonts w:hint="eastAsia" w:ascii="宋体" w:hAnsi="宋体" w:cs="Calibri"/>
            <w:bCs/>
            <w:caps/>
            <w:color w:val="auto"/>
            <w:sz w:val="32"/>
            <w:szCs w:val="32"/>
          </w:rPr>
          <w:t xml:space="preserve">8</w:t>
        </w:r>
        <w:r>
          <w:rPr>
            <w:rStyle w:val="924"/>
            <w:rFonts w:ascii="宋体" w:hAnsi="宋体" w:cs="Calibri"/>
            <w:bCs/>
            <w:caps/>
            <w:color w:val="auto"/>
            <w:sz w:val="32"/>
            <w:szCs w:val="32"/>
          </w:rPr>
          <w:fldChar w:fldCharType="end"/>
        </w:r>
      </w:hyperlink>
      <w:r/>
      <w:r/>
    </w:p>
    <w:p>
      <w:pPr>
        <w:pStyle w:val="892"/>
        <w:ind w:firstLine="0"/>
        <w:jc w:val="left"/>
        <w:spacing w:before="120" w:after="120"/>
        <w:tabs>
          <w:tab w:val="right" w:pos="9854" w:leader="dot"/>
        </w:tabs>
        <w:rPr>
          <w:rStyle w:val="924"/>
          <w:rFonts w:ascii="宋体" w:hAnsi="宋体" w:cs="Calibri"/>
          <w:bCs/>
          <w:caps/>
          <w:color w:val="auto"/>
          <w:sz w:val="32"/>
          <w:szCs w:val="32"/>
        </w:rPr>
        <w:outlineLvl w:val="9"/>
      </w:pPr>
      <w:r/>
      <w:hyperlink w:tooltip="#_Toc105397778" w:anchor="_Toc105397778" w:history="1">
        <w:r>
          <w:rPr>
            <w:rStyle w:val="924"/>
            <w:rFonts w:ascii="宋体" w:hAnsi="宋体" w:cs="Calibri"/>
            <w:bCs/>
            <w:caps/>
            <w:color w:val="auto"/>
            <w:sz w:val="32"/>
            <w:szCs w:val="32"/>
          </w:rPr>
          <w:t xml:space="preserve">第三章 投标文件格式</w:t>
        </w:r>
        <w:r>
          <w:rPr>
            <w:rStyle w:val="924"/>
            <w:rFonts w:ascii="宋体" w:hAnsi="宋体" w:cs="Calibri"/>
            <w:bCs/>
            <w:caps/>
            <w:color w:val="auto"/>
            <w:sz w:val="32"/>
            <w:szCs w:val="32"/>
          </w:rPr>
          <w:tab/>
        </w:r>
        <w:r>
          <w:rPr>
            <w:rStyle w:val="924"/>
            <w:rFonts w:ascii="宋体" w:hAnsi="宋体" w:cs="Calibri"/>
            <w:bCs/>
            <w:caps/>
            <w:color w:val="auto"/>
            <w:sz w:val="32"/>
            <w:szCs w:val="32"/>
          </w:rPr>
          <w:fldChar w:fldCharType="begin"/>
        </w:r>
        <w:r>
          <w:rPr>
            <w:rStyle w:val="924"/>
            <w:rFonts w:ascii="宋体" w:hAnsi="宋体" w:cs="Calibri"/>
            <w:bCs/>
            <w:caps/>
            <w:color w:val="auto"/>
            <w:sz w:val="32"/>
            <w:szCs w:val="32"/>
          </w:rPr>
          <w:instrText xml:space="preserve"> PAGEREF _Toc105397778 \h </w:instrText>
        </w:r>
        <w:r>
          <w:rPr>
            <w:rStyle w:val="924"/>
            <w:rFonts w:ascii="宋体" w:hAnsi="宋体" w:cs="Calibri"/>
            <w:bCs/>
            <w:caps/>
            <w:color w:val="auto"/>
            <w:sz w:val="32"/>
            <w:szCs w:val="32"/>
          </w:rPr>
        </w:r>
        <w:r>
          <w:rPr>
            <w:rStyle w:val="924"/>
            <w:rFonts w:ascii="宋体" w:hAnsi="宋体" w:cs="Calibri"/>
            <w:bCs/>
            <w:caps/>
            <w:color w:val="auto"/>
            <w:sz w:val="32"/>
            <w:szCs w:val="32"/>
          </w:rPr>
          <w:fldChar w:fldCharType="separate"/>
        </w:r>
        <w:r>
          <w:rPr>
            <w:rStyle w:val="924"/>
            <w:rFonts w:hint="eastAsia" w:ascii="宋体" w:hAnsi="宋体" w:cs="Calibri"/>
            <w:bCs/>
            <w:caps/>
            <w:color w:val="auto"/>
            <w:sz w:val="32"/>
            <w:szCs w:val="32"/>
          </w:rPr>
          <w:t xml:space="preserve">20</w:t>
        </w:r>
        <w:r>
          <w:rPr>
            <w:rStyle w:val="924"/>
            <w:rFonts w:ascii="宋体" w:hAnsi="宋体" w:cs="Calibri"/>
            <w:bCs/>
            <w:caps/>
            <w:color w:val="auto"/>
            <w:sz w:val="32"/>
            <w:szCs w:val="32"/>
          </w:rPr>
          <w:fldChar w:fldCharType="end"/>
        </w:r>
      </w:hyperlink>
      <w:r/>
      <w:r/>
    </w:p>
    <w:p>
      <w:pPr>
        <w:pStyle w:val="892"/>
        <w:ind w:firstLine="0"/>
        <w:jc w:val="left"/>
        <w:spacing w:before="120" w:after="120"/>
        <w:tabs>
          <w:tab w:val="right" w:pos="9854" w:leader="dot"/>
        </w:tabs>
        <w:rPr>
          <w:rStyle w:val="924"/>
          <w:rFonts w:ascii="宋体" w:hAnsi="宋体" w:cs="Calibri"/>
          <w:bCs/>
          <w:caps/>
          <w:color w:val="auto"/>
          <w:sz w:val="32"/>
          <w:szCs w:val="32"/>
        </w:rPr>
        <w:outlineLvl w:val="9"/>
      </w:pPr>
      <w:r/>
      <w:hyperlink w:tooltip="#_Toc105397793" w:anchor="_Toc105397793" w:history="1">
        <w:r>
          <w:rPr>
            <w:rStyle w:val="924"/>
            <w:rFonts w:ascii="宋体" w:hAnsi="宋体" w:cs="Calibri"/>
            <w:bCs/>
            <w:caps/>
            <w:color w:val="auto"/>
            <w:sz w:val="32"/>
            <w:szCs w:val="32"/>
          </w:rPr>
          <w:t xml:space="preserve">第四章 招标书</w:t>
        </w:r>
        <w:r>
          <w:rPr>
            <w:rStyle w:val="924"/>
            <w:rFonts w:ascii="宋体" w:hAnsi="宋体" w:cs="Calibri"/>
            <w:bCs/>
            <w:caps/>
            <w:color w:val="auto"/>
            <w:sz w:val="32"/>
            <w:szCs w:val="32"/>
          </w:rPr>
          <w:tab/>
        </w:r>
        <w:r>
          <w:rPr>
            <w:rStyle w:val="924"/>
            <w:rFonts w:ascii="宋体" w:hAnsi="宋体" w:cs="Calibri"/>
            <w:bCs/>
            <w:caps/>
            <w:color w:val="auto"/>
            <w:sz w:val="32"/>
            <w:szCs w:val="32"/>
          </w:rPr>
          <w:fldChar w:fldCharType="begin"/>
        </w:r>
        <w:r>
          <w:rPr>
            <w:rStyle w:val="924"/>
            <w:rFonts w:ascii="宋体" w:hAnsi="宋体" w:cs="Calibri"/>
            <w:bCs/>
            <w:caps/>
            <w:color w:val="auto"/>
            <w:sz w:val="32"/>
            <w:szCs w:val="32"/>
          </w:rPr>
          <w:instrText xml:space="preserve"> PAGEREF _Toc105397793 \h </w:instrText>
        </w:r>
        <w:r>
          <w:rPr>
            <w:rStyle w:val="924"/>
            <w:rFonts w:ascii="宋体" w:hAnsi="宋体" w:cs="Calibri"/>
            <w:bCs/>
            <w:caps/>
            <w:color w:val="auto"/>
            <w:sz w:val="32"/>
            <w:szCs w:val="32"/>
          </w:rPr>
        </w:r>
        <w:r>
          <w:rPr>
            <w:rStyle w:val="924"/>
            <w:rFonts w:ascii="宋体" w:hAnsi="宋体" w:cs="Calibri"/>
            <w:bCs/>
            <w:caps/>
            <w:color w:val="auto"/>
            <w:sz w:val="32"/>
            <w:szCs w:val="32"/>
          </w:rPr>
          <w:fldChar w:fldCharType="separate"/>
        </w:r>
        <w:r>
          <w:rPr>
            <w:rStyle w:val="924"/>
            <w:rFonts w:hint="eastAsia" w:ascii="宋体" w:hAnsi="宋体" w:cs="Calibri"/>
            <w:bCs/>
            <w:caps/>
            <w:color w:val="auto"/>
            <w:sz w:val="32"/>
            <w:szCs w:val="32"/>
          </w:rPr>
          <w:t xml:space="preserve">33</w:t>
        </w:r>
        <w:r>
          <w:rPr>
            <w:rStyle w:val="924"/>
            <w:rFonts w:ascii="宋体" w:hAnsi="宋体" w:cs="Calibri"/>
            <w:bCs/>
            <w:caps/>
            <w:color w:val="auto"/>
            <w:sz w:val="32"/>
            <w:szCs w:val="32"/>
          </w:rPr>
          <w:fldChar w:fldCharType="end"/>
        </w:r>
      </w:hyperlink>
      <w:r/>
      <w:r/>
    </w:p>
    <w:p>
      <w:pPr>
        <w:pStyle w:val="892"/>
        <w:ind w:firstLine="0"/>
        <w:jc w:val="left"/>
        <w:spacing w:before="120" w:after="120"/>
        <w:tabs>
          <w:tab w:val="right" w:pos="9854" w:leader="dot"/>
        </w:tabs>
        <w:rPr>
          <w:rStyle w:val="924"/>
          <w:rFonts w:ascii="宋体" w:hAnsi="宋体" w:cs="Calibri"/>
          <w:bCs/>
          <w:caps/>
          <w:color w:val="auto"/>
          <w:sz w:val="32"/>
          <w:szCs w:val="32"/>
        </w:rPr>
        <w:outlineLvl w:val="9"/>
      </w:pPr>
      <w:r/>
      <w:hyperlink w:tooltip="#_Toc105397794" w:anchor="_Toc105397794" w:history="1">
        <w:r>
          <w:rPr>
            <w:rStyle w:val="924"/>
            <w:rFonts w:ascii="宋体" w:hAnsi="宋体" w:cs="Calibri"/>
            <w:bCs/>
            <w:caps/>
            <w:color w:val="auto"/>
            <w:sz w:val="32"/>
            <w:szCs w:val="32"/>
          </w:rPr>
          <w:t xml:space="preserve">第五章 合同及主要条款</w:t>
        </w:r>
        <w:r>
          <w:rPr>
            <w:rStyle w:val="924"/>
            <w:rFonts w:ascii="宋体" w:hAnsi="宋体" w:cs="Calibri"/>
            <w:bCs/>
            <w:caps/>
            <w:color w:val="auto"/>
            <w:sz w:val="32"/>
            <w:szCs w:val="32"/>
          </w:rPr>
          <w:tab/>
        </w:r>
        <w:r>
          <w:rPr>
            <w:rStyle w:val="924"/>
            <w:rFonts w:ascii="宋体" w:hAnsi="宋体" w:cs="Calibri"/>
            <w:bCs/>
            <w:caps/>
            <w:color w:val="auto"/>
            <w:sz w:val="32"/>
            <w:szCs w:val="32"/>
          </w:rPr>
          <w:t xml:space="preserve">53</w:t>
        </w:r>
      </w:hyperlink>
      <w:r/>
      <w:r/>
    </w:p>
    <w:p>
      <w:pPr>
        <w:pStyle w:val="892"/>
        <w:ind w:firstLine="0"/>
        <w:jc w:val="left"/>
        <w:spacing w:before="120" w:after="120"/>
        <w:tabs>
          <w:tab w:val="right" w:pos="9854" w:leader="dot"/>
        </w:tabs>
        <w:rPr>
          <w:rStyle w:val="924"/>
          <w:rFonts w:ascii="宋体" w:hAnsi="宋体" w:cs="Calibri"/>
          <w:bCs/>
          <w:caps/>
          <w:color w:val="auto"/>
          <w:sz w:val="32"/>
          <w:szCs w:val="32"/>
        </w:rPr>
        <w:outlineLvl w:val="9"/>
      </w:pPr>
      <w:r/>
      <w:hyperlink w:tooltip="#_Toc105397795" w:anchor="_Toc105397795" w:history="1">
        <w:r>
          <w:rPr>
            <w:rStyle w:val="924"/>
            <w:rFonts w:ascii="宋体" w:hAnsi="宋体" w:cs="Calibri"/>
            <w:bCs/>
            <w:caps/>
            <w:color w:val="auto"/>
            <w:sz w:val="32"/>
            <w:szCs w:val="32"/>
          </w:rPr>
          <w:t xml:space="preserve">第六章 评标办法和评分标准</w:t>
        </w:r>
        <w:r>
          <w:rPr>
            <w:rStyle w:val="924"/>
            <w:rFonts w:ascii="宋体" w:hAnsi="宋体" w:cs="Calibri"/>
            <w:bCs/>
            <w:caps/>
            <w:color w:val="auto"/>
            <w:sz w:val="32"/>
            <w:szCs w:val="32"/>
          </w:rPr>
          <w:tab/>
        </w:r>
        <w:r>
          <w:rPr>
            <w:rStyle w:val="924"/>
            <w:rFonts w:ascii="宋体" w:hAnsi="宋体" w:cs="Calibri"/>
            <w:bCs/>
            <w:caps/>
            <w:color w:val="auto"/>
            <w:sz w:val="32"/>
            <w:szCs w:val="32"/>
          </w:rPr>
          <w:t xml:space="preserve">60</w:t>
        </w:r>
      </w:hyperlink>
      <w:r/>
      <w:r/>
    </w:p>
    <w:p>
      <w:pPr>
        <w:pStyle w:val="892"/>
        <w:ind w:firstLine="0"/>
        <w:jc w:val="left"/>
        <w:spacing w:before="120" w:after="120"/>
        <w:tabs>
          <w:tab w:val="right" w:pos="9856" w:leader="dot"/>
        </w:tabs>
        <w:rPr>
          <w:rFonts w:ascii="宋体" w:hAnsi="宋体"/>
          <w:sz w:val="32"/>
          <w:szCs w:val="32"/>
        </w:rPr>
        <w:outlineLvl w:val="9"/>
      </w:pPr>
      <w:r>
        <w:rPr>
          <w:rStyle w:val="924"/>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JSZC-320500-JZCG-G2026-0063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苏州市中医医院服务器</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w:t>
            </w:r>
            <w:r>
              <w:rPr>
                <w:rFonts w:hint="eastAsia" w:ascii="宋体" w:hAnsi="宋体" w:cs="Times New Roman"/>
                <w:sz w:val="21"/>
                <w:szCs w:val="21"/>
              </w:rPr>
              <w:t xml:space="preserve">江工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苏州市中医医院</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苏州市姑苏区杨素路18号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徐洪</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0512-67870690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04</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14日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04</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14日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hint="eastAsia"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04</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14日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93"/>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93"/>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885"/>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85"/>
        <w:rPr>
          <w:rFonts w:ascii="宋体" w:hAnsi="宋体"/>
        </w:rPr>
      </w:pPr>
      <w:r>
        <w:rPr>
          <w:rFonts w:ascii="宋体" w:hAnsi="宋体"/>
        </w:rPr>
      </w:r>
      <w:r/>
    </w:p>
    <w:p>
      <w:pPr>
        <w:pStyle w:val="877"/>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9"/>
        <w:ind w:left="431" w:firstLine="17"/>
        <w:jc w:val="center"/>
        <w:spacing w:before="0" w:after="0" w:line="360" w:lineRule="auto"/>
        <w:rPr>
          <w:rStyle w:val="989"/>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苏州市中医医院服务器</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04 </w:t>
      </w:r>
      <w:r>
        <w:rPr>
          <w:rFonts w:hint="eastAsia" w:ascii="宋体" w:hAnsi="宋体"/>
          <w:b/>
          <w:sz w:val="21"/>
          <w:szCs w:val="21"/>
          <w:u w:val="single"/>
        </w:rPr>
        <w:t xml:space="preserve">月</w:t>
      </w:r>
      <w:r>
        <w:rPr>
          <w:rFonts w:ascii="宋体" w:hAnsi="宋体"/>
          <w:b/>
          <w:sz w:val="21"/>
          <w:szCs w:val="21"/>
          <w:u w:val="single"/>
        </w:rPr>
        <w:t xml:space="preserve"> 14 </w:t>
      </w:r>
      <w:r>
        <w:rPr>
          <w:rFonts w:hint="eastAsia" w:ascii="宋体" w:hAnsi="宋体"/>
          <w:b/>
          <w:sz w:val="21"/>
          <w:szCs w:val="21"/>
          <w:u w:val="single"/>
        </w:rPr>
        <w:t xml:space="preserve">日</w:t>
      </w:r>
      <w:r>
        <w:rPr>
          <w:rFonts w:ascii="宋体" w:hAnsi="宋体"/>
          <w:b/>
          <w:sz w:val="21"/>
          <w:szCs w:val="21"/>
          <w:u w:val="single"/>
        </w:rPr>
        <w:t xml:space="preserve"> 09 </w:t>
      </w:r>
      <w:r>
        <w:rPr>
          <w:rFonts w:hint="eastAsia" w:ascii="宋体" w:hAnsi="宋体"/>
          <w:b/>
          <w:sz w:val="21"/>
          <w:szCs w:val="21"/>
          <w:u w:val="single"/>
        </w:rPr>
        <w:t xml:space="preserve">点</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77"/>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7"/>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JSZC-320500-JZCG-G2026-0063</w:t>
      </w:r>
      <w:r/>
    </w:p>
    <w:p>
      <w:pPr>
        <w:pStyle w:val="877"/>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苏州市中医医院服务器</w:t>
      </w:r>
      <w:r>
        <w:rPr>
          <w:rFonts w:ascii="宋体" w:hAnsi="宋体"/>
          <w:sz w:val="21"/>
          <w:szCs w:val="21"/>
        </w:rPr>
        <w:t xml:space="preserve"> </w:t>
      </w:r>
      <w:r/>
    </w:p>
    <w:p>
      <w:pPr>
        <w:pStyle w:val="877"/>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77"/>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人民币壹佰零伍万玖仟元整</w:t>
      </w:r>
      <w:r>
        <w:rPr>
          <w:rFonts w:hint="eastAsia" w:ascii="宋体" w:hAnsi="宋体"/>
          <w:sz w:val="21"/>
          <w:szCs w:val="21"/>
        </w:rPr>
        <w:t xml:space="preserve">（¥</w:t>
      </w:r>
      <w:r>
        <w:rPr>
          <w:rFonts w:ascii="宋体" w:hAnsi="宋体"/>
          <w:sz w:val="21"/>
          <w:szCs w:val="21"/>
        </w:rPr>
        <w:t xml:space="preserve">1059000.00</w:t>
      </w:r>
      <w:r>
        <w:rPr>
          <w:rFonts w:hint="eastAsia" w:ascii="宋体" w:hAnsi="宋体"/>
          <w:sz w:val="21"/>
          <w:szCs w:val="21"/>
        </w:rPr>
        <w:t xml:space="preserve">元）</w:t>
      </w:r>
      <w:r>
        <w:rPr>
          <w:rFonts w:ascii="宋体" w:hAnsi="宋体"/>
          <w:sz w:val="21"/>
          <w:szCs w:val="21"/>
        </w:rPr>
        <w:t xml:space="preserve"> </w:t>
      </w:r>
      <w:r/>
    </w:p>
    <w:p>
      <w:pPr>
        <w:pStyle w:val="877"/>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人民币壹佰零伍万玖仟元整（¥</w:t>
      </w:r>
      <w:r>
        <w:rPr>
          <w:rFonts w:ascii="宋体" w:hAnsi="宋体"/>
          <w:sz w:val="21"/>
          <w:szCs w:val="21"/>
        </w:rPr>
        <w:t xml:space="preserve">1059000.00</w:t>
      </w:r>
      <w:r>
        <w:rPr>
          <w:rFonts w:hint="eastAsia" w:ascii="宋体" w:hAnsi="宋体"/>
          <w:sz w:val="21"/>
          <w:szCs w:val="21"/>
        </w:rPr>
        <w:t xml:space="preserve">元）</w:t>
      </w:r>
      <w:r>
        <w:rPr>
          <w:rFonts w:ascii="宋体" w:hAnsi="宋体"/>
          <w:sz w:val="21"/>
          <w:szCs w:val="21"/>
        </w:rPr>
        <w:t xml:space="preserve"> </w:t>
      </w:r>
      <w:r/>
    </w:p>
    <w:p>
      <w:pPr>
        <w:pStyle w:val="877"/>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在合同生效接甲方进场通知后，30天内完成供货及安装调试。</w:t>
      </w:r>
      <w:r>
        <w:rPr>
          <w:rFonts w:hint="eastAsia" w:ascii="宋体" w:hAnsi="宋体"/>
          <w:sz w:val="21"/>
        </w:rPr>
        <w:t xml:space="preserve">质保5年（其中原厂质保不少于3年）。</w:t>
      </w:r>
      <w:r/>
    </w:p>
    <w:p>
      <w:pPr>
        <w:pStyle w:val="877"/>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苏州市中医医院服务器</w:t>
      </w:r>
      <w:r>
        <w:rPr>
          <w:rFonts w:hint="eastAsia" w:ascii="宋体" w:hAnsi="宋体"/>
          <w:sz w:val="21"/>
          <w:szCs w:val="21"/>
        </w:rPr>
        <w:t xml:space="preserve">，采购需求详见采购文件第四章。</w:t>
      </w:r>
      <w:r/>
    </w:p>
    <w:p>
      <w:pPr>
        <w:pStyle w:val="877"/>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77"/>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7"/>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7"/>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7"/>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7"/>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7"/>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7"/>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77"/>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77"/>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77"/>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77"/>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7"/>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7"/>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7"/>
        <w:ind w:left="0" w:firstLine="420"/>
        <w:spacing w:line="360" w:lineRule="auto"/>
        <w:rPr>
          <w:rFonts w:ascii="宋体" w:hAnsi="宋体"/>
          <w:sz w:val="21"/>
          <w:szCs w:val="21"/>
        </w:rPr>
      </w:pPr>
      <w:r>
        <w:rPr>
          <w:rFonts w:hint="eastAsia" w:ascii="宋体" w:hAnsi="宋体"/>
          <w:sz w:val="21"/>
          <w:szCs w:val="21"/>
        </w:rPr>
        <w:t xml:space="preserve">3.方式：</w:t>
      </w:r>
      <w:r/>
    </w:p>
    <w:p>
      <w:pPr>
        <w:pStyle w:val="877"/>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7"/>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w:t>
      </w:r>
      <w:r>
        <w:rPr>
          <w:rFonts w:hint="eastAsia" w:ascii="宋体" w:hAnsi="宋体"/>
          <w:sz w:val="21"/>
          <w:szCs w:val="21"/>
        </w:rPr>
        <w:t xml:space="preserve">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w:t>
      </w:r>
      <w:r>
        <w:rPr>
          <w:rFonts w:hint="eastAsia" w:ascii="宋体" w:hAnsi="宋体"/>
          <w:b/>
          <w:sz w:val="21"/>
          <w:szCs w:val="21"/>
        </w:rPr>
        <w:t xml:space="preserve">咨询电话：0512-65737699。</w:t>
      </w:r>
      <w:r/>
    </w:p>
    <w:p>
      <w:pPr>
        <w:pStyle w:val="877"/>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7"/>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7"/>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7"/>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7"/>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7"/>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77"/>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7"/>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7"/>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6" w:name="OLE_LINK39"/>
      <w:r/>
      <w:bookmarkStart w:id="7" w:name="OLE_LINK40"/>
      <w:r>
        <w:rPr>
          <w:rFonts w:ascii="宋体" w:hAnsi="宋体"/>
          <w:sz w:val="21"/>
          <w:szCs w:val="21"/>
        </w:rPr>
        <w:t xml:space="preserve">13914088964</w:t>
      </w:r>
      <w:bookmarkEnd w:id="6"/>
      <w:r/>
      <w:bookmarkEnd w:id="7"/>
      <w:r>
        <w:rPr>
          <w:rFonts w:hint="eastAsia" w:ascii="宋体" w:hAnsi="宋体"/>
          <w:sz w:val="21"/>
          <w:szCs w:val="21"/>
        </w:rPr>
        <w:t xml:space="preserve">；智能客服：登录苏采云系统后，联系系统右下方智能客服图标进行咨询。</w:t>
      </w:r>
      <w:r/>
    </w:p>
    <w:p>
      <w:pPr>
        <w:pStyle w:val="877"/>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7"/>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7"/>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 04 月 14 日 09 点 30 分</w:t>
      </w:r>
      <w:r>
        <w:rPr>
          <w:rFonts w:hint="eastAsia" w:ascii="宋体" w:hAnsi="宋体"/>
          <w:sz w:val="21"/>
          <w:szCs w:val="21"/>
        </w:rPr>
        <w:t xml:space="preserve">（北京时间）；</w:t>
      </w:r>
      <w:r>
        <w:rPr>
          <w:rFonts w:ascii="宋体" w:hAnsi="宋体"/>
          <w:sz w:val="21"/>
          <w:szCs w:val="21"/>
        </w:rPr>
        <w:t xml:space="preserve"> </w:t>
      </w:r>
      <w:r/>
    </w:p>
    <w:p>
      <w:pPr>
        <w:pStyle w:val="877"/>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 04 月 14 日 09 点 30 分</w:t>
      </w:r>
      <w:r/>
      <w:r>
        <w:rPr>
          <w:rFonts w:hint="eastAsia" w:ascii="宋体" w:hAnsi="宋体"/>
          <w:sz w:val="21"/>
          <w:szCs w:val="21"/>
          <w:u w:val="single"/>
        </w:rPr>
      </w:r>
      <w:r>
        <w:rPr>
          <w:rFonts w:hint="eastAsia" w:ascii="宋体" w:hAnsi="宋体"/>
          <w:sz w:val="21"/>
          <w:szCs w:val="21"/>
        </w:rPr>
        <w:t xml:space="preserve">（北京时间）；</w:t>
      </w:r>
      <w:r/>
    </w:p>
    <w:p>
      <w:pPr>
        <w:pStyle w:val="877"/>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7"/>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7"/>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7"/>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7"/>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7"/>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7"/>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8"/>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18"/>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18"/>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18"/>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77"/>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77"/>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7"/>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苏州市中医医院</w:t>
      </w:r>
      <w:r/>
    </w:p>
    <w:p>
      <w:pPr>
        <w:pStyle w:val="877"/>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苏州市姑苏区杨素路18号</w:t>
      </w:r>
      <w:r/>
    </w:p>
    <w:p>
      <w:pPr>
        <w:pStyle w:val="877"/>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徐洪</w:t>
      </w:r>
      <w:r/>
    </w:p>
    <w:p>
      <w:pPr>
        <w:pStyle w:val="877"/>
        <w:ind w:left="0" w:firstLine="420"/>
        <w:spacing w:line="360"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0512-67870690</w:t>
      </w:r>
      <w:r>
        <w:rPr>
          <w:rFonts w:hint="eastAsia" w:ascii="宋体" w:hAnsi="宋体"/>
          <w:sz w:val="21"/>
          <w:szCs w:val="21"/>
        </w:rPr>
        <w:t xml:space="preserve">.</w:t>
      </w:r>
      <w:r/>
    </w:p>
    <w:p>
      <w:pPr>
        <w:pStyle w:val="877"/>
        <w:ind w:left="0" w:firstLine="420"/>
        <w:spacing w:line="360" w:lineRule="auto"/>
        <w:rPr>
          <w:rFonts w:ascii="宋体" w:hAnsi="宋体"/>
          <w:sz w:val="21"/>
          <w:szCs w:val="21"/>
        </w:rPr>
      </w:pPr>
      <w:r>
        <w:rPr>
          <w:rFonts w:hint="eastAsia" w:ascii="宋体" w:hAnsi="宋体"/>
          <w:sz w:val="21"/>
          <w:szCs w:val="21"/>
        </w:rPr>
        <w:t xml:space="preserve">采购代理机构信息 </w:t>
      </w:r>
      <w:r/>
    </w:p>
    <w:p>
      <w:pPr>
        <w:pStyle w:val="877"/>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7"/>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77"/>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w:t>
      </w:r>
      <w:r>
        <w:rPr>
          <w:rFonts w:ascii="宋体" w:hAnsi="宋体"/>
          <w:sz w:val="21"/>
          <w:szCs w:val="21"/>
        </w:rPr>
        <w:t xml:space="preserve">512-69820710</w:t>
      </w:r>
      <w:r>
        <w:rPr>
          <w:rFonts w:hint="eastAsia" w:ascii="宋体" w:hAnsi="宋体"/>
          <w:sz w:val="21"/>
          <w:szCs w:val="21"/>
        </w:rPr>
        <w:t xml:space="preserve"> </w:t>
      </w:r>
      <w:r/>
    </w:p>
    <w:p>
      <w:pPr>
        <w:pStyle w:val="877"/>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7"/>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江工</w:t>
      </w:r>
      <w:r>
        <w:rPr>
          <w:rFonts w:hint="eastAsia" w:ascii="宋体" w:hAnsi="宋体"/>
          <w:sz w:val="21"/>
          <w:szCs w:val="21"/>
        </w:rPr>
        <w:t xml:space="preserve"> </w:t>
      </w:r>
      <w:r/>
    </w:p>
    <w:p>
      <w:pPr>
        <w:pStyle w:val="877"/>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w:t>
      </w:r>
      <w:r>
        <w:rPr>
          <w:rFonts w:ascii="宋体" w:hAnsi="宋体"/>
          <w:sz w:val="21"/>
          <w:szCs w:val="21"/>
        </w:rPr>
        <w:t xml:space="preserve">512-69820710</w:t>
      </w:r>
      <w:r/>
    </w:p>
    <w:p>
      <w:pPr>
        <w:ind w:left="0"/>
        <w:jc w:val="left"/>
        <w:rPr>
          <w:rFonts w:ascii="宋体" w:hAnsi="宋体"/>
          <w:sz w:val="21"/>
          <w:szCs w:val="21"/>
        </w:rPr>
      </w:pPr>
      <w:r>
        <w:rPr>
          <w:rFonts w:hint="eastAsia" w:ascii="宋体" w:hAnsi="宋体"/>
          <w:sz w:val="21"/>
          <w:szCs w:val="21"/>
        </w:rPr>
        <w:br w:type="page" w:clear="all"/>
      </w:r>
      <w:r/>
    </w:p>
    <w:p>
      <w:pPr>
        <w:pStyle w:val="859"/>
        <w:ind w:left="0" w:firstLine="0"/>
        <w:jc w:val="center"/>
        <w:rPr>
          <w:rFonts w:ascii="宋体" w:hAnsi="宋体"/>
          <w:b/>
          <w:sz w:val="44"/>
          <w:szCs w:val="22"/>
        </w:rPr>
      </w:pPr>
      <w:r/>
      <w:bookmarkStart w:id="8" w:name="_Toc2412"/>
      <w:r/>
      <w:bookmarkStart w:id="9" w:name="_Toc105397777"/>
      <w:r/>
      <w:bookmarkStart w:id="10"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877"/>
        <w:ind w:left="0" w:firstLine="422"/>
        <w:spacing w:line="360" w:lineRule="auto"/>
        <w:rPr>
          <w:rFonts w:ascii="宋体" w:hAnsi="宋体"/>
          <w:b/>
          <w:sz w:val="21"/>
          <w:szCs w:val="21"/>
        </w:rPr>
      </w:pPr>
      <w:r/>
      <w:bookmarkStart w:id="12" w:name="_Toc13437"/>
      <w:r/>
      <w:bookmarkStart w:id="13" w:name="_Toc20132"/>
      <w:r>
        <w:rPr>
          <w:rFonts w:hint="eastAsia" w:ascii="宋体" w:hAnsi="宋体"/>
          <w:b/>
          <w:sz w:val="21"/>
          <w:szCs w:val="21"/>
        </w:rPr>
        <w:t xml:space="preserve">一、说明和释义</w:t>
      </w:r>
      <w:bookmarkEnd w:id="12"/>
      <w:r/>
      <w:bookmarkEnd w:id="13"/>
      <w:r/>
      <w:r/>
    </w:p>
    <w:p>
      <w:pPr>
        <w:pStyle w:val="877"/>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877"/>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77"/>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7"/>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77"/>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877"/>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7"/>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77"/>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7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7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3350"/>
      <w:r/>
      <w:bookmarkStart w:id="17" w:name="_Toc14976"/>
      <w:r/>
      <w:r/>
    </w:p>
    <w:p>
      <w:pPr>
        <w:pStyle w:val="877"/>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877"/>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16"/>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6"/>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6"/>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7"/>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7"/>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7"/>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7"/>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5764"/>
      <w:r/>
      <w:bookmarkStart w:id="19" w:name="_Toc31958"/>
      <w:r/>
      <w:r/>
    </w:p>
    <w:p>
      <w:pPr>
        <w:pStyle w:val="877"/>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77"/>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877"/>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7"/>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7"/>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7"/>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7"/>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7"/>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7"/>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7"/>
        <w:ind w:left="0" w:firstLine="420"/>
        <w:spacing w:line="360" w:lineRule="auto"/>
        <w:rPr>
          <w:rFonts w:ascii="宋体" w:hAnsi="宋体"/>
          <w:sz w:val="21"/>
          <w:szCs w:val="21"/>
        </w:rPr>
      </w:pPr>
      <w:r/>
      <w:bookmarkStart w:id="20" w:name="_Toc16745"/>
      <w:r/>
      <w:bookmarkStart w:id="21"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7"/>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7"/>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7"/>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7"/>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7"/>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7"/>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7"/>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7"/>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7"/>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7"/>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77"/>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2" w:name="OLE_LINK38"/>
      <w:r/>
      <w:bookmarkStart w:id="23" w:name="OLE_LINK41"/>
      <w:r/>
      <w:bookmarkStart w:id="24"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5" w:name="OLE_LINK43"/>
      <w:r>
        <w:rPr>
          <w:rFonts w:hint="eastAsia" w:ascii="宋体" w:hAnsi="宋体"/>
          <w:b/>
          <w:sz w:val="21"/>
          <w:szCs w:val="21"/>
        </w:rPr>
        <w:t xml:space="preserve">供应商营业执照复印件、法定代表人身份证复印件、授权代表身份证复印件（如有）、授权委托书（如有）</w:t>
      </w:r>
      <w:bookmarkEnd w:id="22"/>
      <w:r/>
      <w:bookmarkEnd w:id="23"/>
      <w:r/>
      <w:bookmarkEnd w:id="24"/>
      <w:r/>
      <w:bookmarkEnd w:id="25"/>
      <w:r>
        <w:rPr>
          <w:rFonts w:hint="eastAsia" w:ascii="宋体" w:hAnsi="宋体"/>
          <w:b/>
          <w:sz w:val="21"/>
          <w:szCs w:val="21"/>
        </w:rPr>
        <w:t xml:space="preserve">与质疑函一起递交，否则不予受理。</w:t>
      </w:r>
      <w:r/>
    </w:p>
    <w:p>
      <w:pPr>
        <w:pStyle w:val="877"/>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7"/>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77"/>
        <w:ind w:left="0" w:firstLine="422"/>
        <w:spacing w:line="360" w:lineRule="auto"/>
        <w:rPr>
          <w:rFonts w:ascii="宋体" w:hAnsi="宋体"/>
          <w:b/>
          <w:sz w:val="21"/>
          <w:szCs w:val="21"/>
        </w:rPr>
      </w:pPr>
      <w:r/>
      <w:bookmarkStart w:id="26" w:name="OLE_LINK22"/>
      <w:r/>
      <w:bookmarkStart w:id="27" w:name="OLE_LINK32"/>
      <w:r/>
      <w:bookmarkStart w:id="28" w:name="OLE_LINK33"/>
      <w:r/>
      <w:bookmarkStart w:id="29"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77"/>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6"/>
      <w:bookmarkEnd w:id="27"/>
      <w:bookmarkEnd w:id="28"/>
      <w:bookmarkEnd w:id="29"/>
      <w:r/>
    </w:p>
    <w:p>
      <w:pPr>
        <w:pStyle w:val="877"/>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877"/>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87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7"/>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7"/>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7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7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1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9</w:t>
      </w:r>
      <w:r>
        <w:rPr>
          <w:rFonts w:hint="eastAsia" w:ascii="宋体" w:hAnsi="宋体"/>
          <w:sz w:val="21"/>
          <w:szCs w:val="21"/>
        </w:rPr>
        <w:t xml:space="preserve">其他可以证明投标人资质、服务质量的证书、文件等相关资料。</w:t>
      </w:r>
      <w:r/>
    </w:p>
    <w:p>
      <w:pPr>
        <w:pStyle w:val="1093"/>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93"/>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highlight w:val="yellow"/>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93"/>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w:t>
      </w:r>
      <w:r>
        <w:rPr>
          <w:rFonts w:ascii="宋体" w:hAnsi="宋体"/>
          <w:b/>
          <w:sz w:val="21"/>
          <w:szCs w:val="21"/>
          <w:highlight w:val="yellow"/>
        </w:rPr>
        <w:t xml:space="preserve">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93"/>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93"/>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93"/>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93"/>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9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9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0" w:name="_Toc31150"/>
      <w:r/>
      <w:bookmarkStart w:id="31"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bookmarkEnd w:id="31"/>
      <w:r/>
    </w:p>
    <w:p>
      <w:pPr>
        <w:pStyle w:val="109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9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93"/>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在投标截止时间前制作并上传电子投标文件。</w:t>
      </w:r>
      <w:r/>
    </w:p>
    <w:p>
      <w:pPr>
        <w:pStyle w:val="877"/>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93"/>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9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9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9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9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9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2" w:name="_Toc22837"/>
      <w:r/>
      <w:bookmarkStart w:id="33"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93"/>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2"/>
      <w:r/>
      <w:bookmarkEnd w:id="33"/>
      <w:r/>
      <w:r/>
    </w:p>
    <w:p>
      <w:pPr>
        <w:pStyle w:val="109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9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93"/>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93"/>
        <w:ind w:left="0" w:firstLine="422"/>
        <w:spacing w:line="360" w:lineRule="auto"/>
        <w:rPr>
          <w:rFonts w:ascii="宋体" w:hAnsi="宋体" w:cs="宋体"/>
          <w:b/>
          <w:color w:val="000000" w:themeColor="text1"/>
          <w:sz w:val="21"/>
          <w:szCs w:val="21"/>
        </w:rPr>
      </w:pPr>
      <w:r/>
      <w:bookmarkStart w:id="34"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09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5" w:name="OLE_LINK5"/>
      <w:r/>
      <w:bookmarkStart w:id="36" w:name="OLE_LINK6"/>
      <w:r>
        <w:rPr>
          <w:rFonts w:hint="eastAsia" w:ascii="宋体" w:hAnsi="宋体" w:cs="宋体"/>
          <w:b/>
          <w:color w:val="000000" w:themeColor="text1"/>
          <w:sz w:val="21"/>
          <w:szCs w:val="21"/>
          <w:lang w:val="en-US"/>
        </w:rPr>
        <w:t xml:space="preserve">评标</w:t>
      </w:r>
      <w:bookmarkEnd w:id="35"/>
      <w:r/>
      <w:bookmarkEnd w:id="36"/>
      <w:r>
        <w:rPr>
          <w:rFonts w:hint="eastAsia" w:ascii="宋体" w:hAnsi="宋体" w:cs="宋体"/>
          <w:b/>
          <w:color w:val="000000" w:themeColor="text1"/>
          <w:sz w:val="21"/>
          <w:szCs w:val="21"/>
          <w:lang w:val="en-US"/>
        </w:rPr>
        <w:t xml:space="preserve">委员会应当启动异常低价投标审查程序：</w:t>
      </w:r>
      <w:r/>
    </w:p>
    <w:p>
      <w:pPr>
        <w:pStyle w:val="109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9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9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9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93"/>
        <w:ind w:left="0" w:firstLine="422"/>
        <w:spacing w:line="360" w:lineRule="auto"/>
        <w:rPr>
          <w:color w:val="333333"/>
          <w:shd w:val="clear" w:color="auto" w:fill="ffffff"/>
        </w:rPr>
      </w:pPr>
      <w:r/>
      <w:bookmarkStart w:id="37" w:name="OLE_LINK3"/>
      <w:r/>
      <w:bookmarkStart w:id="38"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39" w:name="OLE_LINK1"/>
      <w:r/>
      <w:bookmarkStart w:id="40" w:name="OLE_LINK2"/>
      <w:r>
        <w:rPr>
          <w:rFonts w:hint="eastAsia" w:ascii="宋体" w:hAnsi="宋体"/>
          <w:b/>
          <w:color w:val="000000" w:themeColor="text1"/>
          <w:sz w:val="21"/>
          <w:szCs w:val="21"/>
        </w:rPr>
        <w:t xml:space="preserve">评标委员会</w:t>
      </w:r>
      <w:bookmarkEnd w:id="39"/>
      <w:r/>
      <w:bookmarkEnd w:id="40"/>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1" w:name="OLE_LINK9"/>
      <w:r/>
      <w:bookmarkStart w:id="42" w:name="OLE_LINK10"/>
      <w:r>
        <w:rPr>
          <w:rFonts w:hint="eastAsia" w:ascii="宋体" w:hAnsi="宋体"/>
          <w:b/>
          <w:color w:val="000000" w:themeColor="text1"/>
          <w:sz w:val="21"/>
          <w:szCs w:val="21"/>
        </w:rPr>
        <w:t xml:space="preserve">，</w:t>
      </w:r>
      <w:bookmarkEnd w:id="41"/>
      <w:r/>
      <w:bookmarkEnd w:id="42"/>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9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93"/>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93"/>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7"/>
      <w:r/>
      <w:bookmarkEnd w:id="38"/>
      <w:r/>
      <w:r/>
    </w:p>
    <w:p>
      <w:pPr>
        <w:pStyle w:val="109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4"/>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93"/>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93"/>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（五）机器码检查中，出现不同投标人投标文件机器码一致情形的；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93"/>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9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9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3" w:name="_Toc18442"/>
      <w:r/>
      <w:bookmarkStart w:id="44" w:name="_Toc19501"/>
      <w:r/>
      <w:r/>
    </w:p>
    <w:p>
      <w:pPr>
        <w:pStyle w:val="1093"/>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3"/>
      <w:r/>
      <w:bookmarkEnd w:id="44"/>
      <w:r/>
      <w:r/>
    </w:p>
    <w:p>
      <w:pPr>
        <w:pStyle w:val="1093"/>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9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9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9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93"/>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9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5" w:name="_Toc21029"/>
      <w:r/>
      <w:bookmarkStart w:id="46" w:name="_Toc8186"/>
      <w:r/>
      <w:r/>
    </w:p>
    <w:p>
      <w:pPr>
        <w:pStyle w:val="1093"/>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5"/>
      <w:r/>
      <w:bookmarkEnd w:id="46"/>
      <w:r/>
      <w:r/>
    </w:p>
    <w:p>
      <w:pPr>
        <w:pStyle w:val="1093"/>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rPr>
          <w:rFonts w:hint="eastAsia" w:ascii="宋体" w:hAnsi="宋体" w:cs="宋体"/>
          <w:b/>
          <w:sz w:val="21"/>
          <w:szCs w:val="21"/>
        </w:rPr>
        <w:t xml:space="preserve">。</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93"/>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93"/>
        <w:ind w:left="0" w:firstLine="0"/>
        <w:spacing w:line="360" w:lineRule="auto"/>
        <w:rPr>
          <w:rFonts w:ascii="宋体" w:hAnsi="宋体" w:cs="宋体"/>
          <w:sz w:val="21"/>
          <w:szCs w:val="21"/>
        </w:rPr>
      </w:pPr>
      <w:r>
        <w:rPr>
          <w:rFonts w:ascii="宋体" w:hAnsi="宋体" w:cs="宋体"/>
          <w:sz w:val="21"/>
          <w:szCs w:val="21"/>
        </w:rPr>
      </w:r>
      <w:r/>
    </w:p>
    <w:p>
      <w:pPr>
        <w:pStyle w:val="859"/>
        <w:ind w:left="0" w:firstLine="0"/>
        <w:jc w:val="center"/>
        <w:rPr>
          <w:rFonts w:ascii="宋体" w:hAnsi="宋体"/>
          <w:sz w:val="21"/>
          <w:szCs w:val="21"/>
          <w:lang w:val="zh-CN"/>
        </w:rPr>
      </w:pPr>
      <w:r/>
      <w:bookmarkStart w:id="47" w:name="_Toc105397778"/>
      <w:r/>
      <w:bookmarkStart w:id="48" w:name="_Toc24711"/>
      <w:r/>
      <w:bookmarkStart w:id="49" w:name="_Toc7264"/>
      <w:r>
        <w:rPr>
          <w:rFonts w:hint="eastAsia" w:ascii="宋体" w:hAnsi="宋体"/>
          <w:b/>
          <w:sz w:val="44"/>
          <w:szCs w:val="22"/>
        </w:rPr>
        <w:br w:type="page" w:clear="all"/>
      </w:r>
      <w:r>
        <w:rPr>
          <w:rFonts w:hint="eastAsia" w:ascii="宋体" w:hAnsi="宋体"/>
          <w:b/>
          <w:sz w:val="44"/>
          <w:szCs w:val="22"/>
        </w:rPr>
        <w:t xml:space="preserve">第三章  </w:t>
      </w:r>
      <w:bookmarkStart w:id="50" w:name="投标文件格式"/>
      <w:r/>
      <w:bookmarkEnd w:id="50"/>
      <w:r>
        <w:rPr>
          <w:rFonts w:hint="eastAsia" w:ascii="宋体" w:hAnsi="宋体"/>
          <w:b/>
          <w:sz w:val="44"/>
          <w:szCs w:val="22"/>
        </w:rPr>
        <w:t xml:space="preserve">投标文件格式</w:t>
      </w:r>
      <w:bookmarkEnd w:id="47"/>
      <w:r/>
      <w:bookmarkEnd w:id="48"/>
      <w:r/>
      <w:bookmarkEnd w:id="49"/>
      <w:r/>
      <w:r/>
    </w:p>
    <w:p>
      <w:pPr>
        <w:ind w:left="0"/>
        <w:spacing w:line="440" w:lineRule="exact"/>
        <w:rPr>
          <w:rFonts w:ascii="宋体" w:hAnsi="宋体"/>
          <w:b/>
          <w:sz w:val="21"/>
          <w:szCs w:val="21"/>
        </w:rPr>
      </w:pPr>
      <w:r>
        <w:rPr>
          <w:rFonts w:ascii="宋体" w:hAnsi="宋体"/>
          <w:b/>
          <w:sz w:val="21"/>
          <w:szCs w:val="21"/>
        </w:rPr>
        <w:t xml:space="preserve">说明：</w:t>
      </w:r>
      <w:r/>
    </w:p>
    <w:p>
      <w:pPr>
        <w:pStyle w:val="1093"/>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1" w:name="_Toc105397779"/>
      <w:r/>
      <w:bookmarkStart w:id="52" w:name="_Toc3821"/>
      <w:r/>
      <w:bookmarkStart w:id="53" w:name="_Toc71810480"/>
      <w:r/>
      <w:bookmarkStart w:id="54" w:name="_Toc17036"/>
      <w:r>
        <w:rPr>
          <w:rFonts w:hint="eastAsia" w:ascii="宋体" w:hAnsi="宋体"/>
          <w:b/>
          <w:sz w:val="21"/>
          <w:szCs w:val="21"/>
        </w:rPr>
        <w:t xml:space="preserve">附件1.投标函</w:t>
      </w:r>
      <w:bookmarkEnd w:id="51"/>
      <w:r/>
      <w:bookmarkEnd w:id="52"/>
      <w:r/>
      <w:bookmarkEnd w:id="53"/>
      <w:r/>
      <w:bookmarkEnd w:id="5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5" w:name="_Toc105397780"/>
      <w:r/>
      <w:bookmarkStart w:id="56"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5"/>
      <w:r/>
      <w:bookmarkEnd w:id="56"/>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7" w:name="TBR"/>
      <w:r/>
      <w:bookmarkEnd w:id="5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8" w:name="XMBH"/>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9" w:name="FBH"/>
      <w:r/>
      <w:bookmarkEnd w:id="5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0" w:name="XMMC"/>
            <w:r/>
            <w:bookmarkEnd w:id="60"/>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1" w:name="JEXX"/>
            <w:r/>
            <w:bookmarkEnd w:id="61"/>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2" w:name="JEDX"/>
            <w:r/>
            <w:bookmarkEnd w:id="62"/>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3" w:name="NF"/>
      <w:r/>
      <w:bookmarkEnd w:id="63"/>
      <w:r>
        <w:rPr>
          <w:rFonts w:hint="eastAsia" w:ascii="宋体" w:hAnsi="宋体"/>
          <w:sz w:val="21"/>
          <w:szCs w:val="21"/>
        </w:rPr>
        <w:t xml:space="preserve"> 年 </w:t>
      </w:r>
      <w:bookmarkStart w:id="64" w:name="YF"/>
      <w:r/>
      <w:bookmarkEnd w:id="64"/>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5" w:name="RI"/>
      <w:r/>
      <w:bookmarkEnd w:id="65"/>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85"/>
        <w:rPr>
          <w:rFonts w:ascii="宋体" w:hAnsi="宋体"/>
        </w:rPr>
      </w:pPr>
      <w:r>
        <w:rPr>
          <w:rFonts w:ascii="宋体" w:hAnsi="宋体"/>
        </w:rPr>
      </w:r>
      <w:r/>
    </w:p>
    <w:p>
      <w:pPr>
        <w:ind w:left="0"/>
        <w:spacing w:line="440" w:lineRule="exact"/>
        <w:rPr>
          <w:rFonts w:ascii="宋体" w:hAnsi="宋体"/>
          <w:b/>
          <w:sz w:val="21"/>
          <w:szCs w:val="21"/>
        </w:rPr>
      </w:pPr>
      <w:r/>
      <w:bookmarkStart w:id="66" w:name="_Toc7945"/>
      <w:r/>
      <w:bookmarkStart w:id="67" w:name="_Toc241"/>
      <w:r/>
      <w:bookmarkStart w:id="68"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85"/>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9" w:name="_Toc105397781"/>
      <w:r>
        <w:rPr>
          <w:rFonts w:ascii="宋体" w:hAnsi="宋体"/>
          <w:b/>
          <w:sz w:val="21"/>
          <w:szCs w:val="21"/>
        </w:rPr>
        <w:t xml:space="preserve">附件3</w:t>
      </w:r>
      <w:bookmarkEnd w:id="66"/>
      <w:r/>
      <w:bookmarkEnd w:id="67"/>
      <w:r>
        <w:rPr>
          <w:rFonts w:hint="eastAsia" w:ascii="宋体" w:hAnsi="宋体"/>
          <w:b/>
          <w:sz w:val="21"/>
          <w:szCs w:val="21"/>
        </w:rPr>
        <w:t xml:space="preserve">.</w:t>
      </w:r>
      <w:bookmarkEnd w:id="68"/>
      <w:r/>
      <w:bookmarkEnd w:id="69"/>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70" w:name="OLE_LINK27"/>
      <w:r/>
      <w:bookmarkStart w:id="71" w:name="OLE_LINK28"/>
      <w:r>
        <w:rPr>
          <w:rFonts w:hint="eastAsia" w:ascii="宋体" w:hAnsi="宋体"/>
          <w:b/>
          <w:sz w:val="21"/>
          <w:szCs w:val="21"/>
        </w:rPr>
        <w:t xml:space="preserve">公开分项报价</w:t>
      </w:r>
      <w:bookmarkEnd w:id="70"/>
      <w:bookmarkEnd w:id="71"/>
      <w:r/>
    </w:p>
    <w:p>
      <w:pPr>
        <w:pStyle w:val="885"/>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871"/>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w:t>
      </w:r>
      <w:r>
        <w:rPr>
          <w:rFonts w:hint="eastAsia" w:ascii="宋体" w:hAnsi="宋体"/>
          <w:b/>
          <w:sz w:val="21"/>
          <w:szCs w:val="21"/>
        </w:rPr>
        <w:t xml:space="preserve">，</w:t>
      </w:r>
      <w:r>
        <w:rPr>
          <w:rFonts w:hint="eastAsia" w:ascii="宋体" w:hAnsi="宋体"/>
          <w:b/>
          <w:sz w:val="21"/>
          <w:szCs w:val="21"/>
        </w:rPr>
        <w:t xml:space="preserve">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2" w:name="_Toc71810483"/>
      <w:r/>
      <w:bookmarkStart w:id="73"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2"/>
      <w:r/>
      <w:bookmarkEnd w:id="7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85"/>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4" w:name="_Toc105397783"/>
      <w:r/>
      <w:bookmarkStart w:id="75" w:name="_Toc21574"/>
      <w:r/>
      <w:bookmarkStart w:id="76" w:name="_Toc19621"/>
      <w:r/>
      <w:bookmarkStart w:id="77"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4"/>
      <w:r/>
      <w:bookmarkEnd w:id="75"/>
      <w:r/>
      <w:bookmarkEnd w:id="76"/>
      <w:r/>
      <w:bookmarkEnd w:id="7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苏州市中医医院</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苏州市中医医院服务器</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6"/>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85"/>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5"/>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9"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0" w:name="_Toc3869"/>
      <w:r/>
      <w:bookmarkStart w:id="81" w:name="_Toc32206"/>
      <w:r/>
      <w:bookmarkStart w:id="82"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0"/>
      <w:r/>
      <w:bookmarkEnd w:id="81"/>
      <w:r/>
      <w:bookmarkEnd w:id="8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11"/>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18"/>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18"/>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8"/>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8"/>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8"/>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83" w:name="OLE_LINK15"/>
      <w:r/>
      <w:bookmarkStart w:id="84" w:name="OLE_LINK16"/>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916"/>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916"/>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6432;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2336;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8720;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8240;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923"/>
          <w:rFonts w:hint="eastAsia"/>
          <w:color w:val="333333"/>
          <w:u w:val="single"/>
        </w:rPr>
        <w:t xml:space="preserve">（产品名称</w:t>
      </w:r>
      <w:r>
        <w:rPr>
          <w:rStyle w:val="923"/>
          <w:rFonts w:hint="eastAsia"/>
          <w:color w:val="333333"/>
          <w:u w:val="single"/>
        </w:rPr>
        <w:t xml:space="preserve">1</w:t>
      </w:r>
      <w:r>
        <w:rPr>
          <w:rStyle w:val="923"/>
          <w:rFonts w:hint="eastAsia"/>
          <w:color w:val="333333"/>
          <w:u w:val="single"/>
        </w:rPr>
        <w:t xml:space="preserve">）</w:t>
      </w:r>
      <w:r>
        <w:rPr>
          <w:rStyle w:val="923"/>
          <w:rFonts w:hint="eastAsia"/>
          <w:color w:val="333333"/>
          <w:vertAlign w:val="superscript"/>
        </w:rPr>
        <w:t xml:space="preserve">1</w:t>
      </w:r>
      <w:r>
        <w:rPr>
          <w:rFonts w:hint="eastAsia"/>
          <w:color w:val="333333"/>
        </w:rPr>
        <w:t xml:space="preserve">，生产厂为</w:t>
      </w:r>
      <w:r>
        <w:rPr>
          <w:rStyle w:val="923"/>
          <w:rFonts w:hint="eastAsia"/>
          <w:color w:val="333333"/>
          <w:u w:val="single"/>
        </w:rPr>
        <w:t xml:space="preserve">（厂名）</w:t>
      </w:r>
      <w:r>
        <w:rPr>
          <w:rStyle w:val="923"/>
          <w:rFonts w:hint="eastAsia"/>
          <w:color w:val="333333"/>
          <w:vertAlign w:val="superscript"/>
        </w:rPr>
        <w:t xml:space="preserve">2</w:t>
      </w:r>
      <w:r>
        <w:rPr>
          <w:rFonts w:hint="eastAsia"/>
          <w:color w:val="333333"/>
        </w:rPr>
        <w:t xml:space="preserve">，厂址为</w:t>
      </w:r>
      <w:r>
        <w:rPr>
          <w:rStyle w:val="923"/>
          <w:rFonts w:hint="eastAsia"/>
          <w:color w:val="333333"/>
          <w:u w:val="single"/>
        </w:rPr>
        <w:t xml:space="preserve">（生产厂址）</w:t>
      </w:r>
      <w:r>
        <w:rPr>
          <w:rFonts w:hint="eastAsia"/>
          <w:color w:val="333333"/>
        </w:rPr>
        <w:t xml:space="preserve">。</w:t>
      </w:r>
      <w:r>
        <w:rPr>
          <w:rStyle w:val="923"/>
          <w:rFonts w:hint="eastAsia"/>
          <w:color w:val="333333"/>
          <w:u w:val="single"/>
        </w:rPr>
        <w:t xml:space="preserve">（产品名称</w:t>
      </w:r>
      <w:r>
        <w:rPr>
          <w:rStyle w:val="923"/>
          <w:rFonts w:hint="eastAsia"/>
          <w:color w:val="333333"/>
          <w:u w:val="single"/>
        </w:rPr>
        <w:t xml:space="preserve">1</w:t>
      </w:r>
      <w:r>
        <w:rPr>
          <w:rStyle w:val="923"/>
          <w:rFonts w:hint="eastAsia"/>
          <w:color w:val="333333"/>
          <w:u w:val="single"/>
        </w:rPr>
        <w:t xml:space="preserve">）</w:t>
      </w:r>
      <w:r>
        <w:rPr>
          <w:rFonts w:hint="eastAsia"/>
          <w:color w:val="333333"/>
        </w:rPr>
        <w:t xml:space="preserve">的中国境内生产的组件成本占比≥</w:t>
      </w:r>
      <w:r>
        <w:rPr>
          <w:rStyle w:val="923"/>
          <w:rFonts w:hint="eastAsia"/>
          <w:color w:val="333333"/>
          <w:u w:val="single"/>
        </w:rPr>
        <w:t xml:space="preserve">（规定比例）</w:t>
      </w:r>
      <w:r>
        <w:rPr>
          <w:rStyle w:val="923"/>
          <w:rFonts w:hint="eastAsia"/>
          <w:color w:val="333333"/>
          <w:vertAlign w:val="superscript"/>
        </w:rPr>
        <w:t xml:space="preserve">3</w:t>
      </w:r>
      <w:r>
        <w:rPr>
          <w:rFonts w:hint="eastAsia"/>
          <w:color w:val="333333"/>
        </w:rPr>
        <w:t xml:space="preserve">。</w:t>
      </w:r>
      <w:r>
        <w:rPr>
          <w:rStyle w:val="923"/>
          <w:rFonts w:hint="eastAsia"/>
          <w:color w:val="333333"/>
          <w:u w:val="single"/>
        </w:rPr>
        <w:t xml:space="preserve">（产品名称</w:t>
      </w:r>
      <w:r>
        <w:rPr>
          <w:rStyle w:val="923"/>
          <w:rFonts w:hint="eastAsia"/>
          <w:color w:val="333333"/>
          <w:u w:val="single"/>
        </w:rPr>
        <w:t xml:space="preserve">1</w:t>
      </w:r>
      <w:r>
        <w:rPr>
          <w:rStyle w:val="923"/>
          <w:rFonts w:hint="eastAsia"/>
          <w:color w:val="333333"/>
          <w:u w:val="single"/>
        </w:rPr>
        <w:t xml:space="preserve">）</w:t>
      </w:r>
      <w:r>
        <w:rPr>
          <w:rFonts w:hint="eastAsia"/>
          <w:color w:val="333333"/>
        </w:rPr>
        <w:t xml:space="preserve">的</w:t>
      </w:r>
      <w:r>
        <w:rPr>
          <w:rStyle w:val="923"/>
          <w:rFonts w:hint="eastAsia"/>
          <w:color w:val="333333"/>
          <w:u w:val="single"/>
        </w:rPr>
        <w:t xml:space="preserve">（关键组件）</w:t>
      </w:r>
      <w:r>
        <w:rPr>
          <w:rStyle w:val="923"/>
          <w:rFonts w:hint="eastAsia"/>
          <w:color w:val="333333"/>
          <w:vertAlign w:val="superscript"/>
        </w:rPr>
        <w:t xml:space="preserve">4</w:t>
      </w:r>
      <w:r>
        <w:rPr>
          <w:rFonts w:hint="eastAsia"/>
          <w:color w:val="333333"/>
        </w:rPr>
        <w:t xml:space="preserve">在中国境内生产。</w:t>
      </w:r>
      <w:r>
        <w:rPr>
          <w:rStyle w:val="923"/>
          <w:rFonts w:hint="eastAsia"/>
          <w:color w:val="333333"/>
          <w:u w:val="single"/>
        </w:rPr>
        <w:t xml:space="preserve">（产品名称</w:t>
      </w:r>
      <w:r>
        <w:rPr>
          <w:rStyle w:val="923"/>
          <w:rFonts w:hint="eastAsia"/>
          <w:color w:val="333333"/>
          <w:u w:val="single"/>
        </w:rPr>
        <w:t xml:space="preserve">1</w:t>
      </w:r>
      <w:r>
        <w:rPr>
          <w:rStyle w:val="923"/>
          <w:rFonts w:hint="eastAsia"/>
          <w:color w:val="333333"/>
          <w:u w:val="single"/>
        </w:rPr>
        <w:t xml:space="preserve">）</w:t>
      </w:r>
      <w:r>
        <w:rPr>
          <w:rFonts w:hint="eastAsia"/>
          <w:color w:val="333333"/>
        </w:rPr>
        <w:t xml:space="preserve">的</w:t>
      </w:r>
      <w:r>
        <w:rPr>
          <w:rStyle w:val="923"/>
          <w:rFonts w:hint="eastAsia"/>
          <w:color w:val="333333"/>
          <w:u w:val="single"/>
        </w:rPr>
        <w:t xml:space="preserve">（关键工序）</w:t>
      </w:r>
      <w:r>
        <w:rPr>
          <w:rStyle w:val="923"/>
          <w:rFonts w:hint="eastAsia"/>
          <w:color w:val="333333"/>
          <w:vertAlign w:val="superscript"/>
        </w:rPr>
        <w:t xml:space="preserve">5</w:t>
      </w:r>
      <w:r>
        <w:rPr>
          <w:rFonts w:hint="eastAsia"/>
          <w:color w:val="333333"/>
        </w:rPr>
        <w:t xml:space="preserve">在中国境内完成。</w:t>
      </w:r>
      <w:r/>
    </w:p>
    <w:p>
      <w:pPr>
        <w:pStyle w:val="916"/>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8076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6672;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462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2576;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052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8480;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923"/>
          <w:rFonts w:hint="eastAsia"/>
          <w:color w:val="333333"/>
          <w:u w:val="single"/>
        </w:rPr>
        <w:t xml:space="preserve">（产品名称</w:t>
      </w:r>
      <w:r>
        <w:rPr>
          <w:rStyle w:val="923"/>
          <w:rFonts w:hint="eastAsia"/>
          <w:color w:val="333333"/>
          <w:u w:val="single"/>
        </w:rPr>
        <w:t xml:space="preserve">2</w:t>
      </w:r>
      <w:r>
        <w:rPr>
          <w:rStyle w:val="923"/>
          <w:rFonts w:hint="eastAsia"/>
          <w:color w:val="333333"/>
          <w:u w:val="single"/>
        </w:rPr>
        <w:t xml:space="preserve">）</w:t>
      </w:r>
      <w:r>
        <w:rPr>
          <w:rFonts w:hint="eastAsia"/>
          <w:color w:val="333333"/>
        </w:rPr>
        <w:t xml:space="preserve">，生产厂为</w:t>
      </w:r>
      <w:r>
        <w:rPr>
          <w:rStyle w:val="923"/>
          <w:rFonts w:hint="eastAsia"/>
          <w:color w:val="333333"/>
          <w:u w:val="single"/>
        </w:rPr>
        <w:t xml:space="preserve">（厂名）</w:t>
      </w:r>
      <w:r>
        <w:rPr>
          <w:rFonts w:hint="eastAsia"/>
          <w:color w:val="333333"/>
        </w:rPr>
        <w:t xml:space="preserve">，厂址为</w:t>
      </w:r>
      <w:r>
        <w:rPr>
          <w:rStyle w:val="923"/>
          <w:rFonts w:hint="eastAsia"/>
          <w:color w:val="333333"/>
          <w:u w:val="single"/>
        </w:rPr>
        <w:t xml:space="preserve">（生产厂址）</w:t>
      </w:r>
      <w:r>
        <w:rPr>
          <w:rFonts w:hint="eastAsia"/>
          <w:color w:val="333333"/>
        </w:rPr>
        <w:t xml:space="preserve">。</w:t>
      </w:r>
      <w:r>
        <w:rPr>
          <w:rStyle w:val="923"/>
          <w:rFonts w:hint="eastAsia"/>
          <w:color w:val="333333"/>
          <w:u w:val="single"/>
        </w:rPr>
        <w:t xml:space="preserve">（产品名称</w:t>
      </w:r>
      <w:r>
        <w:rPr>
          <w:rStyle w:val="923"/>
          <w:rFonts w:hint="eastAsia"/>
          <w:color w:val="333333"/>
          <w:u w:val="single"/>
        </w:rPr>
        <w:t xml:space="preserve">2</w:t>
      </w:r>
      <w:r>
        <w:rPr>
          <w:rStyle w:val="923"/>
          <w:rFonts w:hint="eastAsia"/>
          <w:color w:val="333333"/>
          <w:u w:val="single"/>
        </w:rPr>
        <w:t xml:space="preserve">）</w:t>
      </w:r>
      <w:r>
        <w:rPr>
          <w:rFonts w:hint="eastAsia"/>
          <w:color w:val="333333"/>
        </w:rPr>
        <w:t xml:space="preserve">的中国境内生产的组件成本占比≥</w:t>
      </w:r>
      <w:r>
        <w:rPr>
          <w:rStyle w:val="923"/>
          <w:rFonts w:hint="eastAsia"/>
          <w:color w:val="333333"/>
          <w:u w:val="single"/>
        </w:rPr>
        <w:t xml:space="preserve">（规定比例）</w:t>
      </w:r>
      <w:r>
        <w:rPr>
          <w:rFonts w:hint="eastAsia"/>
          <w:color w:val="333333"/>
        </w:rPr>
        <w:t xml:space="preserve">。</w:t>
      </w:r>
      <w:r>
        <w:rPr>
          <w:rStyle w:val="923"/>
          <w:rFonts w:hint="eastAsia"/>
          <w:color w:val="333333"/>
          <w:u w:val="single"/>
        </w:rPr>
        <w:t xml:space="preserve">（产品名称</w:t>
      </w:r>
      <w:r>
        <w:rPr>
          <w:rStyle w:val="923"/>
          <w:rFonts w:hint="eastAsia"/>
          <w:color w:val="333333"/>
          <w:u w:val="single"/>
        </w:rPr>
        <w:t xml:space="preserve">2</w:t>
      </w:r>
      <w:r>
        <w:rPr>
          <w:rStyle w:val="923"/>
          <w:rFonts w:hint="eastAsia"/>
          <w:color w:val="333333"/>
          <w:u w:val="single"/>
        </w:rPr>
        <w:t xml:space="preserve">）</w:t>
      </w:r>
      <w:r>
        <w:rPr>
          <w:rFonts w:hint="eastAsia"/>
          <w:color w:val="333333"/>
        </w:rPr>
        <w:t xml:space="preserve">的</w:t>
      </w:r>
      <w:r>
        <w:rPr>
          <w:rStyle w:val="923"/>
          <w:rFonts w:hint="eastAsia"/>
          <w:color w:val="333333"/>
          <w:u w:val="single"/>
        </w:rPr>
        <w:t xml:space="preserve">（关键组件）</w:t>
      </w:r>
      <w:r>
        <w:rPr>
          <w:rFonts w:hint="eastAsia"/>
          <w:color w:val="333333"/>
        </w:rPr>
        <w:t xml:space="preserve">在中国境内生产。</w:t>
      </w:r>
      <w:r>
        <w:rPr>
          <w:rStyle w:val="923"/>
          <w:rFonts w:hint="eastAsia"/>
          <w:color w:val="333333"/>
          <w:u w:val="single"/>
        </w:rPr>
        <w:t xml:space="preserve">（产品名称</w:t>
      </w:r>
      <w:r>
        <w:rPr>
          <w:rStyle w:val="923"/>
          <w:rFonts w:hint="eastAsia"/>
          <w:color w:val="333333"/>
          <w:u w:val="single"/>
        </w:rPr>
        <w:t xml:space="preserve">2</w:t>
      </w:r>
      <w:r>
        <w:rPr>
          <w:rStyle w:val="923"/>
          <w:rFonts w:hint="eastAsia"/>
          <w:color w:val="333333"/>
          <w:u w:val="single"/>
        </w:rPr>
        <w:t xml:space="preserve">）</w:t>
      </w:r>
      <w:r>
        <w:rPr>
          <w:rFonts w:hint="eastAsia"/>
          <w:color w:val="333333"/>
        </w:rPr>
        <w:t xml:space="preserve">的</w:t>
      </w:r>
      <w:r>
        <w:rPr>
          <w:rStyle w:val="923"/>
          <w:rFonts w:hint="eastAsia"/>
          <w:color w:val="333333"/>
          <w:u w:val="single"/>
        </w:rPr>
        <w:t xml:space="preserve">（关键工序）</w:t>
      </w:r>
      <w:r>
        <w:rPr>
          <w:rFonts w:hint="eastAsia"/>
          <w:color w:val="333333"/>
        </w:rPr>
        <w:t xml:space="preserve">在中国境内完成。</w:t>
      </w:r>
      <w:r/>
    </w:p>
    <w:p>
      <w:pPr>
        <w:pStyle w:val="916"/>
        <w:ind w:firstLine="480"/>
        <w:spacing w:before="30" w:after="30"/>
        <w:shd w:val="clear" w:color="auto" w:fill="ffffff"/>
        <w:rPr>
          <w:color w:val="333333"/>
        </w:rPr>
      </w:pPr>
      <w:r>
        <w:rPr>
          <w:rFonts w:hint="eastAsia"/>
          <w:color w:val="333333"/>
        </w:rPr>
        <w:t xml:space="preserve">……</w:t>
      </w:r>
      <w:r/>
    </w:p>
    <w:p>
      <w:pPr>
        <w:pStyle w:val="916"/>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916"/>
        <w:spacing w:before="30" w:after="30"/>
        <w:shd w:val="clear" w:color="auto" w:fill="ffffff"/>
        <w:rPr>
          <w:color w:val="333333"/>
        </w:rPr>
      </w:pPr>
      <w:r>
        <w:rPr>
          <w:color w:val="333333"/>
        </w:rPr>
      </w:r>
      <w:r/>
    </w:p>
    <w:p>
      <w:pPr>
        <w:pStyle w:val="916"/>
        <w:ind w:right="815"/>
        <w:jc w:val="center"/>
        <w:spacing w:before="30" w:after="30"/>
        <w:shd w:val="clear" w:color="auto" w:fill="ffffff"/>
        <w:rPr>
          <w:color w:val="333333"/>
        </w:rPr>
      </w:pPr>
      <w:r>
        <w:rPr>
          <w:rFonts w:hint="eastAsia"/>
          <w:color w:val="333333"/>
        </w:rPr>
        <w:t xml:space="preserve">公司（单位）名称（盖章）：</w:t>
      </w:r>
      <w:r/>
    </w:p>
    <w:p>
      <w:pPr>
        <w:pStyle w:val="916"/>
        <w:ind w:left="0" w:right="815" w:firstLine="5400"/>
        <w:spacing w:before="0" w:after="0"/>
        <w:shd w:val="clear" w:color="auto" w:fill="ffffff"/>
        <w:rPr>
          <w:color w:val="333333"/>
        </w:rPr>
      </w:pP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916"/>
        <w:jc w:val="right"/>
        <w:spacing w:before="0" w:after="0"/>
        <w:shd w:val="clear" w:color="auto" w:fill="ffffff"/>
        <w:rPr>
          <w:color w:val="333333"/>
        </w:rPr>
      </w:pPr>
      <w:r>
        <w:rPr>
          <w:color w:val="333333"/>
        </w:rPr>
      </w:r>
      <w:r/>
    </w:p>
    <w:p>
      <w:pPr>
        <w:pStyle w:val="916"/>
        <w:jc w:val="right"/>
        <w:spacing w:before="0" w:after="0"/>
        <w:shd w:val="clear" w:color="auto" w:fill="ffffff"/>
        <w:rPr>
          <w:color w:val="333333"/>
        </w:rPr>
      </w:pPr>
      <w:r>
        <w:rPr>
          <w:color w:val="333333"/>
        </w:rPr>
      </w:r>
      <w:r/>
    </w:p>
    <w:p>
      <w:pPr>
        <w:pStyle w:val="916"/>
        <w:jc w:val="right"/>
        <w:spacing w:before="0" w:after="0"/>
        <w:shd w:val="clear" w:color="auto" w:fill="ffffff"/>
        <w:rPr>
          <w:color w:val="333333"/>
        </w:rPr>
      </w:pPr>
      <w:r>
        <w:rPr>
          <w:color w:val="333333"/>
        </w:rPr>
      </w:r>
      <w:r/>
    </w:p>
    <w:p>
      <w:pPr>
        <w:pStyle w:val="916"/>
        <w:jc w:val="right"/>
        <w:spacing w:before="0" w:after="0"/>
        <w:shd w:val="clear" w:color="auto" w:fill="ffffff"/>
        <w:rPr>
          <w:color w:val="333333"/>
        </w:rPr>
      </w:pPr>
      <w:r>
        <w:rPr>
          <w:color w:val="333333"/>
        </w:rPr>
      </w:r>
      <w:r/>
    </w:p>
    <w:p>
      <w:pPr>
        <w:pStyle w:val="916"/>
        <w:ind w:left="0" w:firstLine="0"/>
        <w:spacing w:before="30" w:after="30"/>
        <w:shd w:val="clear" w:color="auto" w:fill="ffffff"/>
        <w:rPr>
          <w:color w:val="333333"/>
        </w:rPr>
      </w:pPr>
      <w:r>
        <w:rPr>
          <w:rFonts w:hint="eastAsia"/>
          <w:color w:val="333333"/>
        </w:rPr>
        <w:t xml:space="preserve">__________________</w:t>
      </w:r>
      <w:r/>
    </w:p>
    <w:p>
      <w:pPr>
        <w:pStyle w:val="916"/>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916"/>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916"/>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916"/>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916"/>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916"/>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bookmarkEnd w:id="83"/>
      <w:bookmarkEnd w:id="84"/>
      <w:r/>
    </w:p>
    <w:p>
      <w:pPr>
        <w:ind w:left="0"/>
        <w:jc w:val="left"/>
        <w:rPr>
          <w:rFonts w:ascii="宋体" w:hAnsi="宋体"/>
          <w:sz w:val="21"/>
          <w:szCs w:val="21"/>
        </w:rPr>
        <w:outlineLvl w:val="0"/>
      </w:pPr>
      <w:r>
        <w:rPr>
          <w:rFonts w:ascii="宋体" w:hAnsi="宋体"/>
          <w:sz w:val="21"/>
          <w:szCs w:val="21"/>
          <w:lang w:val="zh-CN"/>
        </w:rPr>
        <w:br w:type="page" w:clear="all"/>
      </w:r>
      <w:bookmarkStart w:id="85" w:name="_Toc31973"/>
      <w:r/>
      <w:bookmarkStart w:id="86" w:name="_Toc27138"/>
      <w:r/>
      <w:r/>
    </w:p>
    <w:p>
      <w:pPr>
        <w:ind w:left="0"/>
        <w:jc w:val="left"/>
        <w:rPr>
          <w:rFonts w:ascii="宋体" w:hAnsi="宋体"/>
          <w:b/>
          <w:sz w:val="21"/>
          <w:szCs w:val="21"/>
        </w:rPr>
        <w:outlineLvl w:val="0"/>
      </w:pPr>
      <w:r/>
      <w:bookmarkStart w:id="87" w:name="_Toc105397786"/>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87"/>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8" w:name="_Toc105397787"/>
      <w:r/>
      <w:bookmarkStart w:id="89" w:name="_Toc71810489"/>
      <w:r>
        <w:rPr>
          <w:rFonts w:ascii="宋体" w:hAnsi="宋体"/>
          <w:b/>
          <w:sz w:val="21"/>
          <w:szCs w:val="21"/>
        </w:rPr>
        <w:br w:type="page" w:clear="all"/>
      </w:r>
      <w:r>
        <w:rPr>
          <w:rFonts w:ascii="宋体" w:hAnsi="宋体"/>
          <w:b/>
          <w:sz w:val="21"/>
          <w:szCs w:val="21"/>
        </w:rPr>
        <w:t xml:space="preserve">附件1</w:t>
      </w:r>
      <w:r>
        <w:rPr>
          <w:rFonts w:ascii="宋体" w:hAnsi="宋体"/>
          <w:b/>
          <w:sz w:val="21"/>
          <w:szCs w:val="21"/>
        </w:rPr>
        <w:t xml:space="preserve">0</w:t>
      </w:r>
      <w:r>
        <w:rPr>
          <w:rFonts w:hint="eastAsia" w:ascii="宋体" w:hAnsi="宋体"/>
          <w:b/>
          <w:sz w:val="21"/>
          <w:szCs w:val="21"/>
        </w:rPr>
        <w:t xml:space="preserve">.相关业绩一览表</w:t>
      </w:r>
      <w:bookmarkEnd w:id="88"/>
      <w:r/>
      <w:bookmarkEnd w:id="8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5"/>
        <w:rPr>
          <w:rFonts w:ascii="宋体" w:hAnsi="宋体"/>
        </w:rPr>
      </w:pPr>
      <w:r>
        <w:rPr>
          <w:rFonts w:ascii="宋体" w:hAnsi="宋体"/>
        </w:rPr>
      </w:r>
      <w:r/>
    </w:p>
    <w:p>
      <w:r/>
      <w:r/>
    </w:p>
    <w:p>
      <w:pPr>
        <w:pStyle w:val="871"/>
      </w:pPr>
      <w:r/>
      <w:r/>
    </w:p>
    <w:p>
      <w:r/>
      <w:r/>
    </w:p>
    <w:p>
      <w:pPr>
        <w:pStyle w:val="871"/>
      </w:pPr>
      <w:r/>
      <w:r/>
    </w:p>
    <w:p>
      <w:r/>
      <w:r/>
    </w:p>
    <w:p>
      <w:pPr>
        <w:pStyle w:val="871"/>
      </w:pPr>
      <w:r/>
      <w:r/>
    </w:p>
    <w:p>
      <w:pPr>
        <w:pStyle w:val="871"/>
      </w:pPr>
      <w:r/>
      <w:r/>
    </w:p>
    <w:p>
      <w:pPr>
        <w:pStyle w:val="87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90" w:name="_Toc71810490"/>
      <w:r/>
      <w:bookmarkEnd w:id="85"/>
      <w:r/>
      <w:bookmarkEnd w:id="86"/>
      <w:r>
        <w:rPr>
          <w:rFonts w:ascii="宋体" w:hAnsi="宋体"/>
        </w:rPr>
        <w:t xml:space="preserve"> </w:t>
      </w:r>
      <w:r/>
    </w:p>
    <w:p>
      <w:pPr>
        <w:pStyle w:val="87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1" w:name="_Toc105397789"/>
      <w:r>
        <w:rPr>
          <w:rFonts w:ascii="宋体" w:hAnsi="宋体"/>
          <w:b/>
          <w:sz w:val="21"/>
          <w:szCs w:val="21"/>
        </w:rPr>
        <w:t xml:space="preserve">附件1</w:t>
      </w:r>
      <w:r>
        <w:rPr>
          <w:rFonts w:ascii="宋体" w:hAnsi="宋体"/>
          <w:b/>
          <w:sz w:val="21"/>
          <w:szCs w:val="21"/>
        </w:rPr>
        <w:t xml:space="preserve">1</w:t>
      </w:r>
      <w:r>
        <w:rPr>
          <w:rFonts w:hint="eastAsia" w:ascii="宋体" w:hAnsi="宋体"/>
          <w:b/>
          <w:sz w:val="21"/>
          <w:szCs w:val="21"/>
        </w:rPr>
        <w:t xml:space="preserve">.</w:t>
      </w:r>
      <w:r>
        <w:rPr>
          <w:rFonts w:ascii="宋体" w:hAnsi="宋体"/>
          <w:b/>
          <w:sz w:val="21"/>
          <w:szCs w:val="21"/>
        </w:rPr>
        <w:t xml:space="preserve">关于资格文件的声明函</w:t>
      </w:r>
      <w:bookmarkEnd w:id="90"/>
      <w:r/>
      <w:bookmarkEnd w:id="9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71"/>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92" w:name="OLE_LINK7"/>
      <w:r/>
      <w:bookmarkStart w:id="93"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94"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94"/>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92"/>
      <w:bookmarkEnd w:id="93"/>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71"/>
        <w:rPr>
          <w:lang w:val="zh-CN"/>
        </w:rPr>
      </w:pPr>
      <w:r>
        <w:rPr>
          <w:lang w:val="zh-CN"/>
        </w:rPr>
      </w:r>
      <w:r/>
    </w:p>
    <w:p>
      <w:pPr>
        <w:rPr>
          <w:lang w:val="zh-CN"/>
        </w:rPr>
      </w:pPr>
      <w:r>
        <w:rPr>
          <w:lang w:val="zh-CN"/>
        </w:rPr>
      </w:r>
      <w:r/>
    </w:p>
    <w:p>
      <w:pPr>
        <w:pStyle w:val="859"/>
        <w:ind w:left="0" w:firstLine="0"/>
        <w:jc w:val="center"/>
        <w:rPr>
          <w:rFonts w:ascii="宋体" w:hAnsi="宋体"/>
          <w:b/>
          <w:sz w:val="44"/>
          <w:szCs w:val="22"/>
        </w:rPr>
      </w:pPr>
      <w:r/>
      <w:bookmarkStart w:id="95" w:name="_Toc105397793"/>
      <w:r/>
      <w:bookmarkStart w:id="96" w:name="_Toc4098"/>
      <w:r/>
      <w:bookmarkStart w:id="97" w:name="_Toc23660"/>
      <w:r>
        <w:rPr>
          <w:rFonts w:hint="eastAsia" w:ascii="宋体" w:hAnsi="宋体"/>
          <w:b/>
          <w:sz w:val="44"/>
          <w:szCs w:val="22"/>
        </w:rPr>
        <w:t xml:space="preserve">第四章  </w:t>
      </w:r>
      <w:bookmarkStart w:id="98" w:name="招标书"/>
      <w:r/>
      <w:bookmarkEnd w:id="98"/>
      <w:r>
        <w:rPr>
          <w:rFonts w:hint="eastAsia" w:ascii="宋体" w:hAnsi="宋体"/>
          <w:b/>
          <w:sz w:val="44"/>
          <w:szCs w:val="22"/>
        </w:rPr>
        <w:t xml:space="preserve">招标书</w:t>
      </w:r>
      <w:bookmarkEnd w:id="95"/>
      <w:r/>
      <w:bookmarkEnd w:id="96"/>
      <w:r/>
      <w:bookmarkEnd w:id="97"/>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苏州市中医医院</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苏州市中医医院服务器</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JSZC-320500-JZCG-G2026-0063</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苏州市中医医院服务器</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人民币壹佰零伍万玖仟元整（¥</w:t>
      </w:r>
      <w:r>
        <w:rPr>
          <w:rFonts w:ascii="宋体" w:hAnsi="宋体"/>
          <w:sz w:val="21"/>
          <w:szCs w:val="21"/>
        </w:rPr>
        <w:t xml:space="preserve">1059000.00</w:t>
      </w:r>
      <w:r>
        <w:rPr>
          <w:rFonts w:hint="eastAsia" w:ascii="宋体" w:hAnsi="宋体"/>
          <w:sz w:val="21"/>
          <w:szCs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人民币壹佰零伍万玖仟元整（¥</w:t>
      </w:r>
      <w:r>
        <w:rPr>
          <w:rFonts w:ascii="宋体" w:hAnsi="宋体"/>
          <w:sz w:val="21"/>
          <w:szCs w:val="21"/>
        </w:rPr>
        <w:t xml:space="preserve">1059000.00</w:t>
      </w:r>
      <w:r>
        <w:rPr>
          <w:rFonts w:hint="eastAsia" w:ascii="宋体" w:hAnsi="宋体"/>
          <w:sz w:val="21"/>
          <w:szCs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rPr>
        <w:t xml:space="preserve">五、合同履行期限：</w:t>
      </w:r>
      <w:r>
        <w:rPr>
          <w:rFonts w:hint="eastAsia" w:ascii="宋体" w:hAnsi="宋体"/>
          <w:sz w:val="21"/>
        </w:rPr>
        <w:t xml:space="preserve">在合同生效接甲方进场通知后，30天内完成供货及安装调试。</w:t>
      </w:r>
      <w:r>
        <w:rPr>
          <w:rFonts w:hint="eastAsia" w:ascii="宋体" w:hAnsi="宋体"/>
          <w:sz w:val="21"/>
        </w:rPr>
        <w:t xml:space="preserve">质保5年（其中原厂质保不少于3年）。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rPr>
          <w:rFonts w:ascii="宋体" w:hAnsi="宋体"/>
          <w:sz w:val="21"/>
        </w:rPr>
        <w:t xml:space="preserve"> </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（一）项目背景</w:t>
      </w:r>
      <w:r/>
    </w:p>
    <w:p>
      <w:pPr>
        <w:ind w:left="0" w:firstLine="420"/>
        <w:spacing w:line="360" w:lineRule="auto"/>
        <w:tabs>
          <w:tab w:val="left" w:pos="0" w:leader="none"/>
        </w:tabs>
        <w:rPr>
          <w:rFonts w:ascii="宋体" w:hAnsi="宋体"/>
          <w:sz w:val="21"/>
        </w:rPr>
      </w:pPr>
      <w:r>
        <w:rPr>
          <w:rFonts w:hint="eastAsia" w:ascii="宋体" w:hAnsi="宋体"/>
          <w:sz w:val="21"/>
        </w:rPr>
        <w:t xml:space="preserve">本院HIS系统的硬件服务器，采购</w:t>
      </w:r>
      <w:r>
        <w:rPr>
          <w:rFonts w:hint="eastAsia" w:ascii="宋体" w:hAnsi="宋体"/>
          <w:sz w:val="21"/>
        </w:rPr>
        <w:t xml:space="preserve">于</w:t>
      </w:r>
      <w:r>
        <w:rPr>
          <w:rFonts w:hint="eastAsia" w:ascii="宋体" w:hAnsi="宋体"/>
          <w:sz w:val="21"/>
        </w:rPr>
        <w:t xml:space="preserve">2020年，使用已接近6年，同时随着医疗技术的不断发展和医疗需求的日益增长，以及信息化技术可靠性、安全性等相关要求，HIS系统作为医疗体系的重要组成部分，正面临着</w:t>
      </w:r>
      <w:r>
        <w:rPr>
          <w:rFonts w:hint="eastAsia" w:ascii="宋体" w:hAnsi="宋体"/>
          <w:sz w:val="21"/>
        </w:rPr>
        <w:t xml:space="preserve">国产</w:t>
      </w:r>
      <w:r>
        <w:rPr>
          <w:rFonts w:hint="eastAsia" w:ascii="宋体" w:hAnsi="宋体"/>
          <w:sz w:val="21"/>
        </w:rPr>
        <w:t xml:space="preserve">信息化建设的迫切需求，本院计划2026年业务系统并入西苑医院，借此契机，对HIS业务系统进行</w:t>
      </w:r>
      <w:r>
        <w:rPr>
          <w:rFonts w:hint="eastAsia" w:ascii="宋体" w:hAnsi="宋体"/>
          <w:sz w:val="21"/>
        </w:rPr>
        <w:t xml:space="preserve">国产化</w:t>
      </w:r>
      <w:r>
        <w:rPr>
          <w:rFonts w:hint="eastAsia" w:ascii="宋体" w:hAnsi="宋体"/>
          <w:sz w:val="21"/>
        </w:rPr>
        <w:t xml:space="preserve">改造。</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（二）采购清单</w:t>
      </w:r>
      <w:r/>
    </w:p>
    <w:tbl>
      <w:tblPr>
        <w:tblStyle w:val="1277"/>
        <w:tblW w:w="5000" w:type="pct"/>
        <w:jc w:val="center"/>
        <w:tblLook w:val="04A0" w:firstRow="1" w:lastRow="0" w:firstColumn="1" w:lastColumn="0" w:noHBand="0" w:noVBand="1"/>
      </w:tblPr>
      <w:tblGrid>
        <w:gridCol w:w="632"/>
        <w:gridCol w:w="1289"/>
        <w:gridCol w:w="6090"/>
        <w:gridCol w:w="737"/>
        <w:gridCol w:w="1106"/>
      </w:tblGrid>
      <w:tr>
        <w:trPr>
          <w:jc w:val="center"/>
        </w:trPr>
        <w:tc>
          <w:tcPr>
            <w:tcW w:w="320" w:type="pct"/>
            <w:vAlign w:val="center"/>
            <w:textDirection w:val="lrTb"/>
            <w:noWrap w:val="false"/>
          </w:tcPr>
          <w:p>
            <w:pPr>
              <w:ind w:left="0"/>
              <w:jc w:val="center"/>
              <w:spacing w:line="360" w:lineRule="auto"/>
              <w:tabs>
                <w:tab w:val="left" w:pos="420" w:leader="none"/>
              </w:tabs>
              <w:rPr>
                <w:rFonts w:ascii="宋体" w:hAnsi="宋体" w:eastAsia="宋体"/>
                <w:b/>
                <w:sz w:val="21"/>
                <w:szCs w:val="21"/>
              </w:rPr>
            </w:pPr>
            <w:r>
              <w:rPr>
                <w:rFonts w:hint="eastAsia" w:ascii="宋体" w:hAnsi="宋体" w:eastAsia="宋体"/>
                <w:b/>
                <w:sz w:val="21"/>
                <w:szCs w:val="21"/>
              </w:rPr>
              <w:t xml:space="preserve">序号</w:t>
            </w:r>
            <w:r/>
          </w:p>
        </w:tc>
        <w:tc>
          <w:tcPr>
            <w:tcW w:w="654" w:type="pct"/>
            <w:vAlign w:val="center"/>
            <w:textDirection w:val="lrTb"/>
            <w:noWrap w:val="false"/>
          </w:tcPr>
          <w:p>
            <w:pPr>
              <w:ind w:left="0"/>
              <w:jc w:val="center"/>
              <w:spacing w:line="360" w:lineRule="auto"/>
              <w:tabs>
                <w:tab w:val="left" w:pos="420" w:leader="none"/>
              </w:tabs>
              <w:rPr>
                <w:rFonts w:ascii="宋体" w:hAnsi="宋体" w:eastAsia="宋体"/>
                <w:b/>
                <w:sz w:val="21"/>
                <w:szCs w:val="21"/>
              </w:rPr>
            </w:pPr>
            <w:r>
              <w:rPr>
                <w:rFonts w:hint="eastAsia" w:ascii="宋体" w:hAnsi="宋体" w:eastAsia="宋体"/>
                <w:b/>
                <w:sz w:val="21"/>
                <w:szCs w:val="21"/>
              </w:rPr>
              <w:t xml:space="preserve">设备名称</w:t>
            </w:r>
            <w:r/>
          </w:p>
        </w:tc>
        <w:tc>
          <w:tcPr>
            <w:tcW w:w="3088" w:type="pct"/>
            <w:vAlign w:val="center"/>
            <w:textDirection w:val="lrTb"/>
            <w:noWrap w:val="false"/>
          </w:tcPr>
          <w:p>
            <w:pPr>
              <w:ind w:left="0"/>
              <w:jc w:val="center"/>
              <w:widowControl w:val="off"/>
              <w:rPr>
                <w:rFonts w:ascii="宋体" w:hAnsi="宋体" w:eastAsia="宋体"/>
                <w:b/>
                <w:sz w:val="21"/>
                <w:szCs w:val="21"/>
              </w:rPr>
            </w:pPr>
            <w:r>
              <w:rPr>
                <w:rFonts w:hint="eastAsia" w:ascii="宋体" w:hAnsi="宋体" w:eastAsia="宋体"/>
                <w:b/>
                <w:sz w:val="21"/>
                <w:szCs w:val="21"/>
              </w:rPr>
              <w:t xml:space="preserve">总体要求</w:t>
            </w:r>
            <w:r/>
          </w:p>
        </w:tc>
        <w:tc>
          <w:tcPr>
            <w:tcW w:w="374" w:type="pct"/>
            <w:vAlign w:val="center"/>
            <w:textDirection w:val="lrTb"/>
            <w:noWrap w:val="false"/>
          </w:tcPr>
          <w:p>
            <w:pPr>
              <w:ind w:left="0"/>
              <w:jc w:val="center"/>
              <w:widowControl w:val="off"/>
              <w:rPr>
                <w:rFonts w:ascii="宋体" w:hAnsi="宋体" w:eastAsia="宋体"/>
                <w:b/>
                <w:sz w:val="21"/>
                <w:szCs w:val="21"/>
              </w:rPr>
            </w:pPr>
            <w:r>
              <w:rPr>
                <w:rFonts w:hint="eastAsia" w:ascii="宋体" w:hAnsi="宋体" w:eastAsia="宋体"/>
                <w:b/>
                <w:sz w:val="21"/>
                <w:szCs w:val="21"/>
              </w:rPr>
              <w:t xml:space="preserve">数量</w:t>
            </w:r>
            <w:r/>
          </w:p>
        </w:tc>
        <w:tc>
          <w:tcPr>
            <w:tcW w:w="561" w:type="pct"/>
            <w:vAlign w:val="center"/>
            <w:textDirection w:val="lrTb"/>
            <w:noWrap w:val="false"/>
          </w:tcPr>
          <w:p>
            <w:pPr>
              <w:ind w:left="0"/>
              <w:jc w:val="center"/>
              <w:widowControl w:val="off"/>
              <w:rPr>
                <w:rFonts w:ascii="宋体" w:hAnsi="宋体" w:eastAsia="宋体"/>
                <w:b/>
                <w:sz w:val="21"/>
                <w:szCs w:val="21"/>
              </w:rPr>
            </w:pPr>
            <w:r>
              <w:rPr>
                <w:rFonts w:hint="eastAsia" w:ascii="宋体" w:hAnsi="宋体" w:eastAsia="宋体"/>
                <w:b/>
                <w:sz w:val="21"/>
                <w:szCs w:val="21"/>
              </w:rPr>
              <w:t xml:space="preserve">单位</w:t>
            </w:r>
            <w:r/>
          </w:p>
        </w:tc>
      </w:tr>
      <w:tr>
        <w:trPr>
          <w:jc w:val="center"/>
        </w:trPr>
        <w:tc>
          <w:tcPr>
            <w:tcW w:w="320" w:type="pct"/>
            <w:vAlign w:val="center"/>
            <w:textDirection w:val="lrTb"/>
            <w:noWrap w:val="false"/>
          </w:tcPr>
          <w:p>
            <w:pPr>
              <w:ind w:left="0"/>
              <w:jc w:val="center"/>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1</w:t>
            </w:r>
            <w:r/>
          </w:p>
        </w:tc>
        <w:tc>
          <w:tcPr>
            <w:tcW w:w="654" w:type="pct"/>
            <w:vAlign w:val="center"/>
            <w:textDirection w:val="lrTb"/>
            <w:noWrap w:val="false"/>
          </w:tcPr>
          <w:p>
            <w:pPr>
              <w:ind w:left="0"/>
              <w:jc w:val="center"/>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HIS服务器</w:t>
            </w:r>
            <w:r/>
          </w:p>
        </w:tc>
        <w:tc>
          <w:tcPr>
            <w:tcW w:w="3088" w:type="pct"/>
            <w:vAlign w:val="center"/>
            <w:textDirection w:val="lrTb"/>
            <w:noWrap w:val="false"/>
          </w:tcPr>
          <w:p>
            <w:pPr>
              <w:ind w:left="0"/>
              <w:jc w:val="left"/>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ARM </w:t>
            </w:r>
            <w:r>
              <w:rPr>
                <w:rFonts w:hint="eastAsia" w:ascii="宋体" w:hAnsi="宋体" w:eastAsia="宋体"/>
                <w:sz w:val="21"/>
                <w:szCs w:val="21"/>
              </w:rPr>
              <w:t xml:space="preserve">架构4路服务器，配置4颗CPU，每</w:t>
            </w:r>
            <w:r>
              <w:rPr>
                <w:rFonts w:hint="eastAsia" w:ascii="宋体" w:hAnsi="宋体"/>
                <w:sz w:val="21"/>
                <w:szCs w:val="21"/>
              </w:rPr>
              <w:t xml:space="preserve">颗</w:t>
            </w:r>
            <w:r>
              <w:rPr>
                <w:rFonts w:hint="eastAsia" w:ascii="宋体" w:hAnsi="宋体"/>
                <w:sz w:val="21"/>
                <w:szCs w:val="21"/>
              </w:rPr>
              <w:t xml:space="preserve">CPU</w:t>
            </w:r>
            <w:r>
              <w:rPr>
                <w:rFonts w:hint="eastAsia" w:ascii="宋体" w:hAnsi="宋体"/>
                <w:sz w:val="21"/>
                <w:szCs w:val="21"/>
              </w:rPr>
              <w:t xml:space="preserve">核心数</w:t>
            </w:r>
            <w:r>
              <w:rPr>
                <w:rFonts w:hint="eastAsia" w:ascii="宋体" w:hAnsi="宋体" w:eastAsia="宋体"/>
                <w:sz w:val="21"/>
                <w:szCs w:val="21"/>
              </w:rPr>
              <w:t xml:space="preserve">≥48C</w:t>
            </w:r>
            <w:r/>
          </w:p>
          <w:p>
            <w:pPr>
              <w:ind w:left="0"/>
              <w:jc w:val="left"/>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内存≥1T</w:t>
            </w:r>
            <w:r/>
          </w:p>
          <w:p>
            <w:pPr>
              <w:ind w:left="0"/>
              <w:jc w:val="left"/>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硬盘可用容量≥960G</w:t>
            </w:r>
            <w:r>
              <w:rPr>
                <w:rFonts w:ascii="宋体" w:hAnsi="宋体" w:eastAsia="宋体"/>
                <w:sz w:val="21"/>
                <w:szCs w:val="21"/>
              </w:rPr>
              <w:t xml:space="preserve">B</w:t>
            </w:r>
            <w:r/>
          </w:p>
          <w:p>
            <w:pPr>
              <w:ind w:left="0"/>
              <w:jc w:val="left"/>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≥4个万兆网卡，≥2个Fc</w:t>
            </w:r>
            <w:r/>
          </w:p>
          <w:p>
            <w:pPr>
              <w:ind w:left="0"/>
              <w:jc w:val="left"/>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≥2个冗余电源</w:t>
            </w:r>
            <w:r/>
          </w:p>
          <w:p>
            <w:pPr>
              <w:ind w:left="0"/>
              <w:jc w:val="left"/>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不少于3年原厂保修</w:t>
            </w:r>
            <w:r/>
          </w:p>
        </w:tc>
        <w:tc>
          <w:tcPr>
            <w:tcW w:w="374" w:type="pct"/>
            <w:vAlign w:val="center"/>
            <w:textDirection w:val="lrTb"/>
            <w:noWrap w:val="false"/>
          </w:tcPr>
          <w:p>
            <w:pPr>
              <w:ind w:left="0"/>
              <w:jc w:val="center"/>
              <w:widowControl w:val="off"/>
              <w:rPr>
                <w:rFonts w:ascii="宋体" w:hAnsi="宋体" w:eastAsia="宋体"/>
                <w:sz w:val="21"/>
                <w:szCs w:val="21"/>
              </w:rPr>
            </w:pPr>
            <w:r>
              <w:rPr>
                <w:rFonts w:hint="eastAsia" w:ascii="宋体" w:hAnsi="宋体" w:eastAsia="宋体"/>
                <w:sz w:val="21"/>
                <w:szCs w:val="21"/>
              </w:rPr>
              <w:t xml:space="preserve">3</w:t>
            </w:r>
            <w:r/>
          </w:p>
        </w:tc>
        <w:tc>
          <w:tcPr>
            <w:tcW w:w="561" w:type="pct"/>
            <w:vAlign w:val="center"/>
            <w:textDirection w:val="lrTb"/>
            <w:noWrap w:val="false"/>
          </w:tcPr>
          <w:p>
            <w:pPr>
              <w:ind w:left="0"/>
              <w:jc w:val="center"/>
              <w:widowControl w:val="off"/>
              <w:rPr>
                <w:rFonts w:ascii="宋体" w:hAnsi="宋体" w:eastAsia="宋体"/>
                <w:sz w:val="21"/>
                <w:szCs w:val="21"/>
              </w:rPr>
            </w:pPr>
            <w:r>
              <w:rPr>
                <w:rFonts w:hint="eastAsia" w:ascii="宋体" w:hAnsi="宋体" w:eastAsia="宋体"/>
                <w:sz w:val="21"/>
                <w:szCs w:val="21"/>
              </w:rPr>
              <w:t xml:space="preserve">台</w:t>
            </w:r>
            <w:r/>
          </w:p>
        </w:tc>
      </w:tr>
      <w:tr>
        <w:trPr>
          <w:jc w:val="center"/>
        </w:trPr>
        <w:tc>
          <w:tcPr>
            <w:tcW w:w="320" w:type="pct"/>
            <w:vAlign w:val="center"/>
            <w:textDirection w:val="lrTb"/>
            <w:noWrap w:val="false"/>
          </w:tcPr>
          <w:p>
            <w:pPr>
              <w:ind w:left="0"/>
              <w:jc w:val="center"/>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3</w:t>
            </w:r>
            <w:r/>
          </w:p>
        </w:tc>
        <w:tc>
          <w:tcPr>
            <w:tcW w:w="654" w:type="pct"/>
            <w:vAlign w:val="center"/>
            <w:textDirection w:val="lrTb"/>
            <w:noWrap w:val="false"/>
          </w:tcPr>
          <w:p>
            <w:pPr>
              <w:ind w:left="0"/>
              <w:jc w:val="center"/>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集成服务</w:t>
            </w:r>
            <w:r/>
          </w:p>
        </w:tc>
        <w:tc>
          <w:tcPr>
            <w:tcW w:w="3088" w:type="pct"/>
            <w:vAlign w:val="center"/>
            <w:textDirection w:val="lrTb"/>
            <w:noWrap w:val="false"/>
          </w:tcPr>
          <w:p>
            <w:pPr>
              <w:ind w:left="0"/>
              <w:jc w:val="left"/>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提供项目集成，配合软件公司搭建业务所需要的操作系统、数据库等，项目结束后提供专业运维服务。</w:t>
            </w:r>
            <w:r/>
          </w:p>
        </w:tc>
        <w:tc>
          <w:tcPr>
            <w:tcW w:w="374" w:type="pct"/>
            <w:vAlign w:val="center"/>
            <w:textDirection w:val="lrTb"/>
            <w:noWrap w:val="false"/>
          </w:tcPr>
          <w:p>
            <w:pPr>
              <w:ind w:left="0"/>
              <w:jc w:val="center"/>
              <w:widowControl w:val="off"/>
              <w:rPr>
                <w:rFonts w:ascii="宋体" w:hAnsi="宋体" w:eastAsia="宋体"/>
                <w:sz w:val="21"/>
                <w:szCs w:val="21"/>
              </w:rPr>
            </w:pPr>
            <w:r>
              <w:rPr>
                <w:rFonts w:hint="eastAsia" w:ascii="宋体" w:hAnsi="宋体" w:eastAsia="宋体"/>
                <w:sz w:val="21"/>
                <w:szCs w:val="21"/>
              </w:rPr>
              <w:t xml:space="preserve">1</w:t>
            </w:r>
            <w:r/>
          </w:p>
        </w:tc>
        <w:tc>
          <w:tcPr>
            <w:tcW w:w="561" w:type="pct"/>
            <w:vAlign w:val="center"/>
            <w:textDirection w:val="lrTb"/>
            <w:noWrap w:val="false"/>
          </w:tcPr>
          <w:p>
            <w:pPr>
              <w:ind w:left="0"/>
              <w:jc w:val="center"/>
              <w:widowControl w:val="off"/>
              <w:rPr>
                <w:rFonts w:ascii="宋体" w:hAnsi="宋体" w:eastAsia="宋体"/>
                <w:sz w:val="21"/>
                <w:szCs w:val="21"/>
              </w:rPr>
            </w:pPr>
            <w:r>
              <w:rPr>
                <w:rFonts w:hint="eastAsia" w:ascii="宋体" w:hAnsi="宋体" w:eastAsia="宋体"/>
                <w:sz w:val="21"/>
                <w:szCs w:val="21"/>
              </w:rPr>
              <w:t xml:space="preserve">项</w:t>
            </w:r>
            <w:r/>
          </w:p>
        </w:tc>
      </w:tr>
      <w:tr>
        <w:trPr>
          <w:jc w:val="center"/>
        </w:trPr>
        <w:tc>
          <w:tcPr>
            <w:tcW w:w="320" w:type="pct"/>
            <w:vAlign w:val="center"/>
            <w:textDirection w:val="lrTb"/>
            <w:noWrap w:val="false"/>
          </w:tcPr>
          <w:p>
            <w:pPr>
              <w:ind w:left="0"/>
              <w:jc w:val="center"/>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4</w:t>
            </w:r>
            <w:r/>
          </w:p>
        </w:tc>
        <w:tc>
          <w:tcPr>
            <w:tcW w:w="654" w:type="pct"/>
            <w:vAlign w:val="center"/>
            <w:textDirection w:val="lrTb"/>
            <w:noWrap w:val="false"/>
          </w:tcPr>
          <w:p>
            <w:pPr>
              <w:ind w:left="0"/>
              <w:jc w:val="center"/>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数据迁移服务</w:t>
            </w:r>
            <w:r/>
          </w:p>
        </w:tc>
        <w:tc>
          <w:tcPr>
            <w:tcW w:w="3088" w:type="pct"/>
            <w:vAlign w:val="center"/>
            <w:textDirection w:val="lrTb"/>
            <w:noWrap w:val="false"/>
          </w:tcPr>
          <w:p>
            <w:pPr>
              <w:ind w:left="0"/>
              <w:jc w:val="left"/>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对以前部署在虚拟机上的数据库进行数据迁移，需要对业务系统进行评估，出具迁移方案、数据备份方案、回退方案等。</w:t>
            </w:r>
            <w:r/>
          </w:p>
        </w:tc>
        <w:tc>
          <w:tcPr>
            <w:tcW w:w="374" w:type="pct"/>
            <w:vAlign w:val="center"/>
            <w:textDirection w:val="lrTb"/>
            <w:noWrap w:val="false"/>
          </w:tcPr>
          <w:p>
            <w:pPr>
              <w:ind w:left="0"/>
              <w:jc w:val="center"/>
              <w:widowControl w:val="off"/>
              <w:rPr>
                <w:rFonts w:ascii="宋体" w:hAnsi="宋体" w:eastAsia="宋体"/>
                <w:sz w:val="21"/>
                <w:szCs w:val="21"/>
              </w:rPr>
            </w:pPr>
            <w:r>
              <w:rPr>
                <w:rFonts w:hint="eastAsia" w:ascii="宋体" w:hAnsi="宋体" w:eastAsia="宋体"/>
                <w:sz w:val="21"/>
                <w:szCs w:val="21"/>
              </w:rPr>
              <w:t xml:space="preserve">1</w:t>
            </w:r>
            <w:r/>
          </w:p>
        </w:tc>
        <w:tc>
          <w:tcPr>
            <w:tcW w:w="561" w:type="pct"/>
            <w:vAlign w:val="center"/>
            <w:textDirection w:val="lrTb"/>
            <w:noWrap w:val="false"/>
          </w:tcPr>
          <w:p>
            <w:pPr>
              <w:ind w:left="0"/>
              <w:jc w:val="center"/>
              <w:widowControl w:val="off"/>
              <w:rPr>
                <w:rFonts w:ascii="宋体" w:hAnsi="宋体" w:eastAsia="宋体"/>
                <w:sz w:val="21"/>
                <w:szCs w:val="21"/>
              </w:rPr>
            </w:pPr>
            <w:r>
              <w:rPr>
                <w:rFonts w:hint="eastAsia" w:ascii="宋体" w:hAnsi="宋体" w:eastAsia="宋体"/>
                <w:sz w:val="21"/>
                <w:szCs w:val="21"/>
              </w:rPr>
              <w:t xml:space="preserve">项</w:t>
            </w:r>
            <w:r/>
          </w:p>
        </w:tc>
      </w:tr>
    </w:tbl>
    <w:p>
      <w:pPr>
        <w:ind w:left="0"/>
        <w:jc w:val="left"/>
        <w:spacing w:line="360" w:lineRule="auto"/>
        <w:rPr>
          <w:rFonts w:ascii="宋体" w:hAnsi="宋体"/>
          <w:b/>
          <w:bCs/>
          <w:sz w:val="21"/>
          <w:szCs w:val="21"/>
          <w14:ligatures w14:val="standardContextual"/>
        </w:rPr>
      </w:pPr>
      <w:r>
        <w:rPr>
          <w:rFonts w:hint="eastAsia" w:ascii="宋体" w:hAnsi="宋体"/>
          <w:b/>
          <w:bCs/>
          <w:sz w:val="21"/>
          <w:szCs w:val="21"/>
          <w14:ligatures w14:val="standardContextual"/>
        </w:rPr>
        <w:t xml:space="preserve">注：本次采购的核心产品：HIS服务器</w:t>
      </w:r>
      <w:r/>
    </w:p>
    <w:p>
      <w:pPr>
        <w:ind w:left="360"/>
        <w:widowControl w:val="off"/>
        <w:rPr>
          <w:rFonts w:ascii="宋体" w:hAnsi="宋体"/>
          <w:sz w:val="24"/>
          <w:szCs w:val="24"/>
        </w:rPr>
      </w:pPr>
      <w:r>
        <w:rPr>
          <w:rFonts w:ascii="宋体" w:hAnsi="宋体"/>
          <w:sz w:val="24"/>
          <w:szCs w:val="24"/>
        </w:rPr>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（三）技术参数</w:t>
      </w:r>
      <w:r/>
    </w:p>
    <w:p>
      <w:pPr>
        <w:ind w:left="0" w:firstLine="482"/>
        <w:spacing w:line="360" w:lineRule="auto"/>
        <w:tabs>
          <w:tab w:val="left" w:pos="420" w:leader="none"/>
        </w:tabs>
        <w:rPr>
          <w:rFonts w:ascii="宋体" w:hAnsi="宋体"/>
          <w:b/>
          <w:sz w:val="24"/>
          <w:szCs w:val="24"/>
        </w:rPr>
      </w:pPr>
      <w:r>
        <w:rPr>
          <w:rFonts w:hint="eastAsia" w:ascii="宋体" w:hAnsi="宋体"/>
          <w:b/>
          <w:sz w:val="24"/>
          <w:szCs w:val="24"/>
        </w:rPr>
        <w:t xml:space="preserve">HIS服务器</w:t>
      </w:r>
      <w:r/>
    </w:p>
    <w:tbl>
      <w:tblPr>
        <w:tblW w:w="9943" w:type="dxa"/>
        <w:jc w:val="center"/>
        <w:tblLook w:val="04A0" w:firstRow="1" w:lastRow="0" w:firstColumn="1" w:lastColumn="0" w:noHBand="0" w:noVBand="1"/>
      </w:tblPr>
      <w:tblGrid>
        <w:gridCol w:w="700"/>
        <w:gridCol w:w="1143"/>
        <w:gridCol w:w="1156"/>
        <w:gridCol w:w="1178"/>
        <w:gridCol w:w="5766"/>
      </w:tblGrid>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指标分类</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一级指标</w:t>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二级指标</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指标要求</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CPU规格</w:t>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★CPU 信息</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配置4个国产ARM处理器，单颗CPU核心数≥48核，主频≥2.6GHz</w: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主板规格</w:t>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★主板支持的CPU和内存情况</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主板需支持4个国产ARM处理器，单颗CPU核心数≥48核，主频≥2.6GHz；</w:t>
            </w:r>
            <w:r>
              <w:rPr>
                <w:rFonts w:hint="eastAsia" w:ascii="宋体" w:hAnsi="宋体" w:cs="Times New Roman"/>
                <w:sz w:val="21"/>
                <w:szCs w:val="21"/>
              </w:rPr>
              <w:br/>
              <w:t xml:space="preserve">内存配置≥1TB ；整体内存最大可支持2TB内存容量；</w:t>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★主板内存槽数量</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≥32个</w:t>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★主板存储接口</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支持 SATA、SAS存储接口</w: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★PCIe 插槽接口</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符合PCIe4.0或以上的高速串行计算机扩展总线标准，PCIe的接口速率与位宽需保证向下兼容</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★主板PCIe插槽数量及规格</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服务器PCIe插槽或接口应不少于6个</w:t>
            </w:r>
            <w:r/>
          </w:p>
        </w:tc>
      </w:tr>
      <w:tr>
        <w:trPr>
          <w:jc w:val="center"/>
          <w:trHeight w:val="98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本次采购至少为四路服务器</w:t>
            </w:r>
            <w:r/>
          </w:p>
        </w:tc>
      </w:tr>
      <w:tr>
        <w:trPr>
          <w:jc w:val="center"/>
          <w:trHeight w:val="15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特殊孔位及接口</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a)服务器机箱内主板可根据用户实际使用需求支持安装多功能导入装置板卡，机箱内需预留多功能导入装置板卡安装位置，容量不小于55mm×45mm×15mm（长×宽×高，单位毫米）；</w:t>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b)服务器主板可根据用户实际使用需求预留满足 USB2.0 或 USB3.0 数据传输规范的接口，工作电压 5V，采用 USB2.0 时，最大过电流应不小于 0.5A，采用 USB3.0 时，最大过电流应不小于 1A</w:t>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板载网络接口</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板载网络接口不少于4个1GE 网口</w:t>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主板 OCP插槽数量</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w:t>
            </w:r>
            <w:r/>
          </w:p>
        </w:tc>
      </w:tr>
      <w:tr>
        <w:trPr>
          <w:jc w:val="center"/>
          <w:trHeight w:val="315"/>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none" w:color="000000" w:sz="4" w:space="0"/>
              <w:left w:val="single" w:color="000000" w:sz="8" w:space="0"/>
              <w:bottom w:val="single" w:color="000000" w:sz="8" w:space="0"/>
              <w:right w:val="single" w:color="000000" w:sz="8" w:space="0"/>
            </w:tcBorders>
            <w:tcW w:w="1156"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内存规格</w:t>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★内存数量</w:t>
            </w:r>
            <w:r/>
          </w:p>
        </w:tc>
        <w:tc>
          <w:tcPr>
            <w:shd w:val="clear" w:color="auto" w:fill="auto"/>
            <w:tcBorders>
              <w:top w:val="non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≥16</w:t>
            </w:r>
            <w:r/>
          </w:p>
        </w:tc>
      </w:tr>
      <w:tr>
        <w:trPr>
          <w:jc w:val="center"/>
          <w:trHeight w:val="3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11</w:t>
            </w:r>
            <w:r/>
          </w:p>
        </w:tc>
        <w:tc>
          <w:tcPr>
            <w:shd w:val="clear" w:color="auto" w:fill="auto"/>
            <w:tcBorders>
              <w:top w:val="single" w:color="000000" w:sz="8" w:space="0"/>
              <w:left w:val="single" w:color="000000" w:sz="8"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none" w:color="000000" w:sz="4"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★内存规格</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≥DDR4</w:t>
            </w:r>
            <w:r/>
          </w:p>
        </w:tc>
      </w:tr>
      <w:tr>
        <w:trPr>
          <w:jc w:val="center"/>
          <w:trHeight w:val="1223"/>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12</w:t>
            </w:r>
            <w:r/>
          </w:p>
        </w:tc>
        <w:tc>
          <w:tcPr>
            <w:shd w:val="clear" w:color="auto" w:fill="auto"/>
            <w:tcBorders>
              <w:top w:val="single" w:color="000000" w:sz="8" w:space="0"/>
              <w:left w:val="single" w:color="000000" w:sz="8"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none" w:color="000000" w:sz="4"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★内存通道</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支持≥4个内存接口通道，支持 2DPC，印制电路板上应具备插槽的序号标识</w:t>
            </w:r>
            <w:r/>
          </w:p>
        </w:tc>
      </w:tr>
      <w:tr>
        <w:trPr>
          <w:jc w:val="center"/>
          <w:trHeight w:val="3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13</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存储规格</w:t>
            </w:r>
            <w:r/>
          </w:p>
        </w:tc>
        <w:tc>
          <w:tcPr>
            <w:shd w:val="clear" w:color="auto" w:fill="auto"/>
            <w:tcBorders>
              <w:top w:val="single" w:color="000000" w:sz="8"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硬盘类型</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支持固态硬盘和机械硬盘</w:t>
            </w:r>
            <w:r/>
          </w:p>
        </w:tc>
      </w:tr>
      <w:tr>
        <w:trPr>
          <w:jc w:val="center"/>
          <w:trHeight w:val="2130"/>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14</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★硬磁盘实配容量</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配备固态硬盘</w:t>
            </w:r>
            <w:r>
              <w:rPr>
                <w:rFonts w:hint="eastAsia" w:ascii="宋体" w:hAnsi="宋体" w:cs="Times New Roman"/>
                <w:sz w:val="21"/>
                <w:szCs w:val="21"/>
              </w:rPr>
              <w:t xml:space="preserve">，≥3*</w:t>
            </w:r>
            <w:r>
              <w:rPr>
                <w:rFonts w:hint="eastAsia" w:ascii="宋体" w:hAnsi="宋体"/>
                <w:color w:val="000000"/>
                <w:sz w:val="21"/>
                <w:szCs w:val="21"/>
              </w:rPr>
              <w:t xml:space="preserve">960G</w:t>
            </w:r>
            <w:r>
              <w:rPr>
                <w:rFonts w:hint="eastAsia" w:ascii="宋体" w:hAnsi="宋体" w:cs="Times New Roman"/>
                <w:sz w:val="21"/>
                <w:szCs w:val="21"/>
              </w:rPr>
              <w:t xml:space="preserve">B SATA SSD</w:t>
            </w:r>
            <w:r/>
          </w:p>
        </w:tc>
      </w:tr>
      <w:tr>
        <w:trPr>
          <w:jc w:val="center"/>
          <w:trHeight w:val="53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15</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硬盘接口类型</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支持SATA接口</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16</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★硬盘实配数量</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配备固态硬盘，≥3*960GB SATA SSD</w:t>
            </w:r>
            <w:r/>
          </w:p>
        </w:tc>
      </w:tr>
      <w:tr>
        <w:trPr>
          <w:jc w:val="center"/>
          <w:trHeight w:val="53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17</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★硬盘插槽数量及规格</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服务器可支持的硬盘数量应不少于 25块</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18</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硬盘其他参数要求</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服务器支持固态盘，固态盘符合 SJ/T 11654 相关规定；</w:t>
            </w:r>
            <w:r/>
          </w:p>
        </w:tc>
      </w:tr>
      <w:tr>
        <w:trPr>
          <w:jc w:val="center"/>
          <w:trHeight w:val="795"/>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19</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single" w:color="000000" w:sz="8" w:space="0"/>
              <w:left w:val="single" w:color="000000" w:sz="8" w:space="0"/>
              <w:bottom w:val="none" w:color="000000" w:sz="4" w:space="0"/>
              <w:right w:val="single" w:color="000000" w:sz="8" w:space="0"/>
            </w:tcBorders>
            <w:tcW w:w="115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RAID卡规格（若支持RAID卡）</w:t>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RAID 卡支持的 SAS接口数</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≥16</w:t>
            </w:r>
            <w:r/>
          </w:p>
        </w:tc>
      </w:tr>
      <w:tr>
        <w:trPr>
          <w:jc w:val="center"/>
          <w:trHeight w:val="1055"/>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20</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single" w:color="000000" w:sz="8" w:space="0"/>
              <w:left w:val="single" w:color="000000" w:sz="8" w:space="0"/>
              <w:bottom w:val="none" w:color="000000" w:sz="4" w:space="0"/>
              <w:right w:val="single" w:color="000000" w:sz="8" w:space="0"/>
            </w:tcBorders>
            <w:tcW w:w="115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SAS 直通卡规格(若支持 SAS直通卡)</w:t>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SAS 直通卡 SAS 接口数量</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w:t>
            </w:r>
            <w:r/>
          </w:p>
        </w:tc>
      </w:tr>
      <w:tr>
        <w:trPr>
          <w:jc w:val="center"/>
          <w:trHeight w:val="795"/>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21</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single" w:color="000000" w:sz="8" w:space="0"/>
              <w:left w:val="single" w:color="000000" w:sz="8" w:space="0"/>
              <w:bottom w:val="none" w:color="000000" w:sz="4" w:space="0"/>
              <w:right w:val="single" w:color="000000" w:sz="8" w:space="0"/>
            </w:tcBorders>
            <w:tcW w:w="115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HBA 卡规格(若支持 HBA直通卡)</w:t>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HBA 卡端口数量</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w:t>
            </w:r>
            <w:r/>
          </w:p>
        </w:tc>
      </w:tr>
      <w:tr>
        <w:trPr>
          <w:jc w:val="center"/>
          <w:trHeight w:val="1418"/>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网络规格</w:t>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★网口速率和数量</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配备电网口数量不少于4个，且网口速率不少于1GE,配备光网口数量不少于4个（含多模光模块），且网口速率不少于10GE</w:t>
            </w:r>
            <w:r/>
          </w:p>
        </w:tc>
      </w:tr>
      <w:tr>
        <w:trPr>
          <w:jc w:val="center"/>
          <w:trHeight w:val="795"/>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存储型服务器网口速率和数量</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配备32G FC光口不少于2个，含多模光模块</w:t>
            </w:r>
            <w:r/>
          </w:p>
        </w:tc>
      </w:tr>
      <w:tr>
        <w:trPr>
          <w:jc w:val="center"/>
          <w:trHeight w:val="535"/>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独立网卡网口数量</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配备独立网卡，独立网卡网口数量≥4</w:t>
            </w:r>
            <w:r/>
          </w:p>
        </w:tc>
      </w:tr>
      <w:tr>
        <w:trPr>
          <w:jc w:val="center"/>
          <w:trHeight w:val="535"/>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独立网卡接口类型</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支持SFP</w:t>
            </w:r>
            <w:r/>
          </w:p>
        </w:tc>
      </w:tr>
      <w:tr>
        <w:trPr>
          <w:jc w:val="center"/>
          <w:trHeight w:val="535"/>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板载网卡接口类型</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支持 RJ45</w:t>
            </w:r>
            <w:r/>
          </w:p>
        </w:tc>
      </w:tr>
      <w:tr>
        <w:trPr>
          <w:jc w:val="center"/>
          <w:trHeight w:val="315"/>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single" w:color="000000" w:sz="8" w:space="0"/>
              <w:left w:val="single" w:color="000000" w:sz="8" w:space="0"/>
              <w:bottom w:val="none" w:color="000000" w:sz="4" w:space="0"/>
              <w:right w:val="single" w:color="000000" w:sz="8" w:space="0"/>
            </w:tcBorders>
            <w:tcW w:w="1156"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外部接口规格</w:t>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★显示接口</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显示接口类型为VGA</w:t>
            </w:r>
            <w:r/>
          </w:p>
        </w:tc>
      </w:tr>
      <w:tr>
        <w:trPr>
          <w:jc w:val="center"/>
          <w:trHeight w:val="315"/>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single" w:color="000000" w:sz="8" w:space="0"/>
              <w:left w:val="single" w:color="000000" w:sz="8" w:space="0"/>
              <w:bottom w:val="none" w:color="000000" w:sz="4"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★USB 接口</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配备不少于4个USB3.0接口</w:t>
            </w:r>
            <w:r/>
          </w:p>
        </w:tc>
      </w:tr>
      <w:tr>
        <w:trPr>
          <w:jc w:val="center"/>
          <w:trHeight w:val="535"/>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single" w:color="000000" w:sz="8" w:space="0"/>
              <w:left w:val="single" w:color="000000" w:sz="8" w:space="0"/>
              <w:bottom w:val="none" w:color="000000" w:sz="4"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特殊接口及孔位</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w:t>
            </w:r>
            <w:r/>
          </w:p>
        </w:tc>
      </w:tr>
      <w:tr>
        <w:trPr>
          <w:jc w:val="center"/>
          <w:trHeight w:val="315"/>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single" w:color="000000" w:sz="8" w:space="0"/>
              <w:left w:val="single" w:color="000000" w:sz="8" w:space="0"/>
              <w:bottom w:val="none" w:color="000000" w:sz="4"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其他接口</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w:t>
            </w:r>
            <w:r/>
          </w:p>
        </w:tc>
      </w:tr>
      <w:tr>
        <w:trPr>
          <w:jc w:val="center"/>
          <w:trHeight w:val="615"/>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31</w:t>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olor w:val="000000"/>
                <w:sz w:val="21"/>
                <w:szCs w:val="21"/>
              </w:rPr>
              <w:t xml:space="preserve">电源</w:t>
            </w:r>
            <w:r>
              <w:rPr>
                <w:rFonts w:hint="eastAsia" w:ascii="宋体" w:hAnsi="宋体" w:cs="Times New Roman"/>
                <w:sz w:val="21"/>
                <w:szCs w:val="21"/>
              </w:rPr>
              <w:t xml:space="preserve">规格</w:t>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电源冗余模式</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整机电源模块按 1+1 冗余或 N+1 冗余配置</w:t>
            </w:r>
            <w:r/>
          </w:p>
        </w:tc>
      </w:tr>
      <w:tr>
        <w:trPr>
          <w:jc w:val="center"/>
          <w:trHeight w:val="535"/>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★电源模块数量</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≥2</w:t>
            </w:r>
            <w:r/>
          </w:p>
        </w:tc>
      </w:tr>
      <w:tr>
        <w:trPr>
          <w:jc w:val="center"/>
          <w:trHeight w:val="615"/>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★电源功率</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bookmarkStart w:id="99" w:name="OLE_LINK23"/>
            <w:r/>
            <w:bookmarkStart w:id="100" w:name="OLE_LINK24"/>
            <w:r>
              <w:rPr>
                <w:rFonts w:hint="eastAsia" w:ascii="宋体" w:hAnsi="宋体" w:cs="Times New Roman"/>
                <w:sz w:val="21"/>
                <w:szCs w:val="21"/>
              </w:rPr>
              <w:t xml:space="preserve">电源模块功率应有一定冗余，满足处理器满载时的需求。单电源功率≥2000W</w:t>
            </w:r>
            <w:bookmarkEnd w:id="99"/>
            <w:r/>
            <w:bookmarkEnd w:id="100"/>
            <w:r/>
            <w:r/>
          </w:p>
        </w:tc>
      </w:tr>
      <w:tr>
        <w:trPr>
          <w:jc w:val="center"/>
          <w:trHeight w:val="615"/>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34</w:t>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电源指示灯</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配备电源指示灯，指示待机、工作异常等状态</w:t>
            </w:r>
            <w:r/>
          </w:p>
        </w:tc>
      </w:tr>
      <w:tr>
        <w:trPr>
          <w:jc w:val="center"/>
          <w:trHeight w:val="120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35</w:t>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none" w:color="000000" w:sz="4" w:space="0"/>
              <w:left w:val="single" w:color="000000" w:sz="8" w:space="0"/>
              <w:bottom w:val="none" w:color="000000" w:sz="4" w:space="0"/>
              <w:right w:val="single" w:color="000000" w:sz="8" w:space="0"/>
            </w:tcBorders>
            <w:tcW w:w="1156"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整机规格</w:t>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★外观和结构</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a)服务器的零部件应紧固无松动，可插拔部件应可靠连接，开关、按钮和其它控制部件应灵活可靠，布局应方便使用；</w:t>
            </w:r>
            <w:r/>
          </w:p>
        </w:tc>
      </w:tr>
      <w:tr>
        <w:trPr>
          <w:jc w:val="center"/>
          <w:trHeight w:val="120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single" w:color="000000" w:sz="8" w:space="0"/>
              <w:bottom w:val="none" w:color="000000" w:sz="4"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b) 产品表面不应有明显的凹痕、划伤、裂缝、变形和污染等。表面涂层均匀，不应起泡、龟裂、脱落和磨损，金属零部件无锈蚀及其它机械损伤；</w:t>
            </w:r>
            <w:r/>
          </w:p>
        </w:tc>
      </w:tr>
      <w:tr>
        <w:trPr>
          <w:jc w:val="center"/>
          <w:trHeight w:val="60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single" w:color="000000" w:sz="8" w:space="0"/>
              <w:bottom w:val="none" w:color="000000" w:sz="4"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c) 产品表面说明功能的文字、符号和标志应清晰、端正且牢固；</w:t>
            </w:r>
            <w:r/>
          </w:p>
        </w:tc>
      </w:tr>
      <w:tr>
        <w:trPr>
          <w:jc w:val="center"/>
          <w:trHeight w:val="90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single" w:color="000000" w:sz="8" w:space="0"/>
              <w:bottom w:val="none" w:color="000000" w:sz="4"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d) 应在服务器的显著位置提供运行状态的指示功能，并在随机文件中明确具体含义；</w:t>
            </w:r>
            <w:r/>
          </w:p>
        </w:tc>
      </w:tr>
      <w:tr>
        <w:trPr>
          <w:jc w:val="center"/>
          <w:trHeight w:val="150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single" w:color="000000" w:sz="8" w:space="0"/>
              <w:bottom w:val="none" w:color="000000" w:sz="4"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e) 机架、机箱的尺寸应符合通用机柜的安装要求，插入总线插座的电路板接口外形尺寸应符合有关总线标准的规定，将机箱固定在机柜上，机箱底面最大下垂变形不得干涉相邻机体；</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single" w:color="000000" w:sz="8" w:space="0"/>
              <w:bottom w:val="none" w:color="000000" w:sz="4"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f) 本产品不涉及高密度服务器</w:t>
            </w:r>
            <w:r/>
          </w:p>
        </w:tc>
      </w:tr>
      <w:tr>
        <w:trPr>
          <w:jc w:val="center"/>
          <w:trHeight w:val="615"/>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single" w:color="000000" w:sz="8" w:space="0"/>
              <w:bottom w:val="none" w:color="000000" w:sz="4"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g) 服务器尺寸具体要求在随机文件中明确</w:t>
            </w:r>
            <w:r/>
          </w:p>
        </w:tc>
      </w:tr>
      <w:tr>
        <w:trPr>
          <w:jc w:val="center"/>
          <w:trHeight w:val="535"/>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36</w:t>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none" w:color="000000" w:sz="4" w:space="0"/>
              <w:left w:val="single" w:color="000000" w:sz="8" w:space="0"/>
              <w:bottom w:val="none" w:color="000000" w:sz="4"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★尺寸（高</w:t>
            </w:r>
            <w:r>
              <w:rPr>
                <w:rFonts w:hint="eastAsia" w:ascii="宋体" w:hAnsi="宋体" w:cs="Times New Roman"/>
                <w:sz w:val="21"/>
                <w:szCs w:val="21"/>
              </w:rPr>
              <w:br/>
              <w:t xml:space="preserve">×宽×深）</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2U机架式，可安装在19英寸标准机柜内</w:t>
            </w:r>
            <w:r/>
          </w:p>
        </w:tc>
      </w:tr>
      <w:tr>
        <w:trPr>
          <w:jc w:val="center"/>
          <w:trHeight w:val="126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37</w:t>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none" w:color="000000" w:sz="4" w:space="0"/>
              <w:left w:val="single" w:color="000000" w:sz="8" w:space="0"/>
              <w:bottom w:val="none" w:color="000000" w:sz="4"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服务器导轨</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w:t>
            </w:r>
            <w:r/>
          </w:p>
        </w:tc>
      </w:tr>
      <w:tr>
        <w:trPr>
          <w:jc w:val="center"/>
          <w:trHeight w:val="795"/>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38</w:t>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none" w:color="000000" w:sz="4" w:space="0"/>
              <w:left w:val="single" w:color="000000" w:sz="8" w:space="0"/>
              <w:bottom w:val="none" w:color="000000" w:sz="4"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CPU 个数与机柜高度单位(U)比</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CPU 2颗，单台服务器机箱2U高度</w:t>
            </w:r>
            <w:r/>
          </w:p>
        </w:tc>
      </w:tr>
      <w:tr>
        <w:trPr>
          <w:jc w:val="center"/>
          <w:trHeight w:val="1515"/>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39</w:t>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none" w:color="000000" w:sz="4" w:space="0"/>
              <w:left w:val="single" w:color="000000" w:sz="8" w:space="0"/>
              <w:bottom w:val="none" w:color="000000" w:sz="4"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★环境适应性</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气候环境适应性应符合 GB/T9813.3 的有关规定，工作温度 10～35℃，贮存运输温度-40～55℃；工作相对湿度 35%～80%，贮存运输相对湿度 20％～93%（40℃）；大气压86～106kPa</w:t>
            </w:r>
            <w:r/>
          </w:p>
        </w:tc>
      </w:tr>
      <w:tr>
        <w:trPr>
          <w:jc w:val="center"/>
          <w:trHeight w:val="535"/>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none" w:color="000000" w:sz="4" w:space="0"/>
              <w:left w:val="single" w:color="000000" w:sz="8" w:space="0"/>
              <w:bottom w:val="none" w:color="000000" w:sz="4"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特殊机型环境适应性</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w:t>
            </w:r>
            <w:r/>
          </w:p>
        </w:tc>
      </w:tr>
      <w:tr>
        <w:trPr>
          <w:jc w:val="center"/>
          <w:trHeight w:val="615"/>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41</w:t>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none" w:color="000000" w:sz="4" w:space="0"/>
              <w:left w:val="single" w:color="000000" w:sz="8" w:space="0"/>
              <w:bottom w:val="none" w:color="000000" w:sz="4"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★机械环境适应性</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机械环境适应性应符合 GB/T9813.3 的有关规定</w:t>
            </w:r>
            <w:r/>
          </w:p>
        </w:tc>
      </w:tr>
      <w:tr>
        <w:trPr>
          <w:jc w:val="center"/>
          <w:trHeight w:val="915"/>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42</w:t>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none" w:color="000000" w:sz="4" w:space="0"/>
              <w:left w:val="single" w:color="000000" w:sz="8" w:space="0"/>
              <w:bottom w:val="none" w:color="000000" w:sz="4"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★噪声</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符合 GB/T 9813.3 的有关规定，在产品说明中给出具体测试值塔式服务器噪声在空闲状态下不大于 50dB</w:t>
            </w:r>
            <w:r/>
          </w:p>
        </w:tc>
      </w:tr>
      <w:tr>
        <w:trPr>
          <w:jc w:val="center"/>
          <w:trHeight w:val="336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43</w:t>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AI 计算单元规格</w:t>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AI 计算单元</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本项目不涉及AI计算单元</w:t>
            </w:r>
            <w:r/>
          </w:p>
        </w:tc>
      </w:tr>
      <w:tr>
        <w:trPr>
          <w:jc w:val="center"/>
          <w:trHeight w:val="315"/>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44</w:t>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一键式迁移</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w:t>
            </w:r>
            <w:r/>
          </w:p>
        </w:tc>
      </w:tr>
      <w:tr>
        <w:trPr>
          <w:jc w:val="center"/>
          <w:trHeight w:val="315"/>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45</w:t>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none" w:color="000000" w:sz="4" w:space="0"/>
              <w:left w:val="single" w:color="000000" w:sz="8" w:space="0"/>
              <w:bottom w:val="single" w:color="000000" w:sz="8" w:space="0"/>
              <w:right w:val="single" w:color="000000" w:sz="8" w:space="0"/>
            </w:tcBorders>
            <w:tcW w:w="1156"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机柜规格</w:t>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★机柜尺寸</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2000*600*1000（42U）</w:t>
            </w:r>
            <w:r/>
          </w:p>
        </w:tc>
      </w:tr>
      <w:tr>
        <w:trPr>
          <w:jc w:val="center"/>
          <w:trHeight w:val="315"/>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46</w:t>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none" w:color="000000" w:sz="4"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机柜管理板</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w:t>
            </w:r>
            <w:r/>
          </w:p>
        </w:tc>
      </w:tr>
      <w:tr>
        <w:trPr>
          <w:jc w:val="center"/>
          <w:trHeight w:val="535"/>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47</w:t>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产品规格</w:t>
            </w:r>
            <w:r/>
          </w:p>
        </w:tc>
        <w:tc>
          <w:tcPr>
            <w:shd w:val="clear" w:color="auto" w:fill="auto"/>
            <w:tcBorders>
              <w:top w:val="none" w:color="000000" w:sz="4"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机柜电源规格</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w:t>
            </w:r>
            <w:r/>
          </w:p>
        </w:tc>
      </w:tr>
      <w:tr>
        <w:trPr>
          <w:jc w:val="center"/>
          <w:trHeight w:val="615"/>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48</w:t>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功能要求</w:t>
            </w:r>
            <w:r/>
          </w:p>
        </w:tc>
        <w:tc>
          <w:tcPr>
            <w:shd w:val="clear" w:color="auto" w:fill="auto"/>
            <w:tcBorders>
              <w:top w:val="none" w:color="000000" w:sz="4" w:space="0"/>
              <w:left w:val="single" w:color="000000" w:sz="8" w:space="0"/>
              <w:bottom w:val="single" w:color="000000" w:sz="8" w:space="0"/>
              <w:right w:val="single" w:color="000000" w:sz="8" w:space="0"/>
            </w:tcBorders>
            <w:tcW w:w="1156"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主板功能</w:t>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★主板外部接口种类</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支持USB、显示、管理等接口，VGA、USB3.0、BMC管理端口</w:t>
            </w:r>
            <w:r/>
          </w:p>
        </w:tc>
      </w:tr>
      <w:tr>
        <w:trPr>
          <w:jc w:val="center"/>
          <w:trHeight w:val="615"/>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49</w:t>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功能要求</w:t>
            </w:r>
            <w:r/>
          </w:p>
        </w:tc>
        <w:tc>
          <w:tcPr>
            <w:shd w:val="clear" w:color="auto" w:fill="auto"/>
            <w:tcBorders>
              <w:top w:val="none" w:color="000000" w:sz="4"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主板防烧</w:t>
            </w:r>
            <w:r>
              <w:rPr>
                <w:rFonts w:hint="eastAsia" w:ascii="宋体" w:hAnsi="宋体" w:cs="Times New Roman"/>
                <w:sz w:val="21"/>
                <w:szCs w:val="21"/>
              </w:rPr>
              <w:br/>
              <w:t xml:space="preserve">板设计</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支持主板防烧板设计，保证电源故障后不扩散</w:t>
            </w:r>
            <w:r/>
          </w:p>
        </w:tc>
      </w:tr>
      <w:tr>
        <w:trPr>
          <w:jc w:val="center"/>
          <w:trHeight w:val="315"/>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功能要求</w:t>
            </w:r>
            <w:r/>
          </w:p>
        </w:tc>
        <w:tc>
          <w:tcPr>
            <w:shd w:val="clear" w:color="auto" w:fill="auto"/>
            <w:tcBorders>
              <w:top w:val="none" w:color="000000" w:sz="4"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扩展功能</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w:t>
            </w:r>
            <w:r/>
          </w:p>
        </w:tc>
      </w:tr>
      <w:tr>
        <w:trPr>
          <w:jc w:val="center"/>
          <w:trHeight w:val="615"/>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51</w:t>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功能要求</w:t>
            </w:r>
            <w:r/>
          </w:p>
        </w:tc>
        <w:tc>
          <w:tcPr>
            <w:shd w:val="clear" w:color="auto" w:fill="auto"/>
            <w:tcBorders>
              <w:top w:val="none" w:color="000000" w:sz="4" w:space="0"/>
              <w:left w:val="single" w:color="000000" w:sz="8" w:space="0"/>
              <w:bottom w:val="single" w:color="000000" w:sz="8" w:space="0"/>
              <w:right w:val="single" w:color="000000" w:sz="8" w:space="0"/>
            </w:tcBorders>
            <w:tcW w:w="115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网络功能</w:t>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★网络功能</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支持网络连接、网络访问、数据交换和网络管控功能</w:t>
            </w:r>
            <w:r/>
          </w:p>
        </w:tc>
      </w:tr>
      <w:tr>
        <w:trPr>
          <w:jc w:val="center"/>
          <w:trHeight w:val="1815"/>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52</w:t>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功能要求</w:t>
            </w:r>
            <w:r/>
          </w:p>
        </w:tc>
        <w:tc>
          <w:tcPr>
            <w:shd w:val="clear" w:color="auto" w:fill="auto"/>
            <w:tcBorders>
              <w:top w:val="none" w:color="000000" w:sz="4" w:space="0"/>
              <w:left w:val="single" w:color="000000" w:sz="8" w:space="0"/>
              <w:bottom w:val="single" w:color="000000" w:sz="8" w:space="0"/>
              <w:right w:val="single" w:color="000000" w:sz="8" w:space="0"/>
            </w:tcBorders>
            <w:tcW w:w="1156"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CPU功能</w:t>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★计算处理</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支持通用计算及虚拟化功能。处理器需集成整型计算单元、浮点计算单元、内存控制器、I/O 模块等，处理器与存储部件、网络部件、I/O部件等组成计算系统，提供数据处理、网络接入等计算相关功能</w:t>
            </w:r>
            <w:r/>
          </w:p>
        </w:tc>
      </w:tr>
      <w:tr>
        <w:trPr>
          <w:jc w:val="center"/>
          <w:trHeight w:val="915"/>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53</w:t>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功能要求</w:t>
            </w:r>
            <w:r/>
          </w:p>
        </w:tc>
        <w:tc>
          <w:tcPr>
            <w:shd w:val="clear" w:color="auto" w:fill="auto"/>
            <w:tcBorders>
              <w:top w:val="none" w:color="000000" w:sz="4"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★密码算法实现</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CPU 芯片应符合 GM/T 0008 的相关规定，或芯片密码模块应符合 GB/T37092 或 GM/T 0028 的相关规定</w:t>
            </w:r>
            <w:r/>
          </w:p>
        </w:tc>
      </w:tr>
      <w:tr>
        <w:trPr>
          <w:jc w:val="center"/>
          <w:trHeight w:val="315"/>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54</w:t>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功能要求</w:t>
            </w:r>
            <w:r/>
          </w:p>
        </w:tc>
        <w:tc>
          <w:tcPr>
            <w:shd w:val="clear" w:color="auto" w:fill="auto"/>
            <w:tcBorders>
              <w:top w:val="none" w:color="000000" w:sz="4" w:space="0"/>
              <w:left w:val="single" w:color="000000" w:sz="8" w:space="0"/>
              <w:bottom w:val="single" w:color="000000" w:sz="8" w:space="0"/>
              <w:right w:val="single" w:color="000000" w:sz="8" w:space="0"/>
            </w:tcBorders>
            <w:tcW w:w="1156"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存储功能</w:t>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内存校验</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支持内存校验或内存增强型纠错功能</w:t>
            </w:r>
            <w:r/>
          </w:p>
        </w:tc>
      </w:tr>
      <w:tr>
        <w:trPr>
          <w:jc w:val="center"/>
          <w:trHeight w:val="795"/>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55</w:t>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功能要求</w:t>
            </w:r>
            <w:r/>
          </w:p>
        </w:tc>
        <w:tc>
          <w:tcPr>
            <w:shd w:val="clear" w:color="auto" w:fill="auto"/>
            <w:tcBorders>
              <w:top w:val="none" w:color="000000" w:sz="4"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SATA SSD NAND 健康状态上报</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支持关键外部存储器 （硬磁盘、SSD等）的健康状态上报并进行故障诊断</w:t>
            </w:r>
            <w:r/>
          </w:p>
        </w:tc>
      </w:tr>
      <w:tr>
        <w:trPr>
          <w:jc w:val="center"/>
          <w:trHeight w:val="795"/>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56</w:t>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功能要求</w:t>
            </w:r>
            <w:r/>
          </w:p>
        </w:tc>
        <w:tc>
          <w:tcPr>
            <w:shd w:val="clear" w:color="auto" w:fill="auto"/>
            <w:tcBorders>
              <w:top w:val="none" w:color="000000" w:sz="4"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SATA SSD单 die 故障隔离</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支持 SSD 关键外部存储器中单存储晶元故障隔离</w:t>
            </w:r>
            <w:r/>
          </w:p>
        </w:tc>
      </w:tr>
      <w:tr>
        <w:trPr>
          <w:jc w:val="center"/>
          <w:trHeight w:val="535"/>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57</w:t>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功能要求</w:t>
            </w:r>
            <w:r/>
          </w:p>
        </w:tc>
        <w:tc>
          <w:tcPr>
            <w:shd w:val="clear" w:color="auto" w:fill="auto"/>
            <w:tcBorders>
              <w:top w:val="none" w:color="000000" w:sz="4" w:space="0"/>
              <w:left w:val="single" w:color="000000" w:sz="8" w:space="0"/>
              <w:bottom w:val="single" w:color="000000" w:sz="8" w:space="0"/>
              <w:right w:val="single" w:color="000000" w:sz="8" w:space="0"/>
            </w:tcBorders>
            <w:tcW w:w="1156"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RAID卡功能（若支持RAID卡）</w:t>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RAID 卡RAID 级别支持</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RAID 模式支持 RAID 0/1/10/5</w:t>
            </w:r>
            <w:r/>
          </w:p>
        </w:tc>
      </w:tr>
      <w:tr>
        <w:trPr>
          <w:jc w:val="center"/>
          <w:trHeight w:val="535"/>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58</w:t>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功能要求</w:t>
            </w:r>
            <w:r/>
          </w:p>
        </w:tc>
        <w:tc>
          <w:tcPr>
            <w:shd w:val="clear" w:color="auto" w:fill="auto"/>
            <w:tcBorders>
              <w:top w:val="none" w:color="000000" w:sz="4"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RAID 卡BBU 单元</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RAID 卡支持电容备份单元</w:t>
            </w:r>
            <w:r/>
          </w:p>
        </w:tc>
      </w:tr>
      <w:tr>
        <w:trPr>
          <w:jc w:val="center"/>
          <w:trHeight w:val="1315"/>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59</w:t>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功能要求</w:t>
            </w:r>
            <w:r/>
          </w:p>
        </w:tc>
        <w:tc>
          <w:tcPr>
            <w:shd w:val="clear" w:color="auto" w:fill="auto"/>
            <w:tcBorders>
              <w:top w:val="none" w:color="000000" w:sz="4" w:space="0"/>
              <w:left w:val="single" w:color="000000" w:sz="8" w:space="0"/>
              <w:bottom w:val="single" w:color="000000" w:sz="8" w:space="0"/>
              <w:right w:val="single" w:color="000000" w:sz="8" w:space="0"/>
            </w:tcBorders>
            <w:tcW w:w="115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光驱功能</w:t>
            </w:r>
            <w:r/>
          </w:p>
        </w:tc>
        <w:tc>
          <w:tcPr>
            <w:shd w:val="clear" w:color="auto" w:fill="auto"/>
            <w:tcBorders>
              <w:top w:val="none" w:color="000000" w:sz="4"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光驱类型（是否支持 RW，以及光盘类型CD/DVD）</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w:t>
            </w:r>
            <w:r/>
          </w:p>
        </w:tc>
      </w:tr>
      <w:tr>
        <w:trPr>
          <w:jc w:val="center"/>
          <w:trHeight w:val="535"/>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60</w:t>
            </w:r>
            <w:r/>
          </w:p>
        </w:tc>
        <w:tc>
          <w:tcPr>
            <w:shd w:val="clear" w:color="auto" w:fill="auto"/>
            <w:tcBorders>
              <w:top w:val="none" w:color="000000" w:sz="4"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功能要求</w:t>
            </w:r>
            <w:r/>
          </w:p>
        </w:tc>
        <w:tc>
          <w:tcPr>
            <w:shd w:val="clear" w:color="auto" w:fill="auto"/>
            <w:tcBorders>
              <w:top w:val="none" w:color="000000" w:sz="4" w:space="0"/>
              <w:left w:val="single" w:color="000000" w:sz="8" w:space="0"/>
              <w:bottom w:val="single" w:color="000000" w:sz="8" w:space="0"/>
              <w:right w:val="single" w:color="000000" w:sz="8" w:space="0"/>
            </w:tcBorders>
            <w:tcW w:w="1156"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电源功能</w:t>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★电源热插拔</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整机电源模块应具备热插拔功能</w:t>
            </w:r>
            <w:r/>
          </w:p>
        </w:tc>
      </w:tr>
      <w:tr>
        <w:trPr>
          <w:jc w:val="center"/>
          <w:trHeight w:val="53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61</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功能要求</w:t>
            </w:r>
            <w:r/>
          </w:p>
        </w:tc>
        <w:tc>
          <w:tcPr>
            <w:shd w:val="clear" w:color="auto" w:fill="auto"/>
            <w:tcBorders>
              <w:top w:val="none" w:color="000000" w:sz="4"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★电源过流保护</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支持过流及短路保护的功能</w:t>
            </w:r>
            <w:r/>
          </w:p>
        </w:tc>
      </w:tr>
      <w:tr>
        <w:trPr>
          <w:jc w:val="center"/>
          <w:trHeight w:val="3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62</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功能要求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整机功能</w:t>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★散热方式</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支持风冷散热方式</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63</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功能要求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其他功能</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a) 支持关键部件冗余（包括电源、风扇等）；</w:t>
            </w:r>
            <w:r>
              <w:rPr>
                <w:rFonts w:hint="eastAsia" w:ascii="宋体" w:hAnsi="宋体" w:cs="Times New Roman"/>
                <w:sz w:val="21"/>
                <w:szCs w:val="21"/>
              </w:rPr>
              <w:br/>
              <w:t xml:space="preserve">b) 支持熔断保护与恢复功能</w:t>
            </w:r>
            <w:r/>
          </w:p>
        </w:tc>
      </w:tr>
      <w:tr>
        <w:trPr>
          <w:jc w:val="center"/>
          <w:trHeight w:val="5700"/>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64</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功能要求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管理系统功能</w:t>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★BMC 固件基础功能</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 支持 DHCP 设置网络功能；</w:t>
            </w:r>
            <w:r>
              <w:rPr>
                <w:rFonts w:hint="eastAsia" w:ascii="宋体" w:hAnsi="宋体" w:cs="Times New Roman"/>
                <w:sz w:val="21"/>
                <w:szCs w:val="21"/>
              </w:rPr>
              <w:br/>
              <w:t xml:space="preserve">2)支持静态 IP 设置网络功能；</w:t>
            </w:r>
            <w:r>
              <w:rPr>
                <w:rFonts w:hint="eastAsia" w:ascii="宋体" w:hAnsi="宋体" w:cs="Times New Roman"/>
                <w:sz w:val="21"/>
                <w:szCs w:val="21"/>
              </w:rPr>
              <w:br/>
              <w:t xml:space="preserve">3)支持设备日志记录，包括但不限于登录日志、操作日志和报警日志等功能；</w:t>
            </w:r>
            <w:r>
              <w:rPr>
                <w:rFonts w:hint="eastAsia" w:ascii="宋体" w:hAnsi="宋体" w:cs="Times New Roman"/>
                <w:sz w:val="21"/>
                <w:szCs w:val="21"/>
              </w:rPr>
              <w:br/>
              <w:t xml:space="preserve">4)支持日志信息导出和记录删除功能；</w:t>
            </w:r>
            <w:r>
              <w:rPr>
                <w:rFonts w:hint="eastAsia" w:ascii="宋体" w:hAnsi="宋体" w:cs="Times New Roman"/>
                <w:sz w:val="21"/>
                <w:szCs w:val="21"/>
              </w:rPr>
              <w:br/>
              <w:t xml:space="preserve">5)支持通过管理接口向外输出准确的报警信息功能；</w:t>
            </w:r>
            <w:r>
              <w:rPr>
                <w:rFonts w:hint="eastAsia" w:ascii="宋体" w:hAnsi="宋体" w:cs="Times New Roman"/>
                <w:sz w:val="21"/>
                <w:szCs w:val="21"/>
              </w:rPr>
              <w:br/>
              <w:t xml:space="preserve">6)设备的 BMC 管理软件应能够按报警的严重程度进行区分；</w:t>
            </w:r>
            <w:r>
              <w:rPr>
                <w:rFonts w:hint="eastAsia" w:ascii="宋体" w:hAnsi="宋体" w:cs="Times New Roman"/>
                <w:sz w:val="21"/>
                <w:szCs w:val="21"/>
              </w:rPr>
              <w:br/>
              <w:t xml:space="preserve">7)支持 IPMI2.0、SNMP 或 Redfish等接口功能；</w:t>
            </w:r>
            <w:r>
              <w:rPr>
                <w:rFonts w:hint="eastAsia" w:ascii="宋体" w:hAnsi="宋体" w:cs="Times New Roman"/>
                <w:sz w:val="21"/>
                <w:szCs w:val="21"/>
              </w:rPr>
              <w:br/>
              <w:t xml:space="preserve">8)支持键盘、鼠标和视频的重定向、文本控制台的重定向、远程虚拟媒体、高可靠的硬件监控和管理功能；</w:t>
            </w:r>
            <w:r>
              <w:rPr>
                <w:rFonts w:hint="eastAsia" w:ascii="宋体" w:hAnsi="宋体" w:cs="Times New Roman"/>
                <w:sz w:val="21"/>
                <w:szCs w:val="21"/>
              </w:rPr>
              <w:br/>
              <w:t xml:space="preserve">9)支持基于网络开启、关闭和重启设备的功能，并查询当前设备开机运行状态；</w:t>
            </w:r>
            <w:r>
              <w:rPr>
                <w:rFonts w:hint="eastAsia" w:ascii="宋体" w:hAnsi="宋体" w:cs="Times New Roman"/>
                <w:sz w:val="21"/>
                <w:szCs w:val="21"/>
              </w:rPr>
              <w:br/>
              <w:t xml:space="preserve">10)支持故障提示功能，并可通过接口读取服务器故障信息；</w:t>
            </w:r>
            <w:r/>
          </w:p>
        </w:tc>
      </w:tr>
      <w:tr>
        <w:trPr>
          <w:jc w:val="center"/>
          <w:trHeight w:val="6600"/>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11)支持基于网络的固件更新功能，包括 BMC 和 BIOS 等；</w:t>
            </w:r>
            <w:r>
              <w:rPr>
                <w:rFonts w:hint="eastAsia" w:ascii="宋体" w:hAnsi="宋体" w:cs="Times New Roman"/>
                <w:sz w:val="21"/>
                <w:szCs w:val="21"/>
              </w:rPr>
              <w:br/>
              <w:t xml:space="preserve">12)支持基于网络安装操作系统的功能，并可通过网络控制台访问设备；</w:t>
            </w:r>
            <w:r>
              <w:rPr>
                <w:rFonts w:hint="eastAsia" w:ascii="宋体" w:hAnsi="宋体" w:cs="Times New Roman"/>
                <w:sz w:val="21"/>
                <w:szCs w:val="21"/>
              </w:rPr>
              <w:br/>
              <w:t xml:space="preserve">13)支持通过本地的硬盘或光驱等存储设备，基于网络完成设备的操作系统安装功能；</w:t>
            </w:r>
            <w:r>
              <w:rPr>
                <w:rFonts w:hint="eastAsia" w:ascii="宋体" w:hAnsi="宋体" w:cs="Times New Roman"/>
                <w:sz w:val="21"/>
                <w:szCs w:val="21"/>
              </w:rPr>
              <w:br/>
              <w:t xml:space="preserve">14)支持通过浏览器打开管理界面并登录功能；</w:t>
            </w:r>
            <w:r>
              <w:rPr>
                <w:rFonts w:hint="eastAsia" w:ascii="宋体" w:hAnsi="宋体" w:cs="Times New Roman"/>
                <w:sz w:val="21"/>
                <w:szCs w:val="21"/>
              </w:rPr>
              <w:br/>
              <w:t xml:space="preserve">15)支持设置口令策略功能；</w:t>
            </w:r>
            <w:r>
              <w:rPr>
                <w:rFonts w:hint="eastAsia" w:ascii="宋体" w:hAnsi="宋体" w:cs="Times New Roman"/>
                <w:sz w:val="21"/>
                <w:szCs w:val="21"/>
              </w:rPr>
              <w:br/>
              <w:t xml:space="preserve">16)支持访问权限设置功能，并通过日志记录访问事件；</w:t>
            </w:r>
            <w:r>
              <w:rPr>
                <w:rFonts w:hint="eastAsia" w:ascii="宋体" w:hAnsi="宋体" w:cs="Times New Roman"/>
                <w:sz w:val="21"/>
                <w:szCs w:val="21"/>
              </w:rPr>
              <w:br/>
              <w:t xml:space="preserve">17)支持对出厂默认的用户名及口令进行安全保护功能，并提供默认口令修改提示；</w:t>
            </w:r>
            <w:r>
              <w:rPr>
                <w:rFonts w:hint="eastAsia" w:ascii="宋体" w:hAnsi="宋体" w:cs="Times New Roman"/>
                <w:sz w:val="21"/>
                <w:szCs w:val="21"/>
              </w:rPr>
              <w:br/>
              <w:t xml:space="preserve">18)支持读取设备主板的工作环境温度功能；</w:t>
            </w:r>
            <w:r>
              <w:rPr>
                <w:rFonts w:hint="eastAsia" w:ascii="宋体" w:hAnsi="宋体" w:cs="Times New Roman"/>
                <w:sz w:val="21"/>
                <w:szCs w:val="21"/>
              </w:rPr>
              <w:br/>
              <w:t xml:space="preserve">19)支持读取服务器 CPU 等核心器件的温度功能；</w:t>
            </w:r>
            <w:r>
              <w:rPr>
                <w:rFonts w:hint="eastAsia" w:ascii="宋体" w:hAnsi="宋体" w:cs="Times New Roman"/>
                <w:sz w:val="21"/>
                <w:szCs w:val="21"/>
              </w:rPr>
              <w:br/>
              <w:t xml:space="preserve">20)支持通过外部管理工具进行 BMC参数设置的功能，并可基于网络通过外部管理工具对 BMC 进行管理；</w:t>
            </w:r>
            <w:r/>
          </w:p>
        </w:tc>
      </w:tr>
      <w:tr>
        <w:trPr>
          <w:jc w:val="center"/>
          <w:trHeight w:val="21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21)应支持固件版本查询、固件升级</w:t>
            </w:r>
            <w:r>
              <w:rPr>
                <w:rFonts w:hint="eastAsia" w:ascii="宋体" w:hAnsi="宋体" w:cs="Times New Roman"/>
                <w:sz w:val="21"/>
                <w:szCs w:val="21"/>
              </w:rPr>
              <w:br/>
              <w:t xml:space="preserve">22)支持基于网络实现开关机和复位控制的功能；</w:t>
            </w:r>
            <w:r>
              <w:rPr>
                <w:rFonts w:hint="eastAsia" w:ascii="宋体" w:hAnsi="宋体" w:cs="Times New Roman"/>
                <w:sz w:val="21"/>
                <w:szCs w:val="21"/>
              </w:rPr>
              <w:br/>
              <w:t xml:space="preserve">23)BMC 启动时间应不超过 180s，实现功能包括网络、IPMI、散热、传感器服务可用；</w:t>
            </w:r>
            <w:r>
              <w:rPr>
                <w:rFonts w:hint="eastAsia" w:ascii="宋体" w:hAnsi="宋体" w:cs="Times New Roman"/>
                <w:sz w:val="21"/>
                <w:szCs w:val="21"/>
              </w:rPr>
              <w:br/>
              <w:t xml:space="preserve">24)支持 BMC 固件设置的恢复出厂功能</w:t>
            </w:r>
            <w:r/>
          </w:p>
        </w:tc>
      </w:tr>
      <w:tr>
        <w:trPr>
          <w:jc w:val="center"/>
          <w:trHeight w:val="53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65</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功能要求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BMC 固件增强功能</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w:t>
            </w:r>
            <w:r/>
          </w:p>
        </w:tc>
      </w:tr>
      <w:tr>
        <w:trPr>
          <w:jc w:val="center"/>
          <w:trHeight w:val="75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66</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功能要求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★BIOS 固件基础功能</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a）支持查看固件版本、内存信息、主板信息、处理器信息和系统时间信息功能；</w:t>
            </w:r>
            <w:r>
              <w:rPr>
                <w:rFonts w:hint="eastAsia" w:ascii="宋体" w:hAnsi="宋体" w:cs="Times New Roman"/>
                <w:sz w:val="21"/>
                <w:szCs w:val="21"/>
              </w:rPr>
              <w:br/>
              <w:t xml:space="preserve">b）支持上电初始化界面显示 CPU 信息、内存信息、固件版本和部分快捷键信息功能；</w:t>
            </w:r>
            <w:r>
              <w:rPr>
                <w:rFonts w:hint="eastAsia" w:ascii="宋体" w:hAnsi="宋体" w:cs="Times New Roman"/>
                <w:sz w:val="21"/>
                <w:szCs w:val="21"/>
              </w:rPr>
              <w:br/>
              <w:t xml:space="preserve">c）支持设置界面中英文显示切换功能；</w:t>
            </w:r>
            <w:r>
              <w:rPr>
                <w:rFonts w:hint="eastAsia" w:ascii="宋体" w:hAnsi="宋体" w:cs="Times New Roman"/>
                <w:sz w:val="21"/>
                <w:szCs w:val="21"/>
              </w:rPr>
              <w:br/>
              <w:t xml:space="preserve">d）支持查看 PCIe 设备信息，SATA设备信息功能；</w:t>
            </w:r>
            <w:r>
              <w:rPr>
                <w:rFonts w:hint="eastAsia" w:ascii="宋体" w:hAnsi="宋体" w:cs="Times New Roman"/>
                <w:sz w:val="21"/>
                <w:szCs w:val="21"/>
              </w:rPr>
              <w:br/>
              <w:t xml:space="preserve">e）支持操作系统安装和引导功能，应并向操作系统提供计算机主板信息和服务接口；</w:t>
            </w:r>
            <w:r>
              <w:rPr>
                <w:rFonts w:hint="eastAsia" w:ascii="宋体" w:hAnsi="宋体" w:cs="Times New Roman"/>
                <w:sz w:val="21"/>
                <w:szCs w:val="21"/>
              </w:rPr>
              <w:br/>
              <w:t xml:space="preserve">f）支持设置启动顺序，并按照设置的启动顺序启动功能；</w:t>
            </w:r>
            <w:r>
              <w:rPr>
                <w:rFonts w:hint="eastAsia" w:ascii="宋体" w:hAnsi="宋体" w:cs="Times New Roman"/>
                <w:sz w:val="21"/>
                <w:szCs w:val="21"/>
              </w:rPr>
              <w:br/>
              <w:t xml:space="preserve">g）支持安全启动功能；</w:t>
            </w:r>
            <w:r>
              <w:rPr>
                <w:rFonts w:hint="eastAsia" w:ascii="宋体" w:hAnsi="宋体" w:cs="Times New Roman"/>
                <w:sz w:val="21"/>
                <w:szCs w:val="21"/>
              </w:rPr>
              <w:br/>
              <w:t xml:space="preserve">h）支持设置口令、修改口令、验证口令功能；</w:t>
            </w:r>
            <w:r>
              <w:rPr>
                <w:rFonts w:hint="eastAsia" w:ascii="宋体" w:hAnsi="宋体" w:cs="Times New Roman"/>
                <w:sz w:val="21"/>
                <w:szCs w:val="21"/>
              </w:rPr>
              <w:br/>
              <w:t xml:space="preserve">i）支持板载显示控制或独立显卡的显示控制功能；</w:t>
            </w:r>
            <w:r>
              <w:rPr>
                <w:rFonts w:hint="eastAsia" w:ascii="宋体" w:hAnsi="宋体" w:cs="Times New Roman"/>
                <w:sz w:val="21"/>
                <w:szCs w:val="21"/>
              </w:rPr>
              <w:br/>
              <w:t xml:space="preserve">j）支持 RAID 识别和启动功能；</w:t>
            </w:r>
            <w:r>
              <w:rPr>
                <w:rFonts w:hint="eastAsia" w:ascii="宋体" w:hAnsi="宋体" w:cs="Times New Roman"/>
                <w:sz w:val="21"/>
                <w:szCs w:val="21"/>
              </w:rPr>
              <w:br/>
              <w:t xml:space="preserve">k）支持串口重定向功能；</w:t>
            </w:r>
            <w:r>
              <w:rPr>
                <w:rFonts w:hint="eastAsia" w:ascii="宋体" w:hAnsi="宋体" w:cs="Times New Roman"/>
                <w:sz w:val="21"/>
                <w:szCs w:val="21"/>
              </w:rPr>
              <w:br/>
              <w:t xml:space="preserve">l）支持固件更新功能；</w:t>
            </w:r>
            <w:r>
              <w:rPr>
                <w:rFonts w:hint="eastAsia" w:ascii="宋体" w:hAnsi="宋体" w:cs="Times New Roman"/>
                <w:sz w:val="21"/>
                <w:szCs w:val="21"/>
              </w:rPr>
              <w:br/>
              <w:t xml:space="preserve">m）支持 BIOS 固件设置的恢复出厂功能；</w:t>
            </w:r>
            <w:r>
              <w:rPr>
                <w:rFonts w:hint="eastAsia" w:ascii="宋体" w:hAnsi="宋体" w:cs="Times New Roman"/>
                <w:sz w:val="21"/>
                <w:szCs w:val="21"/>
              </w:rPr>
              <w:br/>
              <w:t xml:space="preserve">n）支持网络引导启用和关闭功能</w:t>
            </w:r>
            <w:r/>
          </w:p>
        </w:tc>
      </w:tr>
      <w:tr>
        <w:trPr>
          <w:jc w:val="center"/>
          <w:trHeight w:val="3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67</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功能要求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★远程控制</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支持远程关机和重新启动功能</w:t>
            </w:r>
            <w:r/>
          </w:p>
        </w:tc>
      </w:tr>
      <w:tr>
        <w:trPr>
          <w:jc w:val="center"/>
          <w:trHeight w:val="79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68</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功能要求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操作系统及驱动功能</w:t>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★操作系统及驱动的升级</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支持通过网络、闪存盘对操作系统、驱动进行升级</w:t>
            </w:r>
            <w:r/>
          </w:p>
        </w:tc>
      </w:tr>
      <w:tr>
        <w:trPr>
          <w:jc w:val="center"/>
          <w:trHeight w:val="79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69</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功能要求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操作系统及驱动的备份还原</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w:t>
            </w:r>
            <w:r/>
          </w:p>
        </w:tc>
      </w:tr>
      <w:tr>
        <w:trPr>
          <w:jc w:val="center"/>
          <w:trHeight w:val="12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70</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功能要求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★操作系统功能</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a) 支持访问控制、安全审计、网络接入鉴别等功能；</w:t>
            </w:r>
            <w:r>
              <w:rPr>
                <w:rFonts w:hint="eastAsia" w:ascii="宋体" w:hAnsi="宋体" w:cs="Times New Roman"/>
                <w:sz w:val="21"/>
                <w:szCs w:val="21"/>
              </w:rPr>
              <w:br/>
              <w:t xml:space="preserve">b) 操作系统其他功能应满足操作系统政府采购需求标准中加*的指标要求</w:t>
            </w:r>
            <w:r/>
          </w:p>
        </w:tc>
      </w:tr>
      <w:tr>
        <w:trPr>
          <w:jc w:val="center"/>
          <w:trHeight w:val="53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71</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功能要求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中文信息处理功能</w:t>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★中文信息处理</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符合 GB 18030 的有关规定</w:t>
            </w:r>
            <w:r/>
          </w:p>
        </w:tc>
      </w:tr>
      <w:tr>
        <w:trPr>
          <w:jc w:val="center"/>
          <w:trHeight w:val="53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72</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功能要求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机柜功能</w:t>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机柜管理功能</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w:t>
            </w:r>
            <w:r/>
          </w:p>
        </w:tc>
      </w:tr>
      <w:tr>
        <w:trPr>
          <w:jc w:val="center"/>
          <w:trHeight w:val="53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73</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功能要求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机柜通信方式</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w:t>
            </w:r>
            <w:r/>
          </w:p>
        </w:tc>
      </w:tr>
      <w:tr>
        <w:trPr>
          <w:jc w:val="center"/>
          <w:trHeight w:val="53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74</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功能要求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多集群作业管理</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75</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安全要求</w:t>
            </w:r>
            <w:r/>
          </w:p>
        </w:tc>
        <w:tc>
          <w:tcPr>
            <w:shd w:val="clear" w:color="auto" w:fill="auto"/>
            <w:tcBorders>
              <w:top w:val="none" w:color="000000" w:sz="4" w:space="0"/>
              <w:left w:val="single" w:color="000000" w:sz="8" w:space="0"/>
              <w:bottom w:val="single" w:color="000000" w:sz="8" w:space="0"/>
              <w:right w:val="single" w:color="000000" w:sz="8" w:space="0"/>
            </w:tcBorders>
            <w:tcW w:w="115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关键部件安全要求</w:t>
            </w:r>
            <w:r/>
          </w:p>
        </w:tc>
        <w:tc>
          <w:tcPr>
            <w:shd w:val="clear" w:color="auto" w:fill="auto"/>
            <w:tcBorders>
              <w:top w:val="none" w:color="000000" w:sz="4"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★关键部件安全要求</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CPU 和操作系统等关键部件应当符合安全可靠测评要求</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76</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安全要求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固件安全要求</w:t>
            </w:r>
            <w:r/>
          </w:p>
        </w:tc>
        <w:tc>
          <w:tcPr>
            <w:shd w:val="clear" w:color="auto" w:fill="auto"/>
            <w:tcBorders>
              <w:top w:val="none" w:color="000000" w:sz="4"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★故障检测</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支持故障检测功能，可以检测到具体的 FRU（内存、硬盘等）的故障并发出告警</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77</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安全要求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内存故障智能预测和自愈修复</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支持内存故障智能预测和自愈修复，提前自动硬隔离，避免内存故障引起的非预期宕机以及内存寿命的降低</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78</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安全要求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硬盘故障智能预测</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支持硬盘故障智能预测，基于故障模型预测出硬盘的故障</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79</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安全要求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PCIe 链路故障智能诊断</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支持 PCIe 链路故障智能诊断，判断出现故障的 PCIe 链路</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80</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安全要求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内存故障隔离</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支持内存故障隔离，在内存产生 CE故障时，内存地址被隔离成功，服务器正常运行，业务系统不中断</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81</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安全要求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内存、PCIe 卡的故障精准告警功能</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支持内存、PCIe 卡的故障精准告警功能，触发告警并明确指示具体的故障位置</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82</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安全要求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异常下电关键数据保护</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支持异常下电关键数据保护，支持数据备份恢复机制，防止系统异常掉电导致的数据文件丢失</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83</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安全要求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BMC/BIOS固件双镜像保护</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支持 BMC/BIOS 固件双镜像保护，运行异常时自动切换到备份镜像运行，提升系统稳定性</w:t>
            </w:r>
            <w:r/>
          </w:p>
        </w:tc>
      </w:tr>
      <w:tr>
        <w:trPr>
          <w:jc w:val="center"/>
          <w:trHeight w:val="12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84</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安全要求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CPU 核重启隔离</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支持 CPU 核发生不可纠正故障后，重启后由 BIOS 隔离该故障核，OS不可见，防止 OS 再次使用导致系统异常，核 0 除外</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85</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安全要求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内存地址隔离</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在硬件支持的情况下，支持故障内存地址重启后隔离</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86</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安全要求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内存存储阵列替换</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在硬件支持的情况下，支持故障内存存储阵列替换</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87</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安全要求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安全启动</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支持执行环境要求在整个系统启动的过程中，系统应提供一个机制来保护平台的完整性</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88</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安全要求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系统安全要求</w:t>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syslog 双向鉴别</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支持系统日志双向鉴别，对服务器根证书和客户端根证书进行鉴别</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89</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安全要求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★弱口令字典检查</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支持弱口令字典检查功能，出现在弱口令字典中的字符串不能被设置为用户口令</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90</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安全要求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★白名单访问控制</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支持基于时间、IP 或 MAC 白名单访问控制</w:t>
            </w:r>
            <w:r/>
          </w:p>
        </w:tc>
      </w:tr>
      <w:tr>
        <w:trPr>
          <w:jc w:val="center"/>
          <w:trHeight w:val="3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91</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安全要求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双因素鉴别</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w:t>
            </w:r>
            <w:r/>
          </w:p>
        </w:tc>
      </w:tr>
      <w:tr>
        <w:trPr>
          <w:jc w:val="center"/>
          <w:trHeight w:val="12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92</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安全要求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★二次鉴别</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支持二次鉴别功能。对于用户配置、权限配置、公钥导入等重要的管理操作，已登录用户应通过二次鉴别后，才能执行操作</w:t>
            </w:r>
            <w:r/>
          </w:p>
        </w:tc>
      </w:tr>
      <w:tr>
        <w:trPr>
          <w:jc w:val="center"/>
          <w:trHeight w:val="79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93</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安全要求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匿名化用户告警接收邮箱</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94</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安全要求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★密码证书安全加密存储</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支持对带外管理系统中的用户口令和证书等敏感信息进行加密存储，禁止使用私有的和业界已知不安全的密码算法</w:t>
            </w:r>
            <w:r/>
          </w:p>
        </w:tc>
      </w:tr>
      <w:tr>
        <w:trPr>
          <w:jc w:val="center"/>
          <w:trHeight w:val="79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95</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安全要求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★敏感信息安全加密传输</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支持使用安全的传输加密协议（如SSH 或 HTTPS 等）传输用户的敏感信息</w:t>
            </w:r>
            <w:r/>
          </w:p>
        </w:tc>
      </w:tr>
      <w:tr>
        <w:trPr>
          <w:jc w:val="center"/>
          <w:trHeight w:val="18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96</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安全要求</w:t>
            </w:r>
            <w:r/>
          </w:p>
        </w:tc>
        <w:tc>
          <w:tcPr>
            <w:shd w:val="clear" w:color="auto" w:fill="auto"/>
            <w:tcBorders>
              <w:top w:val="none" w:color="000000" w:sz="4" w:space="0"/>
              <w:left w:val="single" w:color="000000" w:sz="8" w:space="0"/>
              <w:bottom w:val="single" w:color="000000" w:sz="8" w:space="0"/>
              <w:right w:val="single" w:color="000000" w:sz="8" w:space="0"/>
            </w:tcBorders>
            <w:tcW w:w="1156"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信息安全要求</w:t>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★研发过程安全</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供应商承诺，生产商已建立从需求、设计、开发、测试、维护端到端的开发流程管理机制，输出和保存开发流程中每个阶段的产品需求清单、设计文档、开发文档、测试记录等材料，保证各个流程可追溯</w:t>
            </w:r>
            <w:r/>
          </w:p>
        </w:tc>
      </w:tr>
      <w:tr>
        <w:trPr>
          <w:jc w:val="center"/>
          <w:trHeight w:val="3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97</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安全要求</w:t>
            </w:r>
            <w:r/>
          </w:p>
        </w:tc>
        <w:tc>
          <w:tcPr>
            <w:shd w:val="clear" w:color="auto" w:fill="auto"/>
            <w:tcBorders>
              <w:top w:val="none" w:color="000000" w:sz="4"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漏洞管理</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w:t>
            </w:r>
            <w:r/>
          </w:p>
        </w:tc>
      </w:tr>
      <w:tr>
        <w:trPr>
          <w:jc w:val="center"/>
          <w:trHeight w:val="79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98</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安全要求</w:t>
            </w:r>
            <w:r/>
          </w:p>
        </w:tc>
        <w:tc>
          <w:tcPr>
            <w:shd w:val="clear" w:color="auto" w:fill="auto"/>
            <w:tcBorders>
              <w:top w:val="none" w:color="000000" w:sz="4"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网络关键设备服务器要求</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w:t>
            </w:r>
            <w:r/>
          </w:p>
        </w:tc>
      </w:tr>
      <w:tr>
        <w:trPr>
          <w:jc w:val="center"/>
          <w:trHeight w:val="1103"/>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99</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安全要求</w:t>
            </w:r>
            <w:r/>
          </w:p>
        </w:tc>
        <w:tc>
          <w:tcPr>
            <w:shd w:val="clear" w:color="auto" w:fill="auto"/>
            <w:tcBorders>
              <w:top w:val="none" w:color="000000" w:sz="4"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增强要求</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w:t>
            </w:r>
            <w:r/>
          </w:p>
        </w:tc>
      </w:tr>
      <w:tr>
        <w:trPr>
          <w:jc w:val="center"/>
          <w:trHeight w:val="3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100</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安全要求</w:t>
            </w:r>
            <w:r/>
          </w:p>
        </w:tc>
        <w:tc>
          <w:tcPr>
            <w:shd w:val="clear" w:color="auto" w:fill="auto"/>
            <w:tcBorders>
              <w:top w:val="none" w:color="000000" w:sz="4" w:space="0"/>
              <w:left w:val="single" w:color="000000" w:sz="8" w:space="0"/>
              <w:bottom w:val="single" w:color="000000" w:sz="8" w:space="0"/>
              <w:right w:val="single" w:color="000000" w:sz="8" w:space="0"/>
            </w:tcBorders>
            <w:tcW w:w="115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物理安全</w:t>
            </w:r>
            <w:r/>
          </w:p>
        </w:tc>
        <w:tc>
          <w:tcPr>
            <w:shd w:val="clear" w:color="auto" w:fill="auto"/>
            <w:tcBorders>
              <w:top w:val="none" w:color="000000" w:sz="4"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★物理安全</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安全要求应符合 GB 4943.1 的规定</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101</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安全要求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限用物质的限量要求</w:t>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★限用物质的限量要求</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限用物质的限量应符合 GB/T 26572的要求</w:t>
            </w:r>
            <w:r/>
          </w:p>
        </w:tc>
      </w:tr>
      <w:tr>
        <w:trPr>
          <w:jc w:val="center"/>
          <w:trHeight w:val="3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102</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性能要求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CPU性能</w:t>
            </w:r>
            <w:r/>
          </w:p>
        </w:tc>
        <w:tc>
          <w:tcPr>
            <w:shd w:val="clear" w:color="auto" w:fill="auto"/>
            <w:tcBorders>
              <w:top w:val="single" w:color="000000" w:sz="8"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★CPU 主频</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≥2.6GHz</w:t>
            </w:r>
            <w:r/>
          </w:p>
        </w:tc>
      </w:tr>
      <w:tr>
        <w:trPr>
          <w:jc w:val="center"/>
          <w:trHeight w:val="53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103</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性能要求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★单 CPU 核数</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≥48</w:t>
            </w:r>
            <w:r/>
          </w:p>
        </w:tc>
      </w:tr>
      <w:tr>
        <w:trPr>
          <w:jc w:val="center"/>
          <w:trHeight w:val="53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104</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性能要求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★单 CPU 末级缓存容量</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≥48MB</w:t>
            </w:r>
            <w:r/>
          </w:p>
        </w:tc>
      </w:tr>
      <w:tr>
        <w:trPr>
          <w:jc w:val="center"/>
          <w:trHeight w:val="53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105</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性能要求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内存性能</w:t>
            </w:r>
            <w:r/>
          </w:p>
        </w:tc>
        <w:tc>
          <w:tcPr>
            <w:shd w:val="clear" w:color="auto" w:fill="auto"/>
            <w:tcBorders>
              <w:top w:val="single" w:color="000000" w:sz="8"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单内存模</w:t>
            </w:r>
            <w:r>
              <w:rPr>
                <w:rFonts w:hint="eastAsia" w:ascii="宋体" w:hAnsi="宋体" w:cs="Times New Roman"/>
                <w:sz w:val="21"/>
                <w:szCs w:val="21"/>
              </w:rPr>
              <w:br/>
              <w:t xml:space="preserve">块容量</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≥64GB</w:t>
            </w:r>
            <w:r/>
          </w:p>
        </w:tc>
      </w:tr>
      <w:tr>
        <w:trPr>
          <w:jc w:val="center"/>
          <w:trHeight w:val="3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106</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性能要求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★内存速率</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≥2666MT/s </w:t>
            </w:r>
            <w:r/>
          </w:p>
        </w:tc>
      </w:tr>
      <w:tr>
        <w:trPr>
          <w:jc w:val="center"/>
          <w:trHeight w:val="460"/>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107</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性能要求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存储性能</w:t>
            </w:r>
            <w:r/>
          </w:p>
        </w:tc>
        <w:tc>
          <w:tcPr>
            <w:shd w:val="clear" w:color="auto" w:fill="auto"/>
            <w:tcBorders>
              <w:top w:val="single" w:color="000000" w:sz="8"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硬盘转速</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108</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性能要求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RAID卡性能</w:t>
            </w:r>
            <w:r/>
          </w:p>
        </w:tc>
        <w:tc>
          <w:tcPr>
            <w:shd w:val="clear" w:color="auto" w:fill="auto"/>
            <w:tcBorders>
              <w:top w:val="single" w:color="000000" w:sz="8"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RAID 卡缓存容量大小</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配备 RAID 卡且RAID 卡缓存容量不少于 4GB</w:t>
            </w:r>
            <w:r/>
          </w:p>
        </w:tc>
      </w:tr>
      <w:tr>
        <w:trPr>
          <w:jc w:val="center"/>
          <w:trHeight w:val="53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109</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性能要求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FC HBA卡性能</w:t>
            </w:r>
            <w:r/>
          </w:p>
        </w:tc>
        <w:tc>
          <w:tcPr>
            <w:shd w:val="clear" w:color="auto" w:fill="auto"/>
            <w:tcBorders>
              <w:top w:val="single" w:color="000000" w:sz="8"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FC HBA 卡速率</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w:t>
            </w:r>
            <w:r/>
          </w:p>
        </w:tc>
      </w:tr>
      <w:tr>
        <w:trPr>
          <w:jc w:val="center"/>
          <w:trHeight w:val="53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110</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性能要求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网络性能</w:t>
            </w:r>
            <w:r/>
          </w:p>
        </w:tc>
        <w:tc>
          <w:tcPr>
            <w:shd w:val="clear" w:color="auto" w:fill="auto"/>
            <w:tcBorders>
              <w:top w:val="single" w:color="000000" w:sz="8"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独立网卡速率</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≥10GE</w:t>
            </w:r>
            <w:r/>
          </w:p>
        </w:tc>
      </w:tr>
      <w:tr>
        <w:trPr>
          <w:jc w:val="center"/>
          <w:trHeight w:val="53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111</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性能要求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板载网卡速率</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≥1GE</w:t>
            </w:r>
            <w:r/>
          </w:p>
        </w:tc>
      </w:tr>
      <w:tr>
        <w:trPr>
          <w:jc w:val="center"/>
          <w:trHeight w:val="3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112</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性能要求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电源能耗</w:t>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★电源能耗</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符合 GB/T 9813.3 的有关规定</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113</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兼容要求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部件兼容性要求</w:t>
            </w:r>
            <w:r/>
          </w:p>
        </w:tc>
        <w:tc>
          <w:tcPr>
            <w:shd w:val="clear" w:color="auto" w:fill="auto"/>
            <w:tcBorders>
              <w:top w:val="single" w:color="000000" w:sz="8"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★内存兼容性</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适配 3 种及以上厂商的内存产品，且均不低于产品支持的内存规格</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114</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兼容要求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★固态存储兼容性</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适配 3 种或以上厂商的固态存储产品，且均不低于产品支持的固态存储设备规格</w:t>
            </w:r>
            <w:r/>
          </w:p>
        </w:tc>
      </w:tr>
      <w:tr>
        <w:trPr>
          <w:jc w:val="center"/>
          <w:trHeight w:val="53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115</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兼容要求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FC HBA 卡兼容性</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w:t>
            </w:r>
            <w:r/>
          </w:p>
        </w:tc>
      </w:tr>
      <w:tr>
        <w:trPr>
          <w:jc w:val="center"/>
          <w:trHeight w:val="53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116</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兼容要求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RAID 卡兼容性</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RAID 卡适配两种或以上厂商产品</w:t>
            </w:r>
            <w:r/>
          </w:p>
        </w:tc>
      </w:tr>
      <w:tr>
        <w:trPr>
          <w:jc w:val="center"/>
          <w:trHeight w:val="53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117</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兼容要求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★网卡兼容性</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网卡应适配两种或以上厂商产品</w:t>
            </w:r>
            <w:r/>
          </w:p>
        </w:tc>
      </w:tr>
      <w:tr>
        <w:trPr>
          <w:jc w:val="center"/>
          <w:trHeight w:val="53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118</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兼容要求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★功能卡兼容性</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内置或适配符合 PCIe 的功能卡</w:t>
            </w:r>
            <w:r/>
          </w:p>
        </w:tc>
      </w:tr>
      <w:tr>
        <w:trPr>
          <w:jc w:val="center"/>
          <w:trHeight w:val="15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119</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兼容要求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外设兼容性</w:t>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★外设兼容性</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兼容多种主流生产商的外部设备，包括显示器、键盘、鼠标、闪存盘、移动硬盘、USB光驱及KVM等，要求使用不同厂商的外部设备时，系统均能政采识别和安装驱动</w:t>
            </w:r>
            <w:r/>
          </w:p>
        </w:tc>
      </w:tr>
      <w:tr>
        <w:trPr>
          <w:jc w:val="center"/>
          <w:trHeight w:val="53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120</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兼容要求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软件兼容性</w:t>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★数据库兼容</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兼容 3 个及以上厂商的数据库产品</w:t>
            </w:r>
            <w:r/>
          </w:p>
        </w:tc>
      </w:tr>
      <w:tr>
        <w:trPr>
          <w:jc w:val="center"/>
          <w:trHeight w:val="53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121</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兼容要求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★中间件兼容</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兼容 3 个及以上厂商的中间件产品</w:t>
            </w:r>
            <w:r/>
          </w:p>
        </w:tc>
      </w:tr>
      <w:tr>
        <w:trPr>
          <w:jc w:val="center"/>
          <w:trHeight w:val="53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122</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兼容要求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★平台软件兼容</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兼容 3 个及以上厂商的大数据平台</w:t>
            </w:r>
            <w:r/>
          </w:p>
        </w:tc>
      </w:tr>
      <w:tr>
        <w:trPr>
          <w:jc w:val="center"/>
          <w:trHeight w:val="53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123</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兼容要求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虚拟化软件兼容</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兼容 2 款及以上虚拟化软件</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124</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可靠性要求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存储可靠性要求</w:t>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SATA SSD可靠性</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SSD 的 m1 值（MTBF 的不可接受值）不低于 200000h</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125</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可靠性要求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整机可靠性要求</w:t>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★整机可靠性</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m1 值（MTBF 的不可接受值）不得低于 30000h</w:t>
            </w:r>
            <w:r/>
          </w:p>
        </w:tc>
      </w:tr>
      <w:tr>
        <w:trPr>
          <w:jc w:val="center"/>
          <w:trHeight w:val="53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126</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可靠性要求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★风扇可靠性</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风扇寿命应不低于 40000h</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127</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可靠性要求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★部件可靠性</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支持硬盘、电源、风扇热插拔(内置风扇除外)</w:t>
            </w:r>
            <w:r/>
          </w:p>
        </w:tc>
      </w:tr>
      <w:tr>
        <w:trPr>
          <w:jc w:val="center"/>
          <w:trHeight w:val="79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128</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包装及运输要求</w:t>
            </w:r>
            <w:r/>
          </w:p>
        </w:tc>
        <w:tc>
          <w:tcPr>
            <w:shd w:val="clear" w:color="auto" w:fill="auto"/>
            <w:tcBorders>
              <w:top w:val="none" w:color="000000" w:sz="4" w:space="0"/>
              <w:left w:val="single" w:color="000000" w:sz="8" w:space="0"/>
              <w:bottom w:val="single" w:color="000000" w:sz="8" w:space="0"/>
              <w:right w:val="single" w:color="000000" w:sz="8" w:space="0"/>
            </w:tcBorders>
            <w:tcW w:w="115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包装及运输要求</w:t>
            </w:r>
            <w:r/>
          </w:p>
        </w:tc>
        <w:tc>
          <w:tcPr>
            <w:shd w:val="clear" w:color="auto" w:fill="auto"/>
            <w:tcBorders>
              <w:top w:val="single" w:color="000000" w:sz="8"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★标志、包装、运输和贮存</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符合 GB/T 9813.3 和商品包装政府采购需求标准的相关规定</w:t>
            </w:r>
            <w:r/>
          </w:p>
        </w:tc>
      </w:tr>
      <w:tr>
        <w:trPr>
          <w:jc w:val="center"/>
          <w:trHeight w:val="33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129</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服务要求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服务响应</w:t>
            </w:r>
            <w:r/>
          </w:p>
        </w:tc>
        <w:tc>
          <w:tcPr>
            <w:shd w:val="clear" w:color="auto" w:fill="auto"/>
            <w:tcBorders>
              <w:top w:val="single" w:color="000000" w:sz="8"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★服务响应</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a) 提供电话、电子邮件、远程连接等多种形式服务；</w:t>
            </w:r>
            <w:r>
              <w:rPr>
                <w:rFonts w:hint="eastAsia" w:ascii="宋体" w:hAnsi="宋体" w:cs="Times New Roman"/>
                <w:sz w:val="21"/>
                <w:szCs w:val="21"/>
              </w:rPr>
              <w:br/>
              <w:t xml:space="preserve">b) 提供同城 4h、异地 12h 技术响应服务，2 个工作日解决问题，对于未能解决的问题和故障应提供可行的升级方案，并提供周转设备；</w:t>
            </w:r>
            <w:r>
              <w:rPr>
                <w:rFonts w:hint="eastAsia" w:ascii="宋体" w:hAnsi="宋体" w:cs="Times New Roman"/>
                <w:sz w:val="21"/>
                <w:szCs w:val="21"/>
              </w:rPr>
              <w:br/>
              <w:t xml:space="preserve">c) 建立全国技术服务体系和服务团体，符合专业服务体系标准要求，提供原厂中文服务；</w:t>
            </w:r>
            <w:r>
              <w:rPr>
                <w:rFonts w:hint="eastAsia" w:ascii="宋体" w:hAnsi="宋体" w:cs="Times New Roman"/>
                <w:sz w:val="21"/>
                <w:szCs w:val="21"/>
              </w:rPr>
              <w:br/>
              <w:t xml:space="preserve">d) 服务周期内提供产品的维修、换件和升级服务</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130</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服务要求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none" w:color="000000" w:sz="4"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★培训服务</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供应商提供培训材料、产品手册、培训视频等培训相关内容</w:t>
            </w:r>
            <w:r/>
          </w:p>
        </w:tc>
      </w:tr>
      <w:tr>
        <w:trPr>
          <w:jc w:val="center"/>
          <w:trHeight w:val="24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131</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服务要求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服务周期</w:t>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★服务周期</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a) 产品免费服务周期（含换件和维修） 3 年；</w:t>
            </w:r>
            <w:r>
              <w:rPr>
                <w:rFonts w:hint="eastAsia" w:ascii="宋体" w:hAnsi="宋体" w:cs="Times New Roman"/>
                <w:sz w:val="21"/>
                <w:szCs w:val="21"/>
              </w:rPr>
              <w:br/>
              <w:t xml:space="preserve">b) 设备停产后继续提供质量保障服务（含备品备件），服务终止时间与最后一批设备交付时间间隔不低于6年；</w:t>
            </w:r>
            <w:r>
              <w:rPr>
                <w:rFonts w:hint="eastAsia" w:ascii="宋体" w:hAnsi="宋体" w:cs="Times New Roman"/>
                <w:sz w:val="21"/>
                <w:szCs w:val="21"/>
              </w:rPr>
              <w:br/>
              <w:t xml:space="preserve">c) 产品停止服务时间应提前1年告知客户；</w:t>
            </w:r>
            <w:r>
              <w:rPr>
                <w:rFonts w:hint="eastAsia" w:ascii="宋体" w:hAnsi="宋体" w:cs="Times New Roman"/>
                <w:sz w:val="21"/>
                <w:szCs w:val="21"/>
              </w:rPr>
              <w:br/>
              <w:t xml:space="preserve">d) 产品发布日期需在随机文件中明确</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132</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服务要求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服务工具要求</w:t>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★工具要求</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供应商提供设置服务器硬件、辅助操作系统安装等功能的辅助工具和管理软件。且随附软件应具有合法授权或版权</w:t>
            </w:r>
            <w:r/>
          </w:p>
        </w:tc>
      </w:tr>
      <w:tr>
        <w:trPr>
          <w:jc w:val="center"/>
          <w:trHeight w:val="18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133</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服务要求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辅助工具</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支持如下功能</w:t>
            </w:r>
            <w:r>
              <w:rPr>
                <w:rFonts w:hint="eastAsia" w:ascii="宋体" w:hAnsi="宋体" w:cs="Times New Roman"/>
                <w:sz w:val="21"/>
                <w:szCs w:val="21"/>
              </w:rPr>
              <w:br/>
              <w:t xml:space="preserve">a) 本地的数据备份和还原功能；</w:t>
            </w:r>
            <w:r>
              <w:rPr>
                <w:rFonts w:hint="eastAsia" w:ascii="宋体" w:hAnsi="宋体" w:cs="Times New Roman"/>
                <w:sz w:val="21"/>
                <w:szCs w:val="21"/>
              </w:rPr>
              <w:br/>
              <w:t xml:space="preserve">b) 网络的数据备份和还原功能；</w:t>
            </w:r>
            <w:r>
              <w:rPr>
                <w:rFonts w:hint="eastAsia" w:ascii="宋体" w:hAnsi="宋体" w:cs="Times New Roman"/>
                <w:sz w:val="21"/>
                <w:szCs w:val="21"/>
              </w:rPr>
              <w:br/>
              <w:t xml:space="preserve">c) 服务器操作系统的自动安装功能；</w:t>
            </w:r>
            <w:r>
              <w:rPr>
                <w:rFonts w:hint="eastAsia" w:ascii="宋体" w:hAnsi="宋体" w:cs="Times New Roman"/>
                <w:sz w:val="21"/>
                <w:szCs w:val="21"/>
              </w:rPr>
              <w:br/>
              <w:t xml:space="preserve">d) 服务器所配硬件需要的驱动程序和系统补丁</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134</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服务要求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★驱动安装升级指引</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供应商提供出厂安装的配件所需的驱动程序，形式包括但不限于驱动光盘、驱动下载链接等。其他配件应提供指引</w:t>
            </w:r>
            <w:r/>
          </w:p>
        </w:tc>
      </w:tr>
      <w:tr>
        <w:trPr>
          <w:jc w:val="center"/>
          <w:trHeight w:val="53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135</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服务要求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随机附开盖工具</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随服务器打包提供开机箱工具</w:t>
            </w:r>
            <w:r/>
          </w:p>
        </w:tc>
      </w:tr>
      <w:tr>
        <w:trPr>
          <w:jc w:val="center"/>
          <w:trHeight w:val="53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136</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服务要求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代码迁移工具</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w:t>
            </w:r>
            <w:r/>
          </w:p>
        </w:tc>
      </w:tr>
      <w:tr>
        <w:trPr>
          <w:jc w:val="center"/>
          <w:trHeight w:val="53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137</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服务要求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性能分析工具</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w:t>
            </w:r>
            <w:r/>
          </w:p>
        </w:tc>
      </w:tr>
      <w:tr>
        <w:trPr>
          <w:jc w:val="center"/>
          <w:trHeight w:val="53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138</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服务要求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跨架构平台应用兼容</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139</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服务要求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★管理软件</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具备资源管理、系统管理、性能监控、健康监控、基于网络控制、报警设置功能</w:t>
            </w:r>
            <w:r/>
          </w:p>
        </w:tc>
      </w:tr>
      <w:tr>
        <w:trPr>
          <w:jc w:val="center"/>
          <w:trHeight w:val="79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140</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服务要求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增值服务</w:t>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★厂家升级产品软件与扩容服务</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供应商提供原厂级的部件/软件产品升级和扩容能力</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141</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服务要求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服务保障升级</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供应商有偿提供远程技术支持、软件授权服务、备件更换服务、现场支承服务</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142</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服务要求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★提供上门服务</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供应商具备提供上门服务的能力(可收费)</w:t>
            </w:r>
            <w:r/>
          </w:p>
        </w:tc>
      </w:tr>
      <w:tr>
        <w:trPr>
          <w:jc w:val="center"/>
          <w:trHeight w:val="105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143</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服务要求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业务场景性能优化服务及整体架构升级服务</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对于部署在该服务器上的HIS数据库，配合软件开发厂商调优</w:t>
            </w:r>
            <w:r/>
          </w:p>
        </w:tc>
      </w:tr>
      <w:tr>
        <w:trPr>
          <w:jc w:val="center"/>
          <w:trHeight w:val="12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144</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供保要求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restart"/>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供应链质量</w:t>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★抗干扰性</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当产品部件出现供应风险时，应通知客户并提供风险应对方案确保产品的服务保障，必要时应停止相关受影响产品的销售</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145</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供保要求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vMerge w:val="continue"/>
            <w:textDirection w:val="lrTb"/>
            <w:noWrap w:val="false"/>
          </w:tcPr>
          <w:p>
            <w:pPr>
              <w:ind w:left="0"/>
              <w:jc w:val="left"/>
              <w:spacing w:line="360" w:lineRule="auto"/>
              <w:tabs>
                <w:tab w:val="left" w:pos="420" w:leader="none"/>
              </w:tabs>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★供应能力证明</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供应商提供供应链稳定承诺书，确保产品的部件在产品服务周期内稳定供货</w:t>
            </w:r>
            <w:r/>
          </w:p>
        </w:tc>
      </w:tr>
      <w:tr>
        <w:trPr>
          <w:jc w:val="center"/>
          <w:trHeight w:val="612"/>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146</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功能要求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管理</w:t>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widowControl w:val="off"/>
              <w:rPr>
                <w:rFonts w:ascii="宋体" w:hAnsi="宋体"/>
                <w:color w:val="000000"/>
                <w:sz w:val="21"/>
                <w:szCs w:val="21"/>
              </w:rPr>
            </w:pPr>
            <w:r>
              <w:rPr>
                <w:rFonts w:hint="eastAsia" w:ascii="宋体" w:hAnsi="宋体"/>
                <w:sz w:val="21"/>
                <w:szCs w:val="21"/>
              </w:rPr>
              <w:t xml:space="preserve">▲</w:t>
            </w:r>
            <w:r>
              <w:rPr>
                <w:rFonts w:hint="eastAsia" w:ascii="宋体" w:hAnsi="宋体"/>
                <w:color w:val="000000"/>
                <w:sz w:val="21"/>
                <w:szCs w:val="21"/>
              </w:rPr>
              <w:t xml:space="preserve">可管理性</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1.具有图形化管理界面，支持自动服务器重启、风扇监视和控制、电源监控、温度监控、启动/关闭、按序重启、本地固件更新、错误日志等操作；</w:t>
            </w:r>
            <w:r/>
          </w:p>
          <w:p>
            <w:pPr>
              <w:ind w:left="0"/>
              <w:widowControl w:val="off"/>
              <w:rPr>
                <w:rFonts w:ascii="宋体" w:hAnsi="宋体"/>
                <w:color w:val="000000"/>
                <w:sz w:val="21"/>
                <w:szCs w:val="21"/>
              </w:rPr>
            </w:pPr>
            <w:r>
              <w:rPr>
                <w:rFonts w:hint="eastAsia" w:ascii="宋体" w:hAnsi="宋体"/>
                <w:color w:val="000000"/>
                <w:sz w:val="21"/>
                <w:szCs w:val="21"/>
              </w:rPr>
              <w:t xml:space="preserve">2.配置独立的远程管理控制端口，可实现与操作系统无关的远程对服务器的完全控制，包括远程的开机、关机、重启、虚拟软驱、虚拟光驱等操作</w:t>
            </w:r>
            <w:r/>
          </w:p>
        </w:tc>
      </w:tr>
      <w:tr>
        <w:trPr>
          <w:jc w:val="center"/>
          <w:trHeight w:val="612"/>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147</w:t>
            </w:r>
            <w:r/>
          </w:p>
        </w:tc>
        <w:tc>
          <w:tcPr>
            <w:shd w:val="clear" w:color="auto" w:fill="auto"/>
            <w:tcBorders>
              <w:top w:val="single" w:color="000000" w:sz="8" w:space="0"/>
              <w:left w:val="none" w:color="000000" w:sz="4" w:space="0"/>
              <w:bottom w:val="single" w:color="000000" w:sz="8" w:space="0"/>
              <w:right w:val="single" w:color="000000" w:sz="8" w:space="0"/>
            </w:tcBorders>
            <w:tcW w:w="1143"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安全要求</w:t>
            </w:r>
            <w:r/>
          </w:p>
        </w:tc>
        <w:tc>
          <w:tcPr>
            <w:shd w:val="clear" w:color="auto" w:fill="auto"/>
            <w:tcBorders>
              <w:top w:val="single" w:color="000000" w:sz="8" w:space="0"/>
              <w:left w:val="single" w:color="000000" w:sz="8" w:space="0"/>
              <w:bottom w:val="single" w:color="000000" w:sz="8" w:space="0"/>
              <w:right w:val="single" w:color="000000" w:sz="8" w:space="0"/>
            </w:tcBorders>
            <w:tcW w:w="1156" w:type="dxa"/>
            <w:vAlign w:val="center"/>
            <w:textDirection w:val="lrTb"/>
            <w:noWrap w:val="false"/>
          </w:tcPr>
          <w:p>
            <w:pPr>
              <w:ind w:left="0"/>
              <w:jc w:val="left"/>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安全</w:t>
            </w:r>
            <w:r/>
          </w:p>
        </w:tc>
        <w:tc>
          <w:tcPr>
            <w:shd w:val="clear" w:color="auto" w:fill="auto"/>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ind w:left="0"/>
              <w:widowControl w:val="off"/>
              <w:rPr>
                <w:rFonts w:ascii="宋体" w:hAnsi="宋体"/>
                <w:color w:val="000000"/>
                <w:sz w:val="21"/>
                <w:szCs w:val="21"/>
              </w:rPr>
            </w:pPr>
            <w:r>
              <w:rPr>
                <w:rFonts w:hint="eastAsia" w:ascii="宋体" w:hAnsi="宋体"/>
                <w:sz w:val="21"/>
                <w:szCs w:val="21"/>
              </w:rPr>
              <w:t xml:space="preserve">▲</w:t>
            </w:r>
            <w:r>
              <w:rPr>
                <w:rFonts w:hint="eastAsia" w:ascii="宋体" w:hAnsi="宋体"/>
                <w:color w:val="000000"/>
                <w:sz w:val="21"/>
                <w:szCs w:val="21"/>
              </w:rPr>
              <w:t xml:space="preserve">安全性要求</w:t>
            </w:r>
            <w:r/>
          </w:p>
        </w:tc>
        <w:tc>
          <w:tcPr>
            <w:shd w:val="clear" w:color="auto" w:fill="auto"/>
            <w:tcBorders>
              <w:top w:val="single" w:color="000000" w:sz="4" w:space="0"/>
              <w:left w:val="single" w:color="000000" w:sz="4" w:space="0"/>
              <w:bottom w:val="single" w:color="000000" w:sz="4" w:space="0"/>
              <w:right w:val="single" w:color="000000" w:sz="4" w:space="0"/>
            </w:tcBorders>
            <w:tcW w:w="5766"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服务器管理软件通过安全渗透测试，包含认证安全、权限管理安全、会话安全、信息泄露安全、输入输出合法性安全性测试</w:t>
            </w:r>
            <w:r/>
          </w:p>
        </w:tc>
      </w:tr>
    </w:tbl>
    <w:p>
      <w:pPr>
        <w:pStyle w:val="871"/>
        <w:ind w:left="0" w:firstLine="0"/>
        <w:rPr>
          <w:rFonts w:ascii="宋体" w:hAnsi="宋体" w:cs="宋体"/>
          <w:sz w:val="24"/>
          <w:szCs w:val="24"/>
        </w:rPr>
      </w:pPr>
      <w:r>
        <w:rPr>
          <w:rFonts w:ascii="宋体" w:hAnsi="宋体" w:cs="宋体"/>
          <w:sz w:val="24"/>
          <w:szCs w:val="24"/>
        </w:rPr>
      </w:r>
      <w:r/>
    </w:p>
    <w:p>
      <w:pPr>
        <w:ind w:left="420" w:firstLine="1188"/>
        <w:spacing w:line="360" w:lineRule="exact"/>
        <w:rPr>
          <w:rFonts w:ascii="宋体" w:hAnsi="宋体"/>
          <w:sz w:val="24"/>
          <w:szCs w:val="24"/>
        </w:rPr>
      </w:pPr>
      <w:r>
        <w:rPr>
          <w:rFonts w:ascii="宋体" w:hAnsi="宋体"/>
          <w:sz w:val="24"/>
          <w:szCs w:val="24"/>
        </w:rPr>
      </w:r>
      <w:r/>
    </w:p>
    <w:p>
      <w:pPr>
        <w:ind w:left="0" w:firstLine="420"/>
        <w:spacing w:line="360" w:lineRule="auto"/>
        <w:rPr>
          <w:rFonts w:ascii="宋体" w:hAnsi="宋体"/>
          <w:b/>
          <w:bCs/>
          <w:sz w:val="24"/>
          <w:szCs w:val="24"/>
        </w:rPr>
      </w:pPr>
      <w:r>
        <w:rPr>
          <w:rFonts w:hint="eastAsia" w:ascii="宋体" w:hAnsi="宋体"/>
          <w:b/>
          <w:bCs/>
          <w:sz w:val="24"/>
          <w:szCs w:val="24"/>
        </w:rPr>
        <w:t xml:space="preserve">集成服务</w:t>
      </w:r>
      <w:r/>
    </w:p>
    <w:tbl>
      <w:tblPr>
        <w:tblStyle w:val="1277"/>
        <w:tblW w:w="4822" w:type="pct"/>
        <w:jc w:val="center"/>
        <w:tblLook w:val="04A0" w:firstRow="1" w:lastRow="0" w:firstColumn="1" w:lastColumn="0" w:noHBand="0" w:noVBand="1"/>
      </w:tblPr>
      <w:tblGrid>
        <w:gridCol w:w="1412"/>
        <w:gridCol w:w="8091"/>
      </w:tblGrid>
      <w:tr>
        <w:trPr>
          <w:jc w:val="center"/>
          <w:trHeight w:val="285"/>
        </w:trPr>
        <w:tc>
          <w:tcPr>
            <w:tcW w:w="743" w:type="pct"/>
            <w:vAlign w:val="center"/>
            <w:textDirection w:val="lrTb"/>
            <w:noWrap w:val="false"/>
          </w:tcPr>
          <w:p>
            <w:pPr>
              <w:ind w:left="0"/>
              <w:jc w:val="center"/>
              <w:spacing w:line="360" w:lineRule="auto"/>
              <w:tabs>
                <w:tab w:val="left" w:pos="420" w:leader="none"/>
              </w:tabs>
              <w:rPr>
                <w:rFonts w:ascii="宋体" w:hAnsi="宋体" w:eastAsia="宋体"/>
                <w:b/>
                <w:sz w:val="21"/>
                <w:szCs w:val="21"/>
              </w:rPr>
            </w:pPr>
            <w:r>
              <w:rPr>
                <w:rFonts w:hint="eastAsia" w:ascii="宋体" w:hAnsi="宋体" w:eastAsia="宋体"/>
                <w:b/>
                <w:sz w:val="21"/>
                <w:szCs w:val="21"/>
              </w:rPr>
              <w:t xml:space="preserve">功能及技术指标</w:t>
            </w:r>
            <w:r/>
          </w:p>
        </w:tc>
        <w:tc>
          <w:tcPr>
            <w:tcW w:w="4257" w:type="pct"/>
            <w:vAlign w:val="center"/>
            <w:textDirection w:val="lrTb"/>
            <w:noWrap w:val="false"/>
          </w:tcPr>
          <w:p>
            <w:pPr>
              <w:ind w:left="0"/>
              <w:jc w:val="center"/>
              <w:spacing w:line="360" w:lineRule="auto"/>
              <w:tabs>
                <w:tab w:val="left" w:pos="420" w:leader="none"/>
              </w:tabs>
              <w:rPr>
                <w:rFonts w:ascii="宋体" w:hAnsi="宋体" w:eastAsia="宋体"/>
                <w:b/>
                <w:sz w:val="21"/>
                <w:szCs w:val="21"/>
              </w:rPr>
            </w:pPr>
            <w:r>
              <w:rPr>
                <w:rFonts w:hint="eastAsia" w:ascii="宋体" w:hAnsi="宋体" w:eastAsia="宋体"/>
                <w:b/>
                <w:sz w:val="21"/>
                <w:szCs w:val="21"/>
              </w:rPr>
              <w:t xml:space="preserve">参数要求</w:t>
            </w:r>
            <w:r/>
          </w:p>
        </w:tc>
      </w:tr>
      <w:tr>
        <w:trPr>
          <w:jc w:val="center"/>
          <w:trHeight w:val="283"/>
        </w:trPr>
        <w:tc>
          <w:tcPr>
            <w:tcW w:w="743" w:type="pct"/>
            <w:vAlign w:val="center"/>
            <w:textDirection w:val="lrTb"/>
            <w:noWrap w:val="false"/>
          </w:tcPr>
          <w:p>
            <w:pPr>
              <w:ind w:left="0"/>
              <w:jc w:val="center"/>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集成服务要求及验收要求</w:t>
            </w:r>
            <w:r/>
          </w:p>
        </w:tc>
        <w:tc>
          <w:tcPr>
            <w:tcW w:w="4257" w:type="pct"/>
            <w:textDirection w:val="lrTb"/>
            <w:noWrap w:val="false"/>
          </w:tcPr>
          <w:p>
            <w:pPr>
              <w:ind w:left="0" w:firstLine="420"/>
              <w:jc w:val="left"/>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提供项目内相关设备的高质量设计、安装、调试、试运行服务，配合操作系统、数据库等进行联合测试。</w:t>
            </w:r>
            <w:r/>
          </w:p>
          <w:p>
            <w:pPr>
              <w:ind w:left="0" w:firstLine="420"/>
              <w:jc w:val="left"/>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服务器上部署/配置数据库及高可用平台；数据库高可用性保护安装调试及系统高可用性测试；在应用上线后，提供专用性能分析软件进行一次性能数据的采集和分析，并出具分析报告；搭建数据库远程应用双活环境和读写分离环境；</w:t>
            </w:r>
            <w:r/>
          </w:p>
          <w:p>
            <w:pPr>
              <w:ind w:left="0" w:firstLine="420"/>
              <w:jc w:val="left"/>
              <w:spacing w:line="360" w:lineRule="auto"/>
              <w:tabs>
                <w:tab w:val="left" w:pos="420" w:leader="none"/>
              </w:tabs>
              <w:rPr>
                <w:rFonts w:ascii="宋体" w:hAnsi="宋体" w:eastAsia="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sz w:val="21"/>
                <w:szCs w:val="21"/>
              </w:rPr>
              <w:t xml:space="preserve">项目完成后， 必须提供完成的交付文件，包括但不限于整体硬件环境检查报告，针对现有环境改善说明报告。</w:t>
            </w:r>
            <w:r/>
          </w:p>
        </w:tc>
      </w:tr>
      <w:tr>
        <w:trPr>
          <w:jc w:val="center"/>
          <w:trHeight w:val="283"/>
        </w:trPr>
        <w:tc>
          <w:tcPr>
            <w:tcW w:w="743" w:type="pct"/>
            <w:vAlign w:val="center"/>
            <w:textDirection w:val="lrTb"/>
            <w:noWrap w:val="false"/>
          </w:tcPr>
          <w:p>
            <w:pPr>
              <w:ind w:left="0"/>
              <w:jc w:val="center"/>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售后运维服务要求及应急响应要求</w:t>
            </w:r>
            <w:r/>
          </w:p>
        </w:tc>
        <w:tc>
          <w:tcPr>
            <w:tcW w:w="4257" w:type="pct"/>
            <w:textDirection w:val="lrTb"/>
            <w:noWrap w:val="false"/>
          </w:tcPr>
          <w:p>
            <w:pPr>
              <w:ind w:left="0" w:firstLine="420"/>
              <w:jc w:val="left"/>
              <w:spacing w:line="360" w:lineRule="auto"/>
              <w:tabs>
                <w:tab w:val="left" w:pos="420" w:leader="none"/>
              </w:tabs>
              <w:rPr>
                <w:rFonts w:ascii="宋体" w:hAnsi="宋体" w:eastAsia="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sz w:val="21"/>
                <w:szCs w:val="21"/>
              </w:rPr>
              <w:t xml:space="preserve">项目转为运维后，提供专业的运维服务，并在规定时间内解决相应设备的故障，保修期内免费更换零配件，7×24小时技术响应。保修期自验收合格之日起计算。</w:t>
            </w:r>
            <w:r/>
          </w:p>
          <w:p>
            <w:pPr>
              <w:ind w:left="0" w:firstLine="420"/>
              <w:jc w:val="left"/>
              <w:spacing w:line="360" w:lineRule="auto"/>
              <w:tabs>
                <w:tab w:val="left" w:pos="420" w:leader="none"/>
              </w:tabs>
              <w:rPr>
                <w:rFonts w:ascii="宋体" w:hAnsi="宋体" w:eastAsia="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sz w:val="21"/>
                <w:szCs w:val="21"/>
              </w:rPr>
              <w:t xml:space="preserve">在质保期内，如发生质量问题，所产生的费用由中标供应商负责。如中标供应商在接到通知后承诺到场时间内没有处理问题，则视为承认质量问题并承担由此而发生的一切费用。质保期间的一切质量问题，更换部件及本身质量原因造成的直接经济损失应全部由中标供应商自行负责。</w:t>
            </w:r>
            <w:r/>
          </w:p>
          <w:p>
            <w:pPr>
              <w:ind w:left="0" w:firstLine="420"/>
              <w:jc w:val="left"/>
              <w:spacing w:line="360" w:lineRule="auto"/>
              <w:tabs>
                <w:tab w:val="left" w:pos="420" w:leader="none"/>
              </w:tabs>
              <w:rPr>
                <w:rFonts w:ascii="宋体" w:hAnsi="宋体" w:eastAsia="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sz w:val="21"/>
                <w:szCs w:val="21"/>
              </w:rPr>
              <w:t xml:space="preserve">除以上明确要求外，投标人针对本项目实际提供售后服务及应急保障方案，根据售后服务承诺的范围和完善程度进行详细的描述和说明。包括但不限于服务人员，服务范围，服务内容，响应时效，应急措施等信息。</w:t>
            </w:r>
            <w:r/>
          </w:p>
        </w:tc>
      </w:tr>
      <w:tr>
        <w:trPr>
          <w:jc w:val="center"/>
          <w:trHeight w:val="283"/>
        </w:trPr>
        <w:tc>
          <w:tcPr>
            <w:tcW w:w="743" w:type="pct"/>
            <w:vAlign w:val="center"/>
            <w:textDirection w:val="lrTb"/>
            <w:noWrap w:val="false"/>
          </w:tcPr>
          <w:p>
            <w:pPr>
              <w:ind w:left="0"/>
              <w:jc w:val="center"/>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培训要求</w:t>
            </w:r>
            <w:r/>
          </w:p>
        </w:tc>
        <w:tc>
          <w:tcPr>
            <w:tcW w:w="4257" w:type="pct"/>
            <w:textDirection w:val="lrTb"/>
            <w:noWrap w:val="false"/>
          </w:tcPr>
          <w:p>
            <w:pPr>
              <w:ind w:left="0" w:firstLine="420"/>
              <w:jc w:val="left"/>
              <w:spacing w:line="360" w:lineRule="auto"/>
              <w:tabs>
                <w:tab w:val="left" w:pos="420" w:leader="none"/>
              </w:tabs>
              <w:rPr>
                <w:rFonts w:ascii="宋体" w:hAnsi="宋体" w:eastAsia="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sz w:val="21"/>
                <w:szCs w:val="21"/>
              </w:rPr>
              <w:t xml:space="preserve">针对本项目的整体内容进行有针对性的培训，包括指定培训讲师、制定培训计划，培训材料，培训方案等。</w:t>
            </w:r>
            <w:r/>
          </w:p>
        </w:tc>
      </w:tr>
      <w:tr>
        <w:trPr>
          <w:jc w:val="center"/>
          <w:trHeight w:val="283"/>
        </w:trPr>
        <w:tc>
          <w:tcPr>
            <w:tcW w:w="743" w:type="pct"/>
            <w:vAlign w:val="center"/>
            <w:textDirection w:val="lrTb"/>
            <w:noWrap w:val="false"/>
          </w:tcPr>
          <w:p>
            <w:pPr>
              <w:ind w:left="0"/>
              <w:jc w:val="center"/>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项目要求</w:t>
            </w:r>
            <w:r/>
          </w:p>
        </w:tc>
        <w:tc>
          <w:tcPr>
            <w:tcW w:w="4257" w:type="pct"/>
            <w:textDirection w:val="lrTb"/>
            <w:noWrap w:val="false"/>
          </w:tcPr>
          <w:p>
            <w:pPr>
              <w:ind w:left="0" w:firstLine="420"/>
              <w:jc w:val="left"/>
              <w:spacing w:line="360" w:lineRule="auto"/>
              <w:tabs>
                <w:tab w:val="left" w:pos="420" w:leader="none"/>
              </w:tabs>
              <w:rPr>
                <w:rFonts w:ascii="宋体" w:hAnsi="宋体" w:eastAsia="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sz w:val="21"/>
                <w:szCs w:val="21"/>
              </w:rPr>
              <w:t xml:space="preserve">需为本项目提供技术方案比较、项目实施安装方案、售后服务方案、应急管理服务方案、培训方案。</w:t>
            </w:r>
            <w:r/>
          </w:p>
        </w:tc>
      </w:tr>
    </w:tbl>
    <w:p>
      <w:pPr>
        <w:ind w:left="420" w:firstLine="1188"/>
        <w:spacing w:line="360" w:lineRule="exact"/>
        <w:rPr>
          <w:rFonts w:ascii="宋体" w:hAnsi="宋体"/>
          <w:sz w:val="24"/>
          <w:szCs w:val="24"/>
        </w:rPr>
      </w:pPr>
      <w:r>
        <w:rPr>
          <w:rFonts w:ascii="宋体" w:hAnsi="宋体"/>
          <w:sz w:val="24"/>
          <w:szCs w:val="24"/>
        </w:rPr>
      </w:r>
      <w:r/>
    </w:p>
    <w:p>
      <w:pPr>
        <w:ind w:left="0" w:firstLine="420"/>
        <w:spacing w:line="360" w:lineRule="auto"/>
        <w:rPr>
          <w:rFonts w:ascii="宋体" w:hAnsi="宋体"/>
          <w:b/>
          <w:bCs/>
          <w:sz w:val="24"/>
          <w:szCs w:val="24"/>
        </w:rPr>
      </w:pPr>
      <w:r>
        <w:rPr>
          <w:rFonts w:hint="eastAsia" w:ascii="宋体" w:hAnsi="宋体"/>
          <w:b/>
          <w:bCs/>
          <w:sz w:val="24"/>
          <w:szCs w:val="24"/>
        </w:rPr>
        <w:t xml:space="preserve">数据迁移服务</w:t>
      </w:r>
      <w:r/>
    </w:p>
    <w:tbl>
      <w:tblPr>
        <w:tblStyle w:val="1277"/>
        <w:tblW w:w="5000" w:type="pct"/>
        <w:jc w:val="center"/>
        <w:tblLook w:val="04A0" w:firstRow="1" w:lastRow="0" w:firstColumn="1" w:lastColumn="0" w:noHBand="0" w:noVBand="1"/>
      </w:tblPr>
      <w:tblGrid>
        <w:gridCol w:w="1669"/>
        <w:gridCol w:w="8185"/>
      </w:tblGrid>
      <w:tr>
        <w:trPr>
          <w:jc w:val="center"/>
          <w:trHeight w:val="285"/>
        </w:trPr>
        <w:tc>
          <w:tcPr>
            <w:tcW w:w="847" w:type="pct"/>
            <w:vAlign w:val="center"/>
            <w:textDirection w:val="lrTb"/>
            <w:noWrap w:val="false"/>
          </w:tcPr>
          <w:p>
            <w:pPr>
              <w:ind w:left="0"/>
              <w:jc w:val="center"/>
              <w:spacing w:line="360" w:lineRule="auto"/>
              <w:tabs>
                <w:tab w:val="left" w:pos="420" w:leader="none"/>
              </w:tabs>
              <w:rPr>
                <w:rFonts w:ascii="宋体" w:hAnsi="宋体" w:eastAsia="宋体"/>
                <w:b/>
                <w:sz w:val="21"/>
                <w:szCs w:val="21"/>
              </w:rPr>
            </w:pPr>
            <w:r>
              <w:rPr>
                <w:rFonts w:hint="eastAsia" w:ascii="宋体" w:hAnsi="宋体" w:eastAsia="宋体"/>
                <w:b/>
                <w:sz w:val="21"/>
                <w:szCs w:val="21"/>
              </w:rPr>
              <w:t xml:space="preserve">功能及技术指标</w:t>
            </w:r>
            <w:r/>
          </w:p>
        </w:tc>
        <w:tc>
          <w:tcPr>
            <w:tcW w:w="4153" w:type="pct"/>
            <w:vAlign w:val="center"/>
            <w:textDirection w:val="lrTb"/>
            <w:noWrap w:val="false"/>
          </w:tcPr>
          <w:p>
            <w:pPr>
              <w:ind w:left="0"/>
              <w:jc w:val="center"/>
              <w:spacing w:line="360" w:lineRule="auto"/>
              <w:tabs>
                <w:tab w:val="left" w:pos="420" w:leader="none"/>
              </w:tabs>
              <w:rPr>
                <w:rFonts w:ascii="宋体" w:hAnsi="宋体" w:eastAsia="宋体"/>
                <w:b/>
                <w:sz w:val="21"/>
                <w:szCs w:val="21"/>
              </w:rPr>
            </w:pPr>
            <w:r>
              <w:rPr>
                <w:rFonts w:hint="eastAsia" w:ascii="宋体" w:hAnsi="宋体" w:eastAsia="宋体"/>
                <w:b/>
                <w:sz w:val="21"/>
                <w:szCs w:val="21"/>
              </w:rPr>
              <w:t xml:space="preserve">参数要求</w:t>
            </w:r>
            <w:r/>
          </w:p>
        </w:tc>
      </w:tr>
      <w:tr>
        <w:trPr>
          <w:jc w:val="center"/>
          <w:trHeight w:val="283"/>
        </w:trPr>
        <w:tc>
          <w:tcPr>
            <w:tcW w:w="847" w:type="pct"/>
            <w:vAlign w:val="center"/>
            <w:textDirection w:val="lrTb"/>
            <w:noWrap w:val="false"/>
          </w:tcPr>
          <w:p>
            <w:pPr>
              <w:ind w:left="0"/>
              <w:jc w:val="center"/>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数据迁移服务要求</w:t>
            </w:r>
            <w:r/>
          </w:p>
        </w:tc>
        <w:tc>
          <w:tcPr>
            <w:tcW w:w="4153" w:type="pct"/>
            <w:textDirection w:val="lrTb"/>
            <w:noWrap w:val="false"/>
          </w:tcPr>
          <w:p>
            <w:pPr>
              <w:ind w:left="0"/>
              <w:jc w:val="left"/>
              <w:spacing w:line="360" w:lineRule="auto"/>
              <w:tabs>
                <w:tab w:val="left" w:pos="420" w:leader="none"/>
              </w:tabs>
              <w:rPr>
                <w:rFonts w:ascii="宋体" w:hAnsi="宋体" w:eastAsia="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sz w:val="21"/>
                <w:szCs w:val="21"/>
              </w:rPr>
              <w:t xml:space="preserve">提供业务系统的数据迁移服务，对部署在X86服务器上的业务系统进行迁移，迁移过程中，保证数据不丢失，保障应用系统的稳定运行，核心业务系统中断时间不超过30分钟，如出现数据丢失、业务系统无法启动的情况，中标单位需要承担数据恢复工作及对业务造成影响的响应损失。</w:t>
            </w:r>
            <w:r/>
          </w:p>
        </w:tc>
      </w:tr>
    </w:tbl>
    <w:p>
      <w:pPr>
        <w:ind w:left="0" w:firstLine="400"/>
        <w:jc w:val="left"/>
        <w:spacing w:line="360" w:lineRule="auto"/>
        <w:tabs>
          <w:tab w:val="left" w:pos="355" w:leader="none"/>
          <w:tab w:val="left" w:pos="420"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r>
      <w:r/>
    </w:p>
    <w:p>
      <w:pPr>
        <w:ind w:left="0" w:firstLine="422"/>
        <w:spacing w:line="360" w:lineRule="auto"/>
        <w:widowControl w:val="off"/>
        <w:tabs>
          <w:tab w:val="left" w:pos="0" w:leader="none"/>
        </w:tabs>
        <w:rPr>
          <w:rFonts w:ascii="宋体" w:hAnsi="宋体"/>
          <w:b/>
          <w:bCs/>
          <w:color w:val="000000"/>
          <w:sz w:val="21"/>
          <w:szCs w:val="21"/>
          <w14:ligatures w14:val="standardContextual"/>
        </w:rPr>
      </w:pPr>
      <w:r>
        <w:rPr>
          <w:rFonts w:hint="eastAsia" w:ascii="宋体" w:hAnsi="宋体"/>
          <w:b/>
          <w:bCs/>
          <w:color w:val="000000"/>
          <w:sz w:val="21"/>
          <w:szCs w:val="21"/>
          <w14:ligatures w14:val="standardContextual"/>
        </w:rPr>
        <w:t xml:space="preserve">1、</w:t>
      </w:r>
      <w:r>
        <w:rPr>
          <w:rFonts w:hint="eastAsia" w:ascii="宋体" w:hAnsi="宋体"/>
          <w:b/>
          <w:bCs/>
          <w:color w:val="000000"/>
          <w:sz w:val="21"/>
          <w:szCs w:val="21"/>
          <w14:ligatures w14:val="standardContextual"/>
        </w:rPr>
        <w:t xml:space="preserve">技术参数中带★指标要求项，为《通用服务器政府采购需求标准(2023 版)》要求，不允许出现负偏离，不满足视为非实质性响应。</w:t>
      </w:r>
      <w:r/>
    </w:p>
    <w:p>
      <w:pPr>
        <w:pStyle w:val="871"/>
        <w:rPr>
          <w:rFonts w:ascii="宋体" w:hAnsi="宋体" w:cs="宋体"/>
          <w:sz w:val="21"/>
          <w:szCs w:val="21"/>
        </w:rPr>
      </w:pPr>
      <w:r>
        <w:rPr>
          <w:rFonts w:ascii="宋体" w:hAnsi="宋体" w:cs="宋体"/>
          <w:sz w:val="21"/>
          <w:szCs w:val="21"/>
        </w:rPr>
      </w:r>
      <w:r/>
    </w:p>
    <w:p>
      <w:pPr>
        <w:ind w:left="0" w:firstLine="422"/>
        <w:spacing w:line="360" w:lineRule="auto"/>
        <w:widowControl w:val="off"/>
        <w:rPr>
          <w:rFonts w:ascii="宋体" w:hAnsi="宋体"/>
          <w:b/>
          <w:bCs/>
          <w:color w:val="000000"/>
          <w:sz w:val="21"/>
          <w:szCs w:val="21"/>
          <w14:ligatures w14:val="standardContextual"/>
        </w:rPr>
      </w:pPr>
      <w:r>
        <w:rPr>
          <w:rFonts w:hint="eastAsia" w:ascii="宋体" w:hAnsi="宋体"/>
          <w:b/>
          <w:bCs/>
          <w:color w:val="000000"/>
          <w:sz w:val="21"/>
          <w:szCs w:val="21"/>
          <w14:ligatures w14:val="standardContextual"/>
        </w:rPr>
        <w:t xml:space="preserve">商务条款：</w:t>
      </w:r>
      <w:r/>
    </w:p>
    <w:p>
      <w:pPr>
        <w:ind w:left="0" w:firstLine="422"/>
        <w:spacing w:line="360" w:lineRule="auto"/>
        <w:widowControl w:val="off"/>
        <w:rPr>
          <w:rFonts w:ascii="宋体" w:hAnsi="宋体"/>
          <w:bCs/>
          <w:color w:val="000000"/>
          <w:sz w:val="21"/>
          <w:szCs w:val="21"/>
          <w14:ligatures w14:val="standardContextual"/>
        </w:rPr>
      </w:pPr>
      <w:r>
        <w:rPr>
          <w:rFonts w:hint="eastAsia" w:ascii="宋体" w:hAnsi="宋体"/>
          <w:b/>
          <w:bCs/>
          <w:color w:val="000000"/>
          <w:sz w:val="21"/>
          <w:szCs w:val="21"/>
          <w14:ligatures w14:val="standardContextual"/>
        </w:rPr>
        <w:t xml:space="preserve">1、交付期限：</w:t>
      </w:r>
      <w:r>
        <w:rPr>
          <w:rFonts w:hint="eastAsia" w:ascii="宋体" w:hAnsi="宋体"/>
          <w:bCs/>
          <w:color w:val="000000"/>
          <w:sz w:val="21"/>
          <w:szCs w:val="21"/>
          <w14:ligatures w14:val="standardContextual"/>
        </w:rPr>
        <w:t xml:space="preserve">在合同生效接甲方进场通知后，30天内完成供货及安装调试。</w:t>
      </w:r>
      <w:r/>
    </w:p>
    <w:p>
      <w:pPr>
        <w:ind w:left="0" w:firstLine="422"/>
        <w:spacing w:line="360" w:lineRule="auto"/>
        <w:widowControl w:val="off"/>
        <w:rPr>
          <w:rFonts w:ascii="宋体" w:hAnsi="宋体"/>
          <w:b/>
          <w:bCs/>
          <w:color w:val="000000"/>
          <w:sz w:val="21"/>
          <w:szCs w:val="21"/>
          <w14:ligatures w14:val="standardContextual"/>
        </w:rPr>
      </w:pPr>
      <w:r>
        <w:rPr>
          <w:rFonts w:hint="eastAsia" w:ascii="宋体" w:hAnsi="宋体"/>
          <w:b/>
          <w:bCs/>
          <w:color w:val="000000"/>
          <w:sz w:val="21"/>
          <w:szCs w:val="21"/>
          <w14:ligatures w14:val="standardContextual"/>
        </w:rPr>
        <w:t xml:space="preserve">2、质保期：</w:t>
      </w:r>
      <w:r>
        <w:rPr>
          <w:rFonts w:hint="eastAsia" w:ascii="宋体" w:hAnsi="宋体"/>
          <w:sz w:val="21"/>
          <w:szCs w:val="21"/>
        </w:rPr>
        <w:t xml:space="preserve">质保5年（其中原厂质保不少于3年）</w:t>
      </w:r>
      <w:r/>
    </w:p>
    <w:p>
      <w:pPr>
        <w:ind w:left="0" w:firstLine="422"/>
        <w:spacing w:line="360" w:lineRule="auto"/>
        <w:widowControl w:val="off"/>
        <w:rPr>
          <w:rFonts w:ascii="宋体" w:hAnsi="宋体"/>
          <w:b/>
          <w:bCs/>
          <w:color w:val="000000"/>
          <w:sz w:val="21"/>
          <w:szCs w:val="21"/>
          <w14:ligatures w14:val="standardContextual"/>
        </w:rPr>
      </w:pPr>
      <w:r>
        <w:rPr>
          <w:rFonts w:hint="eastAsia" w:ascii="宋体" w:hAnsi="宋体"/>
          <w:b/>
          <w:bCs/>
          <w:color w:val="000000"/>
          <w:sz w:val="21"/>
          <w:szCs w:val="21"/>
          <w14:ligatures w14:val="standardContextual"/>
        </w:rPr>
        <w:t xml:space="preserve">3、付款方式：</w:t>
      </w:r>
      <w:r/>
    </w:p>
    <w:p>
      <w:pPr>
        <w:ind w:left="0" w:firstLine="420"/>
        <w:spacing w:line="360" w:lineRule="auto"/>
        <w:widowControl w:val="off"/>
        <w:rPr>
          <w:rFonts w:ascii="宋体" w:hAnsi="宋体"/>
          <w:bCs/>
          <w:color w:val="000000"/>
          <w:sz w:val="21"/>
          <w:szCs w:val="21"/>
          <w14:ligatures w14:val="standardContextual"/>
        </w:rPr>
      </w:pPr>
      <w:r>
        <w:rPr>
          <w:rFonts w:hint="eastAsia" w:ascii="宋体" w:hAnsi="宋体"/>
          <w:bCs/>
          <w:color w:val="000000"/>
          <w:sz w:val="21"/>
          <w:szCs w:val="21"/>
          <w14:ligatures w14:val="standardContextual"/>
        </w:rPr>
        <w:t xml:space="preserve">（1）</w:t>
      </w:r>
      <w:r>
        <w:rPr>
          <w:rFonts w:hint="eastAsia" w:ascii="宋体" w:hAnsi="宋体"/>
          <w:bCs/>
          <w:color w:val="000000"/>
          <w:sz w:val="21"/>
          <w:szCs w:val="21"/>
          <w14:ligatures w14:val="standardContextual"/>
        </w:rPr>
        <w:t xml:space="preserve">在采购合同签订生效后，待全部货物到达甲方指定地点完成安装调试，经甲方最终验收合格，由甲方向乙方按合同总价支付 95%的款，余款 5％在验收合格满三年，无质量问题且乙方不存在其他违约情形，由甲方向乙方一次性付清。</w:t>
      </w:r>
      <w:r/>
    </w:p>
    <w:p>
      <w:pPr>
        <w:ind w:left="0" w:firstLine="420"/>
        <w:spacing w:line="360" w:lineRule="auto"/>
        <w:widowControl w:val="off"/>
        <w:rPr>
          <w:rFonts w:ascii="宋体" w:hAnsi="宋体"/>
          <w:bCs/>
          <w:color w:val="000000"/>
          <w:sz w:val="21"/>
          <w:szCs w:val="21"/>
          <w14:ligatures w14:val="standardContextual"/>
        </w:rPr>
      </w:pPr>
      <w:r>
        <w:rPr>
          <w:rFonts w:hint="eastAsia" w:ascii="宋体" w:hAnsi="宋体"/>
          <w:bCs/>
          <w:color w:val="000000"/>
          <w:sz w:val="21"/>
          <w:szCs w:val="21"/>
          <w14:ligatures w14:val="standardContextual"/>
        </w:rPr>
        <w:t xml:space="preserve">（2）乙方提请甲方付款前，应提供以下资料：</w:t>
      </w:r>
      <w:r/>
    </w:p>
    <w:p>
      <w:pPr>
        <w:ind w:left="0" w:firstLine="420"/>
        <w:spacing w:line="360" w:lineRule="auto"/>
        <w:widowControl w:val="off"/>
        <w:rPr>
          <w:rFonts w:ascii="宋体" w:hAnsi="宋体"/>
          <w:bCs/>
          <w:color w:val="000000"/>
          <w:sz w:val="21"/>
          <w:szCs w:val="21"/>
          <w14:ligatures w14:val="standardContextual"/>
        </w:rPr>
      </w:pPr>
      <w:r>
        <w:rPr>
          <w:rFonts w:hint="eastAsia" w:ascii="宋体" w:hAnsi="宋体"/>
          <w:bCs/>
          <w:color w:val="000000"/>
          <w:sz w:val="21"/>
          <w:szCs w:val="21"/>
          <w14:ligatures w14:val="standardContextual"/>
        </w:rPr>
        <w:t xml:space="preserve">A、甲方签收的送货回单。</w:t>
      </w:r>
      <w:r/>
    </w:p>
    <w:p>
      <w:pPr>
        <w:ind w:left="0" w:firstLine="420"/>
        <w:spacing w:line="360" w:lineRule="auto"/>
        <w:widowControl w:val="off"/>
        <w:rPr>
          <w:rFonts w:ascii="宋体" w:hAnsi="宋体"/>
          <w:bCs/>
          <w:color w:val="000000"/>
          <w:sz w:val="21"/>
          <w:szCs w:val="21"/>
          <w14:ligatures w14:val="standardContextual"/>
        </w:rPr>
      </w:pPr>
      <w:r>
        <w:rPr>
          <w:rFonts w:hint="eastAsia" w:ascii="宋体" w:hAnsi="宋体"/>
          <w:bCs/>
          <w:color w:val="000000"/>
          <w:sz w:val="21"/>
          <w:szCs w:val="21"/>
          <w14:ligatures w14:val="standardContextual"/>
        </w:rPr>
        <w:t xml:space="preserve">B、合格销售发票。</w:t>
      </w:r>
      <w:r/>
    </w:p>
    <w:p>
      <w:pPr>
        <w:ind w:left="0" w:firstLine="420"/>
        <w:spacing w:line="360" w:lineRule="auto"/>
        <w:widowControl w:val="off"/>
        <w:rPr>
          <w:rFonts w:ascii="宋体" w:hAnsi="宋体"/>
          <w:bCs/>
          <w:color w:val="000000"/>
          <w:sz w:val="21"/>
          <w:szCs w:val="21"/>
          <w14:ligatures w14:val="standardContextual"/>
        </w:rPr>
      </w:pPr>
      <w:r>
        <w:rPr>
          <w:rFonts w:hint="eastAsia" w:ascii="宋体" w:hAnsi="宋体"/>
          <w:bCs/>
          <w:color w:val="000000"/>
          <w:sz w:val="21"/>
          <w:szCs w:val="21"/>
          <w14:ligatures w14:val="standardContextual"/>
        </w:rPr>
        <w:t xml:space="preserve">C、由甲乙双方签章的《苏州市政府采购合同履行验收报告》</w:t>
      </w:r>
      <w:r/>
    </w:p>
    <w:p>
      <w:pPr>
        <w:ind w:left="0" w:firstLine="422"/>
        <w:spacing w:line="360" w:lineRule="auto"/>
        <w:widowControl w:val="off"/>
        <w:rPr>
          <w:rFonts w:ascii="宋体" w:hAnsi="宋体"/>
          <w:b/>
          <w:bCs/>
          <w:color w:val="000000"/>
          <w:sz w:val="21"/>
          <w:szCs w:val="21"/>
          <w14:ligatures w14:val="standardContextual"/>
        </w:rPr>
      </w:pPr>
      <w:r>
        <w:rPr>
          <w:rFonts w:hint="eastAsia" w:ascii="宋体" w:hAnsi="宋体"/>
          <w:b/>
          <w:bCs/>
          <w:color w:val="000000"/>
          <w:sz w:val="21"/>
          <w:szCs w:val="21"/>
          <w14:ligatures w14:val="standardContextual"/>
        </w:rPr>
        <w:t xml:space="preserve">4、人员要求</w:t>
      </w:r>
      <w:r/>
    </w:p>
    <w:p>
      <w:pPr>
        <w:ind w:left="0" w:firstLine="420"/>
        <w:spacing w:line="360" w:lineRule="auto"/>
        <w:widowControl w:val="off"/>
        <w:rPr>
          <w:rFonts w:ascii="宋体" w:hAnsi="宋体"/>
          <w:bCs/>
          <w:color w:val="000000"/>
          <w:sz w:val="21"/>
          <w:szCs w:val="21"/>
          <w14:ligatures w14:val="standardContextual"/>
        </w:rPr>
      </w:pPr>
      <w:r>
        <w:rPr>
          <w:rFonts w:hint="eastAsia" w:ascii="宋体" w:hAnsi="宋体"/>
          <w:bCs/>
          <w:color w:val="000000"/>
          <w:sz w:val="21"/>
          <w:szCs w:val="21"/>
          <w14:ligatures w14:val="standardContextual"/>
        </w:rPr>
        <w:t xml:space="preserve">为能保证在规定时间内完成项目，要求投标人针对本项目配备实施团队，具体要求如下：指定1人作为项目经理，负责跟踪推进项目工作和问题的协调落实，具有相关工作管理经验；除项目经理外其他项目实施</w:t>
      </w:r>
      <w:r>
        <w:rPr>
          <w:rFonts w:hint="eastAsia" w:ascii="宋体" w:hAnsi="宋体"/>
          <w:bCs/>
          <w:color w:val="000000"/>
          <w:sz w:val="21"/>
          <w:szCs w:val="21"/>
          <w14:ligatures w14:val="standardContextual"/>
        </w:rPr>
        <w:t xml:space="preserve">成员配备不少于</w:t>
      </w:r>
      <w:r>
        <w:rPr>
          <w:rFonts w:ascii="宋体" w:hAnsi="宋体"/>
          <w:bCs/>
          <w:color w:val="000000"/>
          <w:sz w:val="21"/>
          <w:szCs w:val="21"/>
          <w14:ligatures w14:val="standardContextual"/>
        </w:rPr>
        <w:t xml:space="preserve">6</w:t>
      </w:r>
      <w:r>
        <w:rPr>
          <w:rFonts w:hint="eastAsia" w:ascii="宋体" w:hAnsi="宋体"/>
          <w:bCs/>
          <w:color w:val="000000"/>
          <w:sz w:val="21"/>
          <w:szCs w:val="21"/>
          <w14:ligatures w14:val="standardContextual"/>
        </w:rPr>
        <w:t xml:space="preserve">人，能够顺利开展项目实施工作。</w:t>
      </w:r>
      <w:r/>
    </w:p>
    <w:p>
      <w:pPr>
        <w:ind w:left="0" w:firstLine="422"/>
        <w:spacing w:line="360" w:lineRule="auto"/>
        <w:widowControl w:val="off"/>
        <w:rPr>
          <w:rFonts w:ascii="宋体" w:hAnsi="宋体"/>
          <w:b/>
          <w:bCs/>
          <w:color w:val="000000"/>
          <w:sz w:val="21"/>
          <w:szCs w:val="21"/>
          <w14:ligatures w14:val="standardContextual"/>
        </w:rPr>
      </w:pPr>
      <w:r>
        <w:rPr>
          <w:rFonts w:hint="eastAsia" w:ascii="宋体" w:hAnsi="宋体"/>
          <w:b/>
          <w:bCs/>
          <w:color w:val="000000"/>
          <w:sz w:val="21"/>
          <w:szCs w:val="21"/>
          <w14:ligatures w14:val="standardContextual"/>
        </w:rPr>
        <w:t xml:space="preserve">5、履约验收基本要求</w:t>
      </w:r>
      <w:r/>
    </w:p>
    <w:p>
      <w:pPr>
        <w:ind w:left="0" w:firstLine="420"/>
        <w:spacing w:line="360" w:lineRule="auto"/>
        <w:widowControl w:val="off"/>
        <w:rPr>
          <w:rFonts w:ascii="宋体" w:hAnsi="宋体"/>
          <w:bCs/>
          <w:color w:val="000000"/>
          <w:sz w:val="21"/>
          <w:szCs w:val="21"/>
          <w14:ligatures w14:val="standardContextual"/>
        </w:rPr>
      </w:pPr>
      <w:r>
        <w:rPr>
          <w:rFonts w:hint="eastAsia" w:ascii="宋体" w:hAnsi="宋体"/>
          <w:bCs/>
          <w:color w:val="000000"/>
          <w:sz w:val="21"/>
          <w:szCs w:val="21"/>
          <w14:ligatures w14:val="standardContextual"/>
        </w:rPr>
        <w:t xml:space="preserve">（1）采购单位将根据《江苏省财政厅关于印发&lt;江苏省政府采购履约验收管理办法&gt;的通知》（苏财规〔2024〕7号）相关要求，组织项目履约验收基本工作。</w:t>
      </w:r>
      <w:r/>
    </w:p>
    <w:p>
      <w:pPr>
        <w:ind w:left="0" w:firstLine="420"/>
        <w:spacing w:line="360" w:lineRule="auto"/>
        <w:widowControl w:val="off"/>
        <w:rPr>
          <w:rFonts w:ascii="宋体" w:hAnsi="宋体"/>
          <w:bCs/>
          <w:color w:val="000000"/>
          <w:sz w:val="21"/>
          <w:szCs w:val="21"/>
          <w14:ligatures w14:val="standardContextual"/>
        </w:rPr>
      </w:pPr>
      <w:r>
        <w:rPr>
          <w:rFonts w:hint="eastAsia" w:ascii="宋体" w:hAnsi="宋体"/>
          <w:bCs/>
          <w:color w:val="000000"/>
          <w:sz w:val="21"/>
          <w:szCs w:val="21"/>
          <w14:ligatures w14:val="standardContextual"/>
        </w:rPr>
        <w:t xml:space="preserve">（2）招标文件、投标文件、政府采购合同等是履约验收工作的重要依</w:t>
      </w:r>
      <w:r>
        <w:rPr>
          <w:rFonts w:hint="eastAsia" w:ascii="宋体" w:hAnsi="宋体"/>
          <w:bCs/>
          <w:color w:val="000000"/>
          <w:sz w:val="21"/>
          <w:szCs w:val="21"/>
          <w14:ligatures w14:val="standardContextual"/>
        </w:rPr>
        <w:t xml:space="preserve">据。在政府采购合同约定的履行验收条件达到时，中标供应商可以主动联系采购单位启动履约验收工作。</w:t>
      </w:r>
      <w:r/>
    </w:p>
    <w:p>
      <w:pPr>
        <w:ind w:left="0" w:firstLine="420"/>
        <w:spacing w:line="360" w:lineRule="auto"/>
        <w:widowControl w:val="off"/>
        <w:rPr>
          <w:rFonts w:ascii="宋体" w:hAnsi="宋体"/>
          <w:bCs/>
          <w:color w:val="000000"/>
          <w:sz w:val="21"/>
          <w:szCs w:val="21"/>
          <w14:ligatures w14:val="standardContextual"/>
        </w:rPr>
      </w:pPr>
      <w:r>
        <w:rPr>
          <w:rFonts w:hint="eastAsia" w:ascii="宋体" w:hAnsi="宋体"/>
          <w:bCs/>
          <w:color w:val="000000"/>
          <w:sz w:val="21"/>
          <w:szCs w:val="21"/>
          <w14:ligatures w14:val="standardContextual"/>
        </w:rPr>
        <w:t xml:space="preserve">（3）采购单位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rPr>
          <w:sz w:val="21"/>
          <w:szCs w:val="21"/>
        </w:rPr>
      </w:pPr>
      <w:r>
        <w:rPr>
          <w:sz w:val="21"/>
          <w:szCs w:val="21"/>
        </w:rPr>
      </w:r>
      <w:r/>
    </w:p>
    <w:p>
      <w:pPr>
        <w:rPr>
          <w:sz w:val="21"/>
          <w:szCs w:val="21"/>
        </w:rPr>
      </w:pPr>
      <w:r>
        <w:rPr>
          <w:sz w:val="21"/>
          <w:szCs w:val="21"/>
        </w:rPr>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七、综合说明</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85"/>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w:t>
      </w:r>
      <w:r>
        <w:rPr>
          <w:rFonts w:hint="eastAsia" w:ascii="宋体" w:hAnsi="宋体"/>
          <w:sz w:val="21"/>
        </w:rPr>
        <w:t xml:space="preserve">，在政府采购活动中</w:t>
      </w:r>
      <w:r>
        <w:rPr>
          <w:rFonts w:hint="eastAsia" w:ascii="宋体" w:hAnsi="宋体"/>
          <w:sz w:val="21"/>
        </w:rPr>
        <w:t xml:space="preserve">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01" w:name="OLE_LINK31"/>
      <w:r/>
      <w:bookmarkStart w:id="102"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w:t>
      </w:r>
      <w:r>
        <w:rPr>
          <w:rFonts w:hint="eastAsia" w:ascii="宋体" w:hAnsi="宋体"/>
          <w:sz w:val="21"/>
          <w:szCs w:val="21"/>
        </w:rPr>
        <w:t xml:space="preserve">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01"/>
      <w:bookmarkEnd w:id="102"/>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9"/>
        <w:ind w:left="0" w:firstLine="0"/>
        <w:jc w:val="center"/>
        <w:rPr>
          <w:rFonts w:ascii="宋体" w:hAnsi="宋体"/>
          <w:b/>
          <w:sz w:val="44"/>
          <w:szCs w:val="22"/>
        </w:rPr>
      </w:pPr>
      <w:r/>
      <w:bookmarkStart w:id="103" w:name="_Toc11789"/>
      <w:r/>
      <w:bookmarkStart w:id="104" w:name="_Toc5111"/>
      <w:r/>
      <w:bookmarkStart w:id="105" w:name="_Hlk55741158"/>
      <w:r>
        <w:rPr>
          <w:rFonts w:hint="eastAsia" w:ascii="宋体" w:hAnsi="宋体"/>
          <w:b/>
          <w:sz w:val="44"/>
          <w:szCs w:val="22"/>
        </w:rPr>
        <w:br w:type="page" w:clear="all"/>
      </w:r>
      <w:bookmarkStart w:id="106" w:name="_Toc105397794"/>
      <w:r>
        <w:rPr>
          <w:rFonts w:hint="eastAsia" w:ascii="宋体" w:hAnsi="宋体"/>
          <w:b/>
          <w:sz w:val="44"/>
          <w:szCs w:val="22"/>
        </w:rPr>
        <w:t xml:space="preserve">第五章 </w:t>
      </w:r>
      <w:bookmarkStart w:id="107" w:name="合同的特殊条款"/>
      <w:r/>
      <w:bookmarkEnd w:id="107"/>
      <w:r>
        <w:rPr>
          <w:rFonts w:hint="eastAsia" w:ascii="宋体" w:hAnsi="宋体"/>
          <w:b/>
          <w:sz w:val="44"/>
          <w:szCs w:val="22"/>
        </w:rPr>
        <w:t xml:space="preserve">合同及主要条款</w:t>
      </w:r>
      <w:bookmarkEnd w:id="103"/>
      <w:r/>
      <w:bookmarkEnd w:id="104"/>
      <w:r/>
      <w:bookmarkEnd w:id="106"/>
      <w:r/>
      <w:r/>
    </w:p>
    <w:p>
      <w:pPr>
        <w:ind w:left="0"/>
        <w:jc w:val="center"/>
        <w:rPr>
          <w:rFonts w:ascii="宋体" w:hAnsi="宋体"/>
          <w:b/>
          <w:sz w:val="32"/>
          <w:szCs w:val="32"/>
        </w:rPr>
      </w:pPr>
      <w:r/>
      <w:bookmarkStart w:id="108" w:name="_Toc57376410"/>
      <w:r/>
      <w:bookmarkStart w:id="109" w:name="_Toc27667"/>
      <w:r/>
      <w:bookmarkStart w:id="110" w:name="_Toc8564"/>
      <w:r/>
      <w:bookmarkEnd w:id="105"/>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u w:val="single"/>
        </w:rPr>
      </w:pPr>
      <w:r>
        <w:rPr>
          <w:rFonts w:hint="eastAsia" w:ascii="宋体" w:hAnsi="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sz w:val="21"/>
          <w:szCs w:val="21"/>
          <w:u w:val="single"/>
        </w:rPr>
      </w:pPr>
      <w:r>
        <w:rPr>
          <w:rFonts w:hint="eastAsia" w:ascii="宋体" w:hAnsi="宋体"/>
          <w:b/>
          <w:sz w:val="21"/>
        </w:rPr>
        <w:t xml:space="preserve">一、定义：以下术语有特定的含义：</w:t>
      </w:r>
      <w:r/>
    </w:p>
    <w:p>
      <w:pPr>
        <w:ind w:left="0" w:firstLine="420"/>
        <w:spacing w:line="360" w:lineRule="auto"/>
        <w:rPr>
          <w:rFonts w:ascii="宋体" w:hAnsi="宋体"/>
          <w:sz w:val="21"/>
          <w:szCs w:val="21"/>
          <w:u w:val="single"/>
        </w:rPr>
      </w:pPr>
      <w:r>
        <w:rPr>
          <w:rFonts w:hint="eastAsia" w:ascii="宋体" w:hAnsi="宋体"/>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sz w:val="21"/>
          <w:szCs w:val="21"/>
          <w:u w:val="single"/>
        </w:rPr>
      </w:pPr>
      <w:r>
        <w:rPr>
          <w:rFonts w:hint="eastAsia" w:ascii="宋体" w:hAnsi="宋体"/>
          <w:sz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rPr>
          <w:rFonts w:ascii="宋体" w:hAnsi="宋体"/>
          <w:sz w:val="21"/>
          <w:szCs w:val="21"/>
          <w:u w:val="single"/>
        </w:rPr>
      </w:pPr>
      <w:r>
        <w:rPr>
          <w:rFonts w:hint="eastAsia" w:ascii="宋体" w:hAnsi="宋体"/>
          <w:sz w:val="21"/>
        </w:rPr>
        <w:t xml:space="preserve">合同价是指根据中标的投标文件和合同规定，乙方在正确地履行合同义务后甲方应支付给乙方的价款。</w:t>
      </w:r>
      <w:r/>
    </w:p>
    <w:p>
      <w:pPr>
        <w:ind w:left="0" w:firstLine="420"/>
        <w:spacing w:line="360" w:lineRule="auto"/>
        <w:rPr>
          <w:rFonts w:ascii="宋体" w:hAnsi="宋体"/>
          <w:sz w:val="21"/>
          <w:szCs w:val="21"/>
          <w:u w:val="single"/>
        </w:rPr>
      </w:pPr>
      <w:r>
        <w:rPr>
          <w:rFonts w:hint="eastAsia" w:ascii="宋体" w:hAnsi="宋体"/>
          <w:sz w:val="21"/>
        </w:rPr>
        <w:t xml:space="preserve">甲方是指合同中明确规定的实际购买货物和接受服务的单位。</w:t>
      </w:r>
      <w:r/>
    </w:p>
    <w:p>
      <w:pPr>
        <w:ind w:left="0" w:firstLine="420"/>
        <w:spacing w:line="360" w:lineRule="auto"/>
        <w:rPr>
          <w:rFonts w:ascii="宋体" w:hAnsi="宋体"/>
          <w:sz w:val="21"/>
          <w:szCs w:val="21"/>
          <w:u w:val="single"/>
        </w:rPr>
      </w:pPr>
      <w:r>
        <w:rPr>
          <w:rFonts w:hint="eastAsia" w:ascii="宋体" w:hAnsi="宋体"/>
          <w:sz w:val="21"/>
        </w:rPr>
        <w:t xml:space="preserve">乙方是指合同中规定的提供货物和提供服务的单位。</w:t>
      </w:r>
      <w:r/>
    </w:p>
    <w:p>
      <w:pPr>
        <w:ind w:left="0" w:firstLine="420"/>
        <w:spacing w:line="360" w:lineRule="auto"/>
        <w:rPr>
          <w:rFonts w:ascii="宋体" w:hAnsi="宋体"/>
          <w:sz w:val="21"/>
          <w:szCs w:val="21"/>
          <w:u w:val="single"/>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 w:val="21"/>
          <w:szCs w:val="21"/>
          <w:u w:val="single"/>
        </w:rPr>
      </w:pPr>
      <w:r>
        <w:rPr>
          <w:rFonts w:hint="eastAsia" w:ascii="宋体" w:hAnsi="宋体"/>
          <w:b/>
          <w:sz w:val="21"/>
        </w:rPr>
        <w:t xml:space="preserve">二、合同标的：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三、合同总价款：</w:t>
      </w:r>
      <w:r>
        <w:rPr>
          <w:rFonts w:hint="eastAsia" w:ascii="宋体" w:hAnsi="宋体"/>
          <w:sz w:val="21"/>
        </w:rPr>
        <w:t xml:space="preserve">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 </w:t>
      </w:r>
      <w:r/>
    </w:p>
    <w:p>
      <w:pPr>
        <w:ind w:left="0" w:firstLine="420"/>
        <w:spacing w:line="360" w:lineRule="auto"/>
        <w:rPr>
          <w:rFonts w:ascii="宋体" w:hAnsi="宋体"/>
          <w:sz w:val="21"/>
        </w:rPr>
      </w:pPr>
      <w:r>
        <w:rPr>
          <w:rFonts w:hint="eastAsia" w:ascii="宋体" w:hAnsi="宋体"/>
          <w:sz w:val="21"/>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color w:val="000000"/>
          <w:sz w:val="21"/>
        </w:rPr>
        <w:t xml:space="preserve">四、交货地点、时间、方式： </w:t>
      </w:r>
      <w:r/>
    </w:p>
    <w:p>
      <w:pPr>
        <w:ind w:left="0" w:firstLine="420"/>
        <w:spacing w:line="360" w:lineRule="auto"/>
        <w:rPr>
          <w:rFonts w:ascii="宋体" w:hAnsi="宋体"/>
          <w:sz w:val="21"/>
        </w:rPr>
      </w:pPr>
      <w:r>
        <w:rPr>
          <w:rFonts w:hint="eastAsia" w:ascii="宋体" w:hAnsi="宋体"/>
          <w:sz w:val="21"/>
        </w:rPr>
        <w:t xml:space="preserve">1.交货地点：乙方交货至甲方指定地点，所发生的运输等费用及货物的损坏造成的损失由乙方承担。</w:t>
      </w:r>
      <w:r/>
    </w:p>
    <w:p>
      <w:pPr>
        <w:ind w:left="0" w:firstLine="420"/>
        <w:spacing w:line="360" w:lineRule="auto"/>
        <w:rPr>
          <w:rFonts w:ascii="宋体" w:hAnsi="宋体"/>
          <w:sz w:val="21"/>
        </w:rPr>
      </w:pPr>
      <w:r>
        <w:rPr>
          <w:rFonts w:hint="eastAsia" w:ascii="宋体" w:hAnsi="宋体"/>
          <w:sz w:val="21"/>
        </w:rPr>
        <w:t xml:space="preserve">2.交货时间：</w:t>
      </w:r>
      <w:r>
        <w:rPr>
          <w:rFonts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3.交货方式：乙方负责将货物安全完好运抵交货地点、安装调试并保证验收合格。</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color w:val="000000"/>
          <w:sz w:val="21"/>
        </w:rPr>
        <w:t xml:space="preserve">五、付款方式：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在采购合同签订生效后，待全部货物到达甲方指定地点完成安装调试，经甲方最终验收合格，由甲方向乙方按合同总价支付 95%的款，余款 5％在验收合格满三年，无质量问题且乙方不存在其他违约情形，由甲方向乙方一次性付清。</w:t>
      </w:r>
      <w:r/>
    </w:p>
    <w:p>
      <w:pPr>
        <w:ind w:left="0" w:firstLine="420"/>
        <w:spacing w:line="360" w:lineRule="auto"/>
        <w:rPr>
          <w:rFonts w:ascii="宋体" w:hAnsi="宋体"/>
          <w:sz w:val="21"/>
          <w:szCs w:val="21"/>
        </w:rPr>
      </w:pPr>
      <w:r>
        <w:rPr>
          <w:rFonts w:hint="eastAsia" w:ascii="宋体" w:hAnsi="宋体"/>
          <w:sz w:val="21"/>
          <w:szCs w:val="21"/>
        </w:rPr>
        <w:t xml:space="preserve">（2）乙方提请甲方付款前，应提供以下资料：</w:t>
      </w:r>
      <w:r/>
    </w:p>
    <w:p>
      <w:pPr>
        <w:ind w:left="0" w:firstLine="420"/>
        <w:spacing w:line="360" w:lineRule="auto"/>
        <w:rPr>
          <w:rFonts w:ascii="宋体" w:hAnsi="宋体"/>
          <w:sz w:val="21"/>
          <w:szCs w:val="21"/>
        </w:rPr>
      </w:pPr>
      <w:r>
        <w:rPr>
          <w:rFonts w:hint="eastAsia" w:ascii="宋体" w:hAnsi="宋体"/>
          <w:sz w:val="21"/>
          <w:szCs w:val="21"/>
        </w:rPr>
        <w:t xml:space="preserve">A、甲方签收的送货回单。</w:t>
      </w:r>
      <w:r/>
    </w:p>
    <w:p>
      <w:pPr>
        <w:ind w:left="0" w:firstLine="420"/>
        <w:spacing w:line="360" w:lineRule="auto"/>
        <w:rPr>
          <w:rFonts w:ascii="宋体" w:hAnsi="宋体"/>
          <w:sz w:val="21"/>
          <w:szCs w:val="21"/>
        </w:rPr>
      </w:pPr>
      <w:r>
        <w:rPr>
          <w:rFonts w:hint="eastAsia" w:ascii="宋体" w:hAnsi="宋体"/>
          <w:sz w:val="21"/>
          <w:szCs w:val="21"/>
        </w:rPr>
        <w:t xml:space="preserve">B、合格销售发票。</w:t>
      </w:r>
      <w:r/>
    </w:p>
    <w:p>
      <w:pPr>
        <w:ind w:left="0" w:firstLine="420"/>
        <w:spacing w:line="360" w:lineRule="auto"/>
        <w:rPr>
          <w:rFonts w:ascii="宋体" w:hAnsi="宋体"/>
          <w:sz w:val="21"/>
          <w:szCs w:val="21"/>
        </w:rPr>
      </w:pPr>
      <w:r>
        <w:rPr>
          <w:rFonts w:hint="eastAsia" w:ascii="宋体" w:hAnsi="宋体"/>
          <w:sz w:val="21"/>
          <w:szCs w:val="21"/>
        </w:rPr>
        <w:t xml:space="preserve">C、由甲乙双方签章的《苏州市政府采购合同履行验收报告》</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 支付方式：</w:t>
      </w:r>
      <w:r>
        <w:rPr>
          <w:rFonts w:hint="eastAsia" w:ascii="宋体" w:hAnsi="宋体"/>
          <w:sz w:val="21"/>
          <w:szCs w:val="21"/>
        </w:rPr>
        <w:t xml:space="preserve">对公银行账户转账</w:t>
      </w:r>
      <w:r>
        <w:rPr>
          <w:rFonts w:hint="eastAsia" w:ascii="宋体" w:hAnsi="宋体"/>
          <w:sz w:val="21"/>
          <w:szCs w:val="21"/>
        </w:rPr>
        <w:t xml:space="preserve">。乙方账户信息如下：</w:t>
      </w:r>
      <w:r/>
    </w:p>
    <w:p>
      <w:pPr>
        <w:ind w:left="0" w:firstLine="420"/>
        <w:spacing w:line="360" w:lineRule="auto"/>
        <w:rPr>
          <w:rFonts w:ascii="宋体" w:hAnsi="宋体"/>
          <w:sz w:val="21"/>
          <w:szCs w:val="21"/>
        </w:rPr>
      </w:pPr>
      <w:r>
        <w:rPr>
          <w:rFonts w:hint="eastAsia" w:ascii="宋体" w:hAnsi="宋体"/>
          <w:sz w:val="21"/>
          <w:szCs w:val="21"/>
        </w:rPr>
        <w:t xml:space="preserve">开户名称：</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0"/>
        <w:spacing w:line="360" w:lineRule="auto"/>
        <w:rPr>
          <w:rFonts w:ascii="宋体" w:hAnsi="宋体"/>
          <w:sz w:val="21"/>
          <w:szCs w:val="21"/>
        </w:rPr>
      </w:pPr>
      <w:r>
        <w:rPr>
          <w:rFonts w:hint="eastAsia" w:ascii="宋体" w:hAnsi="宋体"/>
          <w:sz w:val="21"/>
          <w:szCs w:val="21"/>
        </w:rPr>
        <w:t xml:space="preserve">银行账号：</w:t>
      </w:r>
      <w:r/>
    </w:p>
    <w:p>
      <w:pPr>
        <w:pStyle w:val="885"/>
        <w:rPr>
          <w:highlight w:val="yellow"/>
        </w:rPr>
      </w:pPr>
      <w:r/>
      <w:bookmarkStart w:id="111" w:name="_GoBack"/>
      <w:r/>
      <w:bookmarkEnd w:id="111"/>
      <w:r/>
      <w:r/>
    </w:p>
    <w:p>
      <w:pPr>
        <w:ind w:left="0" w:firstLine="422"/>
        <w:spacing w:line="360" w:lineRule="auto"/>
        <w:rPr>
          <w:rFonts w:ascii="宋体" w:hAnsi="宋体"/>
          <w:b/>
          <w:sz w:val="21"/>
        </w:rPr>
      </w:pPr>
      <w:r>
        <w:rPr>
          <w:rFonts w:hint="eastAsia" w:ascii="宋体" w:hAnsi="宋体"/>
          <w:b/>
          <w:sz w:val="21"/>
        </w:rPr>
        <w:t xml:space="preserve">六、验收 </w:t>
      </w:r>
      <w:r/>
    </w:p>
    <w:p>
      <w:pPr>
        <w:ind w:left="0" w:firstLine="420"/>
        <w:spacing w:line="360" w:lineRule="auto"/>
        <w:rPr>
          <w:rFonts w:ascii="宋体" w:hAnsi="宋体"/>
          <w:sz w:val="21"/>
        </w:rPr>
      </w:pPr>
      <w:r>
        <w:rPr>
          <w:rFonts w:hint="eastAsia" w:ascii="宋体" w:hAnsi="宋体"/>
          <w:sz w:val="21"/>
        </w:rPr>
        <w:t xml:space="preserve">1.乙方提交的货物由甲方负责验收。 </w:t>
      </w:r>
      <w:r/>
    </w:p>
    <w:p>
      <w:pPr>
        <w:ind w:left="0" w:firstLine="420"/>
        <w:spacing w:line="360" w:lineRule="auto"/>
        <w:rPr>
          <w:rFonts w:ascii="宋体" w:hAnsi="宋体"/>
          <w:sz w:val="21"/>
        </w:rPr>
      </w:pPr>
      <w:r>
        <w:rPr>
          <w:rFonts w:hint="eastAsia" w:ascii="宋体" w:hAnsi="宋体"/>
          <w:sz w:val="21"/>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七、保修期：</w:t>
      </w:r>
      <w:r/>
    </w:p>
    <w:p>
      <w:pPr>
        <w:ind w:left="0" w:firstLine="420"/>
        <w:spacing w:line="360" w:lineRule="auto"/>
        <w:rPr>
          <w:rFonts w:ascii="宋体" w:hAnsi="宋体"/>
          <w:sz w:val="21"/>
        </w:rPr>
      </w:pPr>
      <w:r>
        <w:rPr>
          <w:rFonts w:hint="eastAsia" w:ascii="宋体" w:hAnsi="宋体"/>
          <w:sz w:val="21"/>
        </w:rPr>
        <w:t xml:space="preserve">本项目经甲方验收合格后，乙方将提供</w:t>
      </w:r>
      <w:r>
        <w:rPr>
          <w:rFonts w:ascii="宋体" w:hAnsi="宋体"/>
          <w:sz w:val="21"/>
          <w:u w:val="single"/>
        </w:rPr>
        <w:t xml:space="preserve"> </w:t>
      </w:r>
      <w:r>
        <w:rPr>
          <w:rFonts w:hint="eastAsia" w:ascii="宋体" w:hAnsi="宋体"/>
          <w:sz w:val="21"/>
          <w:u w:val="single"/>
        </w:rPr>
        <w:t xml:space="preserve"> </w:t>
      </w:r>
      <w:r>
        <w:rPr>
          <w:rFonts w:ascii="宋体" w:hAnsi="宋体"/>
          <w:sz w:val="21"/>
          <w:u w:val="single"/>
        </w:rPr>
        <w:t xml:space="preserve"> </w:t>
      </w:r>
      <w:r>
        <w:rPr>
          <w:rFonts w:hint="eastAsia" w:ascii="宋体" w:hAnsi="宋体"/>
          <w:sz w:val="21"/>
          <w:u w:val="single"/>
        </w:rPr>
        <w:t xml:space="preserve"> </w:t>
      </w:r>
      <w:r>
        <w:rPr>
          <w:rFonts w:hint="eastAsia" w:ascii="宋体" w:hAnsi="宋体"/>
          <w:sz w:val="21"/>
        </w:rPr>
        <w:t xml:space="preserve">年质量保证期。质量保证期内，乙方负责对其提供的货物实行免费维修。</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八、伴随服务 </w:t>
      </w:r>
      <w:r/>
    </w:p>
    <w:p>
      <w:pPr>
        <w:ind w:left="0" w:firstLine="420"/>
        <w:spacing w:line="360" w:lineRule="auto"/>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360" w:lineRule="auto"/>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360" w:lineRule="auto"/>
        <w:rPr>
          <w:rFonts w:ascii="宋体" w:hAnsi="宋体"/>
          <w:sz w:val="21"/>
        </w:rPr>
      </w:pPr>
      <w:r>
        <w:rPr>
          <w:rFonts w:hint="eastAsia" w:ascii="宋体" w:hAnsi="宋体"/>
          <w:sz w:val="21"/>
        </w:rPr>
        <w:t xml:space="preserve">4.货物的包装、储运、安装按国家有关规定执行。</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九、质量保证</w:t>
      </w:r>
      <w:r/>
    </w:p>
    <w:p>
      <w:pPr>
        <w:ind w:left="0" w:firstLine="420"/>
        <w:spacing w:line="360" w:lineRule="auto"/>
        <w:rPr>
          <w:rFonts w:ascii="宋体" w:hAnsi="宋体"/>
          <w:sz w:val="21"/>
        </w:rPr>
      </w:pPr>
      <w:r>
        <w:rPr>
          <w:rFonts w:hint="eastAsia" w:ascii="宋体" w:hAnsi="宋体"/>
          <w:sz w:val="21"/>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sz w:val="21"/>
        </w:rPr>
      </w:pPr>
      <w:r>
        <w:rPr>
          <w:rFonts w:hint="eastAsia" w:ascii="宋体" w:hAnsi="宋体"/>
          <w:sz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sz w:val="21"/>
        </w:rPr>
      </w:pPr>
      <w:r>
        <w:rPr>
          <w:rFonts w:hint="eastAsia" w:ascii="宋体" w:hAnsi="宋体"/>
          <w:sz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ascii="宋体" w:hAnsi="宋体"/>
          <w:sz w:val="21"/>
        </w:rPr>
      </w:pPr>
      <w:r>
        <w:rPr>
          <w:rFonts w:hint="eastAsia" w:ascii="宋体" w:hAnsi="宋体"/>
          <w:sz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十、索赔</w:t>
      </w:r>
      <w:r/>
    </w:p>
    <w:p>
      <w:pPr>
        <w:ind w:left="0" w:firstLine="420"/>
        <w:spacing w:line="360" w:lineRule="auto"/>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360" w:lineRule="auto"/>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360" w:lineRule="auto"/>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十一、履约延误 </w:t>
      </w:r>
      <w:r/>
    </w:p>
    <w:p>
      <w:pPr>
        <w:ind w:left="0" w:firstLine="420"/>
        <w:spacing w:line="360" w:lineRule="auto"/>
        <w:rPr>
          <w:rFonts w:ascii="宋体" w:hAnsi="宋体"/>
          <w:sz w:val="21"/>
        </w:rPr>
      </w:pPr>
      <w:r>
        <w:rPr>
          <w:rFonts w:hint="eastAsia" w:ascii="宋体" w:hAnsi="宋体"/>
          <w:sz w:val="21"/>
        </w:rPr>
        <w:t xml:space="preserve">1.乙方应按照合同规定的时间、地点交货和提供服务；甲方应按照合同规定的时间、地点接收货物和接受服务。</w:t>
      </w:r>
      <w:r/>
    </w:p>
    <w:p>
      <w:pPr>
        <w:ind w:left="0" w:firstLine="420"/>
        <w:spacing w:line="360" w:lineRule="auto"/>
        <w:rPr>
          <w:rFonts w:ascii="宋体" w:hAnsi="宋体"/>
          <w:sz w:val="21"/>
        </w:rPr>
      </w:pPr>
      <w:r>
        <w:rPr>
          <w:rFonts w:hint="eastAsia" w:ascii="宋体" w:hAnsi="宋体"/>
          <w:sz w:val="21"/>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宋体" w:hAnsi="宋体"/>
          <w:sz w:val="21"/>
        </w:rPr>
      </w:pPr>
      <w:r>
        <w:rPr>
          <w:rFonts w:hint="eastAsia" w:ascii="宋体" w:hAnsi="宋体"/>
          <w:sz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885"/>
      </w:pPr>
      <w:r/>
      <w:r/>
    </w:p>
    <w:p>
      <w:pPr>
        <w:ind w:left="0" w:firstLine="422"/>
        <w:spacing w:line="360" w:lineRule="auto"/>
        <w:rPr>
          <w:rFonts w:ascii="宋体" w:hAnsi="宋体"/>
          <w:b/>
          <w:sz w:val="21"/>
        </w:rPr>
      </w:pPr>
      <w:r>
        <w:rPr>
          <w:rFonts w:hint="eastAsia" w:ascii="宋体" w:hAnsi="宋体"/>
          <w:b/>
          <w:sz w:val="21"/>
        </w:rPr>
        <w:t xml:space="preserve">十二、误期赔偿 </w:t>
      </w:r>
      <w:r/>
    </w:p>
    <w:p>
      <w:pPr>
        <w:ind w:left="0" w:firstLine="420"/>
        <w:spacing w:line="360" w:lineRule="auto"/>
        <w:rPr>
          <w:rFonts w:ascii="宋体" w:hAnsi="宋体"/>
          <w:sz w:val="21"/>
        </w:rPr>
      </w:pPr>
      <w:r>
        <w:rPr>
          <w:rFonts w:hint="eastAsia" w:ascii="宋体" w:hAnsi="宋体"/>
          <w:sz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宋体" w:hAnsi="宋体"/>
          <w:sz w:val="21"/>
        </w:rPr>
      </w:pPr>
      <w:r>
        <w:rPr>
          <w:rFonts w:hint="eastAsia" w:ascii="宋体" w:hAnsi="宋体"/>
          <w:sz w:val="21"/>
        </w:rPr>
        <w:t xml:space="preserve">2.误期赔偿费可从应付货款中扣除。 </w:t>
      </w:r>
      <w:r/>
    </w:p>
    <w:p>
      <w:pPr>
        <w:ind w:left="0" w:firstLine="420"/>
        <w:spacing w:line="360" w:lineRule="auto"/>
        <w:rPr>
          <w:rFonts w:ascii="宋体" w:hAnsi="宋体"/>
          <w:sz w:val="21"/>
        </w:rPr>
      </w:pPr>
      <w:r>
        <w:rPr>
          <w:rFonts w:hint="eastAsia" w:ascii="宋体" w:hAnsi="宋体"/>
          <w:sz w:val="21"/>
        </w:rPr>
        <w:t xml:space="preserve">3.收取误期赔偿费不影响甲方采取合同规定的其他补救措施的权利。 </w:t>
      </w:r>
      <w:r/>
    </w:p>
    <w:p>
      <w:pPr>
        <w:ind w:left="0" w:firstLine="420"/>
        <w:spacing w:line="360" w:lineRule="auto"/>
        <w:rPr>
          <w:rFonts w:ascii="宋体" w:hAnsi="宋体"/>
          <w:sz w:val="21"/>
        </w:rPr>
      </w:pPr>
      <w:r>
        <w:rPr>
          <w:rFonts w:hint="eastAsia" w:ascii="宋体" w:hAnsi="宋体"/>
          <w:sz w:val="21"/>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十三、不可抗力</w:t>
      </w:r>
      <w:r/>
    </w:p>
    <w:p>
      <w:pPr>
        <w:ind w:left="0" w:firstLine="420"/>
        <w:spacing w:line="360" w:lineRule="auto"/>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十四、争端的解决 </w:t>
      </w:r>
      <w:r/>
    </w:p>
    <w:p>
      <w:pPr>
        <w:ind w:left="0" w:firstLine="420"/>
        <w:spacing w:line="360" w:lineRule="auto"/>
        <w:rPr>
          <w:rFonts w:ascii="宋体" w:hAnsi="宋体"/>
          <w:sz w:val="21"/>
        </w:rPr>
      </w:pPr>
      <w:r>
        <w:rPr>
          <w:rFonts w:hint="eastAsia" w:ascii="宋体" w:hAnsi="宋体"/>
          <w:sz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sz w:val="21"/>
        </w:rPr>
      </w:pPr>
      <w:r>
        <w:rPr>
          <w:rFonts w:hint="eastAsia" w:ascii="宋体" w:hAnsi="宋体"/>
          <w:sz w:val="21"/>
        </w:rPr>
        <w:t xml:space="preserve">2.如果调解不成，双方中的任何一方可向人民法院提起诉讼。诉讼由合同签订地人民法院管辖。 </w:t>
      </w:r>
      <w:r/>
    </w:p>
    <w:p>
      <w:pPr>
        <w:ind w:left="0" w:firstLine="420"/>
        <w:spacing w:line="360" w:lineRule="auto"/>
        <w:rPr>
          <w:rFonts w:ascii="宋体" w:hAnsi="宋体"/>
          <w:sz w:val="21"/>
        </w:rPr>
      </w:pPr>
      <w:r>
        <w:rPr>
          <w:rFonts w:hint="eastAsia" w:ascii="宋体" w:hAnsi="宋体"/>
          <w:sz w:val="21"/>
        </w:rPr>
        <w:t xml:space="preserve">3.诉讼费由败诉方负担。</w:t>
      </w:r>
      <w:r/>
    </w:p>
    <w:p>
      <w:pPr>
        <w:ind w:left="0" w:firstLine="420"/>
        <w:spacing w:line="360" w:lineRule="auto"/>
        <w:rPr>
          <w:rFonts w:ascii="宋体" w:hAnsi="宋体"/>
          <w:sz w:val="21"/>
        </w:rPr>
      </w:pPr>
      <w:r>
        <w:rPr>
          <w:rFonts w:hint="eastAsia" w:ascii="宋体" w:hAnsi="宋体"/>
          <w:sz w:val="21"/>
        </w:rPr>
        <w:t xml:space="preserve">4.因合同部分履行引发诉讼的，在诉讼期间，除正在进行诉讼的部分外，本合同的其它部分应继续执行。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十五、违约终止合同 </w:t>
      </w:r>
      <w:r/>
    </w:p>
    <w:p>
      <w:pPr>
        <w:ind w:left="0" w:firstLine="420"/>
        <w:spacing w:line="360" w:lineRule="auto"/>
        <w:rPr>
          <w:rFonts w:ascii="宋体" w:hAnsi="宋体"/>
          <w:sz w:val="21"/>
        </w:rPr>
      </w:pPr>
      <w:r>
        <w:rPr>
          <w:rFonts w:hint="eastAsia" w:ascii="宋体" w:hAnsi="宋体"/>
          <w:sz w:val="21"/>
        </w:rPr>
        <w:t xml:space="preserve">1.在甲方因乙方违约而按合同约定采取的任何补救措施不受影响的情况下，甲方可在下列情况下向乙方发出书面通知，提出终止部分或全部合同。 </w:t>
      </w:r>
      <w:r/>
    </w:p>
    <w:p>
      <w:pPr>
        <w:ind w:left="0" w:firstLine="200"/>
        <w:spacing w:line="360" w:lineRule="auto"/>
        <w:rPr>
          <w:rFonts w:ascii="宋体" w:hAnsi="宋体"/>
          <w:sz w:val="21"/>
        </w:rPr>
      </w:pPr>
      <w:r>
        <w:rPr>
          <w:rFonts w:hint="eastAsia" w:ascii="宋体" w:hAnsi="宋体"/>
          <w:sz w:val="21"/>
        </w:rPr>
        <w:t xml:space="preserve">（1）如果乙方未能在合同规定的限期或甲方同意延长的限期内提供部分或全部货物和服务。</w:t>
      </w:r>
      <w:r/>
    </w:p>
    <w:p>
      <w:pPr>
        <w:ind w:left="0" w:firstLine="200"/>
        <w:spacing w:line="360" w:lineRule="auto"/>
        <w:rPr>
          <w:rFonts w:ascii="宋体" w:hAnsi="宋体"/>
          <w:sz w:val="21"/>
        </w:rPr>
      </w:pPr>
      <w:r>
        <w:rPr>
          <w:rFonts w:hint="eastAsia" w:ascii="宋体" w:hAnsi="宋体"/>
          <w:sz w:val="21"/>
        </w:rPr>
        <w:t xml:space="preserve">（2）如果乙方未能履行合同规定的其它任何义务。 </w:t>
      </w:r>
      <w:r/>
    </w:p>
    <w:p>
      <w:pPr>
        <w:ind w:left="0" w:firstLine="200"/>
        <w:spacing w:line="360" w:lineRule="auto"/>
        <w:rPr>
          <w:rFonts w:ascii="宋体" w:hAnsi="宋体"/>
          <w:sz w:val="21"/>
        </w:rPr>
      </w:pPr>
      <w:r>
        <w:rPr>
          <w:rFonts w:hint="eastAsia" w:ascii="宋体" w:hAnsi="宋体"/>
          <w:sz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宋体" w:hAnsi="宋体"/>
          <w:sz w:val="21"/>
        </w:rPr>
      </w:pPr>
      <w:r>
        <w:rPr>
          <w:rFonts w:hint="eastAsia" w:ascii="宋体" w:hAnsi="宋体"/>
          <w:sz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sz w:val="21"/>
        </w:rPr>
      </w:pPr>
      <w:r>
        <w:rPr>
          <w:rFonts w:hint="eastAsia" w:ascii="宋体" w:hAnsi="宋体"/>
          <w:sz w:val="21"/>
        </w:rPr>
        <w:t xml:space="preserve">3.如果甲方违约，应承担相应的违约责任。 </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十六、破产终止合同：</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十八、合同转让和分包：</w:t>
      </w:r>
      <w:r>
        <w:rPr>
          <w:rFonts w:hint="eastAsia" w:ascii="宋体" w:hAnsi="宋体"/>
          <w:sz w:val="21"/>
        </w:rPr>
        <w:t xml:space="preserve">本项目不得转包、分包。</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十九、需要补充的合同条款：</w:t>
      </w:r>
      <w:r>
        <w:rPr>
          <w:rFonts w:hint="eastAsia" w:ascii="宋体" w:hAnsi="宋体"/>
          <w:sz w:val="21"/>
        </w:rPr>
        <w:t xml:space="preserve">（根据评标过程中或者商务谈判时商定的条款和条件在订立合同时标明）。</w:t>
      </w:r>
      <w:r/>
    </w:p>
    <w:p>
      <w:pPr>
        <w:ind w:left="0" w:firstLine="422"/>
        <w:spacing w:line="360" w:lineRule="auto"/>
        <w:rPr>
          <w:rFonts w:ascii="宋体" w:hAnsi="宋体"/>
          <w:sz w:val="21"/>
        </w:rPr>
      </w:pPr>
      <w:r>
        <w:rPr>
          <w:rFonts w:hint="eastAsia" w:ascii="宋体" w:hAnsi="宋体"/>
          <w:b/>
          <w:sz w:val="21"/>
        </w:rPr>
        <w:t xml:space="preserve">二十、合同生效 </w:t>
      </w:r>
      <w:r/>
    </w:p>
    <w:p>
      <w:pPr>
        <w:ind w:left="0" w:firstLine="420"/>
        <w:spacing w:line="360" w:lineRule="auto"/>
        <w:rPr>
          <w:rFonts w:ascii="宋体" w:hAnsi="宋体"/>
          <w:sz w:val="21"/>
        </w:rPr>
      </w:pPr>
      <w:r>
        <w:rPr>
          <w:rFonts w:hint="eastAsia" w:ascii="宋体" w:hAnsi="宋体"/>
          <w:sz w:val="21"/>
        </w:rPr>
        <w:t xml:space="preserve">1.双方签约人为各自法定代表人或被授权代表。</w:t>
      </w:r>
      <w:r/>
    </w:p>
    <w:p>
      <w:pPr>
        <w:ind w:left="0" w:firstLine="420"/>
        <w:spacing w:line="360" w:lineRule="auto"/>
        <w:rPr>
          <w:rFonts w:ascii="宋体" w:hAnsi="宋体"/>
          <w:sz w:val="21"/>
        </w:rPr>
      </w:pPr>
      <w:r>
        <w:rPr>
          <w:rFonts w:hint="eastAsia" w:ascii="宋体" w:hAnsi="宋体"/>
          <w:sz w:val="21"/>
        </w:rPr>
        <w:t xml:space="preserve">2.本合同系指本文件及其附件中的所有部分，招标文件、中标的投标文件、中标通知书、中标人在招标过程中的澄清和承诺等为本合同不可缺少的组成部分。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.本合同应按照中华人民共和国的现行法律进行解释。</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.合同修改：除甲乙双方签署书面修改、补充协议，并成为本合同不可分割的一部分之外，本合同条件不得有任何变化或修改。</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w:t>
      </w:r>
      <w:r>
        <w:rPr>
          <w:rFonts w:ascii="宋体" w:hAnsi="宋体"/>
          <w:sz w:val="21"/>
        </w:rPr>
        <w:t xml:space="preserve">  </w:t>
      </w:r>
      <w:r>
        <w:rPr>
          <w:rFonts w:hint="eastAsia" w:ascii="宋体" w:hAnsi="宋体"/>
          <w:sz w:val="21"/>
        </w:rPr>
        <w:t xml:space="preserve">                       乙方（公章）：</w:t>
      </w:r>
      <w:r>
        <w:rPr>
          <w:rFonts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法定代表人（或授权代表）：    </w:t>
      </w:r>
      <w:r>
        <w:rPr>
          <w:rFonts w:ascii="宋体" w:hAnsi="宋体"/>
          <w:sz w:val="21"/>
        </w:rPr>
        <w:t xml:space="preserve">  </w:t>
      </w:r>
      <w:r>
        <w:rPr>
          <w:rFonts w:hint="eastAsia" w:ascii="宋体" w:hAnsi="宋体"/>
          <w:sz w:val="21"/>
        </w:rPr>
        <w:t xml:space="preserve">                            法定代表人（或授权代表）： </w:t>
      </w:r>
      <w:r/>
    </w:p>
    <w:p>
      <w:pPr>
        <w:ind w:left="0"/>
        <w:jc w:val="left"/>
        <w:spacing w:line="360" w:lineRule="auto"/>
        <w:rPr>
          <w:rFonts w:ascii="宋体" w:hAnsi="宋体"/>
          <w:sz w:val="21"/>
        </w:rPr>
      </w:pPr>
      <w:r>
        <w:rPr>
          <w:rFonts w:hint="eastAsia" w:ascii="宋体" w:hAnsi="宋体"/>
          <w:sz w:val="21"/>
        </w:rPr>
        <w:t xml:space="preserve">签约日期：                  </w:t>
      </w:r>
      <w:r>
        <w:rPr>
          <w:rFonts w:ascii="宋体" w:hAnsi="宋体"/>
          <w:sz w:val="21"/>
        </w:rPr>
        <w:t xml:space="preserve">  </w:t>
      </w:r>
      <w:r>
        <w:rPr>
          <w:rFonts w:hint="eastAsia" w:ascii="宋体" w:hAnsi="宋体"/>
          <w:sz w:val="21"/>
        </w:rPr>
        <w:t xml:space="preserve">                              签约日期： </w:t>
      </w:r>
      <w:r/>
    </w:p>
    <w:p>
      <w:pPr>
        <w:pStyle w:val="918"/>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w:t>
      </w:r>
      <w:r>
        <w:rPr>
          <w:rFonts w:hint="eastAsia" w:ascii="宋体" w:hAnsi="宋体"/>
          <w:sz w:val="21"/>
          <w:szCs w:val="21"/>
        </w:rPr>
        <w:t xml:space="preserve">订</w:t>
      </w:r>
      <w:r>
        <w:rPr>
          <w:rFonts w:hint="eastAsia" w:ascii="宋体" w:hAnsi="宋体"/>
          <w:sz w:val="21"/>
          <w:szCs w:val="21"/>
        </w:rPr>
        <w:t xml:space="preserve">地：</w:t>
      </w:r>
      <w:r/>
    </w:p>
    <w:p>
      <w:pPr>
        <w:pStyle w:val="918"/>
        <w:ind w:left="400" w:firstLine="883"/>
        <w:rPr>
          <w:rFonts w:ascii="宋体" w:hAnsi="宋体"/>
          <w:b/>
          <w:sz w:val="44"/>
          <w:szCs w:val="22"/>
        </w:rPr>
      </w:pPr>
      <w:r>
        <w:rPr>
          <w:rFonts w:hint="eastAsia" w:ascii="宋体" w:hAnsi="宋体"/>
          <w:b/>
          <w:sz w:val="44"/>
          <w:szCs w:val="22"/>
        </w:rPr>
        <w:t xml:space="preserve"> </w:t>
      </w:r>
      <w:r/>
    </w:p>
    <w:p>
      <w:pPr>
        <w:pStyle w:val="918"/>
        <w:ind w:left="400" w:firstLine="883"/>
        <w:rPr>
          <w:rFonts w:ascii="宋体" w:hAnsi="宋体"/>
          <w:b/>
          <w:sz w:val="44"/>
          <w:szCs w:val="22"/>
        </w:rPr>
      </w:pPr>
      <w:r>
        <w:rPr>
          <w:rFonts w:hint="eastAsia" w:ascii="宋体" w:hAnsi="宋体"/>
          <w:b/>
          <w:sz w:val="44"/>
          <w:szCs w:val="22"/>
        </w:rPr>
        <w:br w:type="page" w:clear="all"/>
      </w:r>
      <w:r/>
    </w:p>
    <w:p>
      <w:pPr>
        <w:pStyle w:val="859"/>
        <w:ind w:left="0" w:firstLine="0"/>
        <w:jc w:val="center"/>
        <w:rPr>
          <w:rFonts w:ascii="宋体" w:hAnsi="宋体"/>
          <w:b/>
          <w:sz w:val="44"/>
          <w:szCs w:val="22"/>
        </w:rPr>
      </w:pPr>
      <w:r/>
      <w:bookmarkStart w:id="112" w:name="_Toc105397795"/>
      <w:r>
        <w:rPr>
          <w:rFonts w:hint="eastAsia" w:ascii="宋体" w:hAnsi="宋体"/>
          <w:b/>
          <w:sz w:val="44"/>
          <w:szCs w:val="22"/>
        </w:rPr>
        <w:t xml:space="preserve">第六章 </w:t>
      </w:r>
      <w:bookmarkStart w:id="113" w:name="评分要点"/>
      <w:r/>
      <w:bookmarkEnd w:id="113"/>
      <w:r>
        <w:rPr>
          <w:rFonts w:hint="eastAsia" w:ascii="宋体" w:hAnsi="宋体"/>
          <w:b/>
          <w:sz w:val="44"/>
          <w:szCs w:val="22"/>
        </w:rPr>
        <w:t xml:space="preserve">评标办法和评分标准</w:t>
      </w:r>
      <w:bookmarkEnd w:id="108"/>
      <w:r/>
      <w:bookmarkEnd w:id="109"/>
      <w:r/>
      <w:bookmarkEnd w:id="110"/>
      <w:r/>
      <w:bookmarkEnd w:id="112"/>
      <w:r/>
      <w:r/>
    </w:p>
    <w:p>
      <w:pPr>
        <w:ind w:left="0" w:firstLine="422"/>
        <w:spacing w:line="360" w:lineRule="auto"/>
        <w:rPr>
          <w:rFonts w:ascii="宋体" w:hAnsi="宋体"/>
          <w:b/>
          <w:sz w:val="21"/>
          <w:szCs w:val="21"/>
        </w:rPr>
      </w:pPr>
      <w:r/>
      <w:bookmarkStart w:id="114" w:name="_Toc17476"/>
      <w:r/>
      <w:bookmarkStart w:id="115" w:name="_Toc16264"/>
      <w:r/>
      <w:bookmarkStart w:id="116" w:name="_Toc698"/>
      <w:r>
        <w:rPr>
          <w:rFonts w:hint="eastAsia" w:ascii="宋体" w:hAnsi="宋体"/>
          <w:b/>
          <w:sz w:val="21"/>
          <w:szCs w:val="21"/>
        </w:rPr>
        <w:t xml:space="preserve">一、评标办法：</w:t>
      </w:r>
      <w:bookmarkEnd w:id="114"/>
      <w:r/>
      <w:bookmarkEnd w:id="115"/>
      <w:r/>
      <w:bookmarkEnd w:id="116"/>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17" w:name="OLE_LINK13"/>
      <w:r/>
      <w:bookmarkStart w:id="118" w:name="OLE_LINK14"/>
      <w:r>
        <w:rPr>
          <w:rFonts w:ascii="宋体" w:hAnsi="宋体"/>
          <w:sz w:val="21"/>
        </w:rPr>
        <w:t xml:space="preserve">5</w:t>
      </w:r>
      <w:r>
        <w:rPr>
          <w:rFonts w:hint="eastAsia" w:ascii="宋体" w:hAnsi="宋体"/>
          <w:sz w:val="21"/>
        </w:rPr>
        <w:t xml:space="preserve">.针对中小型企业、残疾人福利企业和监狱企业的评审：</w:t>
      </w:r>
      <w:bookmarkEnd w:id="117"/>
      <w:bookmarkEnd w:id="118"/>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19" w:name="OLE_LINK29"/>
      <w:r/>
      <w:bookmarkStart w:id="120" w:name="OLE_LINK30"/>
      <w:r>
        <w:rPr>
          <w:rFonts w:ascii="宋体" w:hAnsi="宋体"/>
          <w:sz w:val="21"/>
        </w:rPr>
        <w:t xml:space="preserve">6</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21" w:name="OLE_LINK17"/>
      <w:r/>
      <w:bookmarkStart w:id="122"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w:t>
      </w:r>
      <w:r>
        <w:rPr>
          <w:rFonts w:hint="eastAsia" w:ascii="宋体" w:hAnsi="宋体"/>
          <w:sz w:val="21"/>
          <w:szCs w:val="21"/>
        </w:rPr>
        <w:t xml:space="preserve">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23"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21"/>
      <w:bookmarkEnd w:id="122"/>
      <w:bookmarkEnd w:id="123"/>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b/>
          <w:sz w:val="21"/>
          <w:szCs w:val="21"/>
        </w:rPr>
        <w:t xml:space="preserve">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w:t>
      </w:r>
      <w:r>
        <w:rPr>
          <w:rFonts w:hint="eastAsia" w:ascii="宋体" w:hAnsi="宋体"/>
          <w:sz w:val="21"/>
        </w:rPr>
        <w:t xml:space="preserve">供应商提供虚假《声明函》、虚假证明文件谋取中标、成交的，依照《中华人民共和国政府采购法》等法律法规规定追究相应责任。</w:t>
      </w:r>
      <w:bookmarkEnd w:id="119"/>
      <w:bookmarkEnd w:id="120"/>
      <w:r/>
    </w:p>
    <w:p>
      <w:pPr>
        <w:ind w:left="0"/>
      </w:pPr>
      <w:r/>
      <w:r/>
    </w:p>
    <w:p>
      <w:pPr>
        <w:pStyle w:val="871"/>
      </w:pPr>
      <w:r/>
      <w:r/>
    </w:p>
    <w:p>
      <w:r/>
      <w:r/>
    </w:p>
    <w:p>
      <w:pPr>
        <w:pStyle w:val="871"/>
      </w:pPr>
      <w:r/>
      <w:r/>
    </w:p>
    <w:p>
      <w:r/>
      <w:r/>
    </w:p>
    <w:p>
      <w:pPr>
        <w:pStyle w:val="871"/>
      </w:pPr>
      <w:r/>
      <w:r/>
    </w:p>
    <w:p>
      <w:r/>
      <w:r/>
    </w:p>
    <w:p>
      <w:pPr>
        <w:pStyle w:val="871"/>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bCs/>
          <w:sz w:val="21"/>
        </w:rPr>
        <w:t xml:space="preserve">(一）价格分：</w:t>
      </w:r>
      <w:r>
        <w:rPr>
          <w:rFonts w:ascii="宋体" w:hAnsi="宋体"/>
          <w:b/>
          <w:bCs/>
          <w:sz w:val="21"/>
        </w:rPr>
        <w:t xml:space="preserve">4</w:t>
      </w:r>
      <w:r>
        <w:rPr>
          <w:rFonts w:ascii="宋体" w:hAnsi="宋体"/>
          <w:b/>
          <w:bCs/>
          <w:sz w:val="21"/>
        </w:rPr>
        <w:t xml:space="preserve">0</w:t>
      </w:r>
      <w:r>
        <w:rPr>
          <w:rFonts w:hint="eastAsia" w:ascii="宋体" w:hAnsi="宋体"/>
          <w:b/>
          <w:bCs/>
          <w:sz w:val="21"/>
        </w:rPr>
        <w:t xml:space="preserve">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w:t>
      </w:r>
      <w:r>
        <w:rPr>
          <w:rFonts w:ascii="宋体" w:hAnsi="宋体"/>
          <w:sz w:val="21"/>
        </w:rPr>
        <w:t xml:space="preserve">4</w:t>
      </w:r>
      <w:r>
        <w:rPr>
          <w:rFonts w:ascii="宋体" w:hAnsi="宋体"/>
          <w:sz w:val="21"/>
        </w:rPr>
        <w:t xml:space="preserve">0</w:t>
      </w:r>
      <w:r>
        <w:rPr>
          <w:rFonts w:hint="eastAsia" w:ascii="宋体" w:hAnsi="宋体"/>
          <w:sz w:val="21"/>
        </w:rPr>
        <w:t xml:space="preserve">％×100</w:t>
      </w:r>
      <w:r/>
    </w:p>
    <w:p>
      <w:pPr>
        <w:pStyle w:val="871"/>
      </w:pPr>
      <w:r/>
      <w:r/>
    </w:p>
    <w:p>
      <w:pPr>
        <w:ind w:left="0" w:firstLine="422"/>
        <w:spacing w:line="360" w:lineRule="auto"/>
        <w:rPr>
          <w:rFonts w:ascii="宋体" w:hAnsi="宋体"/>
          <w:b/>
          <w:sz w:val="21"/>
          <w:szCs w:val="21"/>
        </w:rPr>
      </w:pPr>
      <w:r>
        <w:rPr>
          <w:rFonts w:hint="eastAsia" w:ascii="宋体" w:hAnsi="宋体"/>
          <w:b/>
          <w:bCs/>
          <w:sz w:val="21"/>
          <w:szCs w:val="21"/>
        </w:rPr>
        <w:t xml:space="preserve">（二）</w:t>
      </w:r>
      <w:r>
        <w:rPr>
          <w:rFonts w:hint="eastAsia" w:ascii="宋体" w:hAnsi="宋体"/>
          <w:b/>
          <w:sz w:val="21"/>
          <w:szCs w:val="21"/>
        </w:rPr>
        <w:t xml:space="preserve">技术参数、性能、先进性功能等情况比较：</w:t>
      </w:r>
      <w:r>
        <w:rPr>
          <w:rFonts w:ascii="宋体" w:hAnsi="宋体"/>
          <w:b/>
          <w:sz w:val="21"/>
          <w:szCs w:val="21"/>
        </w:rPr>
        <w:t xml:space="preserve">6</w:t>
      </w:r>
      <w:r>
        <w:rPr>
          <w:rFonts w:hint="eastAsia" w:ascii="宋体" w:hAnsi="宋体"/>
          <w:b/>
          <w:sz w:val="21"/>
          <w:szCs w:val="21"/>
        </w:rPr>
        <w:t xml:space="preserve">分</w:t>
      </w:r>
      <w:r/>
    </w:p>
    <w:p>
      <w:pPr>
        <w:ind w:left="0" w:firstLine="422"/>
        <w:spacing w:line="360" w:lineRule="auto"/>
        <w:rPr>
          <w:rFonts w:ascii="宋体" w:hAnsi="宋体"/>
          <w:sz w:val="21"/>
          <w:szCs w:val="21"/>
        </w:rPr>
      </w:pPr>
      <w:r>
        <w:rPr>
          <w:rFonts w:hint="eastAsia" w:ascii="宋体" w:hAnsi="宋体"/>
          <w:sz w:val="21"/>
          <w:szCs w:val="21"/>
        </w:rPr>
        <w:t xml:space="preserve">技术参数符合性（</w:t>
      </w:r>
      <w:r>
        <w:rPr>
          <w:rFonts w:ascii="宋体" w:hAnsi="宋体"/>
          <w:sz w:val="21"/>
          <w:szCs w:val="21"/>
        </w:rPr>
        <w:t xml:space="preserve">6</w:t>
      </w:r>
      <w:r>
        <w:rPr>
          <w:rFonts w:hint="eastAsia" w:ascii="宋体" w:hAnsi="宋体"/>
          <w:sz w:val="21"/>
          <w:szCs w:val="21"/>
        </w:rPr>
        <w:t xml:space="preserve">分）</w:t>
      </w:r>
      <w:r/>
    </w:p>
    <w:p>
      <w:pPr>
        <w:ind w:left="0" w:firstLine="422"/>
        <w:spacing w:line="360" w:lineRule="auto"/>
        <w:rPr>
          <w:rFonts w:ascii="宋体" w:hAnsi="宋体"/>
          <w:b/>
          <w:sz w:val="21"/>
          <w:szCs w:val="21"/>
        </w:rPr>
      </w:pPr>
      <w:r>
        <w:rPr>
          <w:rFonts w:hint="eastAsia" w:ascii="宋体" w:hAnsi="宋体"/>
          <w:sz w:val="21"/>
        </w:rPr>
        <w:t xml:space="preserve">带</w:t>
      </w:r>
      <w:bookmarkStart w:id="124" w:name="OLE_LINK18"/>
      <w:r>
        <w:rPr>
          <w:rFonts w:hint="eastAsia" w:ascii="宋体" w:hAnsi="宋体"/>
          <w:sz w:val="21"/>
        </w:rPr>
        <w:t xml:space="preserve">▲</w:t>
      </w:r>
      <w:bookmarkEnd w:id="124"/>
      <w:r>
        <w:rPr>
          <w:rFonts w:hint="eastAsia" w:ascii="宋体" w:hAnsi="宋体"/>
          <w:sz w:val="21"/>
        </w:rPr>
        <w:t xml:space="preserve">指标要求项，为重要参数，需要提供以下任意一种证明材料并加盖投标单位公章：A</w:t>
      </w:r>
      <w:r>
        <w:rPr>
          <w:rFonts w:ascii="宋体" w:hAnsi="宋体"/>
          <w:sz w:val="21"/>
        </w:rPr>
        <w:t xml:space="preserve">.</w:t>
      </w:r>
      <w:r>
        <w:rPr>
          <w:rFonts w:hint="eastAsia" w:ascii="宋体" w:hAnsi="宋体"/>
          <w:sz w:val="21"/>
        </w:rPr>
        <w:t xml:space="preserve">官方彩页截图;</w:t>
      </w:r>
      <w:r>
        <w:rPr>
          <w:rFonts w:ascii="宋体" w:hAnsi="宋体"/>
          <w:sz w:val="21"/>
        </w:rPr>
        <w:t xml:space="preserve">B.</w:t>
      </w:r>
      <w:r>
        <w:rPr>
          <w:rFonts w:hint="eastAsia" w:ascii="宋体" w:hAnsi="宋体"/>
          <w:sz w:val="21"/>
        </w:rPr>
        <w:t xml:space="preserve">官网截图；C</w:t>
      </w:r>
      <w:r>
        <w:rPr>
          <w:rFonts w:ascii="宋体" w:hAnsi="宋体"/>
          <w:sz w:val="21"/>
        </w:rPr>
        <w:t xml:space="preserve">.</w:t>
      </w:r>
      <w:r>
        <w:rPr>
          <w:rFonts w:hint="eastAsia" w:ascii="宋体" w:hAnsi="宋体"/>
          <w:sz w:val="21"/>
        </w:rPr>
        <w:t xml:space="preserve">第三方检测报告。每提供一个得</w:t>
      </w:r>
      <w:r>
        <w:rPr>
          <w:rFonts w:ascii="宋体" w:hAnsi="宋体"/>
          <w:sz w:val="21"/>
        </w:rPr>
        <w:t xml:space="preserve">3</w:t>
      </w:r>
      <w:r>
        <w:rPr>
          <w:rFonts w:hint="eastAsia" w:ascii="宋体" w:hAnsi="宋体"/>
          <w:sz w:val="21"/>
        </w:rPr>
        <w:t xml:space="preserve">分，最多得</w:t>
      </w:r>
      <w:r>
        <w:rPr>
          <w:rFonts w:ascii="宋体" w:hAnsi="宋体"/>
          <w:sz w:val="21"/>
        </w:rPr>
        <w:t xml:space="preserve">6</w:t>
      </w:r>
      <w:r>
        <w:rPr>
          <w:rFonts w:hint="eastAsia" w:ascii="宋体" w:hAnsi="宋体"/>
          <w:sz w:val="21"/>
        </w:rPr>
        <w:t xml:space="preserve">分。</w:t>
      </w:r>
      <w:r>
        <w:rPr>
          <w:rFonts w:hint="eastAsia" w:ascii="宋体" w:hAnsi="宋体"/>
          <w:sz w:val="21"/>
          <w:szCs w:val="21"/>
        </w:rPr>
        <w:t xml:space="preserve">未提供或</w:t>
      </w:r>
      <w:r>
        <w:rPr>
          <w:rFonts w:hint="eastAsia" w:ascii="宋体" w:hAnsi="宋体"/>
          <w:bCs/>
          <w:sz w:val="21"/>
          <w:szCs w:val="21"/>
        </w:rPr>
        <w:t xml:space="preserve">未按要求提供的</w:t>
      </w:r>
      <w:r>
        <w:rPr>
          <w:rFonts w:hint="eastAsia" w:ascii="宋体" w:hAnsi="宋体"/>
          <w:sz w:val="21"/>
          <w:szCs w:val="21"/>
        </w:rPr>
        <w:t xml:space="preserve">不得分。</w:t>
      </w:r>
      <w:r/>
    </w:p>
    <w:p>
      <w:pPr>
        <w:ind w:left="0" w:firstLine="422"/>
        <w:spacing w:line="360" w:lineRule="auto"/>
        <w:rPr>
          <w:rFonts w:ascii="宋体" w:hAnsi="宋体"/>
          <w:b/>
          <w:sz w:val="21"/>
          <w:szCs w:val="21"/>
        </w:rPr>
      </w:pPr>
      <w:r>
        <w:rPr>
          <w:rFonts w:hint="eastAsia" w:ascii="宋体" w:hAnsi="宋体"/>
          <w:b/>
          <w:sz w:val="21"/>
          <w:szCs w:val="21"/>
        </w:rPr>
        <w:t xml:space="preserve">（三）投标方案比较：</w:t>
      </w:r>
      <w:r>
        <w:rPr>
          <w:rFonts w:ascii="宋体" w:hAnsi="宋体"/>
          <w:b/>
          <w:sz w:val="21"/>
          <w:szCs w:val="21"/>
        </w:rPr>
        <w:t xml:space="preserve">28</w:t>
      </w:r>
      <w:r>
        <w:rPr>
          <w:rFonts w:hint="eastAsia" w:ascii="宋体" w:hAnsi="宋体"/>
          <w:b/>
          <w:sz w:val="21"/>
          <w:szCs w:val="21"/>
        </w:rPr>
        <w:t xml:space="preserve">分</w:t>
      </w:r>
      <w:r/>
    </w:p>
    <w:p>
      <w:pPr>
        <w:ind w:left="0" w:firstLine="422"/>
        <w:spacing w:line="360" w:lineRule="auto"/>
        <w:rPr>
          <w:rFonts w:ascii="宋体" w:hAnsi="宋体"/>
          <w:sz w:val="21"/>
          <w:szCs w:val="21"/>
        </w:rPr>
      </w:pPr>
      <w:r>
        <w:rPr>
          <w:rFonts w:hint="eastAsia" w:ascii="宋体" w:hAnsi="宋体"/>
          <w:sz w:val="21"/>
          <w:szCs w:val="21"/>
        </w:rPr>
        <w:t xml:space="preserve">1、技术方案比较：6分</w:t>
      </w:r>
      <w:r/>
    </w:p>
    <w:p>
      <w:pPr>
        <w:ind w:left="0" w:firstLine="422"/>
        <w:spacing w:line="360" w:lineRule="auto"/>
        <w:rPr>
          <w:rFonts w:ascii="宋体" w:hAnsi="宋体"/>
          <w:sz w:val="21"/>
          <w:szCs w:val="21"/>
        </w:rPr>
      </w:pPr>
      <w:r>
        <w:rPr>
          <w:rFonts w:hint="eastAsia" w:ascii="宋体" w:hAnsi="宋体"/>
          <w:sz w:val="21"/>
          <w:szCs w:val="21"/>
        </w:rPr>
        <w:t xml:space="preserve">投标人根据本项目特点，制定技术方案：</w:t>
      </w:r>
      <w:r/>
    </w:p>
    <w:p>
      <w:pPr>
        <w:ind w:left="0" w:firstLine="422"/>
        <w:spacing w:line="360" w:lineRule="auto"/>
        <w:rPr>
          <w:rFonts w:ascii="宋体" w:hAnsi="宋体"/>
          <w:sz w:val="21"/>
          <w:szCs w:val="21"/>
        </w:rPr>
      </w:pPr>
      <w:r>
        <w:rPr>
          <w:rFonts w:hint="eastAsia" w:ascii="宋体" w:hAnsi="宋体"/>
          <w:sz w:val="21"/>
          <w:szCs w:val="21"/>
        </w:rPr>
        <w:t xml:space="preserve">（1）具有医院数据中心现状调研分析方案</w:t>
      </w:r>
      <w:r>
        <w:rPr>
          <w:rFonts w:hint="eastAsia" w:ascii="宋体" w:hAnsi="宋体"/>
          <w:sz w:val="21"/>
          <w:szCs w:val="21"/>
        </w:rPr>
        <w:t xml:space="preserve">；</w:t>
      </w:r>
      <w:r/>
    </w:p>
    <w:p>
      <w:pPr>
        <w:ind w:left="0" w:firstLine="422"/>
        <w:spacing w:line="360" w:lineRule="auto"/>
        <w:rPr>
          <w:rFonts w:ascii="宋体" w:hAnsi="宋体"/>
          <w:sz w:val="21"/>
          <w:szCs w:val="21"/>
        </w:rPr>
      </w:pPr>
      <w:r>
        <w:rPr>
          <w:rFonts w:hint="eastAsia" w:ascii="宋体" w:hAnsi="宋体"/>
          <w:sz w:val="21"/>
          <w:szCs w:val="21"/>
        </w:rPr>
        <w:t xml:space="preserve">（2）具有详细的架构设计拓扑及技术方案</w:t>
      </w:r>
      <w:r>
        <w:rPr>
          <w:rFonts w:hint="eastAsia" w:ascii="宋体" w:hAnsi="宋体"/>
          <w:sz w:val="21"/>
          <w:szCs w:val="21"/>
        </w:rPr>
        <w:t xml:space="preserve">；</w:t>
      </w:r>
      <w:r/>
    </w:p>
    <w:p>
      <w:pPr>
        <w:ind w:left="0" w:firstLine="422"/>
        <w:spacing w:line="360" w:lineRule="auto"/>
        <w:rPr>
          <w:rFonts w:ascii="宋体" w:hAnsi="宋体"/>
          <w:sz w:val="21"/>
          <w:szCs w:val="21"/>
        </w:rPr>
      </w:pPr>
      <w:r>
        <w:rPr>
          <w:rFonts w:hint="eastAsia" w:ascii="宋体" w:hAnsi="宋体"/>
          <w:sz w:val="21"/>
          <w:szCs w:val="21"/>
        </w:rPr>
        <w:t xml:space="preserve">（3）具有数据容灾技术方案</w:t>
      </w:r>
      <w:r>
        <w:rPr>
          <w:rFonts w:hint="eastAsia" w:ascii="宋体" w:hAnsi="宋体"/>
          <w:sz w:val="21"/>
          <w:szCs w:val="21"/>
        </w:rPr>
        <w:t xml:space="preserve">。</w:t>
      </w:r>
      <w:r/>
    </w:p>
    <w:p>
      <w:pPr>
        <w:ind w:left="0" w:firstLine="422"/>
        <w:spacing w:line="360" w:lineRule="auto"/>
        <w:rPr>
          <w:rFonts w:ascii="宋体" w:hAnsi="宋体"/>
          <w:sz w:val="21"/>
          <w:szCs w:val="21"/>
        </w:rPr>
      </w:pPr>
      <w:r>
        <w:rPr>
          <w:rFonts w:hint="eastAsia" w:ascii="宋体" w:hAnsi="宋体"/>
          <w:sz w:val="21"/>
          <w:szCs w:val="21"/>
        </w:rPr>
        <w:t xml:space="preserve">上述每项应逐条叙述，内容完整，条理清晰的得2分，内容基本完整，条理较为清晰的得1分；每项叙述内容完全脱离采购需求或未作为完整叙述的不得分，本项最高得6分。</w:t>
      </w:r>
      <w:r/>
    </w:p>
    <w:p>
      <w:pPr>
        <w:pStyle w:val="1227"/>
        <w:numPr>
          <w:ilvl w:val="0"/>
          <w:numId w:val="3"/>
        </w:numPr>
        <w:spacing w:line="360" w:lineRule="auto"/>
        <w:rPr>
          <w:rFonts w:ascii="宋体" w:hAnsi="宋体"/>
          <w:sz w:val="21"/>
          <w:szCs w:val="21"/>
        </w:rPr>
      </w:pPr>
      <w:r>
        <w:rPr>
          <w:rFonts w:hint="eastAsia" w:ascii="宋体" w:hAnsi="宋体"/>
          <w:sz w:val="21"/>
          <w:szCs w:val="21"/>
        </w:rPr>
        <w:t xml:space="preserve">项目实施安装方案：6分</w:t>
      </w:r>
      <w:r/>
    </w:p>
    <w:p>
      <w:pPr>
        <w:ind w:left="0" w:firstLine="422"/>
        <w:spacing w:line="360" w:lineRule="auto"/>
        <w:rPr>
          <w:rFonts w:ascii="宋体" w:hAnsi="宋体"/>
          <w:sz w:val="21"/>
          <w:szCs w:val="21"/>
        </w:rPr>
      </w:pPr>
      <w:r>
        <w:rPr>
          <w:rFonts w:hint="eastAsia" w:ascii="宋体" w:hAnsi="宋体"/>
          <w:sz w:val="21"/>
          <w:szCs w:val="21"/>
        </w:rPr>
        <w:t xml:space="preserve">投标人根据本项目特点，制定</w:t>
      </w:r>
      <w:r>
        <w:rPr>
          <w:rFonts w:hint="eastAsia" w:ascii="宋体" w:hAnsi="宋体"/>
          <w:sz w:val="21"/>
          <w:szCs w:val="21"/>
        </w:rPr>
        <w:t xml:space="preserve">项目</w:t>
      </w:r>
      <w:r>
        <w:rPr>
          <w:rFonts w:hint="eastAsia" w:ascii="宋体" w:hAnsi="宋体"/>
          <w:sz w:val="21"/>
          <w:szCs w:val="21"/>
        </w:rPr>
        <w:t xml:space="preserve">实施安装方案：</w:t>
      </w:r>
      <w:r/>
    </w:p>
    <w:p>
      <w:pPr>
        <w:ind w:left="0" w:firstLine="422"/>
        <w:spacing w:line="360" w:lineRule="auto"/>
        <w:rPr>
          <w:rFonts w:ascii="宋体" w:hAnsi="宋体"/>
          <w:sz w:val="21"/>
          <w:szCs w:val="21"/>
        </w:rPr>
      </w:pPr>
      <w:r>
        <w:rPr>
          <w:rFonts w:hint="eastAsia" w:ascii="宋体" w:hAnsi="宋体"/>
          <w:sz w:val="21"/>
          <w:szCs w:val="21"/>
        </w:rPr>
        <w:t xml:space="preserve">（1）具有项目安装调试计划</w:t>
      </w:r>
      <w:r>
        <w:rPr>
          <w:rFonts w:hint="eastAsia" w:ascii="宋体" w:hAnsi="宋体"/>
          <w:sz w:val="21"/>
          <w:szCs w:val="21"/>
        </w:rPr>
        <w:t xml:space="preserve">；</w:t>
      </w:r>
      <w:r/>
    </w:p>
    <w:p>
      <w:pPr>
        <w:ind w:left="0" w:firstLine="422"/>
        <w:spacing w:line="360" w:lineRule="auto"/>
        <w:rPr>
          <w:rFonts w:ascii="宋体" w:hAnsi="宋体"/>
          <w:sz w:val="21"/>
          <w:szCs w:val="21"/>
        </w:rPr>
      </w:pPr>
      <w:r>
        <w:rPr>
          <w:rFonts w:hint="eastAsia" w:ascii="宋体" w:hAnsi="宋体"/>
          <w:sz w:val="21"/>
          <w:szCs w:val="21"/>
        </w:rPr>
        <w:t xml:space="preserve">（2）具有项目质量保障方案</w:t>
      </w:r>
      <w:r>
        <w:rPr>
          <w:rFonts w:hint="eastAsia" w:ascii="宋体" w:hAnsi="宋体"/>
          <w:sz w:val="21"/>
          <w:szCs w:val="21"/>
        </w:rPr>
        <w:t xml:space="preserve">；</w:t>
      </w:r>
      <w:r/>
    </w:p>
    <w:p>
      <w:pPr>
        <w:ind w:left="0" w:firstLine="422"/>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具有交货期</w:t>
      </w:r>
      <w:r>
        <w:rPr>
          <w:rFonts w:hint="eastAsia" w:ascii="宋体" w:hAnsi="宋体"/>
          <w:sz w:val="21"/>
          <w:szCs w:val="21"/>
        </w:rPr>
        <w:t xml:space="preserve">工序安排（包括不限于物流规划、交货期优化方案、产品保护方案等）</w:t>
      </w:r>
      <w:r>
        <w:rPr>
          <w:rFonts w:hint="eastAsia" w:ascii="宋体" w:hAnsi="宋体"/>
          <w:sz w:val="21"/>
          <w:szCs w:val="21"/>
        </w:rPr>
        <w:t xml:space="preserve">。</w:t>
      </w:r>
      <w:r/>
    </w:p>
    <w:p>
      <w:pPr>
        <w:ind w:left="0" w:firstLine="422"/>
        <w:spacing w:line="360" w:lineRule="auto"/>
        <w:rPr>
          <w:rFonts w:ascii="宋体" w:hAnsi="宋体"/>
          <w:sz w:val="21"/>
          <w:szCs w:val="21"/>
        </w:rPr>
      </w:pPr>
      <w:r>
        <w:rPr>
          <w:rFonts w:hint="eastAsia" w:ascii="宋体" w:hAnsi="宋体"/>
          <w:sz w:val="21"/>
          <w:szCs w:val="21"/>
        </w:rPr>
        <w:t xml:space="preserve">上述每项应逐条叙述，内容完整，条理清晰的得2分，内容基本完整，条理较为清晰的得1分；每项叙述内容完全脱离采购需求或未作为完整叙述的不得分，本项最高得6分。</w:t>
      </w:r>
      <w:r/>
    </w:p>
    <w:p>
      <w:pPr>
        <w:ind w:left="0" w:firstLine="422"/>
        <w:spacing w:line="360" w:lineRule="auto"/>
        <w:rPr>
          <w:rFonts w:ascii="宋体" w:hAnsi="宋体"/>
          <w:sz w:val="21"/>
          <w:szCs w:val="21"/>
        </w:rPr>
      </w:pPr>
      <w:r>
        <w:rPr>
          <w:rFonts w:hint="eastAsia" w:ascii="宋体" w:hAnsi="宋体"/>
          <w:sz w:val="21"/>
          <w:szCs w:val="21"/>
        </w:rPr>
        <w:t xml:space="preserve">3、售后服务方案：6分</w:t>
      </w:r>
      <w:r/>
    </w:p>
    <w:p>
      <w:pPr>
        <w:ind w:left="0" w:firstLine="422"/>
        <w:spacing w:line="360" w:lineRule="auto"/>
        <w:rPr>
          <w:rFonts w:ascii="宋体" w:hAnsi="宋体"/>
          <w:sz w:val="21"/>
          <w:szCs w:val="21"/>
        </w:rPr>
      </w:pPr>
      <w:r>
        <w:rPr>
          <w:rFonts w:hint="eastAsia" w:ascii="宋体" w:hAnsi="宋体"/>
          <w:sz w:val="21"/>
          <w:szCs w:val="21"/>
        </w:rPr>
        <w:t xml:space="preserve">投标人根据本项目特点，制定售后服务方案：</w:t>
      </w:r>
      <w:r/>
    </w:p>
    <w:p>
      <w:pPr>
        <w:ind w:left="0" w:firstLine="422"/>
        <w:spacing w:line="360" w:lineRule="auto"/>
        <w:rPr>
          <w:rFonts w:ascii="宋体" w:hAnsi="宋体"/>
          <w:sz w:val="21"/>
          <w:szCs w:val="21"/>
        </w:rPr>
      </w:pPr>
      <w:r>
        <w:rPr>
          <w:rFonts w:hint="eastAsia" w:ascii="宋体" w:hAnsi="宋体"/>
          <w:sz w:val="21"/>
          <w:szCs w:val="21"/>
        </w:rPr>
        <w:t xml:space="preserve">（1）具有售后服务形式和人员配备；</w:t>
      </w:r>
      <w:r/>
    </w:p>
    <w:p>
      <w:pPr>
        <w:ind w:left="0" w:firstLine="422"/>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）具有人员管理和服务操作规范等内容；</w:t>
      </w:r>
      <w:r/>
    </w:p>
    <w:p>
      <w:pPr>
        <w:ind w:left="0" w:firstLine="422"/>
        <w:spacing w:line="360" w:lineRule="auto"/>
        <w:rPr>
          <w:rFonts w:ascii="宋体" w:hAnsi="宋体"/>
          <w:sz w:val="21"/>
          <w:szCs w:val="21"/>
        </w:rPr>
      </w:pPr>
      <w:r>
        <w:rPr>
          <w:rFonts w:hint="eastAsia" w:ascii="宋体" w:hAnsi="宋体"/>
          <w:sz w:val="21"/>
          <w:szCs w:val="21"/>
        </w:rPr>
        <w:t xml:space="preserve">（3）具有售后运维体系建设方案的</w:t>
      </w:r>
      <w:r>
        <w:rPr>
          <w:rFonts w:hint="eastAsia" w:ascii="宋体" w:hAnsi="宋体"/>
          <w:sz w:val="21"/>
          <w:szCs w:val="21"/>
        </w:rPr>
        <w:t xml:space="preserve">。</w:t>
      </w:r>
      <w:r/>
    </w:p>
    <w:p>
      <w:pPr>
        <w:ind w:left="0" w:firstLine="422"/>
        <w:spacing w:line="360" w:lineRule="auto"/>
        <w:rPr>
          <w:rFonts w:ascii="宋体" w:hAnsi="宋体"/>
          <w:sz w:val="21"/>
          <w:szCs w:val="21"/>
        </w:rPr>
      </w:pPr>
      <w:r>
        <w:rPr>
          <w:rFonts w:hint="eastAsia" w:ascii="宋体" w:hAnsi="宋体"/>
          <w:sz w:val="21"/>
          <w:szCs w:val="21"/>
        </w:rPr>
        <w:t xml:space="preserve">上述每项应逐条叙述，内容完整，条理清晰的得2分，内容基本完整，条理较为清晰的得1分；每项叙述内容完全脱离采购需求或未作为完整叙述的不得分，本项最高得6分。</w:t>
      </w:r>
      <w:r/>
    </w:p>
    <w:p>
      <w:pPr>
        <w:ind w:left="0" w:firstLine="422"/>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应急管理服务方案：</w:t>
      </w:r>
      <w:r>
        <w:rPr>
          <w:rFonts w:ascii="宋体" w:hAnsi="宋体"/>
          <w:sz w:val="21"/>
          <w:szCs w:val="21"/>
        </w:rPr>
        <w:t xml:space="preserve">4</w:t>
      </w:r>
      <w:r>
        <w:rPr>
          <w:rFonts w:hint="eastAsia" w:ascii="宋体" w:hAnsi="宋体"/>
          <w:sz w:val="21"/>
          <w:szCs w:val="21"/>
        </w:rPr>
        <w:t xml:space="preserve">分</w:t>
      </w:r>
      <w:r/>
    </w:p>
    <w:p>
      <w:pPr>
        <w:ind w:left="0" w:firstLine="422"/>
        <w:spacing w:line="360" w:lineRule="auto"/>
        <w:rPr>
          <w:rFonts w:ascii="宋体" w:hAnsi="宋体"/>
          <w:sz w:val="21"/>
          <w:szCs w:val="21"/>
        </w:rPr>
      </w:pPr>
      <w:r>
        <w:rPr>
          <w:rFonts w:hint="eastAsia" w:ascii="宋体" w:hAnsi="宋体"/>
          <w:sz w:val="21"/>
          <w:szCs w:val="21"/>
        </w:rPr>
        <w:t xml:space="preserve">投标人根据本项目特点，制定应急管理服务方案：</w:t>
      </w:r>
      <w:r/>
    </w:p>
    <w:p>
      <w:pPr>
        <w:ind w:left="0" w:firstLine="422"/>
        <w:spacing w:line="360" w:lineRule="auto"/>
        <w:rPr>
          <w:rFonts w:ascii="宋体" w:hAnsi="宋体"/>
          <w:sz w:val="21"/>
          <w:szCs w:val="21"/>
        </w:rPr>
      </w:pPr>
      <w:r>
        <w:rPr>
          <w:rFonts w:hint="eastAsia" w:ascii="宋体" w:hAnsi="宋体"/>
          <w:sz w:val="21"/>
          <w:szCs w:val="21"/>
        </w:rPr>
        <w:t xml:space="preserve">（1）具有当发生事件时具有针对不同的事件级别的服务方案</w:t>
      </w:r>
      <w:r>
        <w:rPr>
          <w:rFonts w:hint="eastAsia" w:ascii="宋体" w:hAnsi="宋体"/>
          <w:sz w:val="21"/>
          <w:szCs w:val="21"/>
        </w:rPr>
        <w:t xml:space="preserve">；</w:t>
      </w:r>
      <w:r/>
    </w:p>
    <w:p>
      <w:pPr>
        <w:ind w:left="0" w:firstLine="422"/>
        <w:spacing w:line="360" w:lineRule="auto"/>
        <w:rPr>
          <w:rFonts w:ascii="宋体" w:hAnsi="宋体"/>
          <w:sz w:val="21"/>
          <w:szCs w:val="21"/>
        </w:rPr>
      </w:pPr>
      <w:r>
        <w:rPr>
          <w:rFonts w:hint="eastAsia" w:ascii="宋体" w:hAnsi="宋体"/>
          <w:sz w:val="21"/>
          <w:szCs w:val="21"/>
        </w:rPr>
        <w:t xml:space="preserve">（2）具有有效的应急保障方案等内容等</w:t>
      </w:r>
      <w:r>
        <w:rPr>
          <w:rFonts w:hint="eastAsia" w:ascii="宋体" w:hAnsi="宋体"/>
          <w:sz w:val="21"/>
          <w:szCs w:val="21"/>
        </w:rPr>
        <w:t xml:space="preserve">。</w:t>
      </w:r>
      <w:r/>
    </w:p>
    <w:p>
      <w:pPr>
        <w:ind w:left="0" w:firstLine="422"/>
        <w:spacing w:line="360" w:lineRule="auto"/>
        <w:rPr>
          <w:rFonts w:ascii="宋体" w:hAnsi="宋体"/>
          <w:sz w:val="21"/>
          <w:szCs w:val="21"/>
        </w:rPr>
      </w:pPr>
      <w:r>
        <w:rPr>
          <w:rFonts w:hint="eastAsia" w:ascii="宋体" w:hAnsi="宋体"/>
          <w:sz w:val="21"/>
          <w:szCs w:val="21"/>
        </w:rPr>
        <w:t xml:space="preserve">上述每项应逐条叙述，内容完整，条理清晰的得</w:t>
      </w:r>
      <w:r>
        <w:rPr>
          <w:rFonts w:ascii="宋体" w:hAnsi="宋体"/>
          <w:sz w:val="21"/>
          <w:szCs w:val="21"/>
        </w:rPr>
        <w:t xml:space="preserve">2</w:t>
      </w:r>
      <w:r>
        <w:rPr>
          <w:rFonts w:hint="eastAsia" w:ascii="宋体" w:hAnsi="宋体"/>
          <w:sz w:val="21"/>
          <w:szCs w:val="21"/>
        </w:rPr>
        <w:t xml:space="preserve">分，内容基本完整，条理较为清晰的得</w:t>
      </w:r>
      <w:r>
        <w:rPr>
          <w:rFonts w:ascii="宋体" w:hAnsi="宋体"/>
          <w:sz w:val="21"/>
          <w:szCs w:val="21"/>
        </w:rPr>
        <w:t xml:space="preserve">1</w:t>
      </w:r>
      <w:r>
        <w:rPr>
          <w:rFonts w:hint="eastAsia" w:ascii="宋体" w:hAnsi="宋体"/>
          <w:sz w:val="21"/>
          <w:szCs w:val="21"/>
        </w:rPr>
        <w:t xml:space="preserve">分；每项叙述内容完全脱离采购需求或未作为完整叙述的不得分，本项最高得</w:t>
      </w:r>
      <w:r>
        <w:rPr>
          <w:rFonts w:ascii="宋体" w:hAnsi="宋体"/>
          <w:sz w:val="21"/>
          <w:szCs w:val="21"/>
        </w:rPr>
        <w:t xml:space="preserve">4</w:t>
      </w:r>
      <w:r>
        <w:rPr>
          <w:rFonts w:hint="eastAsia" w:ascii="宋体" w:hAnsi="宋体"/>
          <w:sz w:val="21"/>
          <w:szCs w:val="21"/>
        </w:rPr>
        <w:t xml:space="preserve">分。</w:t>
      </w:r>
      <w:r/>
    </w:p>
    <w:p>
      <w:pPr>
        <w:ind w:left="0" w:firstLine="422"/>
        <w:spacing w:line="360" w:lineRule="auto"/>
        <w:rPr>
          <w:rFonts w:ascii="宋体" w:hAnsi="宋体"/>
          <w:sz w:val="21"/>
          <w:szCs w:val="21"/>
        </w:rPr>
      </w:pPr>
      <w:r>
        <w:rPr>
          <w:rFonts w:hint="eastAsia" w:ascii="宋体" w:hAnsi="宋体"/>
          <w:sz w:val="21"/>
          <w:szCs w:val="21"/>
        </w:rPr>
        <w:t xml:space="preserve">5、培训方案：</w:t>
      </w:r>
      <w:r>
        <w:rPr>
          <w:rFonts w:ascii="宋体" w:hAnsi="宋体"/>
          <w:sz w:val="21"/>
          <w:szCs w:val="21"/>
        </w:rPr>
        <w:t xml:space="preserve">6</w:t>
      </w:r>
      <w:r>
        <w:rPr>
          <w:rFonts w:hint="eastAsia" w:ascii="宋体" w:hAnsi="宋体"/>
          <w:sz w:val="21"/>
          <w:szCs w:val="21"/>
        </w:rPr>
        <w:t xml:space="preserve">分</w:t>
      </w:r>
      <w:r/>
    </w:p>
    <w:p>
      <w:pPr>
        <w:ind w:left="0" w:firstLine="422"/>
        <w:spacing w:line="360" w:lineRule="auto"/>
        <w:rPr>
          <w:rFonts w:ascii="宋体" w:hAnsi="宋体"/>
          <w:sz w:val="21"/>
          <w:szCs w:val="21"/>
        </w:rPr>
      </w:pPr>
      <w:r>
        <w:rPr>
          <w:rFonts w:hint="eastAsia" w:ascii="宋体" w:hAnsi="宋体"/>
          <w:sz w:val="21"/>
          <w:szCs w:val="21"/>
        </w:rPr>
        <w:t xml:space="preserve">投标人根据本项目特点，制定培训方案：</w:t>
      </w:r>
      <w:r/>
    </w:p>
    <w:p>
      <w:pPr>
        <w:ind w:left="0" w:firstLine="422"/>
        <w:spacing w:line="360" w:lineRule="auto"/>
        <w:rPr>
          <w:rFonts w:ascii="宋体" w:hAnsi="宋体"/>
          <w:sz w:val="21"/>
          <w:szCs w:val="21"/>
        </w:rPr>
      </w:pPr>
      <w:r>
        <w:rPr>
          <w:rFonts w:hint="eastAsia" w:ascii="宋体" w:hAnsi="宋体"/>
          <w:sz w:val="21"/>
          <w:szCs w:val="21"/>
        </w:rPr>
        <w:t xml:space="preserve">（1）培训目标和培训内容</w:t>
      </w:r>
      <w:r>
        <w:rPr>
          <w:rFonts w:hint="eastAsia" w:ascii="宋体" w:hAnsi="宋体"/>
          <w:sz w:val="21"/>
          <w:szCs w:val="21"/>
        </w:rPr>
        <w:t xml:space="preserve">；</w:t>
      </w:r>
      <w:r/>
    </w:p>
    <w:p>
      <w:pPr>
        <w:ind w:left="0" w:firstLine="422"/>
        <w:spacing w:line="360" w:lineRule="auto"/>
        <w:rPr>
          <w:rFonts w:ascii="宋体" w:hAnsi="宋体"/>
          <w:sz w:val="21"/>
          <w:szCs w:val="21"/>
        </w:rPr>
      </w:pPr>
      <w:r>
        <w:rPr>
          <w:rFonts w:hint="eastAsia" w:ascii="宋体" w:hAnsi="宋体"/>
          <w:sz w:val="21"/>
          <w:szCs w:val="21"/>
        </w:rPr>
        <w:t xml:space="preserve">（2）培训方式和培训计划安排</w:t>
      </w:r>
      <w:r>
        <w:rPr>
          <w:rFonts w:hint="eastAsia" w:ascii="宋体" w:hAnsi="宋体"/>
          <w:sz w:val="21"/>
          <w:szCs w:val="21"/>
        </w:rPr>
        <w:t xml:space="preserve">；</w:t>
      </w:r>
      <w:r/>
    </w:p>
    <w:p>
      <w:pPr>
        <w:ind w:left="0" w:firstLine="422"/>
        <w:spacing w:line="360" w:lineRule="auto"/>
        <w:rPr>
          <w:rFonts w:ascii="宋体" w:hAnsi="宋体"/>
          <w:sz w:val="21"/>
          <w:szCs w:val="21"/>
        </w:rPr>
      </w:pPr>
      <w:r>
        <w:rPr>
          <w:rFonts w:hint="eastAsia" w:ascii="宋体" w:hAnsi="宋体"/>
          <w:sz w:val="21"/>
          <w:szCs w:val="21"/>
        </w:rPr>
        <w:t xml:space="preserve">（3）培训资料手册</w:t>
      </w:r>
      <w:r>
        <w:rPr>
          <w:rFonts w:hint="eastAsia" w:ascii="宋体" w:hAnsi="宋体"/>
          <w:sz w:val="21"/>
          <w:szCs w:val="21"/>
        </w:rPr>
        <w:t xml:space="preserve">。</w:t>
      </w:r>
      <w:r/>
    </w:p>
    <w:p>
      <w:pPr>
        <w:ind w:left="0" w:firstLine="422"/>
        <w:spacing w:line="360" w:lineRule="auto"/>
        <w:rPr>
          <w:rFonts w:ascii="宋体" w:hAnsi="宋体"/>
          <w:sz w:val="21"/>
          <w:szCs w:val="21"/>
        </w:rPr>
      </w:pPr>
      <w:r>
        <w:rPr>
          <w:rFonts w:hint="eastAsia" w:ascii="宋体" w:hAnsi="宋体"/>
          <w:sz w:val="21"/>
          <w:szCs w:val="21"/>
        </w:rPr>
        <w:t xml:space="preserve">上诉每项应逐条叙述，内容完整，条理清晰的得</w:t>
      </w:r>
      <w:r>
        <w:rPr>
          <w:rFonts w:ascii="宋体" w:hAnsi="宋体"/>
          <w:sz w:val="21"/>
          <w:szCs w:val="21"/>
        </w:rPr>
        <w:t xml:space="preserve">2</w:t>
      </w:r>
      <w:r>
        <w:rPr>
          <w:rFonts w:hint="eastAsia" w:ascii="宋体" w:hAnsi="宋体"/>
          <w:sz w:val="21"/>
          <w:szCs w:val="21"/>
        </w:rPr>
        <w:t xml:space="preserve">分，内容基本完整，条理较为清晰的得</w:t>
      </w:r>
      <w:r>
        <w:rPr>
          <w:rFonts w:ascii="宋体" w:hAnsi="宋体"/>
          <w:sz w:val="21"/>
          <w:szCs w:val="21"/>
        </w:rPr>
        <w:t xml:space="preserve">1</w:t>
      </w:r>
      <w:r>
        <w:rPr>
          <w:rFonts w:hint="eastAsia" w:ascii="宋体" w:hAnsi="宋体"/>
          <w:sz w:val="21"/>
          <w:szCs w:val="21"/>
        </w:rPr>
        <w:t xml:space="preserve">分；每项叙述内容完全脱离采购需求或未作为完整叙述的不得分，本项最高得</w:t>
      </w:r>
      <w:r>
        <w:rPr>
          <w:rFonts w:ascii="宋体" w:hAnsi="宋体"/>
          <w:sz w:val="21"/>
          <w:szCs w:val="21"/>
        </w:rPr>
        <w:t xml:space="preserve">6</w:t>
      </w:r>
      <w:r>
        <w:rPr>
          <w:rFonts w:hint="eastAsia" w:ascii="宋体" w:hAnsi="宋体"/>
          <w:sz w:val="21"/>
          <w:szCs w:val="21"/>
        </w:rPr>
        <w:t xml:space="preserve">分。</w:t>
      </w:r>
      <w:r/>
    </w:p>
    <w:p>
      <w:pPr>
        <w:ind w:left="0" w:firstLine="422"/>
        <w:spacing w:line="360" w:lineRule="auto"/>
        <w:rPr>
          <w:rFonts w:ascii="宋体" w:hAnsi="宋体"/>
          <w:b/>
          <w:sz w:val="21"/>
          <w:szCs w:val="21"/>
        </w:rPr>
      </w:pPr>
      <w:r>
        <w:rPr>
          <w:rFonts w:hint="eastAsia" w:ascii="宋体" w:hAnsi="宋体"/>
          <w:b/>
          <w:sz w:val="21"/>
          <w:szCs w:val="21"/>
        </w:rPr>
        <w:t xml:space="preserve">（四）投入本项目人员综合配置：</w:t>
      </w:r>
      <w:r>
        <w:rPr>
          <w:rFonts w:ascii="宋体" w:hAnsi="宋体"/>
          <w:b/>
          <w:sz w:val="21"/>
          <w:szCs w:val="21"/>
        </w:rPr>
        <w:t xml:space="preserve">18</w:t>
      </w:r>
      <w:r>
        <w:rPr>
          <w:rFonts w:hint="eastAsia" w:ascii="宋体" w:hAnsi="宋体"/>
          <w:b/>
          <w:sz w:val="21"/>
          <w:szCs w:val="21"/>
        </w:rPr>
        <w:t xml:space="preserve">分</w:t>
      </w:r>
      <w:r/>
    </w:p>
    <w:p>
      <w:pPr>
        <w:ind w:left="0" w:firstLine="422"/>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项目经理：</w:t>
      </w:r>
      <w:r>
        <w:rPr>
          <w:rFonts w:ascii="宋体" w:hAnsi="宋体"/>
          <w:sz w:val="21"/>
          <w:szCs w:val="21"/>
        </w:rPr>
        <w:t xml:space="preserve">6</w:t>
      </w:r>
      <w:r>
        <w:rPr>
          <w:rFonts w:hint="eastAsia" w:ascii="宋体" w:hAnsi="宋体"/>
          <w:sz w:val="21"/>
          <w:szCs w:val="21"/>
        </w:rPr>
        <w:t xml:space="preserve">分</w:t>
      </w:r>
      <w:r/>
    </w:p>
    <w:p>
      <w:pPr>
        <w:ind w:left="0" w:firstLine="422"/>
        <w:spacing w:line="360" w:lineRule="auto"/>
        <w:rPr>
          <w:rFonts w:ascii="宋体" w:hAnsi="宋体"/>
          <w:sz w:val="21"/>
          <w:szCs w:val="21"/>
        </w:rPr>
      </w:pPr>
      <w:r>
        <w:rPr>
          <w:rFonts w:hint="eastAsia" w:ascii="宋体" w:hAnsi="宋体"/>
          <w:sz w:val="21"/>
          <w:szCs w:val="21"/>
        </w:rPr>
        <w:t xml:space="preserve">具有IT服务项目经理证书、</w:t>
      </w:r>
      <w:r>
        <w:rPr>
          <w:rFonts w:hint="eastAsia" w:ascii="宋体" w:hAnsi="宋体"/>
          <w:sz w:val="21"/>
          <w:szCs w:val="21"/>
        </w:rPr>
        <w:t xml:space="preserve">高级</w:t>
      </w:r>
      <w:r>
        <w:rPr>
          <w:rFonts w:hint="eastAsia" w:ascii="宋体" w:hAnsi="宋体"/>
          <w:sz w:val="21"/>
          <w:szCs w:val="21"/>
        </w:rPr>
        <w:t xml:space="preserve">网络信息安全工程师证书、</w:t>
      </w:r>
      <w:r>
        <w:rPr>
          <w:rFonts w:hint="eastAsia" w:ascii="宋体" w:hAnsi="宋体"/>
          <w:color w:val="000000"/>
        </w:rPr>
        <w:t xml:space="preserve">注册信息安全专业人员（C</w:t>
      </w:r>
      <w:r>
        <w:rPr>
          <w:rFonts w:ascii="宋体" w:hAnsi="宋体"/>
          <w:color w:val="000000"/>
        </w:rPr>
        <w:t xml:space="preserve">ISP</w:t>
      </w:r>
      <w:r>
        <w:rPr>
          <w:rFonts w:hint="eastAsia" w:ascii="宋体" w:hAnsi="宋体"/>
          <w:color w:val="000000"/>
        </w:rPr>
        <w:t xml:space="preserve">）</w:t>
      </w:r>
      <w:r>
        <w:rPr>
          <w:rFonts w:hint="eastAsia" w:ascii="宋体" w:hAnsi="宋体"/>
          <w:sz w:val="21"/>
          <w:szCs w:val="21"/>
        </w:rPr>
        <w:t xml:space="preserve">的</w:t>
      </w:r>
      <w:r>
        <w:rPr>
          <w:rFonts w:hint="eastAsia" w:ascii="宋体" w:hAnsi="宋体"/>
          <w:sz w:val="21"/>
          <w:szCs w:val="21"/>
        </w:rPr>
        <w:t xml:space="preserve">，每提供一个得</w:t>
      </w:r>
      <w:r>
        <w:rPr>
          <w:rFonts w:ascii="宋体" w:hAnsi="宋体"/>
          <w:sz w:val="21"/>
          <w:szCs w:val="21"/>
        </w:rPr>
        <w:t xml:space="preserve">2</w:t>
      </w:r>
      <w:r>
        <w:rPr>
          <w:rFonts w:hint="eastAsia" w:ascii="宋体" w:hAnsi="宋体"/>
          <w:sz w:val="21"/>
          <w:szCs w:val="21"/>
        </w:rPr>
        <w:t xml:space="preserve">分，最高</w:t>
      </w:r>
      <w:r>
        <w:rPr>
          <w:rFonts w:ascii="宋体" w:hAnsi="宋体"/>
          <w:sz w:val="21"/>
          <w:szCs w:val="21"/>
        </w:rPr>
        <w:t xml:space="preserve">6</w:t>
      </w:r>
      <w:r>
        <w:rPr>
          <w:rFonts w:hint="eastAsia" w:ascii="宋体" w:hAnsi="宋体"/>
          <w:sz w:val="21"/>
          <w:szCs w:val="21"/>
        </w:rPr>
        <w:t xml:space="preserve">分，未提供不得分。</w:t>
      </w:r>
      <w:r/>
    </w:p>
    <w:p>
      <w:pPr>
        <w:ind w:left="0" w:firstLine="422"/>
        <w:spacing w:line="360" w:lineRule="auto"/>
        <w:rPr>
          <w:rFonts w:ascii="宋体" w:hAnsi="宋体"/>
          <w:b/>
          <w:sz w:val="21"/>
          <w:szCs w:val="21"/>
        </w:rPr>
      </w:pPr>
      <w:r>
        <w:rPr>
          <w:rFonts w:hint="eastAsia" w:ascii="宋体" w:hAnsi="宋体"/>
          <w:b/>
          <w:sz w:val="21"/>
          <w:szCs w:val="21"/>
        </w:rPr>
        <w:t xml:space="preserve">（注：投标文件中须提供以上人员身份证扫描件、证书复印件或证明材料复印件及投标单位为该员工缴纳的最近一期的社保证明复印件并加盖投标单位公章，未按要求提供或不提供不得分。）</w:t>
      </w:r>
      <w:r/>
    </w:p>
    <w:p>
      <w:pPr>
        <w:ind w:left="0" w:firstLine="422"/>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服务人员（项目经理除外）：</w:t>
      </w:r>
      <w:r>
        <w:rPr>
          <w:rFonts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分</w:t>
      </w:r>
      <w:r/>
    </w:p>
    <w:p>
      <w:pPr>
        <w:ind w:left="0" w:firstLine="422"/>
        <w:spacing w:line="360" w:lineRule="auto"/>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1 \* GB3 </w:instrText>
      </w:r>
      <w:r>
        <w:rPr>
          <w:rFonts w:hint="eastAsia" w:ascii="宋体" w:hAnsi="宋体"/>
          <w:sz w:val="21"/>
          <w:szCs w:val="21"/>
        </w:rPr>
        <w:fldChar w:fldCharType="separate"/>
      </w:r>
      <w:r>
        <w:rPr>
          <w:rFonts w:hint="eastAsia" w:ascii="宋体" w:hAnsi="宋体"/>
          <w:sz w:val="21"/>
          <w:szCs w:val="21"/>
        </w:rPr>
        <w:t xml:space="preserve">①</w:t>
      </w:r>
      <w:r>
        <w:rPr>
          <w:rFonts w:hint="eastAsia" w:ascii="宋体" w:hAnsi="宋体"/>
          <w:sz w:val="21"/>
          <w:szCs w:val="21"/>
        </w:rPr>
        <w:fldChar w:fldCharType="end"/>
      </w:r>
      <w:r>
        <w:rPr>
          <w:rFonts w:hint="eastAsia" w:ascii="宋体" w:hAnsi="宋体"/>
          <w:sz w:val="21"/>
          <w:szCs w:val="21"/>
        </w:rPr>
        <w:t xml:space="preserve">拟投入项目组成员（项目经理除外）具有</w:t>
      </w:r>
      <w:r>
        <w:rPr>
          <w:rFonts w:hint="eastAsia" w:ascii="宋体" w:hAnsi="宋体"/>
          <w:sz w:val="21"/>
          <w:szCs w:val="21"/>
        </w:rPr>
        <w:t xml:space="preserve">网络工程师证书</w:t>
      </w:r>
      <w:r>
        <w:rPr>
          <w:rFonts w:hint="eastAsia" w:ascii="宋体" w:hAnsi="宋体"/>
          <w:sz w:val="21"/>
          <w:szCs w:val="21"/>
        </w:rPr>
        <w:t xml:space="preserve">、</w:t>
      </w:r>
      <w:r>
        <w:rPr>
          <w:rFonts w:hint="eastAsia" w:ascii="宋体" w:hAnsi="宋体"/>
          <w:sz w:val="21"/>
          <w:szCs w:val="21"/>
        </w:rPr>
        <w:t xml:space="preserve">信息安全工程师证书</w:t>
      </w:r>
      <w:r>
        <w:rPr>
          <w:rFonts w:hint="eastAsia" w:ascii="宋体" w:hAnsi="宋体"/>
          <w:sz w:val="21"/>
          <w:szCs w:val="21"/>
        </w:rPr>
        <w:t xml:space="preserve">的</w:t>
      </w:r>
      <w:r>
        <w:rPr>
          <w:rFonts w:hint="eastAsia" w:ascii="宋体" w:hAnsi="宋体"/>
          <w:sz w:val="21"/>
          <w:szCs w:val="21"/>
        </w:rPr>
        <w:t xml:space="preserve">，每提供个得</w:t>
      </w:r>
      <w:r>
        <w:rPr>
          <w:rFonts w:ascii="宋体" w:hAnsi="宋体"/>
          <w:sz w:val="21"/>
          <w:szCs w:val="21"/>
        </w:rPr>
        <w:t xml:space="preserve">2</w:t>
      </w:r>
      <w:r>
        <w:rPr>
          <w:rFonts w:hint="eastAsia" w:ascii="宋体" w:hAnsi="宋体"/>
          <w:sz w:val="21"/>
          <w:szCs w:val="21"/>
        </w:rPr>
        <w:t xml:space="preserve">分，最高得</w:t>
      </w:r>
      <w:r>
        <w:rPr>
          <w:rFonts w:ascii="宋体" w:hAnsi="宋体"/>
          <w:sz w:val="21"/>
          <w:szCs w:val="21"/>
        </w:rPr>
        <w:t xml:space="preserve">4</w:t>
      </w:r>
      <w:r>
        <w:rPr>
          <w:rFonts w:hint="eastAsia" w:ascii="宋体" w:hAnsi="宋体"/>
          <w:sz w:val="21"/>
          <w:szCs w:val="21"/>
        </w:rPr>
        <w:t xml:space="preserve">分；</w:t>
      </w:r>
      <w:r/>
    </w:p>
    <w:p>
      <w:pPr>
        <w:ind w:left="0" w:firstLine="422"/>
        <w:spacing w:line="360" w:lineRule="auto"/>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2 \* GB3 </w:instrText>
      </w:r>
      <w:r>
        <w:rPr>
          <w:rFonts w:hint="eastAsia" w:ascii="宋体" w:hAnsi="宋体"/>
          <w:sz w:val="21"/>
          <w:szCs w:val="21"/>
        </w:rPr>
        <w:fldChar w:fldCharType="separate"/>
      </w:r>
      <w:r>
        <w:rPr>
          <w:rFonts w:hint="eastAsia" w:ascii="宋体" w:hAnsi="宋体"/>
          <w:sz w:val="21"/>
          <w:szCs w:val="21"/>
        </w:rPr>
        <w:t xml:space="preserve">②</w:t>
      </w:r>
      <w:r>
        <w:rPr>
          <w:rFonts w:hint="eastAsia" w:ascii="宋体" w:hAnsi="宋体"/>
          <w:sz w:val="21"/>
          <w:szCs w:val="21"/>
        </w:rPr>
        <w:fldChar w:fldCharType="end"/>
      </w:r>
      <w:r>
        <w:rPr>
          <w:rFonts w:hint="eastAsia" w:ascii="宋体" w:hAnsi="宋体"/>
          <w:sz w:val="21"/>
          <w:szCs w:val="21"/>
        </w:rPr>
        <w:t xml:space="preserve">拟投入项目组成员（项目经理除外）具有助理工程师或以上证书</w:t>
      </w:r>
      <w:r>
        <w:rPr>
          <w:rFonts w:hint="eastAsia" w:ascii="宋体" w:hAnsi="宋体"/>
          <w:sz w:val="21"/>
          <w:szCs w:val="21"/>
        </w:rPr>
        <w:t xml:space="preserve">的</w:t>
      </w:r>
      <w:r>
        <w:rPr>
          <w:rFonts w:hint="eastAsia" w:ascii="宋体" w:hAnsi="宋体"/>
          <w:sz w:val="21"/>
          <w:szCs w:val="21"/>
        </w:rPr>
        <w:t xml:space="preserve">，</w:t>
      </w:r>
      <w:r>
        <w:rPr>
          <w:rFonts w:hint="eastAsia" w:ascii="宋体" w:hAnsi="宋体"/>
          <w:sz w:val="21"/>
          <w:szCs w:val="21"/>
        </w:rPr>
        <w:t xml:space="preserve">每提供1个得</w:t>
      </w:r>
      <w:r>
        <w:rPr>
          <w:rFonts w:ascii="宋体" w:hAnsi="宋体"/>
          <w:sz w:val="21"/>
          <w:szCs w:val="21"/>
        </w:rPr>
        <w:t xml:space="preserve">2</w:t>
      </w:r>
      <w:r>
        <w:rPr>
          <w:rFonts w:hint="eastAsia" w:ascii="宋体" w:hAnsi="宋体"/>
          <w:sz w:val="21"/>
          <w:szCs w:val="21"/>
        </w:rPr>
        <w:t xml:space="preserve">分，最高</w:t>
      </w:r>
      <w:r>
        <w:rPr>
          <w:rFonts w:ascii="宋体" w:hAnsi="宋体"/>
          <w:sz w:val="21"/>
          <w:szCs w:val="21"/>
        </w:rPr>
        <w:t xml:space="preserve">4</w:t>
      </w:r>
      <w:r>
        <w:rPr>
          <w:rFonts w:hint="eastAsia" w:ascii="宋体" w:hAnsi="宋体"/>
          <w:sz w:val="21"/>
          <w:szCs w:val="21"/>
        </w:rPr>
        <w:t xml:space="preserve">分</w:t>
      </w:r>
      <w:r/>
    </w:p>
    <w:p>
      <w:pPr>
        <w:ind w:left="0" w:firstLine="422"/>
        <w:spacing w:line="360" w:lineRule="auto"/>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3 \* GB3 </w:instrText>
      </w:r>
      <w:r>
        <w:rPr>
          <w:rFonts w:hint="eastAsia" w:ascii="宋体" w:hAnsi="宋体"/>
          <w:sz w:val="21"/>
          <w:szCs w:val="21"/>
        </w:rPr>
        <w:fldChar w:fldCharType="separate"/>
      </w:r>
      <w:r>
        <w:rPr>
          <w:rFonts w:hint="eastAsia" w:ascii="宋体" w:hAnsi="宋体"/>
          <w:sz w:val="21"/>
          <w:szCs w:val="21"/>
        </w:rPr>
        <w:t xml:space="preserve">③</w:t>
      </w:r>
      <w:r>
        <w:rPr>
          <w:rFonts w:hint="eastAsia" w:ascii="宋体" w:hAnsi="宋体"/>
          <w:sz w:val="21"/>
          <w:szCs w:val="21"/>
        </w:rPr>
        <w:fldChar w:fldCharType="end"/>
      </w:r>
      <w:r>
        <w:rPr>
          <w:rFonts w:hint="eastAsia" w:ascii="宋体" w:hAnsi="宋体"/>
          <w:sz w:val="21"/>
          <w:szCs w:val="21"/>
        </w:rPr>
        <w:t xml:space="preserve">拟投入项目组成员（项目经理除外）具</w:t>
      </w:r>
      <w:r>
        <w:rPr>
          <w:rFonts w:hint="eastAsia" w:ascii="宋体" w:hAnsi="宋体"/>
          <w:sz w:val="21"/>
          <w:szCs w:val="21"/>
        </w:rPr>
        <w:t xml:space="preserve">有数据库</w:t>
      </w:r>
      <w:r>
        <w:rPr>
          <w:rFonts w:hint="eastAsia" w:ascii="宋体" w:hAnsi="宋体"/>
          <w:sz w:val="21"/>
          <w:szCs w:val="21"/>
        </w:rPr>
        <w:t xml:space="preserve">管理</w:t>
      </w:r>
      <w:r>
        <w:rPr>
          <w:rFonts w:hint="eastAsia" w:ascii="宋体" w:hAnsi="宋体"/>
          <w:sz w:val="21"/>
          <w:szCs w:val="21"/>
        </w:rPr>
        <w:t xml:space="preserve">工程师证书</w:t>
      </w:r>
      <w:r>
        <w:rPr>
          <w:rFonts w:hint="eastAsia" w:ascii="宋体" w:hAnsi="宋体"/>
          <w:sz w:val="21"/>
          <w:szCs w:val="21"/>
        </w:rPr>
        <w:t xml:space="preserve">的</w:t>
      </w:r>
      <w:r>
        <w:rPr>
          <w:rFonts w:hint="eastAsia" w:ascii="宋体" w:hAnsi="宋体"/>
          <w:sz w:val="21"/>
          <w:szCs w:val="21"/>
        </w:rPr>
        <w:t xml:space="preserve">，每提供1个得</w:t>
      </w:r>
      <w:r>
        <w:rPr>
          <w:rFonts w:ascii="宋体" w:hAnsi="宋体"/>
          <w:sz w:val="21"/>
          <w:szCs w:val="21"/>
        </w:rPr>
        <w:t xml:space="preserve">2</w:t>
      </w:r>
      <w:r>
        <w:rPr>
          <w:rFonts w:hint="eastAsia" w:ascii="宋体" w:hAnsi="宋体"/>
          <w:sz w:val="21"/>
          <w:szCs w:val="21"/>
        </w:rPr>
        <w:t xml:space="preserve">分，最高</w:t>
      </w:r>
      <w:r>
        <w:rPr>
          <w:rFonts w:ascii="宋体" w:hAnsi="宋体"/>
          <w:sz w:val="21"/>
          <w:szCs w:val="21"/>
        </w:rPr>
        <w:t xml:space="preserve">4</w:t>
      </w:r>
      <w:r>
        <w:rPr>
          <w:rFonts w:hint="eastAsia" w:ascii="宋体" w:hAnsi="宋体"/>
          <w:sz w:val="21"/>
          <w:szCs w:val="21"/>
        </w:rPr>
        <w:t xml:space="preserve">分</w:t>
      </w:r>
      <w:r/>
    </w:p>
    <w:p>
      <w:pPr>
        <w:ind w:left="0" w:firstLine="422"/>
        <w:spacing w:line="360" w:lineRule="auto"/>
        <w:rPr>
          <w:rFonts w:ascii="宋体" w:hAnsi="宋体"/>
          <w:b/>
          <w:sz w:val="21"/>
          <w:szCs w:val="21"/>
        </w:rPr>
      </w:pPr>
      <w:r>
        <w:rPr>
          <w:rFonts w:hint="eastAsia" w:ascii="宋体" w:hAnsi="宋体"/>
          <w:b/>
          <w:sz w:val="21"/>
          <w:szCs w:val="21"/>
        </w:rPr>
        <w:t xml:space="preserve">（注：投标文件中须提供以上人员身份证扫描件、证书复印件或证明材料复印件及投标单位为其缴纳的最近一期社保证明复印件并加盖投标单位公章，未提供或提供不全不得分。一人多证只得一次分。）</w:t>
      </w:r>
      <w:r/>
    </w:p>
    <w:p>
      <w:pPr>
        <w:ind w:left="0" w:firstLine="422"/>
        <w:spacing w:line="360" w:lineRule="auto"/>
        <w:rPr>
          <w:rFonts w:ascii="宋体" w:hAnsi="宋体"/>
          <w:b/>
          <w:sz w:val="21"/>
          <w:szCs w:val="21"/>
        </w:rPr>
      </w:pPr>
      <w:r>
        <w:rPr>
          <w:rFonts w:hint="eastAsia" w:ascii="宋体" w:hAnsi="宋体"/>
          <w:b/>
          <w:sz w:val="21"/>
          <w:szCs w:val="21"/>
        </w:rPr>
        <w:t xml:space="preserve">（五）</w:t>
      </w:r>
      <w:r>
        <w:rPr>
          <w:rFonts w:hint="eastAsia" w:ascii="宋体" w:hAnsi="宋体"/>
          <w:b/>
          <w:sz w:val="21"/>
          <w:szCs w:val="21"/>
        </w:rPr>
        <w:t xml:space="preserve">体系证书</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分</w:t>
      </w:r>
      <w:r/>
    </w:p>
    <w:p>
      <w:pPr>
        <w:ind w:left="0" w:firstLine="422"/>
        <w:spacing w:line="360" w:lineRule="auto"/>
        <w:rPr>
          <w:rFonts w:ascii="宋体" w:hAnsi="宋体"/>
          <w:sz w:val="21"/>
          <w:szCs w:val="21"/>
        </w:rPr>
      </w:pPr>
      <w:r>
        <w:rPr>
          <w:rFonts w:hint="eastAsia" w:ascii="宋体" w:hAnsi="宋体"/>
          <w:sz w:val="21"/>
          <w:szCs w:val="21"/>
        </w:rPr>
        <w:t xml:space="preserve">1、投标单位或产品生产厂家</w:t>
      </w:r>
      <w:r>
        <w:rPr>
          <w:rFonts w:hint="eastAsia" w:ascii="宋体" w:hAnsi="宋体"/>
          <w:sz w:val="21"/>
          <w:szCs w:val="21"/>
        </w:rPr>
        <w:t xml:space="preserve">具有</w:t>
      </w:r>
      <w:r>
        <w:rPr>
          <w:rFonts w:hint="eastAsia" w:ascii="宋体" w:hAnsi="宋体"/>
          <w:sz w:val="21"/>
          <w:szCs w:val="21"/>
        </w:rPr>
        <w:t xml:space="preserve">有效期内的质量管理体系认证证书、环境管理体系认证证书、职业健康</w:t>
      </w:r>
      <w:r>
        <w:rPr>
          <w:rFonts w:hint="eastAsia" w:ascii="宋体" w:hAnsi="宋体"/>
          <w:sz w:val="21"/>
          <w:szCs w:val="21"/>
        </w:rPr>
        <w:t xml:space="preserve">安全</w:t>
      </w:r>
      <w:r>
        <w:rPr>
          <w:rFonts w:hint="eastAsia" w:ascii="宋体" w:hAnsi="宋体"/>
          <w:sz w:val="21"/>
          <w:szCs w:val="21"/>
        </w:rPr>
        <w:t xml:space="preserve">管理体系认证证书</w:t>
      </w:r>
      <w:r>
        <w:rPr>
          <w:rFonts w:hint="eastAsia" w:ascii="宋体" w:hAnsi="宋体"/>
          <w:sz w:val="21"/>
          <w:szCs w:val="21"/>
        </w:rPr>
        <w:t xml:space="preserve">、</w:t>
      </w:r>
      <w:r>
        <w:rPr>
          <w:rFonts w:hint="eastAsia" w:ascii="宋体" w:hAnsi="宋体"/>
          <w:sz w:val="21"/>
          <w:szCs w:val="21"/>
        </w:rPr>
        <w:t xml:space="preserve">信息安全管理体系认证证书、信息技术服务管理体系认证证书</w:t>
      </w:r>
      <w:r>
        <w:rPr>
          <w:rFonts w:hint="eastAsia" w:ascii="宋体" w:hAnsi="宋体"/>
          <w:sz w:val="21"/>
          <w:szCs w:val="21"/>
        </w:rPr>
        <w:t xml:space="preserve">的</w:t>
      </w:r>
      <w:r>
        <w:rPr>
          <w:rFonts w:hint="eastAsia" w:ascii="宋体" w:hAnsi="宋体"/>
          <w:sz w:val="21"/>
          <w:szCs w:val="21"/>
        </w:rPr>
        <w:t xml:space="preserve">，</w:t>
      </w:r>
      <w:r>
        <w:rPr>
          <w:rFonts w:hint="eastAsia" w:ascii="宋体" w:hAnsi="宋体"/>
          <w:sz w:val="21"/>
          <w:szCs w:val="21"/>
        </w:rPr>
        <w:t xml:space="preserve">每提供一</w:t>
      </w:r>
      <w:r>
        <w:rPr>
          <w:rFonts w:hint="eastAsia" w:ascii="宋体" w:hAnsi="宋体"/>
          <w:sz w:val="21"/>
          <w:szCs w:val="21"/>
        </w:rPr>
        <w:t xml:space="preserve">本证书</w:t>
      </w:r>
      <w:r>
        <w:rPr>
          <w:rFonts w:hint="eastAsia" w:ascii="宋体" w:hAnsi="宋体"/>
          <w:sz w:val="21"/>
          <w:szCs w:val="21"/>
        </w:rPr>
        <w:t xml:space="preserve">得1分，</w:t>
      </w:r>
      <w:r>
        <w:rPr>
          <w:rFonts w:hint="eastAsia" w:ascii="宋体" w:hAnsi="宋体"/>
          <w:sz w:val="21"/>
          <w:szCs w:val="21"/>
        </w:rPr>
        <w:t xml:space="preserve">本项</w:t>
      </w:r>
      <w:r>
        <w:rPr>
          <w:rFonts w:hint="eastAsia" w:ascii="宋体" w:hAnsi="宋体"/>
          <w:sz w:val="21"/>
          <w:szCs w:val="21"/>
        </w:rPr>
        <w:t xml:space="preserve">最高得</w:t>
      </w:r>
      <w:r>
        <w:rPr>
          <w:rFonts w:ascii="宋体" w:hAnsi="宋体"/>
          <w:sz w:val="21"/>
          <w:szCs w:val="21"/>
        </w:rPr>
        <w:t xml:space="preserve">5</w:t>
      </w:r>
      <w:r>
        <w:rPr>
          <w:rFonts w:hint="eastAsia" w:ascii="宋体" w:hAnsi="宋体"/>
          <w:sz w:val="21"/>
          <w:szCs w:val="21"/>
        </w:rPr>
        <w:t xml:space="preserve">分。</w:t>
      </w:r>
      <w:r/>
    </w:p>
    <w:p>
      <w:pPr>
        <w:ind w:left="0" w:firstLine="422"/>
        <w:spacing w:line="360" w:lineRule="auto"/>
        <w:rPr>
          <w:rFonts w:ascii="宋体" w:hAnsi="宋体"/>
          <w:b/>
          <w:sz w:val="21"/>
          <w:szCs w:val="21"/>
        </w:rPr>
      </w:pPr>
      <w:r>
        <w:rPr>
          <w:rFonts w:hint="eastAsia" w:ascii="宋体" w:hAnsi="宋体"/>
          <w:b/>
          <w:sz w:val="21"/>
          <w:szCs w:val="21"/>
        </w:rPr>
        <w:t xml:space="preserve">（注：投标文件中需提供以上证书的复印件并加盖投标单位公章或网上发文完整截图并加盖投标单位公章，未按要求提供或不提供不得分。）</w:t>
      </w:r>
      <w:r/>
    </w:p>
    <w:p>
      <w:pPr>
        <w:ind w:left="0" w:firstLine="422"/>
        <w:spacing w:line="360" w:lineRule="auto"/>
        <w:rPr>
          <w:rFonts w:ascii="宋体" w:hAnsi="宋体"/>
          <w:b/>
          <w:sz w:val="21"/>
          <w:szCs w:val="21"/>
        </w:rPr>
      </w:pPr>
      <w:r>
        <w:rPr>
          <w:rFonts w:hint="eastAsia" w:ascii="宋体" w:hAnsi="宋体"/>
          <w:b/>
          <w:sz w:val="21"/>
          <w:szCs w:val="21"/>
        </w:rPr>
        <w:t xml:space="preserve">（六）类似业绩：3分</w:t>
      </w:r>
      <w:r/>
    </w:p>
    <w:p>
      <w:pPr>
        <w:ind w:left="0" w:firstLine="422"/>
        <w:spacing w:line="360" w:lineRule="auto"/>
        <w:rPr>
          <w:rFonts w:ascii="宋体" w:hAnsi="宋体"/>
          <w:sz w:val="21"/>
          <w:szCs w:val="21"/>
        </w:rPr>
      </w:pPr>
      <w:r>
        <w:rPr>
          <w:rFonts w:hint="eastAsia" w:ascii="宋体" w:hAnsi="宋体"/>
          <w:sz w:val="21"/>
          <w:szCs w:val="21"/>
        </w:rPr>
        <w:t xml:space="preserve">投标单位自202</w:t>
      </w:r>
      <w:r>
        <w:rPr>
          <w:rFonts w:ascii="宋体" w:hAnsi="宋体"/>
          <w:sz w:val="21"/>
          <w:szCs w:val="21"/>
        </w:rPr>
        <w:t xml:space="preserve">3</w:t>
      </w:r>
      <w:r>
        <w:rPr>
          <w:rFonts w:hint="eastAsia" w:ascii="宋体" w:hAnsi="宋体"/>
          <w:sz w:val="21"/>
          <w:szCs w:val="21"/>
        </w:rPr>
        <w:t xml:space="preserve">年1月1日起至今（以合同签订之日起为准）完成的类似项目业绩的，每提供一个得1分，最高3分。</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（注：投标文件中需提供合同复印件并加盖投标单位公章，不提供不得分。类似业绩日期认定：以签订合同日期为准。）</w:t>
      </w:r>
      <w:r/>
    </w:p>
    <w:p>
      <w:pPr>
        <w:pStyle w:val="871"/>
      </w:p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1"/>
                          </w:pPr>
                          <w:r>
                            <w:rPr>
                              <w:rFonts w:hint="eastAsia"/>
                            </w:rPr>
                            <w:fldChar w:fldCharType="begin"/>
                          </w:r>
                          <w:r>
                            <w:rPr>
                              <w:rFonts w:hint="eastAsia"/>
                            </w:rPr>
                            <w:instrText xml:space="preserve"> PAGE  \* MERGEFORMAT </w:instrText>
                          </w:r>
                          <w:r>
                            <w:rPr>
                              <w:rFonts w:hint="eastAsia"/>
                            </w:rPr>
                            <w:fldChar w:fldCharType="separate"/>
                          </w:r>
                          <w:r>
                            <w:t xml:space="preserve">62</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pPr>
                    <w:r>
                      <w:rPr>
                        <w:rFonts w:hint="eastAsia"/>
                      </w:rPr>
                      <w:fldChar w:fldCharType="begin"/>
                    </w:r>
                    <w:r>
                      <w:rPr>
                        <w:rFonts w:hint="eastAsia"/>
                      </w:rPr>
                      <w:instrText xml:space="preserve"> PAGE  \* MERGEFORMAT </w:instrText>
                    </w:r>
                    <w:r>
                      <w:rPr>
                        <w:rFonts w:hint="eastAsia"/>
                      </w:rPr>
                      <w:fldChar w:fldCharType="separate"/>
                    </w:r>
                    <w:r>
                      <w:t xml:space="preserve">62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8"/>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8"/>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08"/>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908"/>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908"/>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782" w:hanging="360"/>
      </w:pPr>
      <w:rPr>
        <w:rFonts w:hint="default"/>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
    <w:multiLevelType w:val="hybridMultilevel"/>
    <w:lvl w:ilvl="0">
      <w:start w:val="2"/>
      <w:numFmt w:val="decimal"/>
      <w:isLgl w:val="false"/>
      <w:suff w:val="tab"/>
      <w:lvlText w:val="%1、"/>
      <w:lvlJc w:val="left"/>
      <w:pPr>
        <w:ind w:left="782" w:hanging="360"/>
      </w:pPr>
      <w:rPr>
        <w:rFonts w:hint="default"/>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8"/>
    <w:link w:val="859"/>
    <w:uiPriority w:val="9"/>
    <w:rPr>
      <w:rFonts w:ascii="Arial" w:hAnsi="Arial" w:eastAsia="Arial" w:cs="Arial"/>
      <w:sz w:val="40"/>
      <w:szCs w:val="40"/>
    </w:rPr>
  </w:style>
  <w:style w:type="character" w:styleId="15">
    <w:name w:val="Heading 2 Char"/>
    <w:basedOn w:val="868"/>
    <w:link w:val="860"/>
    <w:uiPriority w:val="9"/>
    <w:rPr>
      <w:rFonts w:ascii="Arial" w:hAnsi="Arial" w:eastAsia="Arial" w:cs="Arial"/>
      <w:sz w:val="34"/>
    </w:rPr>
  </w:style>
  <w:style w:type="character" w:styleId="17">
    <w:name w:val="Heading 3 Char"/>
    <w:basedOn w:val="868"/>
    <w:link w:val="861"/>
    <w:uiPriority w:val="9"/>
    <w:rPr>
      <w:rFonts w:ascii="Arial" w:hAnsi="Arial" w:eastAsia="Arial" w:cs="Arial"/>
      <w:sz w:val="30"/>
      <w:szCs w:val="30"/>
    </w:rPr>
  </w:style>
  <w:style w:type="character" w:styleId="19">
    <w:name w:val="Heading 4 Char"/>
    <w:basedOn w:val="868"/>
    <w:link w:val="862"/>
    <w:uiPriority w:val="9"/>
    <w:rPr>
      <w:rFonts w:ascii="Arial" w:hAnsi="Arial" w:eastAsia="Arial" w:cs="Arial"/>
      <w:b/>
      <w:bCs/>
      <w:sz w:val="26"/>
      <w:szCs w:val="26"/>
    </w:rPr>
  </w:style>
  <w:style w:type="character" w:styleId="21">
    <w:name w:val="Heading 5 Char"/>
    <w:basedOn w:val="868"/>
    <w:link w:val="863"/>
    <w:uiPriority w:val="9"/>
    <w:rPr>
      <w:rFonts w:ascii="Arial" w:hAnsi="Arial" w:eastAsia="Arial" w:cs="Arial"/>
      <w:b/>
      <w:bCs/>
      <w:sz w:val="24"/>
      <w:szCs w:val="24"/>
    </w:rPr>
  </w:style>
  <w:style w:type="character" w:styleId="23">
    <w:name w:val="Heading 6 Char"/>
    <w:basedOn w:val="868"/>
    <w:link w:val="864"/>
    <w:uiPriority w:val="9"/>
    <w:rPr>
      <w:rFonts w:ascii="Arial" w:hAnsi="Arial" w:eastAsia="Arial" w:cs="Arial"/>
      <w:b/>
      <w:bCs/>
      <w:sz w:val="22"/>
      <w:szCs w:val="22"/>
    </w:rPr>
  </w:style>
  <w:style w:type="character" w:styleId="25">
    <w:name w:val="Heading 7 Char"/>
    <w:basedOn w:val="868"/>
    <w:link w:val="865"/>
    <w:uiPriority w:val="9"/>
    <w:rPr>
      <w:rFonts w:ascii="Arial" w:hAnsi="Arial" w:eastAsia="Arial" w:cs="Arial"/>
      <w:b/>
      <w:bCs/>
      <w:i/>
      <w:iCs/>
      <w:sz w:val="22"/>
      <w:szCs w:val="22"/>
    </w:rPr>
  </w:style>
  <w:style w:type="character" w:styleId="27">
    <w:name w:val="Heading 8 Char"/>
    <w:basedOn w:val="868"/>
    <w:link w:val="866"/>
    <w:uiPriority w:val="9"/>
    <w:rPr>
      <w:rFonts w:ascii="Arial" w:hAnsi="Arial" w:eastAsia="Arial" w:cs="Arial"/>
      <w:i/>
      <w:iCs/>
      <w:sz w:val="22"/>
      <w:szCs w:val="22"/>
    </w:rPr>
  </w:style>
  <w:style w:type="character" w:styleId="29">
    <w:name w:val="Heading 9 Char"/>
    <w:basedOn w:val="868"/>
    <w:link w:val="86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8"/>
    <w:next w:val="858"/>
    <w:link w:val="34"/>
    <w:uiPriority w:val="10"/>
    <w:qFormat/>
    <w:pPr>
      <w:contextualSpacing/>
      <w:spacing w:before="300" w:after="200"/>
    </w:pPr>
    <w:rPr>
      <w:sz w:val="48"/>
      <w:szCs w:val="48"/>
    </w:rPr>
  </w:style>
  <w:style w:type="character" w:styleId="34">
    <w:name w:val="Title Char"/>
    <w:basedOn w:val="868"/>
    <w:link w:val="33"/>
    <w:uiPriority w:val="10"/>
    <w:rPr>
      <w:sz w:val="48"/>
      <w:szCs w:val="48"/>
    </w:rPr>
  </w:style>
  <w:style w:type="character" w:styleId="36">
    <w:name w:val="Subtitle Char"/>
    <w:basedOn w:val="868"/>
    <w:link w:val="905"/>
    <w:uiPriority w:val="11"/>
    <w:rPr>
      <w:sz w:val="24"/>
      <w:szCs w:val="24"/>
    </w:rPr>
  </w:style>
  <w:style w:type="character" w:styleId="38">
    <w:name w:val="Quote Char"/>
    <w:link w:val="1110"/>
    <w:uiPriority w:val="29"/>
    <w:rPr>
      <w:i/>
    </w:rPr>
  </w:style>
  <w:style w:type="character" w:styleId="40">
    <w:name w:val="Intense Quote Char"/>
    <w:link w:val="1236"/>
    <w:uiPriority w:val="30"/>
    <w:rPr>
      <w:i/>
    </w:rPr>
  </w:style>
  <w:style w:type="character" w:styleId="42">
    <w:name w:val="Header Char"/>
    <w:basedOn w:val="868"/>
    <w:link w:val="903"/>
    <w:uiPriority w:val="99"/>
  </w:style>
  <w:style w:type="character" w:styleId="44">
    <w:name w:val="Footer Char"/>
    <w:basedOn w:val="868"/>
    <w:link w:val="901"/>
    <w:uiPriority w:val="99"/>
  </w:style>
  <w:style w:type="character" w:styleId="46">
    <w:name w:val="Caption Char"/>
    <w:basedOn w:val="878"/>
    <w:link w:val="901"/>
    <w:uiPriority w:val="99"/>
  </w:style>
  <w:style w:type="table" w:styleId="48">
    <w:name w:val="Table Grid Light"/>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8"/>
    <w:uiPriority w:val="99"/>
    <w:rPr>
      <w:sz w:val="18"/>
    </w:rPr>
  </w:style>
  <w:style w:type="character" w:styleId="178">
    <w:name w:val="Endnote Text Char"/>
    <w:link w:val="898"/>
    <w:uiPriority w:val="99"/>
    <w:rPr>
      <w:sz w:val="20"/>
    </w:rPr>
  </w:style>
  <w:style w:type="character" w:styleId="179">
    <w:name w:val="endnote reference"/>
    <w:basedOn w:val="868"/>
    <w:uiPriority w:val="99"/>
    <w:semiHidden/>
    <w:unhideWhenUsed/>
    <w:rPr>
      <w:vertAlign w:val="superscript"/>
    </w:rPr>
  </w:style>
  <w:style w:type="paragraph" w:styleId="189">
    <w:name w:val="TOC Heading"/>
    <w:uiPriority w:val="39"/>
    <w:unhideWhenUsed/>
  </w:style>
  <w:style w:type="paragraph" w:styleId="190">
    <w:name w:val="table of figures"/>
    <w:basedOn w:val="858"/>
    <w:next w:val="858"/>
    <w:uiPriority w:val="99"/>
    <w:unhideWhenUsed/>
    <w:pPr>
      <w:spacing w:after="0" w:afterAutospacing="0"/>
    </w:pPr>
  </w:style>
  <w:style w:type="paragraph" w:styleId="858" w:default="1">
    <w:name w:val="Normal"/>
    <w:next w:val="871"/>
    <w:qFormat/>
    <w:pPr>
      <w:ind w:left="1024"/>
      <w:jc w:val="both"/>
    </w:pPr>
    <w:rPr>
      <w:rFonts w:ascii="Calibri" w:hAnsi="Calibri"/>
    </w:rPr>
  </w:style>
  <w:style w:type="paragraph" w:styleId="859">
    <w:name w:val="Heading 1"/>
    <w:basedOn w:val="858"/>
    <w:next w:val="858"/>
    <w:qFormat/>
    <w:pPr>
      <w:ind w:left="432" w:firstLine="18"/>
      <w:spacing w:before="340" w:after="330" w:line="578" w:lineRule="auto"/>
      <w:outlineLvl w:val="0"/>
    </w:pPr>
  </w:style>
  <w:style w:type="paragraph" w:styleId="860">
    <w:name w:val="Heading 2"/>
    <w:basedOn w:val="858"/>
    <w:next w:val="858"/>
    <w:qFormat/>
    <w:pPr>
      <w:ind w:left="576" w:firstLine="24"/>
      <w:spacing w:before="260" w:after="260" w:line="416" w:lineRule="auto"/>
      <w:outlineLvl w:val="1"/>
    </w:pPr>
    <w:rPr>
      <w:rFonts w:ascii="Times New Roman" w:hAnsi="Times New Roman" w:cs="Times New Roman"/>
    </w:rPr>
  </w:style>
  <w:style w:type="paragraph" w:styleId="861">
    <w:name w:val="Heading 3"/>
    <w:basedOn w:val="858"/>
    <w:next w:val="872"/>
    <w:qFormat/>
    <w:pPr>
      <w:ind w:left="720"/>
      <w:spacing w:before="260" w:after="260" w:line="416" w:lineRule="auto"/>
      <w:outlineLvl w:val="2"/>
    </w:pPr>
    <w:rPr>
      <w:rFonts w:ascii="Times New Roman" w:hAnsi="Times New Roman" w:cs="Times New Roman"/>
    </w:rPr>
  </w:style>
  <w:style w:type="paragraph" w:styleId="862">
    <w:name w:val="Heading 4"/>
    <w:basedOn w:val="859"/>
    <w:next w:val="858"/>
    <w:qFormat/>
    <w:pPr>
      <w:ind w:left="864" w:firstLine="24"/>
      <w:spacing w:before="280" w:after="290" w:line="376" w:lineRule="auto"/>
      <w:outlineLvl w:val="3"/>
    </w:pPr>
    <w:rPr>
      <w:rFonts w:ascii="Times New Roman" w:hAnsi="Times New Roman" w:cs="Times New Roman"/>
    </w:rPr>
  </w:style>
  <w:style w:type="paragraph" w:styleId="863">
    <w:name w:val="Heading 5"/>
    <w:basedOn w:val="859"/>
    <w:next w:val="858"/>
    <w:qFormat/>
    <w:pPr>
      <w:ind w:left="1008"/>
      <w:spacing w:before="280" w:after="290" w:line="376" w:lineRule="auto"/>
      <w:outlineLvl w:val="4"/>
    </w:pPr>
    <w:rPr>
      <w:rFonts w:ascii="Times New Roman" w:hAnsi="Times New Roman" w:cs="Times New Roman"/>
    </w:rPr>
  </w:style>
  <w:style w:type="paragraph" w:styleId="864">
    <w:name w:val="Heading 6"/>
    <w:basedOn w:val="859"/>
    <w:next w:val="858"/>
    <w:qFormat/>
    <w:pPr>
      <w:ind w:left="1152" w:firstLine="20"/>
      <w:spacing w:before="240" w:after="64" w:line="320" w:lineRule="auto"/>
      <w:outlineLvl w:val="5"/>
    </w:pPr>
    <w:rPr>
      <w:rFonts w:ascii="Times New Roman" w:hAnsi="Times New Roman" w:cs="Times New Roman"/>
    </w:rPr>
  </w:style>
  <w:style w:type="paragraph" w:styleId="865">
    <w:name w:val="Heading 7"/>
    <w:basedOn w:val="859"/>
    <w:next w:val="858"/>
    <w:qFormat/>
    <w:pPr>
      <w:ind w:left="1296" w:firstLine="14"/>
      <w:spacing w:before="240" w:after="64" w:line="320" w:lineRule="auto"/>
      <w:outlineLvl w:val="6"/>
    </w:pPr>
    <w:rPr>
      <w:rFonts w:ascii="Times New Roman" w:hAnsi="Times New Roman" w:cs="Times New Roman"/>
    </w:rPr>
  </w:style>
  <w:style w:type="paragraph" w:styleId="866">
    <w:name w:val="Heading 8"/>
    <w:basedOn w:val="859"/>
    <w:next w:val="858"/>
    <w:qFormat/>
    <w:pPr>
      <w:ind w:left="1440"/>
      <w:spacing w:before="240" w:after="64" w:line="320" w:lineRule="auto"/>
      <w:outlineLvl w:val="7"/>
    </w:pPr>
    <w:rPr>
      <w:rFonts w:ascii="Times New Roman" w:hAnsi="Times New Roman" w:cs="Times New Roman"/>
    </w:rPr>
  </w:style>
  <w:style w:type="paragraph" w:styleId="867">
    <w:name w:val="Heading 9"/>
    <w:basedOn w:val="859"/>
    <w:next w:val="858"/>
    <w:qFormat/>
    <w:pPr>
      <w:ind w:left="1584" w:firstLine="22"/>
      <w:spacing w:before="240" w:after="64" w:line="320" w:lineRule="auto"/>
      <w:outlineLvl w:val="8"/>
    </w:pPr>
    <w:rPr>
      <w:rFonts w:ascii="Times New Roman" w:hAnsi="Times New Roman" w:cs="Times New Roman"/>
    </w:rPr>
  </w:style>
  <w:style w:type="character" w:styleId="868" w:default="1">
    <w:name w:val="Default Paragraph Font"/>
    <w:uiPriority w:val="1"/>
    <w:semiHidden/>
    <w:unhideWhenUsed/>
  </w:style>
  <w:style w:type="table" w:styleId="869" w:default="1">
    <w:name w:val="Normal Table"/>
    <w:uiPriority w:val="99"/>
    <w:semiHidden/>
    <w:unhideWhenUsed/>
    <w:tblPr>
      <w:tblInd w:w="0" w:type="dxa"/>
      <w:tblCellMar>
        <w:left w:w="108" w:type="dxa"/>
        <w:top w:w="0" w:type="dxa"/>
        <w:right w:w="108" w:type="dxa"/>
        <w:bottom w:w="0" w:type="dxa"/>
      </w:tblCellMar>
    </w:tblPr>
  </w:style>
  <w:style w:type="numbering" w:styleId="870" w:default="1">
    <w:name w:val="No List"/>
    <w:uiPriority w:val="99"/>
    <w:semiHidden/>
    <w:unhideWhenUsed/>
  </w:style>
  <w:style w:type="paragraph" w:styleId="871">
    <w:name w:val="Body Text Indent"/>
    <w:basedOn w:val="858"/>
    <w:next w:val="858"/>
    <w:qFormat/>
    <w:pPr>
      <w:ind w:left="420" w:firstLine="1188"/>
      <w:spacing w:line="360" w:lineRule="exact"/>
    </w:pPr>
    <w:rPr>
      <w:rFonts w:ascii="Times New Roman" w:hAnsi="Times New Roman" w:cs="Times New Roman"/>
    </w:rPr>
  </w:style>
  <w:style w:type="paragraph" w:styleId="872" w:customStyle="1">
    <w:name w:val="正文2"/>
    <w:basedOn w:val="858"/>
    <w:next w:val="858"/>
    <w:qFormat/>
    <w:pPr>
      <w:ind w:left="0" w:hanging="2155"/>
      <w:spacing w:line="360" w:lineRule="auto"/>
      <w:shd w:val="clear" w:color="auto" w:fill="ffffff"/>
    </w:pPr>
    <w:rPr>
      <w:rFonts w:ascii="宋体" w:hAnsi="宋体"/>
    </w:rPr>
  </w:style>
  <w:style w:type="paragraph" w:styleId="873">
    <w:name w:val="toc 7"/>
    <w:basedOn w:val="859"/>
    <w:next w:val="858"/>
    <w:qFormat/>
    <w:pPr>
      <w:ind w:left="1640" w:firstLine="3784"/>
      <w:spacing w:before="0" w:after="0" w:line="360" w:lineRule="auto"/>
    </w:pPr>
    <w:rPr>
      <w:rFonts w:ascii="Times New Roman" w:hAnsi="Times New Roman" w:cs="Times New Roman"/>
    </w:rPr>
  </w:style>
  <w:style w:type="paragraph" w:styleId="874">
    <w:name w:val="List Bullet 4"/>
    <w:basedOn w:val="859"/>
    <w:next w:val="875"/>
    <w:qFormat/>
    <w:pPr>
      <w:ind w:left="1620" w:firstLine="2652"/>
      <w:spacing w:before="0" w:after="0" w:line="360" w:lineRule="auto"/>
    </w:pPr>
    <w:rPr>
      <w:rFonts w:ascii="Times New Roman" w:hAnsi="Times New Roman" w:cs="Times New Roman"/>
    </w:rPr>
  </w:style>
  <w:style w:type="paragraph" w:styleId="875">
    <w:name w:val="List Bullet 2"/>
    <w:basedOn w:val="859"/>
    <w:next w:val="858"/>
    <w:qFormat/>
    <w:pPr>
      <w:ind w:left="900" w:firstLine="2652"/>
      <w:spacing w:before="0" w:after="0" w:line="360" w:lineRule="auto"/>
    </w:pPr>
    <w:rPr>
      <w:rFonts w:ascii="Times New Roman" w:hAnsi="Times New Roman" w:cs="Times New Roman"/>
    </w:rPr>
  </w:style>
  <w:style w:type="paragraph" w:styleId="876">
    <w:name w:val="List Number"/>
    <w:basedOn w:val="859"/>
    <w:next w:val="858"/>
    <w:qFormat/>
    <w:pPr>
      <w:ind w:left="454" w:firstLine="2788"/>
      <w:spacing w:before="0" w:after="0" w:line="240" w:lineRule="auto"/>
    </w:pPr>
    <w:rPr>
      <w:rFonts w:ascii="Times New Roman" w:hAnsi="Times New Roman" w:cs="Times New Roman"/>
    </w:rPr>
  </w:style>
  <w:style w:type="paragraph" w:styleId="877">
    <w:name w:val="Normal Indent"/>
    <w:basedOn w:val="858"/>
    <w:next w:val="858"/>
    <w:link w:val="927"/>
    <w:qFormat/>
    <w:pPr>
      <w:ind w:left="420" w:firstLine="4772"/>
    </w:pPr>
  </w:style>
  <w:style w:type="paragraph" w:styleId="878">
    <w:name w:val="Caption"/>
    <w:basedOn w:val="859"/>
    <w:next w:val="858"/>
    <w:qFormat/>
    <w:pPr>
      <w:ind w:left="200" w:firstLine="2248"/>
      <w:jc w:val="center"/>
      <w:spacing w:before="0" w:after="0" w:line="240" w:lineRule="auto"/>
    </w:pPr>
    <w:rPr>
      <w:rFonts w:ascii="Times New Roman" w:hAnsi="Times New Roman" w:cs="Times New Roman"/>
    </w:rPr>
  </w:style>
  <w:style w:type="paragraph" w:styleId="879">
    <w:name w:val="List Bullet"/>
    <w:basedOn w:val="859"/>
    <w:next w:val="858"/>
    <w:qFormat/>
    <w:pPr>
      <w:ind w:left="900" w:firstLine="2652"/>
      <w:spacing w:before="0" w:after="0" w:line="360" w:lineRule="auto"/>
    </w:pPr>
    <w:rPr>
      <w:rFonts w:ascii="Times New Roman" w:hAnsi="Times New Roman" w:cs="Times New Roman"/>
    </w:rPr>
  </w:style>
  <w:style w:type="paragraph" w:styleId="880">
    <w:name w:val="Document Map"/>
    <w:basedOn w:val="859"/>
    <w:next w:val="881"/>
    <w:qFormat/>
    <w:pPr>
      <w:ind w:left="0" w:firstLine="4"/>
      <w:spacing w:before="0" w:after="0" w:line="240" w:lineRule="auto"/>
      <w:shd w:val="clear" w:color="000000" w:fill="000080"/>
    </w:pPr>
    <w:rPr>
      <w:rFonts w:ascii="Times New Roman" w:hAnsi="Times New Roman" w:cs="Times New Roman"/>
    </w:rPr>
  </w:style>
  <w:style w:type="paragraph" w:styleId="881">
    <w:name w:val="annotation subject"/>
    <w:next w:val="858"/>
    <w:qFormat/>
    <w:pPr>
      <w:ind w:firstLine="4608"/>
      <w:spacing w:line="360" w:lineRule="auto"/>
    </w:pPr>
    <w:rPr>
      <w:rFonts w:ascii="Calibri" w:hAnsi="Calibri"/>
    </w:rPr>
  </w:style>
  <w:style w:type="paragraph" w:styleId="882">
    <w:name w:val="annotation text"/>
    <w:basedOn w:val="859"/>
    <w:next w:val="858"/>
    <w:qFormat/>
    <w:pPr>
      <w:ind w:left="0" w:firstLine="3584"/>
      <w:spacing w:before="0" w:after="0" w:line="360" w:lineRule="auto"/>
    </w:pPr>
    <w:rPr>
      <w:rFonts w:ascii="Times New Roman" w:hAnsi="Times New Roman" w:cs="Times New Roman"/>
    </w:rPr>
  </w:style>
  <w:style w:type="paragraph" w:styleId="883">
    <w:name w:val="Body Text 3"/>
    <w:basedOn w:val="859"/>
    <w:next w:val="858"/>
    <w:qFormat/>
    <w:pPr>
      <w:ind w:left="0" w:firstLine="2048"/>
      <w:spacing w:before="0" w:after="0" w:line="500" w:lineRule="exact"/>
    </w:pPr>
    <w:rPr>
      <w:rFonts w:ascii="Times New Roman" w:hAnsi="Times New Roman" w:cs="Times New Roman"/>
    </w:rPr>
  </w:style>
  <w:style w:type="paragraph" w:styleId="884">
    <w:name w:val="List Bullet 3"/>
    <w:basedOn w:val="859"/>
    <w:next w:val="858"/>
    <w:qFormat/>
    <w:pPr>
      <w:ind w:left="900" w:firstLine="2652"/>
      <w:spacing w:before="0" w:after="0" w:line="360" w:lineRule="auto"/>
    </w:pPr>
    <w:rPr>
      <w:rFonts w:ascii="Times New Roman" w:hAnsi="Times New Roman" w:cs="Times New Roman"/>
    </w:rPr>
  </w:style>
  <w:style w:type="paragraph" w:styleId="885">
    <w:name w:val="Body Text"/>
    <w:basedOn w:val="858"/>
    <w:next w:val="858"/>
    <w:qFormat/>
    <w:pPr>
      <w:ind w:left="0" w:firstLine="2560"/>
    </w:pPr>
    <w:rPr>
      <w:rFonts w:ascii="Times New Roman" w:hAnsi="Times New Roman" w:cs="Times New Roman"/>
    </w:rPr>
  </w:style>
  <w:style w:type="paragraph" w:styleId="886">
    <w:name w:val="List Number 3"/>
    <w:basedOn w:val="859"/>
    <w:next w:val="858"/>
    <w:qFormat/>
    <w:pPr>
      <w:ind w:left="420" w:firstLine="3584"/>
      <w:spacing w:before="0" w:after="0" w:line="240" w:lineRule="auto"/>
    </w:pPr>
    <w:rPr>
      <w:rFonts w:ascii="Times New Roman" w:hAnsi="Times New Roman" w:cs="Times New Roman"/>
    </w:rPr>
  </w:style>
  <w:style w:type="paragraph" w:styleId="887">
    <w:name w:val="List 2"/>
    <w:basedOn w:val="859"/>
    <w:next w:val="873"/>
    <w:qFormat/>
    <w:pPr>
      <w:ind w:left="100" w:firstLine="3640"/>
      <w:spacing w:before="0" w:after="0" w:line="240" w:lineRule="auto"/>
    </w:pPr>
    <w:rPr>
      <w:rFonts w:ascii="Times New Roman" w:hAnsi="Times New Roman" w:cs="Times New Roman"/>
    </w:rPr>
  </w:style>
  <w:style w:type="paragraph" w:styleId="888">
    <w:name w:val="Block Text"/>
    <w:basedOn w:val="859"/>
    <w:next w:val="858"/>
    <w:qFormat/>
    <w:pPr>
      <w:ind w:left="420" w:right="33" w:firstLine="2560"/>
      <w:spacing w:before="0" w:after="0" w:line="240" w:lineRule="auto"/>
    </w:pPr>
    <w:rPr>
      <w:rFonts w:ascii="Times New Roman" w:hAnsi="Times New Roman" w:cs="Times New Roman"/>
    </w:rPr>
  </w:style>
  <w:style w:type="paragraph" w:styleId="889">
    <w:name w:val="toc 5"/>
    <w:basedOn w:val="859"/>
    <w:next w:val="858"/>
    <w:qFormat/>
    <w:pPr>
      <w:ind w:left="1160" w:firstLine="3784"/>
      <w:spacing w:before="0" w:after="0" w:line="360" w:lineRule="auto"/>
    </w:pPr>
    <w:rPr>
      <w:rFonts w:ascii="Times New Roman" w:hAnsi="Times New Roman" w:cs="Times New Roman"/>
    </w:rPr>
  </w:style>
  <w:style w:type="paragraph" w:styleId="890">
    <w:name w:val="toc 3"/>
    <w:basedOn w:val="859"/>
    <w:next w:val="858"/>
    <w:qFormat/>
    <w:pPr>
      <w:ind w:left="0" w:firstLine="1024"/>
      <w:spacing w:before="0" w:after="0" w:line="360" w:lineRule="auto"/>
    </w:pPr>
    <w:rPr>
      <w:rFonts w:ascii="Times New Roman" w:hAnsi="Times New Roman" w:cs="Times New Roman"/>
    </w:rPr>
  </w:style>
  <w:style w:type="paragraph" w:styleId="891">
    <w:name w:val="Plain Text"/>
    <w:basedOn w:val="859"/>
    <w:next w:val="892"/>
    <w:qFormat/>
    <w:pPr>
      <w:ind w:left="0" w:firstLine="2048"/>
      <w:spacing w:before="0" w:after="0" w:line="240" w:lineRule="auto"/>
    </w:pPr>
    <w:rPr>
      <w:rFonts w:ascii="Times New Roman" w:hAnsi="Times New Roman" w:cs="Times New Roman"/>
    </w:rPr>
  </w:style>
  <w:style w:type="paragraph" w:styleId="892">
    <w:name w:val="toc 1"/>
    <w:basedOn w:val="859"/>
    <w:next w:val="858"/>
    <w:uiPriority w:val="39"/>
    <w:qFormat/>
    <w:pPr>
      <w:ind w:left="0" w:firstLine="4608"/>
      <w:spacing w:before="0" w:after="0" w:line="240" w:lineRule="auto"/>
    </w:pPr>
    <w:rPr>
      <w:rFonts w:ascii="Times New Roman" w:hAnsi="Times New Roman" w:cs="Times New Roman"/>
    </w:rPr>
  </w:style>
  <w:style w:type="paragraph" w:styleId="893">
    <w:name w:val="List Bullet 5"/>
    <w:basedOn w:val="859"/>
    <w:next w:val="894"/>
    <w:qFormat/>
    <w:pPr>
      <w:ind w:left="2040" w:firstLine="2560"/>
      <w:spacing w:before="0" w:after="0" w:line="360" w:lineRule="auto"/>
    </w:pPr>
    <w:rPr>
      <w:rFonts w:ascii="Times New Roman" w:hAnsi="Times New Roman" w:cs="Times New Roman"/>
    </w:rPr>
  </w:style>
  <w:style w:type="paragraph" w:styleId="894" w:customStyle="1">
    <w:name w:val="正文首行缩进1"/>
    <w:next w:val="886"/>
    <w:qFormat/>
    <w:pPr>
      <w:ind w:left="420" w:firstLine="2724"/>
      <w:spacing w:after="120" w:line="360" w:lineRule="auto"/>
    </w:pPr>
    <w:rPr>
      <w:rFonts w:ascii="Calibri" w:hAnsi="Calibri"/>
    </w:rPr>
  </w:style>
  <w:style w:type="paragraph" w:styleId="895">
    <w:name w:val="toc 8"/>
    <w:basedOn w:val="859"/>
    <w:next w:val="858"/>
    <w:qFormat/>
    <w:pPr>
      <w:ind w:left="1880" w:firstLine="3784"/>
      <w:spacing w:before="0" w:after="0" w:line="360" w:lineRule="auto"/>
    </w:pPr>
    <w:rPr>
      <w:rFonts w:ascii="Times New Roman" w:hAnsi="Times New Roman" w:cs="Times New Roman"/>
    </w:rPr>
  </w:style>
  <w:style w:type="paragraph" w:styleId="896">
    <w:name w:val="Date"/>
    <w:basedOn w:val="859"/>
    <w:next w:val="858"/>
    <w:qFormat/>
    <w:pPr>
      <w:ind w:left="0" w:firstLine="2560"/>
      <w:spacing w:before="0" w:after="0" w:line="240" w:lineRule="auto"/>
    </w:pPr>
    <w:rPr>
      <w:rFonts w:ascii="Times New Roman" w:hAnsi="Times New Roman" w:cs="Times New Roman"/>
    </w:rPr>
  </w:style>
  <w:style w:type="paragraph" w:styleId="897">
    <w:name w:val="Body Text Indent 2"/>
    <w:basedOn w:val="859"/>
    <w:next w:val="871"/>
    <w:qFormat/>
    <w:pPr>
      <w:ind w:left="481" w:firstLine="2784"/>
      <w:spacing w:before="0" w:after="0" w:line="400" w:lineRule="exact"/>
    </w:pPr>
    <w:rPr>
      <w:rFonts w:ascii="Times New Roman" w:hAnsi="Times New Roman" w:cs="Times New Roman"/>
    </w:rPr>
  </w:style>
  <w:style w:type="paragraph" w:styleId="898">
    <w:name w:val="endnote text"/>
    <w:basedOn w:val="859"/>
    <w:next w:val="899"/>
    <w:qFormat/>
    <w:pPr>
      <w:ind w:left="0" w:firstLine="2560"/>
      <w:spacing w:before="0" w:after="0" w:line="360" w:lineRule="auto"/>
    </w:pPr>
    <w:rPr>
      <w:rFonts w:ascii="Times New Roman" w:hAnsi="Times New Roman" w:cs="Times New Roman"/>
    </w:rPr>
  </w:style>
  <w:style w:type="paragraph" w:styleId="899" w:customStyle="1">
    <w:name w:val="Char11"/>
    <w:basedOn w:val="859"/>
    <w:next w:val="858"/>
    <w:qFormat/>
    <w:pPr>
      <w:ind w:left="0" w:firstLine="3584"/>
      <w:spacing w:before="0" w:after="0" w:line="240" w:lineRule="auto"/>
    </w:pPr>
    <w:rPr>
      <w:rFonts w:ascii="Times New Roman" w:hAnsi="Times New Roman" w:cs="Times New Roman"/>
    </w:rPr>
  </w:style>
  <w:style w:type="paragraph" w:styleId="900">
    <w:name w:val="Balloon Text"/>
    <w:basedOn w:val="859"/>
    <w:next w:val="876"/>
    <w:qFormat/>
    <w:pPr>
      <w:ind w:left="0" w:firstLine="2048"/>
      <w:spacing w:before="0" w:after="0" w:line="240" w:lineRule="auto"/>
    </w:pPr>
    <w:rPr>
      <w:rFonts w:ascii="Times New Roman" w:hAnsi="Times New Roman" w:cs="Times New Roman"/>
    </w:rPr>
  </w:style>
  <w:style w:type="paragraph" w:styleId="901">
    <w:name w:val="Footer"/>
    <w:basedOn w:val="858"/>
    <w:next w:val="902"/>
    <w:link w:val="928"/>
    <w:qFormat/>
    <w:pPr>
      <w:ind w:left="0" w:firstLine="3584"/>
    </w:pPr>
  </w:style>
  <w:style w:type="paragraph" w:styleId="902" w:customStyle="1">
    <w:name w:val="Char Char Char Char Char Char Char Char Char Char Char Char Char"/>
    <w:basedOn w:val="859"/>
    <w:next w:val="858"/>
    <w:qFormat/>
    <w:pPr>
      <w:ind w:left="0" w:firstLine="3584"/>
      <w:spacing w:before="0" w:after="160" w:line="240" w:lineRule="exact"/>
    </w:pPr>
    <w:rPr>
      <w:rFonts w:ascii="Times New Roman" w:hAnsi="Times New Roman" w:cs="Times New Roman"/>
    </w:rPr>
  </w:style>
  <w:style w:type="paragraph" w:styleId="903">
    <w:name w:val="Header"/>
    <w:basedOn w:val="859"/>
    <w:next w:val="896"/>
    <w:link w:val="929"/>
    <w:qFormat/>
    <w:pPr>
      <w:ind w:left="0" w:firstLine="3584"/>
      <w:jc w:val="center"/>
      <w:spacing w:before="0" w:after="0" w:line="240" w:lineRule="auto"/>
    </w:pPr>
  </w:style>
  <w:style w:type="paragraph" w:styleId="904">
    <w:name w:val="toc 4"/>
    <w:basedOn w:val="859"/>
    <w:next w:val="858"/>
    <w:qFormat/>
    <w:pPr>
      <w:ind w:left="1260" w:firstLine="1024"/>
      <w:spacing w:before="0" w:after="0" w:line="240" w:lineRule="auto"/>
    </w:pPr>
    <w:rPr>
      <w:rFonts w:ascii="Times New Roman" w:hAnsi="Times New Roman" w:cs="Times New Roman"/>
    </w:rPr>
  </w:style>
  <w:style w:type="paragraph" w:styleId="905">
    <w:name w:val="Subtitle"/>
    <w:next w:val="858"/>
    <w:qFormat/>
    <w:pPr>
      <w:ind w:left="1024"/>
      <w:jc w:val="center"/>
      <w:spacing w:after="60"/>
    </w:pPr>
    <w:rPr>
      <w:rFonts w:ascii="Calibri" w:hAnsi="Calibri"/>
    </w:rPr>
  </w:style>
  <w:style w:type="paragraph" w:styleId="906">
    <w:name w:val="List"/>
    <w:basedOn w:val="859"/>
    <w:next w:val="907"/>
    <w:qFormat/>
    <w:pPr>
      <w:ind w:left="200" w:firstLine="3640"/>
      <w:spacing w:before="0" w:after="0" w:line="240" w:lineRule="auto"/>
    </w:pPr>
    <w:rPr>
      <w:rFonts w:ascii="Times New Roman" w:hAnsi="Times New Roman" w:cs="Times New Roman"/>
    </w:rPr>
  </w:style>
  <w:style w:type="paragraph" w:styleId="907">
    <w:name w:val="Body Text First Indent"/>
    <w:next w:val="858"/>
    <w:qFormat/>
    <w:pPr>
      <w:ind w:left="420" w:firstLine="3748"/>
      <w:spacing w:after="120"/>
    </w:pPr>
    <w:rPr>
      <w:rFonts w:ascii="Calibri" w:hAnsi="Calibri"/>
    </w:rPr>
  </w:style>
  <w:style w:type="paragraph" w:styleId="908">
    <w:name w:val="footnote text"/>
    <w:basedOn w:val="859"/>
    <w:next w:val="888"/>
    <w:qFormat/>
    <w:pPr>
      <w:ind w:left="0" w:firstLine="3584"/>
      <w:spacing w:before="0" w:after="0" w:line="360" w:lineRule="auto"/>
    </w:pPr>
    <w:rPr>
      <w:rFonts w:ascii="Times New Roman" w:hAnsi="Times New Roman" w:cs="Times New Roman"/>
    </w:rPr>
  </w:style>
  <w:style w:type="paragraph" w:styleId="909">
    <w:name w:val="toc 6"/>
    <w:basedOn w:val="859"/>
    <w:next w:val="858"/>
    <w:qFormat/>
    <w:pPr>
      <w:ind w:left="1400" w:firstLine="3784"/>
      <w:spacing w:before="0" w:after="0" w:line="360" w:lineRule="auto"/>
    </w:pPr>
    <w:rPr>
      <w:rFonts w:ascii="Times New Roman" w:hAnsi="Times New Roman" w:cs="Times New Roman"/>
    </w:rPr>
  </w:style>
  <w:style w:type="paragraph" w:styleId="910">
    <w:name w:val="List 5"/>
    <w:basedOn w:val="859"/>
    <w:next w:val="885"/>
    <w:qFormat/>
    <w:pPr>
      <w:ind w:left="2100" w:firstLine="3676"/>
      <w:spacing w:before="0" w:after="0" w:line="240" w:lineRule="auto"/>
    </w:pPr>
    <w:rPr>
      <w:rFonts w:ascii="Times New Roman" w:hAnsi="Times New Roman" w:cs="Times New Roman"/>
    </w:rPr>
  </w:style>
  <w:style w:type="paragraph" w:styleId="911">
    <w:name w:val="Body Text Indent 3"/>
    <w:basedOn w:val="859"/>
    <w:next w:val="909"/>
    <w:qFormat/>
    <w:pPr>
      <w:ind w:left="480" w:firstLine="2784"/>
      <w:spacing w:before="0" w:after="0" w:line="400" w:lineRule="exact"/>
    </w:pPr>
    <w:rPr>
      <w:rFonts w:ascii="Times New Roman" w:hAnsi="Times New Roman" w:cs="Times New Roman"/>
    </w:rPr>
  </w:style>
  <w:style w:type="paragraph" w:styleId="912">
    <w:name w:val="toc 2"/>
    <w:basedOn w:val="859"/>
    <w:next w:val="858"/>
    <w:qFormat/>
    <w:pPr>
      <w:ind w:left="0" w:firstLine="1024"/>
      <w:spacing w:before="0" w:after="0" w:line="360" w:lineRule="auto"/>
    </w:pPr>
    <w:rPr>
      <w:rFonts w:ascii="Times New Roman" w:hAnsi="Times New Roman" w:cs="Times New Roman"/>
    </w:rPr>
  </w:style>
  <w:style w:type="paragraph" w:styleId="913">
    <w:name w:val="toc 9"/>
    <w:basedOn w:val="859"/>
    <w:next w:val="858"/>
    <w:qFormat/>
    <w:pPr>
      <w:ind w:left="2120" w:firstLine="3784"/>
      <w:spacing w:before="0" w:after="0" w:line="360" w:lineRule="auto"/>
    </w:pPr>
    <w:rPr>
      <w:rFonts w:ascii="Times New Roman" w:hAnsi="Times New Roman" w:cs="Times New Roman"/>
    </w:rPr>
  </w:style>
  <w:style w:type="paragraph" w:styleId="914">
    <w:name w:val="Body Text 2"/>
    <w:basedOn w:val="859"/>
    <w:next w:val="879"/>
    <w:qFormat/>
    <w:pPr>
      <w:ind w:left="0" w:firstLine="1024"/>
      <w:spacing w:before="0" w:after="120" w:line="480" w:lineRule="auto"/>
    </w:pPr>
    <w:rPr>
      <w:rFonts w:ascii="Times New Roman" w:hAnsi="Times New Roman" w:cs="Times New Roman"/>
    </w:rPr>
  </w:style>
  <w:style w:type="paragraph" w:styleId="915">
    <w:name w:val="HTML Preformatted"/>
    <w:basedOn w:val="859"/>
    <w:next w:val="878"/>
    <w:qFormat/>
    <w:pPr>
      <w:ind w:left="0" w:firstLine="2048"/>
      <w:spacing w:before="0" w:after="0" w:line="253" w:lineRule="atLeast"/>
    </w:pPr>
    <w:rPr>
      <w:rFonts w:ascii="Times New Roman" w:hAnsi="Times New Roman" w:cs="Times New Roman"/>
    </w:rPr>
  </w:style>
  <w:style w:type="paragraph" w:styleId="916">
    <w:name w:val="Normal (Web)"/>
    <w:basedOn w:val="858"/>
    <w:next w:val="887"/>
    <w:uiPriority w:val="99"/>
    <w:qFormat/>
    <w:pPr>
      <w:ind w:left="15" w:right="15" w:firstLine="4608"/>
      <w:spacing w:before="60" w:after="60" w:line="312" w:lineRule="auto"/>
    </w:pPr>
    <w:rPr>
      <w:rFonts w:ascii="Times New Roman" w:hAnsi="Times New Roman" w:cs="Times New Roman"/>
    </w:rPr>
  </w:style>
  <w:style w:type="paragraph" w:styleId="917">
    <w:name w:val="index 1"/>
    <w:basedOn w:val="859"/>
    <w:next w:val="858"/>
    <w:qFormat/>
    <w:pPr>
      <w:ind w:left="0" w:firstLine="3584"/>
      <w:spacing w:before="0" w:after="0" w:line="240" w:lineRule="auto"/>
    </w:pPr>
    <w:rPr>
      <w:rFonts w:ascii="Times New Roman" w:hAnsi="Times New Roman" w:cs="Times New Roman"/>
    </w:rPr>
  </w:style>
  <w:style w:type="paragraph" w:styleId="918">
    <w:name w:val="Body Text First Indent 2"/>
    <w:basedOn w:val="871"/>
    <w:unhideWhenUsed/>
    <w:qFormat/>
    <w:pPr>
      <w:ind w:firstLine="420"/>
    </w:pPr>
  </w:style>
  <w:style w:type="table" w:styleId="919">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20">
    <w:name w:val="Strong"/>
    <w:uiPriority w:val="22"/>
    <w:qFormat/>
    <w:rPr>
      <w:rFonts w:ascii="Times New Roman" w:hAnsi="Times New Roman" w:eastAsia="宋体" w:cs="Times New Roman"/>
      <w:b/>
      <w:sz w:val="20"/>
    </w:rPr>
  </w:style>
  <w:style w:type="character" w:styleId="921">
    <w:name w:val="page number"/>
    <w:qFormat/>
    <w:rPr>
      <w:rFonts w:ascii="Times New Roman" w:hAnsi="Times New Roman" w:eastAsia="宋体" w:cs="Times New Roman"/>
      <w:sz w:val="20"/>
    </w:rPr>
  </w:style>
  <w:style w:type="character" w:styleId="922">
    <w:name w:val="FollowedHyperlink"/>
    <w:qFormat/>
    <w:rPr>
      <w:rFonts w:ascii="Times New Roman" w:hAnsi="Times New Roman" w:eastAsia="宋体" w:cs="Times New Roman"/>
      <w:color w:val="800080"/>
      <w:sz w:val="20"/>
      <w:u w:val="single"/>
    </w:rPr>
  </w:style>
  <w:style w:type="character" w:styleId="923">
    <w:name w:val="Emphasis"/>
    <w:uiPriority w:val="20"/>
    <w:qFormat/>
    <w:rPr>
      <w:rFonts w:ascii="Times New Roman" w:hAnsi="Times New Roman" w:eastAsia="宋体" w:cs="Times New Roman"/>
      <w:i/>
      <w:sz w:val="21"/>
    </w:rPr>
  </w:style>
  <w:style w:type="character" w:styleId="924">
    <w:name w:val="Hyperlink"/>
    <w:uiPriority w:val="99"/>
    <w:qFormat/>
    <w:rPr>
      <w:rFonts w:ascii="Times New Roman" w:hAnsi="Times New Roman" w:eastAsia="宋体" w:cs="Times New Roman"/>
      <w:color w:val="0000ff"/>
      <w:sz w:val="20"/>
      <w:u w:val="single"/>
    </w:rPr>
  </w:style>
  <w:style w:type="character" w:styleId="925">
    <w:name w:val="annotation reference"/>
    <w:qFormat/>
    <w:rPr>
      <w:rFonts w:ascii="Times New Roman" w:hAnsi="Times New Roman" w:eastAsia="宋体" w:cs="Times New Roman"/>
      <w:sz w:val="20"/>
    </w:rPr>
  </w:style>
  <w:style w:type="character" w:styleId="926">
    <w:name w:val="footnote reference"/>
    <w:qFormat/>
    <w:rPr>
      <w:rFonts w:ascii="Times New Roman" w:hAnsi="Times New Roman" w:eastAsia="宋体" w:cs="Times New Roman"/>
      <w:vertAlign w:val="superscript"/>
    </w:rPr>
  </w:style>
  <w:style w:type="character" w:styleId="927" w:customStyle="1">
    <w:name w:val="正文缩进 字符"/>
    <w:link w:val="877"/>
    <w:qFormat/>
    <w:rPr>
      <w:rFonts w:ascii="Calibri" w:hAnsi="Calibri" w:eastAsia="宋体" w:cs="Times New Roman"/>
    </w:rPr>
  </w:style>
  <w:style w:type="character" w:styleId="928" w:customStyle="1">
    <w:name w:val="页脚 字符"/>
    <w:link w:val="901"/>
    <w:qFormat/>
    <w:rPr>
      <w:rFonts w:ascii="Calibri" w:hAnsi="Calibri" w:eastAsia="宋体" w:cs="Times New Roman"/>
    </w:rPr>
  </w:style>
  <w:style w:type="character" w:styleId="929" w:customStyle="1">
    <w:name w:val="页眉 字符"/>
    <w:link w:val="903"/>
    <w:qFormat/>
    <w:rPr>
      <w:rFonts w:ascii="Calibri" w:hAnsi="Calibri" w:eastAsia="宋体" w:cs="Times New Roman"/>
    </w:rPr>
  </w:style>
  <w:style w:type="character" w:styleId="930" w:customStyle="1">
    <w:name w:val="日期 Char"/>
    <w:qFormat/>
    <w:rPr>
      <w:rFonts w:ascii="Times New Roman" w:hAnsi="Times New Roman" w:eastAsia="宋体" w:cs="Times New Roman"/>
      <w:sz w:val="20"/>
    </w:rPr>
  </w:style>
  <w:style w:type="character" w:styleId="931" w:customStyle="1">
    <w:name w:val="批注引用1"/>
    <w:qFormat/>
    <w:rPr>
      <w:rFonts w:ascii="Times New Roman" w:hAnsi="Times New Roman" w:eastAsia="宋体" w:cs="Times New Roman"/>
      <w:sz w:val="20"/>
    </w:rPr>
  </w:style>
  <w:style w:type="character" w:styleId="932" w:customStyle="1">
    <w:name w:val="应答文本 Char Char"/>
    <w:qFormat/>
    <w:rPr>
      <w:rFonts w:ascii="Times New Roman" w:hAnsi="Times New Roman" w:eastAsia="宋体" w:cs="Times New Roman"/>
      <w:sz w:val="20"/>
    </w:rPr>
  </w:style>
  <w:style w:type="character" w:styleId="933" w:customStyle="1">
    <w:name w:val="图片0 Char Char"/>
    <w:qFormat/>
    <w:rPr>
      <w:rFonts w:ascii="Times New Roman" w:hAnsi="Times New Roman" w:eastAsia="宋体" w:cs="Times New Roman"/>
      <w:sz w:val="20"/>
    </w:rPr>
  </w:style>
  <w:style w:type="character" w:styleId="934" w:customStyle="1">
    <w:name w:val="尾注文本 Char"/>
    <w:qFormat/>
    <w:rPr>
      <w:rFonts w:ascii="Times New Roman" w:hAnsi="Times New Roman" w:eastAsia="宋体" w:cs="Times New Roman"/>
      <w:sz w:val="20"/>
    </w:rPr>
  </w:style>
  <w:style w:type="character" w:styleId="935" w:customStyle="1">
    <w:name w:val="文档结构图 字符"/>
    <w:qFormat/>
    <w:rPr>
      <w:rFonts w:ascii="Microsoft YaHei UI" w:hAnsi="Times New Roman" w:eastAsia="Microsoft YaHei UI" w:cs="Times New Roman"/>
      <w:sz w:val="18"/>
      <w:szCs w:val="18"/>
    </w:rPr>
  </w:style>
  <w:style w:type="character" w:styleId="936" w:customStyle="1">
    <w:name w:val="_Style 337"/>
    <w:qFormat/>
    <w:rPr>
      <w:rFonts w:ascii="Times New Roman" w:hAnsi="Times New Roman" w:eastAsia="宋体" w:cs="Times New Roman"/>
      <w:color w:val="auto"/>
      <w:sz w:val="21"/>
    </w:rPr>
  </w:style>
  <w:style w:type="character" w:styleId="937" w:customStyle="1">
    <w:name w:val="正文文本 字符"/>
    <w:qFormat/>
    <w:rPr>
      <w:rFonts w:ascii="Times New Roman" w:hAnsi="Times New Roman" w:eastAsia="宋体" w:cs="Times New Roman"/>
      <w:sz w:val="21"/>
    </w:rPr>
  </w:style>
  <w:style w:type="character" w:styleId="938" w:customStyle="1">
    <w:name w:val="批注文字 字符"/>
    <w:qFormat/>
    <w:rPr>
      <w:rFonts w:ascii="Times New Roman" w:hAnsi="Times New Roman" w:eastAsia="宋体" w:cs="Times New Roman"/>
      <w:sz w:val="20"/>
    </w:rPr>
  </w:style>
  <w:style w:type="character" w:styleId="939" w:customStyle="1">
    <w:name w:val="批注文字 Char1"/>
    <w:qFormat/>
    <w:rPr>
      <w:rFonts w:ascii="Times New Roman" w:hAnsi="Times New Roman" w:eastAsia="宋体" w:cs="Times New Roman"/>
      <w:sz w:val="20"/>
    </w:rPr>
  </w:style>
  <w:style w:type="character" w:styleId="940" w:customStyle="1">
    <w:name w:val="txt"/>
    <w:qFormat/>
    <w:rPr>
      <w:rFonts w:ascii="Times New Roman" w:hAnsi="Times New Roman" w:eastAsia="宋体" w:cs="Times New Roman"/>
      <w:sz w:val="20"/>
    </w:rPr>
  </w:style>
  <w:style w:type="character" w:styleId="941" w:customStyle="1">
    <w:name w:val="标书正文 Char"/>
    <w:qFormat/>
    <w:rPr>
      <w:rFonts w:ascii="Times New Roman" w:hAnsi="Times New Roman" w:eastAsia="宋体" w:cs="Times New Roman"/>
      <w:sz w:val="20"/>
    </w:rPr>
  </w:style>
  <w:style w:type="character" w:styleId="942" w:customStyle="1">
    <w:name w:val="font21"/>
    <w:qFormat/>
    <w:rPr>
      <w:rFonts w:hint="eastAsia" w:ascii="宋体" w:hAnsi="宋体" w:eastAsia="宋体" w:cs="宋体"/>
      <w:color w:val="ff0000"/>
      <w:sz w:val="24"/>
      <w:szCs w:val="24"/>
      <w:u w:val="none"/>
    </w:rPr>
  </w:style>
  <w:style w:type="character" w:styleId="943" w:customStyle="1">
    <w:name w:val="apple-converted-space"/>
    <w:qFormat/>
    <w:rPr>
      <w:rFonts w:ascii="Times New Roman" w:hAnsi="Times New Roman" w:eastAsia="宋体" w:cs="Times New Roman"/>
      <w:sz w:val="20"/>
    </w:rPr>
  </w:style>
  <w:style w:type="character" w:styleId="944" w:customStyle="1">
    <w:name w:val="纯文本 Char1"/>
    <w:qFormat/>
    <w:rPr>
      <w:rFonts w:ascii="Times New Roman" w:hAnsi="Times New Roman" w:eastAsia="宋体" w:cs="Times New Roman"/>
      <w:sz w:val="20"/>
    </w:rPr>
  </w:style>
  <w:style w:type="character" w:styleId="945" w:customStyle="1">
    <w:name w:val="para1"/>
    <w:qFormat/>
    <w:rPr>
      <w:rFonts w:ascii="Times New Roman" w:hAnsi="Times New Roman" w:eastAsia="宋体" w:cs="Times New Roman"/>
      <w:sz w:val="20"/>
    </w:rPr>
  </w:style>
  <w:style w:type="character" w:styleId="946" w:customStyle="1">
    <w:name w:val="HTML 预设格式 Char1"/>
    <w:qFormat/>
    <w:rPr>
      <w:rFonts w:ascii="Times New Roman" w:hAnsi="Times New Roman" w:eastAsia="宋体" w:cs="Times New Roman"/>
      <w:sz w:val="20"/>
    </w:rPr>
  </w:style>
  <w:style w:type="character" w:styleId="947" w:customStyle="1">
    <w:name w:val="批注文字 Char"/>
    <w:qFormat/>
    <w:rPr>
      <w:rFonts w:ascii="Times New Roman" w:hAnsi="Times New Roman" w:eastAsia="宋体" w:cs="Times New Roman"/>
      <w:sz w:val="20"/>
    </w:rPr>
  </w:style>
  <w:style w:type="character" w:styleId="948" w:customStyle="1">
    <w:name w:val="文档结构图 Char"/>
    <w:qFormat/>
    <w:rPr>
      <w:rFonts w:ascii="Times New Roman" w:hAnsi="Times New Roman" w:eastAsia="宋体" w:cs="Times New Roman"/>
      <w:sz w:val="20"/>
    </w:rPr>
  </w:style>
  <w:style w:type="character" w:styleId="949" w:customStyle="1">
    <w:name w:val="超级链接"/>
    <w:qFormat/>
    <w:rPr>
      <w:rFonts w:ascii="Times New Roman" w:hAnsi="Times New Roman" w:eastAsia="宋体" w:cs="Times New Roman"/>
      <w:color w:val="0000ff"/>
      <w:sz w:val="20"/>
      <w:u w:val="single"/>
    </w:rPr>
  </w:style>
  <w:style w:type="character" w:styleId="950" w:customStyle="1">
    <w:name w:val="p141"/>
    <w:qFormat/>
    <w:rPr>
      <w:rFonts w:ascii="Times New Roman" w:hAnsi="Times New Roman" w:eastAsia="宋体" w:cs="Times New Roman"/>
      <w:color w:val="000000"/>
      <w:sz w:val="20"/>
      <w:u w:val="none"/>
    </w:rPr>
  </w:style>
  <w:style w:type="character" w:styleId="951" w:customStyle="1">
    <w:name w:val="宏文本 Char"/>
    <w:qFormat/>
    <w:rPr>
      <w:rFonts w:ascii="Times New Roman" w:hAnsi="Times New Roman" w:eastAsia="宋体" w:cs="Times New Roman"/>
      <w:sz w:val="20"/>
    </w:rPr>
  </w:style>
  <w:style w:type="character" w:styleId="952" w:customStyle="1">
    <w:name w:val="_Style 313"/>
    <w:qFormat/>
    <w:rPr>
      <w:rFonts w:ascii="Times New Roman" w:hAnsi="Times New Roman" w:eastAsia="宋体" w:cs="Times New Roman"/>
      <w:b/>
      <w:i/>
      <w:sz w:val="21"/>
    </w:rPr>
  </w:style>
  <w:style w:type="character" w:styleId="953" w:customStyle="1">
    <w:name w:val="页脚 Char1"/>
    <w:qFormat/>
    <w:rPr>
      <w:rFonts w:ascii="Times New Roman" w:hAnsi="Times New Roman" w:eastAsia="宋体" w:cs="Times New Roman"/>
      <w:sz w:val="20"/>
    </w:rPr>
  </w:style>
  <w:style w:type="character" w:styleId="954" w:customStyle="1">
    <w:name w:val="页眉 Char"/>
    <w:qFormat/>
    <w:rPr>
      <w:rFonts w:ascii="Times New Roman" w:hAnsi="Times New Roman" w:eastAsia="宋体" w:cs="Times New Roman"/>
      <w:sz w:val="20"/>
    </w:rPr>
  </w:style>
  <w:style w:type="character" w:styleId="955" w:customStyle="1">
    <w:name w:val="标题 7 Char"/>
    <w:qFormat/>
    <w:rPr>
      <w:rFonts w:ascii="Times New Roman" w:hAnsi="Times New Roman" w:eastAsia="宋体" w:cs="Times New Roman"/>
      <w:b/>
      <w:sz w:val="20"/>
    </w:rPr>
  </w:style>
  <w:style w:type="character" w:styleId="956" w:customStyle="1">
    <w:name w:val="Char Char12"/>
    <w:qFormat/>
    <w:rPr>
      <w:rFonts w:ascii="Times New Roman" w:hAnsi="Times New Roman" w:eastAsia="宋体" w:cs="Times New Roman"/>
      <w:sz w:val="20"/>
    </w:rPr>
  </w:style>
  <w:style w:type="character" w:styleId="957" w:customStyle="1">
    <w:name w:val="标题 3 Char"/>
    <w:qFormat/>
    <w:rPr>
      <w:rFonts w:ascii="Times New Roman" w:hAnsi="Times New Roman" w:eastAsia="宋体" w:cs="Times New Roman"/>
      <w:b/>
      <w:sz w:val="20"/>
    </w:rPr>
  </w:style>
  <w:style w:type="character" w:styleId="958" w:customStyle="1">
    <w:name w:val="正文（首行缩进 2 字符） Char Char"/>
    <w:qFormat/>
    <w:rPr>
      <w:rFonts w:ascii="Times New Roman" w:hAnsi="Times New Roman" w:eastAsia="宋体" w:cs="Times New Roman"/>
      <w:sz w:val="20"/>
    </w:rPr>
  </w:style>
  <w:style w:type="character" w:styleId="959" w:customStyle="1">
    <w:name w:val="表格用 Char Char"/>
    <w:qFormat/>
    <w:rPr>
      <w:rFonts w:ascii="Times New Roman" w:hAnsi="Times New Roman" w:eastAsia="宋体" w:cs="Times New Roman"/>
      <w:sz w:val="20"/>
    </w:rPr>
  </w:style>
  <w:style w:type="character" w:styleId="960" w:customStyle="1">
    <w:name w:val="正文文本缩进 3 Char1"/>
    <w:qFormat/>
    <w:rPr>
      <w:rFonts w:ascii="Times New Roman" w:hAnsi="Times New Roman" w:eastAsia="宋体" w:cs="Times New Roman"/>
      <w:sz w:val="20"/>
    </w:rPr>
  </w:style>
  <w:style w:type="character" w:styleId="961" w:customStyle="1">
    <w:name w:val="正文缩进 Char"/>
    <w:qFormat/>
    <w:rPr>
      <w:rFonts w:ascii="Times New Roman" w:hAnsi="Times New Roman" w:eastAsia="宋体" w:cs="Times New Roman"/>
      <w:sz w:val="20"/>
    </w:rPr>
  </w:style>
  <w:style w:type="character" w:styleId="962" w:customStyle="1">
    <w:name w:val="批注框文本 Char1"/>
    <w:qFormat/>
    <w:rPr>
      <w:rFonts w:ascii="Times New Roman" w:hAnsi="Times New Roman" w:eastAsia="宋体" w:cs="Times New Roman"/>
      <w:sz w:val="20"/>
    </w:rPr>
  </w:style>
  <w:style w:type="character" w:styleId="963" w:customStyle="1">
    <w:name w:val="Char Char13"/>
    <w:qFormat/>
    <w:rPr>
      <w:rFonts w:ascii="Times New Roman" w:hAnsi="Times New Roman" w:eastAsia="宋体" w:cs="Times New Roman"/>
      <w:sz w:val="20"/>
    </w:rPr>
  </w:style>
  <w:style w:type="character" w:styleId="964" w:customStyle="1">
    <w:name w:val="样式2 Char"/>
    <w:qFormat/>
    <w:rPr>
      <w:rFonts w:ascii="Times New Roman" w:hAnsi="Times New Roman" w:eastAsia="宋体" w:cs="Times New Roman"/>
      <w:b/>
      <w:sz w:val="20"/>
    </w:rPr>
  </w:style>
  <w:style w:type="character" w:styleId="965" w:customStyle="1">
    <w:name w:val="页脚 Char"/>
    <w:qFormat/>
    <w:rPr>
      <w:rFonts w:ascii="Times New Roman" w:hAnsi="Times New Roman" w:eastAsia="宋体" w:cs="Times New Roman"/>
      <w:sz w:val="20"/>
    </w:rPr>
  </w:style>
  <w:style w:type="character" w:styleId="966" w:customStyle="1">
    <w:name w:val="标准文本 Char"/>
    <w:qFormat/>
    <w:rPr>
      <w:rFonts w:ascii="Times New Roman" w:hAnsi="Times New Roman" w:eastAsia="宋体" w:cs="Times New Roman"/>
      <w:sz w:val="20"/>
    </w:rPr>
  </w:style>
  <w:style w:type="character" w:styleId="967" w:customStyle="1">
    <w:name w:val="font01"/>
    <w:qFormat/>
    <w:rPr>
      <w:rFonts w:hint="eastAsia" w:ascii="宋体" w:hAnsi="宋体" w:eastAsia="宋体" w:cs="宋体"/>
      <w:color w:val="000000"/>
      <w:sz w:val="24"/>
      <w:szCs w:val="24"/>
      <w:u w:val="none"/>
    </w:rPr>
  </w:style>
  <w:style w:type="character" w:styleId="968" w:customStyle="1">
    <w:name w:val="标题 3 Char1"/>
    <w:qFormat/>
    <w:rPr>
      <w:rFonts w:ascii="Times New Roman" w:hAnsi="Times New Roman" w:eastAsia="宋体" w:cs="Times New Roman"/>
      <w:b/>
      <w:sz w:val="20"/>
      <w:u w:val="single"/>
    </w:rPr>
  </w:style>
  <w:style w:type="character" w:styleId="969" w:customStyle="1">
    <w:name w:val="表格 Char Char"/>
    <w:qFormat/>
    <w:rPr>
      <w:rFonts w:ascii="Times New Roman" w:hAnsi="Times New Roman" w:eastAsia="宋体" w:cs="Times New Roman"/>
      <w:sz w:val="20"/>
    </w:rPr>
  </w:style>
  <w:style w:type="character" w:styleId="970" w:customStyle="1">
    <w:name w:val="正文首行缩进 Char"/>
    <w:qFormat/>
    <w:rPr>
      <w:rFonts w:ascii="Times New Roman" w:hAnsi="Times New Roman" w:eastAsia="宋体" w:cs="Times New Roman"/>
      <w:sz w:val="20"/>
    </w:rPr>
  </w:style>
  <w:style w:type="character" w:styleId="971" w:customStyle="1">
    <w:name w:val="标题 9 Char"/>
    <w:qFormat/>
    <w:rPr>
      <w:rFonts w:ascii="Times New Roman" w:hAnsi="Times New Roman" w:eastAsia="宋体" w:cs="Times New Roman"/>
      <w:sz w:val="20"/>
    </w:rPr>
  </w:style>
  <w:style w:type="character" w:styleId="972" w:customStyle="1">
    <w:name w:val="lh151"/>
    <w:qFormat/>
    <w:rPr>
      <w:rFonts w:ascii="Times New Roman" w:hAnsi="Times New Roman" w:eastAsia="宋体" w:cs="Times New Roman"/>
      <w:color w:val="666666"/>
      <w:sz w:val="20"/>
    </w:rPr>
  </w:style>
  <w:style w:type="character" w:styleId="973" w:customStyle="1">
    <w:name w:val="日期 Char1"/>
    <w:qFormat/>
    <w:rPr>
      <w:rFonts w:ascii="Times New Roman" w:hAnsi="Times New Roman" w:eastAsia="宋体" w:cs="Times New Roman"/>
      <w:sz w:val="20"/>
    </w:rPr>
  </w:style>
  <w:style w:type="character" w:styleId="974" w:customStyle="1">
    <w:name w:val="图片 Char Char"/>
    <w:qFormat/>
    <w:rPr>
      <w:rFonts w:ascii="Times New Roman" w:hAnsi="Times New Roman" w:eastAsia="宋体" w:cs="Times New Roman"/>
      <w:sz w:val="20"/>
    </w:rPr>
  </w:style>
  <w:style w:type="character" w:styleId="975" w:customStyle="1">
    <w:name w:val="批注框文本 字符"/>
    <w:qFormat/>
    <w:rPr>
      <w:rFonts w:ascii="Times New Roman" w:hAnsi="Times New Roman" w:eastAsia="宋体" w:cs="Times New Roman"/>
      <w:sz w:val="20"/>
    </w:rPr>
  </w:style>
  <w:style w:type="character" w:styleId="976" w:customStyle="1">
    <w:name w:val="HTML 预设格式 Char"/>
    <w:qFormat/>
    <w:rPr>
      <w:rFonts w:ascii="Times New Roman" w:hAnsi="Times New Roman" w:eastAsia="宋体" w:cs="Times New Roman"/>
      <w:sz w:val="20"/>
    </w:rPr>
  </w:style>
  <w:style w:type="character" w:styleId="977" w:customStyle="1">
    <w:name w:val="列出段落 Char"/>
    <w:qFormat/>
    <w:rPr>
      <w:rFonts w:ascii="Times New Roman" w:hAnsi="Times New Roman" w:eastAsia="宋体" w:cs="Times New Roman"/>
      <w:sz w:val="20"/>
    </w:rPr>
  </w:style>
  <w:style w:type="character" w:styleId="978" w:customStyle="1">
    <w:name w:val="标题 5 Char"/>
    <w:qFormat/>
    <w:rPr>
      <w:rFonts w:ascii="Times New Roman" w:hAnsi="Times New Roman" w:eastAsia="宋体" w:cs="Times New Roman"/>
      <w:b/>
      <w:sz w:val="20"/>
    </w:rPr>
  </w:style>
  <w:style w:type="character" w:styleId="979" w:customStyle="1">
    <w:name w:val="链接"/>
    <w:qFormat/>
    <w:rPr>
      <w:rFonts w:ascii="Times New Roman" w:hAnsi="Times New Roman" w:eastAsia="宋体" w:cs="Times New Roman"/>
      <w:color w:val="0000ff"/>
      <w:sz w:val="20"/>
      <w:u w:val="single"/>
    </w:rPr>
  </w:style>
  <w:style w:type="character" w:styleId="980" w:customStyle="1">
    <w:name w:val="18h1"/>
    <w:qFormat/>
    <w:rPr>
      <w:rFonts w:ascii="Times New Roman" w:hAnsi="Times New Roman" w:eastAsia="宋体" w:cs="Times New Roman"/>
      <w:color w:val="3b3b3b"/>
      <w:sz w:val="20"/>
    </w:rPr>
  </w:style>
  <w:style w:type="character" w:styleId="981" w:customStyle="1">
    <w:name w:val="表格文字（两侧对齐） Char Char"/>
    <w:qFormat/>
    <w:rPr>
      <w:rFonts w:ascii="Times New Roman" w:hAnsi="Times New Roman" w:eastAsia="宋体" w:cs="Times New Roman"/>
      <w:sz w:val="20"/>
    </w:rPr>
  </w:style>
  <w:style w:type="character" w:styleId="982" w:customStyle="1">
    <w:name w:val="正文文本缩进 2 Char"/>
    <w:qFormat/>
    <w:rPr>
      <w:rFonts w:ascii="Times New Roman" w:hAnsi="Times New Roman" w:eastAsia="宋体" w:cs="Times New Roman"/>
      <w:sz w:val="20"/>
    </w:rPr>
  </w:style>
  <w:style w:type="character" w:styleId="983" w:customStyle="1">
    <w:name w:val="Char Char14"/>
    <w:qFormat/>
    <w:rPr>
      <w:rFonts w:ascii="Times New Roman" w:hAnsi="Times New Roman" w:eastAsia="宋体" w:cs="Times New Roman"/>
      <w:sz w:val="20"/>
    </w:rPr>
  </w:style>
  <w:style w:type="character" w:styleId="984" w:customStyle="1">
    <w:name w:val="标题 1 Char1"/>
    <w:qFormat/>
    <w:rPr>
      <w:rFonts w:ascii="Times New Roman" w:hAnsi="Times New Roman" w:eastAsia="宋体" w:cs="Times New Roman"/>
      <w:b/>
      <w:sz w:val="20"/>
    </w:rPr>
  </w:style>
  <w:style w:type="character" w:styleId="985" w:customStyle="1">
    <w:name w:val="批注框文本 Char"/>
    <w:qFormat/>
    <w:rPr>
      <w:rFonts w:ascii="Times New Roman" w:hAnsi="Times New Roman" w:eastAsia="宋体" w:cs="Times New Roman"/>
      <w:sz w:val="20"/>
    </w:rPr>
  </w:style>
  <w:style w:type="character" w:styleId="986" w:customStyle="1">
    <w:name w:val="apple-style-span"/>
    <w:qFormat/>
    <w:rPr>
      <w:rFonts w:ascii="Times New Roman" w:hAnsi="Times New Roman" w:eastAsia="宋体" w:cs="Times New Roman"/>
      <w:sz w:val="20"/>
    </w:rPr>
  </w:style>
  <w:style w:type="character" w:styleId="987" w:customStyle="1">
    <w:name w:val="插图 Char Char"/>
    <w:qFormat/>
    <w:rPr>
      <w:rFonts w:ascii="Times New Roman" w:hAnsi="Times New Roman" w:eastAsia="宋体" w:cs="Times New Roman"/>
      <w:sz w:val="20"/>
    </w:rPr>
  </w:style>
  <w:style w:type="character" w:styleId="988" w:customStyle="1">
    <w:name w:val="标题 2 Char1"/>
    <w:qFormat/>
    <w:rPr>
      <w:rFonts w:ascii="Times New Roman" w:hAnsi="Times New Roman" w:eastAsia="宋体" w:cs="Times New Roman"/>
      <w:b/>
      <w:sz w:val="20"/>
    </w:rPr>
  </w:style>
  <w:style w:type="character" w:styleId="989" w:customStyle="1">
    <w:name w:val="_Style 332"/>
    <w:qFormat/>
    <w:rPr>
      <w:rFonts w:ascii="Times New Roman" w:hAnsi="Times New Roman" w:eastAsia="宋体" w:cs="Times New Roman"/>
      <w:i/>
      <w:color w:val="auto"/>
      <w:sz w:val="21"/>
    </w:rPr>
  </w:style>
  <w:style w:type="character" w:styleId="990" w:customStyle="1">
    <w:name w:val="正文文本 3 Char1"/>
    <w:qFormat/>
    <w:rPr>
      <w:rFonts w:ascii="Times New Roman" w:hAnsi="Times New Roman" w:eastAsia="宋体" w:cs="Times New Roman"/>
      <w:sz w:val="20"/>
    </w:rPr>
  </w:style>
  <w:style w:type="character" w:styleId="991" w:customStyle="1">
    <w:name w:val="标题 5 Char1"/>
    <w:qFormat/>
    <w:rPr>
      <w:rFonts w:ascii="Times New Roman" w:hAnsi="Times New Roman" w:eastAsia="宋体" w:cs="Times New Roman"/>
      <w:b/>
      <w:sz w:val="20"/>
    </w:rPr>
  </w:style>
  <w:style w:type="character" w:styleId="992" w:customStyle="1">
    <w:name w:val="批注主题 Char"/>
    <w:qFormat/>
    <w:rPr>
      <w:rFonts w:ascii="Times New Roman" w:hAnsi="Times New Roman" w:eastAsia="宋体" w:cs="Times New Roman"/>
      <w:b/>
      <w:sz w:val="20"/>
    </w:rPr>
  </w:style>
  <w:style w:type="character" w:styleId="993" w:customStyle="1">
    <w:name w:val="标题 1 Char"/>
    <w:qFormat/>
    <w:rPr>
      <w:rFonts w:ascii="Times New Roman" w:hAnsi="Times New Roman" w:eastAsia="宋体" w:cs="Times New Roman"/>
      <w:b/>
      <w:sz w:val="20"/>
    </w:rPr>
  </w:style>
  <w:style w:type="character" w:styleId="994" w:customStyle="1">
    <w:name w:val="正文文本 2 Char1"/>
    <w:qFormat/>
    <w:rPr>
      <w:rFonts w:ascii="Times New Roman" w:hAnsi="Times New Roman" w:eastAsia="宋体" w:cs="Times New Roman"/>
      <w:sz w:val="20"/>
    </w:rPr>
  </w:style>
  <w:style w:type="character" w:styleId="995" w:customStyle="1">
    <w:name w:val="标题 4 Char1"/>
    <w:qFormat/>
    <w:rPr>
      <w:rFonts w:ascii="Times New Roman" w:hAnsi="Times New Roman" w:eastAsia="宋体" w:cs="Times New Roman"/>
      <w:b/>
      <w:sz w:val="20"/>
    </w:rPr>
  </w:style>
  <w:style w:type="character" w:styleId="996" w:customStyle="1">
    <w:name w:val="正文文本 2 Char"/>
    <w:qFormat/>
    <w:rPr>
      <w:rFonts w:ascii="Times New Roman" w:hAnsi="Times New Roman" w:eastAsia="宋体" w:cs="Times New Roman"/>
      <w:sz w:val="20"/>
    </w:rPr>
  </w:style>
  <w:style w:type="character" w:styleId="997" w:customStyle="1">
    <w:name w:val="_Style 376"/>
    <w:qFormat/>
    <w:rPr>
      <w:rFonts w:ascii="Times New Roman" w:hAnsi="Times New Roman" w:eastAsia="宋体" w:cs="Times New Roman"/>
      <w:b/>
      <w:color w:val="auto"/>
      <w:sz w:val="21"/>
    </w:rPr>
  </w:style>
  <w:style w:type="character" w:styleId="998" w:customStyle="1">
    <w:name w:val="062"/>
    <w:qFormat/>
    <w:rPr>
      <w:rFonts w:ascii="Times New Roman" w:hAnsi="Times New Roman" w:eastAsia="宋体" w:cs="Times New Roman"/>
      <w:b/>
      <w:sz w:val="20"/>
    </w:rPr>
  </w:style>
  <w:style w:type="character" w:styleId="999" w:customStyle="1">
    <w:name w:val="正文文本 Char1"/>
    <w:qFormat/>
    <w:rPr>
      <w:rFonts w:ascii="Times New Roman" w:hAnsi="Times New Roman" w:eastAsia="宋体" w:cs="Times New Roman"/>
      <w:sz w:val="20"/>
    </w:rPr>
  </w:style>
  <w:style w:type="character" w:styleId="1000" w:customStyle="1">
    <w:name w:val="题注 Char"/>
    <w:qFormat/>
    <w:rPr>
      <w:rFonts w:ascii="Times New Roman" w:hAnsi="Times New Roman" w:eastAsia="宋体" w:cs="Times New Roman"/>
      <w:sz w:val="20"/>
    </w:rPr>
  </w:style>
  <w:style w:type="character" w:styleId="1001" w:customStyle="1">
    <w:name w:val="脚注文本 Char"/>
    <w:qFormat/>
    <w:rPr>
      <w:rFonts w:ascii="Times New Roman" w:hAnsi="Times New Roman" w:eastAsia="宋体" w:cs="Times New Roman"/>
      <w:sz w:val="20"/>
    </w:rPr>
  </w:style>
  <w:style w:type="character" w:styleId="1002" w:customStyle="1">
    <w:name w:val="_Style 336"/>
    <w:qFormat/>
    <w:rPr>
      <w:rFonts w:ascii="Times New Roman" w:hAnsi="Times New Roman" w:eastAsia="宋体" w:cs="Times New Roman"/>
      <w:i/>
      <w:color w:val="auto"/>
      <w:sz w:val="21"/>
    </w:rPr>
  </w:style>
  <w:style w:type="character" w:styleId="1003" w:customStyle="1">
    <w:name w:val="表格 Char"/>
    <w:qFormat/>
    <w:rPr>
      <w:rFonts w:ascii="Times New Roman" w:hAnsi="Times New Roman" w:eastAsia="宋体" w:cs="Times New Roman"/>
      <w:color w:val="000000"/>
      <w:sz w:val="20"/>
    </w:rPr>
  </w:style>
  <w:style w:type="character" w:styleId="1004" w:customStyle="1">
    <w:name w:val="批注主题 字符"/>
    <w:qFormat/>
    <w:rPr>
      <w:rFonts w:ascii="Times New Roman" w:hAnsi="Times New Roman" w:eastAsia="宋体" w:cs="Times New Roman"/>
      <w:b/>
      <w:sz w:val="20"/>
    </w:rPr>
  </w:style>
  <w:style w:type="character" w:styleId="1005" w:customStyle="1">
    <w:name w:val="图注 Char Char"/>
    <w:qFormat/>
    <w:rPr>
      <w:rFonts w:ascii="Times New Roman" w:hAnsi="Times New Roman" w:eastAsia="宋体" w:cs="Times New Roman"/>
      <w:sz w:val="20"/>
    </w:rPr>
  </w:style>
  <w:style w:type="character" w:styleId="1006" w:customStyle="1">
    <w:name w:val="页码1"/>
    <w:qFormat/>
    <w:rPr>
      <w:rFonts w:ascii="Times New Roman" w:hAnsi="Times New Roman" w:eastAsia="宋体" w:cs="Times New Roman"/>
      <w:sz w:val="20"/>
    </w:rPr>
  </w:style>
  <w:style w:type="character" w:styleId="1007" w:customStyle="1">
    <w:name w:val="列表框1 Char Char"/>
    <w:qFormat/>
    <w:rPr>
      <w:rFonts w:ascii="Times New Roman" w:hAnsi="Times New Roman" w:eastAsia="宋体" w:cs="Times New Roman"/>
      <w:sz w:val="20"/>
    </w:rPr>
  </w:style>
  <w:style w:type="character" w:styleId="1008" w:customStyle="1">
    <w:name w:val="1ji Char"/>
    <w:qFormat/>
    <w:rPr>
      <w:rFonts w:ascii="Times New Roman" w:hAnsi="Times New Roman" w:eastAsia="宋体" w:cs="Times New Roman"/>
      <w:b/>
      <w:sz w:val="20"/>
    </w:rPr>
  </w:style>
  <w:style w:type="character" w:styleId="1009" w:customStyle="1">
    <w:name w:val="正文文本缩进 Char"/>
    <w:qFormat/>
    <w:rPr>
      <w:rFonts w:ascii="Times New Roman" w:hAnsi="Times New Roman" w:eastAsia="宋体" w:cs="Times New Roman"/>
      <w:sz w:val="20"/>
    </w:rPr>
  </w:style>
  <w:style w:type="character" w:styleId="1010" w:customStyle="1">
    <w:name w:val="标准文本 Char Char"/>
    <w:qFormat/>
    <w:rPr>
      <w:rFonts w:ascii="Times New Roman" w:hAnsi="Times New Roman" w:eastAsia="宋体" w:cs="Times New Roman"/>
      <w:sz w:val="20"/>
    </w:rPr>
  </w:style>
  <w:style w:type="character" w:styleId="1011" w:customStyle="1">
    <w:name w:val="表格用 Char"/>
    <w:qFormat/>
    <w:rPr>
      <w:rFonts w:ascii="Times New Roman" w:hAnsi="Times New Roman" w:eastAsia="宋体" w:cs="Times New Roman"/>
      <w:color w:val="000000"/>
      <w:sz w:val="20"/>
    </w:rPr>
  </w:style>
  <w:style w:type="character" w:styleId="1012" w:customStyle="1">
    <w:name w:val="标题 7 Char1"/>
    <w:qFormat/>
    <w:rPr>
      <w:rFonts w:ascii="Times New Roman" w:hAnsi="Times New Roman" w:eastAsia="宋体" w:cs="Times New Roman"/>
      <w:b/>
      <w:sz w:val="20"/>
    </w:rPr>
  </w:style>
  <w:style w:type="character" w:styleId="1013" w:customStyle="1">
    <w:name w:val="H 3 Char"/>
    <w:qFormat/>
    <w:rPr>
      <w:rFonts w:ascii="Times New Roman" w:hAnsi="Times New Roman" w:eastAsia="宋体" w:cs="Times New Roman"/>
      <w:b/>
      <w:sz w:val="20"/>
    </w:rPr>
  </w:style>
  <w:style w:type="character" w:styleId="1014" w:customStyle="1">
    <w:name w:val="正文文本缩进 3 字符"/>
    <w:qFormat/>
    <w:rPr>
      <w:rFonts w:ascii="Times New Roman" w:hAnsi="Times New Roman" w:eastAsia="宋体" w:cs="Times New Roman"/>
      <w:sz w:val="16"/>
      <w:szCs w:val="16"/>
    </w:rPr>
  </w:style>
  <w:style w:type="character" w:styleId="1015" w:customStyle="1">
    <w:name w:val="标题 Char"/>
    <w:qFormat/>
    <w:rPr>
      <w:rFonts w:ascii="Times New Roman" w:hAnsi="Times New Roman" w:eastAsia="宋体" w:cs="Times New Roman"/>
      <w:b/>
      <w:sz w:val="20"/>
    </w:rPr>
  </w:style>
  <w:style w:type="character" w:styleId="1016" w:customStyle="1">
    <w:name w:val="H 4 Char"/>
    <w:qFormat/>
    <w:rPr>
      <w:rFonts w:ascii="Times New Roman" w:hAnsi="Times New Roman" w:eastAsia="宋体" w:cs="Times New Roman"/>
      <w:b/>
      <w:sz w:val="20"/>
    </w:rPr>
  </w:style>
  <w:style w:type="character" w:styleId="1017" w:customStyle="1">
    <w:name w:val="批注主题 Char1"/>
    <w:qFormat/>
    <w:rPr>
      <w:rFonts w:ascii="Times New Roman" w:hAnsi="Times New Roman" w:eastAsia="宋体" w:cs="Times New Roman"/>
      <w:b/>
      <w:sz w:val="20"/>
    </w:rPr>
  </w:style>
  <w:style w:type="character" w:styleId="1018" w:customStyle="1">
    <w:name w:val="正文文本缩进 Char1"/>
    <w:qFormat/>
    <w:rPr>
      <w:rFonts w:ascii="Times New Roman" w:hAnsi="Times New Roman" w:eastAsia="宋体" w:cs="Times New Roman"/>
      <w:sz w:val="20"/>
    </w:rPr>
  </w:style>
  <w:style w:type="character" w:styleId="1019" w:customStyle="1">
    <w:name w:val="正文文本 3 Char"/>
    <w:qFormat/>
    <w:rPr>
      <w:rFonts w:ascii="Times New Roman" w:hAnsi="Times New Roman" w:eastAsia="宋体" w:cs="Times New Roman"/>
      <w:sz w:val="20"/>
    </w:rPr>
  </w:style>
  <w:style w:type="character" w:styleId="1020" w:customStyle="1">
    <w:name w:val="正文首行缩进 2 Char"/>
    <w:qFormat/>
    <w:rPr>
      <w:rFonts w:ascii="Times New Roman" w:hAnsi="Times New Roman" w:eastAsia="宋体" w:cs="Times New Roman"/>
      <w:sz w:val="20"/>
    </w:rPr>
  </w:style>
  <w:style w:type="character" w:styleId="1021" w:customStyle="1">
    <w:name w:val="页眉 Char1"/>
    <w:qFormat/>
    <w:rPr>
      <w:rFonts w:ascii="Times New Roman" w:hAnsi="Times New Roman" w:eastAsia="宋体" w:cs="Times New Roman"/>
      <w:sz w:val="20"/>
    </w:rPr>
  </w:style>
  <w:style w:type="character" w:styleId="1022" w:customStyle="1">
    <w:name w:val="Char Char2"/>
    <w:qFormat/>
    <w:rPr>
      <w:rFonts w:ascii="Times New Roman" w:hAnsi="Times New Roman" w:eastAsia="宋体" w:cs="Times New Roman"/>
      <w:sz w:val="20"/>
    </w:rPr>
  </w:style>
  <w:style w:type="character" w:styleId="1023" w:customStyle="1">
    <w:name w:val="样式 首行缩进:  2 字符 Char1"/>
    <w:qFormat/>
    <w:rPr>
      <w:rFonts w:ascii="Times New Roman" w:hAnsi="Times New Roman" w:eastAsia="宋体" w:cs="Times New Roman"/>
      <w:sz w:val="20"/>
    </w:rPr>
  </w:style>
  <w:style w:type="character" w:styleId="1024" w:customStyle="1">
    <w:name w:val="标题 2 Char"/>
    <w:qFormat/>
    <w:rPr>
      <w:rFonts w:ascii="Times New Roman" w:hAnsi="Times New Roman" w:eastAsia="宋体" w:cs="Times New Roman"/>
      <w:b/>
      <w:sz w:val="20"/>
    </w:rPr>
  </w:style>
  <w:style w:type="character" w:styleId="1025" w:customStyle="1">
    <w:name w:val="表格文字图表文字 Char Char"/>
    <w:qFormat/>
    <w:rPr>
      <w:rFonts w:ascii="Times New Roman" w:hAnsi="Times New Roman" w:eastAsia="宋体" w:cs="Times New Roman"/>
      <w:sz w:val="20"/>
    </w:rPr>
  </w:style>
  <w:style w:type="character" w:styleId="1026" w:customStyle="1">
    <w:name w:val="图片 Char"/>
    <w:qFormat/>
    <w:rPr>
      <w:rFonts w:ascii="Times New Roman" w:hAnsi="Times New Roman" w:eastAsia="宋体" w:cs="Times New Roman"/>
      <w:sz w:val="20"/>
    </w:rPr>
  </w:style>
  <w:style w:type="character" w:styleId="1027" w:customStyle="1">
    <w:name w:val="标题 6 Char"/>
    <w:qFormat/>
    <w:rPr>
      <w:rFonts w:ascii="Times New Roman" w:hAnsi="Times New Roman" w:eastAsia="宋体" w:cs="Times New Roman"/>
      <w:b/>
      <w:sz w:val="20"/>
    </w:rPr>
  </w:style>
  <w:style w:type="character" w:styleId="1028" w:customStyle="1">
    <w:name w:val="标题 4 Char"/>
    <w:qFormat/>
    <w:rPr>
      <w:rFonts w:ascii="Times New Roman" w:hAnsi="Times New Roman" w:eastAsia="宋体" w:cs="Times New Roman"/>
      <w:b/>
      <w:sz w:val="20"/>
    </w:rPr>
  </w:style>
  <w:style w:type="character" w:styleId="1029" w:customStyle="1">
    <w:name w:val="文档结构图 Char1"/>
    <w:qFormat/>
    <w:rPr>
      <w:rFonts w:ascii="Times New Roman" w:hAnsi="Times New Roman" w:eastAsia="宋体" w:cs="Times New Roman"/>
      <w:sz w:val="20"/>
    </w:rPr>
  </w:style>
  <w:style w:type="character" w:styleId="1030" w:customStyle="1">
    <w:name w:val="项目符0 Char"/>
    <w:qFormat/>
    <w:rPr>
      <w:rFonts w:ascii="Times New Roman" w:hAnsi="Times New Roman" w:eastAsia="宋体" w:cs="Times New Roman"/>
      <w:sz w:val="20"/>
    </w:rPr>
  </w:style>
  <w:style w:type="character" w:styleId="1031" w:customStyle="1">
    <w:name w:val="正文文本缩进 3 Char"/>
    <w:qFormat/>
    <w:rPr>
      <w:rFonts w:ascii="Times New Roman" w:hAnsi="Times New Roman" w:eastAsia="宋体" w:cs="Times New Roman"/>
      <w:sz w:val="20"/>
    </w:rPr>
  </w:style>
  <w:style w:type="character" w:styleId="1032" w:customStyle="1">
    <w:name w:val="Char Char3"/>
    <w:qFormat/>
    <w:rPr>
      <w:rFonts w:ascii="Times New Roman" w:hAnsi="Times New Roman" w:eastAsia="宋体" w:cs="Times New Roman"/>
      <w:sz w:val="20"/>
    </w:rPr>
  </w:style>
  <w:style w:type="character" w:styleId="1033" w:customStyle="1">
    <w:name w:val="纯文本 Char"/>
    <w:qFormat/>
    <w:rPr>
      <w:rFonts w:ascii="Times New Roman" w:hAnsi="Times New Roman" w:eastAsia="宋体" w:cs="Times New Roman"/>
      <w:sz w:val="20"/>
    </w:rPr>
  </w:style>
  <w:style w:type="character" w:styleId="1034" w:customStyle="1">
    <w:name w:val="正文文本缩进 2 Char1"/>
    <w:qFormat/>
    <w:rPr>
      <w:rFonts w:ascii="Times New Roman" w:hAnsi="Times New Roman" w:eastAsia="宋体" w:cs="Times New Roman"/>
      <w:sz w:val="20"/>
    </w:rPr>
  </w:style>
  <w:style w:type="character" w:styleId="1035" w:customStyle="1">
    <w:name w:val="标题 8 Char"/>
    <w:qFormat/>
    <w:rPr>
      <w:rFonts w:ascii="Times New Roman" w:hAnsi="Times New Roman" w:eastAsia="宋体" w:cs="Times New Roman"/>
      <w:sz w:val="20"/>
    </w:rPr>
  </w:style>
  <w:style w:type="character" w:styleId="1036" w:customStyle="1">
    <w:name w:val="标题 6 Char1"/>
    <w:qFormat/>
    <w:rPr>
      <w:rFonts w:ascii="Times New Roman" w:hAnsi="Times New Roman" w:eastAsia="宋体" w:cs="Times New Roman"/>
      <w:b/>
      <w:sz w:val="20"/>
    </w:rPr>
  </w:style>
  <w:style w:type="character" w:styleId="1037" w:customStyle="1">
    <w:name w:val="case31"/>
    <w:qFormat/>
    <w:rPr>
      <w:rFonts w:ascii="Times New Roman" w:hAnsi="Times New Roman" w:eastAsia="宋体" w:cs="Times New Roman"/>
      <w:sz w:val="20"/>
    </w:rPr>
  </w:style>
  <w:style w:type="character" w:styleId="1038" w:customStyle="1">
    <w:name w:val="正文文本 Char"/>
    <w:qFormat/>
    <w:rPr>
      <w:rFonts w:ascii="Times New Roman" w:hAnsi="Times New Roman" w:eastAsia="宋体" w:cs="Times New Roman"/>
      <w:sz w:val="20"/>
    </w:rPr>
  </w:style>
  <w:style w:type="paragraph" w:styleId="1039" w:customStyle="1">
    <w:name w:val="节标题"/>
    <w:basedOn w:val="859"/>
    <w:next w:val="1040"/>
    <w:qFormat/>
    <w:pPr>
      <w:ind w:left="0" w:firstLine="5120"/>
      <w:jc w:val="center"/>
      <w:spacing w:before="0" w:after="0" w:line="289" w:lineRule="atLeast"/>
    </w:pPr>
    <w:rPr>
      <w:rFonts w:ascii="Times New Roman" w:hAnsi="Times New Roman" w:cs="Times New Roman"/>
    </w:rPr>
  </w:style>
  <w:style w:type="paragraph" w:styleId="1040" w:customStyle="1">
    <w:name w:val="文档标题6"/>
    <w:basedOn w:val="865"/>
    <w:next w:val="858"/>
    <w:qFormat/>
    <w:pPr>
      <w:ind w:left="1134" w:firstLine="20"/>
      <w:spacing w:before="280" w:after="280" w:line="360" w:lineRule="auto"/>
      <w:outlineLvl w:val="5"/>
    </w:pPr>
  </w:style>
  <w:style w:type="paragraph" w:styleId="1041" w:customStyle="1">
    <w:name w:val="正文段"/>
    <w:basedOn w:val="859"/>
    <w:next w:val="1042"/>
    <w:qFormat/>
    <w:pPr>
      <w:ind w:left="454" w:firstLine="1222"/>
      <w:spacing w:before="0" w:after="240" w:line="240" w:lineRule="atLeast"/>
    </w:pPr>
    <w:rPr>
      <w:rFonts w:ascii="Times New Roman" w:hAnsi="Times New Roman" w:cs="Times New Roman"/>
    </w:rPr>
  </w:style>
  <w:style w:type="paragraph" w:styleId="1042" w:customStyle="1">
    <w:name w:val="批注主题1"/>
    <w:next w:val="858"/>
    <w:qFormat/>
    <w:pPr>
      <w:ind w:left="200" w:firstLine="4808"/>
      <w:spacing w:line="360" w:lineRule="auto"/>
    </w:pPr>
    <w:rPr>
      <w:rFonts w:ascii="Calibri" w:hAnsi="Calibri"/>
    </w:rPr>
  </w:style>
  <w:style w:type="paragraph" w:styleId="1043" w:customStyle="1">
    <w:name w:val="_Style 224"/>
    <w:next w:val="1044"/>
    <w:qFormat/>
    <w:pPr>
      <w:ind w:firstLine="3584"/>
    </w:pPr>
    <w:rPr>
      <w:rFonts w:ascii="Calibri" w:hAnsi="Calibri"/>
    </w:rPr>
  </w:style>
  <w:style w:type="paragraph" w:styleId="1044" w:customStyle="1">
    <w:name w:val="编号1"/>
    <w:basedOn w:val="859"/>
    <w:next w:val="1045"/>
    <w:qFormat/>
    <w:pPr>
      <w:ind w:left="360" w:right="210" w:firstLine="2200"/>
      <w:spacing w:before="0" w:after="0" w:line="240" w:lineRule="auto"/>
    </w:pPr>
    <w:rPr>
      <w:rFonts w:ascii="Times New Roman" w:hAnsi="Times New Roman" w:cs="Times New Roman"/>
    </w:rPr>
  </w:style>
  <w:style w:type="paragraph" w:styleId="1045" w:customStyle="1">
    <w:name w:val="图片"/>
    <w:basedOn w:val="859"/>
    <w:next w:val="1046"/>
    <w:qFormat/>
    <w:pPr>
      <w:ind w:left="-283" w:firstLine="2674"/>
      <w:jc w:val="center"/>
      <w:spacing w:before="0" w:after="0" w:line="360" w:lineRule="auto"/>
    </w:pPr>
    <w:rPr>
      <w:rFonts w:ascii="Times New Roman" w:hAnsi="Times New Roman" w:cs="Times New Roman"/>
    </w:rPr>
  </w:style>
  <w:style w:type="paragraph" w:styleId="1046" w:customStyle="1">
    <w:name w:val="样式 目录 3 + 左侧:  2 字符"/>
    <w:next w:val="911"/>
    <w:qFormat/>
    <w:pPr>
      <w:ind w:left="400" w:firstLine="5120"/>
      <w:spacing w:line="360" w:lineRule="auto"/>
      <w:widowControl w:val="off"/>
    </w:pPr>
    <w:rPr>
      <w:rFonts w:ascii="Calibri" w:hAnsi="Calibri"/>
    </w:rPr>
  </w:style>
  <w:style w:type="paragraph" w:styleId="1047" w:customStyle="1">
    <w:name w:val="图注"/>
    <w:next w:val="1048"/>
    <w:qFormat/>
    <w:pPr>
      <w:ind w:left="360" w:firstLine="2152"/>
      <w:jc w:val="center"/>
    </w:pPr>
    <w:rPr>
      <w:rFonts w:ascii="Calibri" w:hAnsi="Calibri"/>
    </w:rPr>
  </w:style>
  <w:style w:type="paragraph" w:styleId="1048" w:customStyle="1">
    <w:name w:val="列表编号 41"/>
    <w:basedOn w:val="859"/>
    <w:next w:val="1049"/>
    <w:qFormat/>
    <w:pPr>
      <w:ind w:left="1620" w:firstLine="2712"/>
      <w:spacing w:before="0" w:after="0" w:line="360" w:lineRule="auto"/>
    </w:pPr>
    <w:rPr>
      <w:rFonts w:ascii="Times New Roman" w:hAnsi="Times New Roman" w:cs="Times New Roman"/>
    </w:rPr>
  </w:style>
  <w:style w:type="paragraph" w:styleId="1049" w:customStyle="1">
    <w:name w:val="项目符0"/>
    <w:basedOn w:val="859"/>
    <w:next w:val="1050"/>
    <w:qFormat/>
    <w:pPr>
      <w:ind w:left="300" w:right="57" w:firstLine="2760"/>
      <w:spacing w:before="0" w:after="0" w:line="300" w:lineRule="auto"/>
    </w:pPr>
    <w:rPr>
      <w:rFonts w:ascii="Times New Roman" w:hAnsi="Times New Roman" w:cs="Times New Roman"/>
    </w:rPr>
  </w:style>
  <w:style w:type="paragraph" w:styleId="1050" w:customStyle="1">
    <w:name w:val="宏文本1"/>
    <w:next w:val="1051"/>
    <w:qFormat/>
    <w:pPr>
      <w:ind w:firstLine="5632"/>
      <w:widowControl w:val="off"/>
    </w:pPr>
    <w:rPr>
      <w:rFonts w:ascii="Calibri" w:hAnsi="Calibri"/>
    </w:rPr>
  </w:style>
  <w:style w:type="paragraph" w:styleId="1051" w:customStyle="1">
    <w:name w:val="Item Step in Table"/>
    <w:next w:val="1052"/>
    <w:qFormat/>
    <w:pPr>
      <w:ind w:left="397" w:firstLine="3699"/>
      <w:jc w:val="both"/>
      <w:spacing w:before="40" w:after="40"/>
    </w:pPr>
    <w:rPr>
      <w:rFonts w:ascii="Calibri" w:hAnsi="Calibri"/>
    </w:rPr>
  </w:style>
  <w:style w:type="paragraph" w:styleId="1052" w:customStyle="1">
    <w:name w:val="Char Char Char Char Char Char1 Char Char Char Char Char Char"/>
    <w:basedOn w:val="859"/>
    <w:next w:val="1053"/>
    <w:qFormat/>
    <w:pPr>
      <w:ind w:left="0" w:firstLine="2560"/>
      <w:spacing w:before="0" w:after="0" w:line="240" w:lineRule="auto"/>
    </w:pPr>
    <w:rPr>
      <w:rFonts w:ascii="Times New Roman" w:hAnsi="Times New Roman" w:cs="Times New Roman"/>
    </w:rPr>
  </w:style>
  <w:style w:type="paragraph" w:styleId="1053" w:customStyle="1">
    <w:name w:val="Char Char1"/>
    <w:basedOn w:val="859"/>
    <w:next w:val="1054"/>
    <w:qFormat/>
    <w:pPr>
      <w:ind w:left="0" w:firstLine="3584"/>
      <w:spacing w:before="0" w:after="160" w:line="240" w:lineRule="exact"/>
    </w:pPr>
    <w:rPr>
      <w:rFonts w:ascii="Times New Roman" w:hAnsi="Times New Roman" w:cs="Times New Roman"/>
    </w:rPr>
  </w:style>
  <w:style w:type="paragraph" w:styleId="1054" w:customStyle="1">
    <w:name w:val="样式 标题 3 + 行距: 1.5 倍行距"/>
    <w:basedOn w:val="862"/>
    <w:next w:val="917"/>
    <w:qFormat/>
    <w:pPr>
      <w:ind w:left="200" w:firstLine="18"/>
      <w:spacing w:before="0" w:after="0" w:line="360" w:lineRule="auto"/>
      <w:outlineLvl w:val="2"/>
    </w:pPr>
  </w:style>
  <w:style w:type="paragraph" w:styleId="1055" w:customStyle="1">
    <w:name w:val="xl76"/>
    <w:basedOn w:val="859"/>
    <w:next w:val="914"/>
    <w:qFormat/>
    <w:pPr>
      <w:ind w:left="0" w:firstLine="3584"/>
      <w:jc w:val="center"/>
      <w:spacing w:before="280" w:after="280" w:line="240" w:lineRule="auto"/>
    </w:pPr>
    <w:rPr>
      <w:rFonts w:ascii="Times New Roman" w:hAnsi="Times New Roman" w:cs="Times New Roman"/>
    </w:rPr>
  </w:style>
  <w:style w:type="paragraph" w:styleId="1056" w:customStyle="1">
    <w:name w:val="xl26"/>
    <w:basedOn w:val="859"/>
    <w:next w:val="1057"/>
    <w:qFormat/>
    <w:pPr>
      <w:ind w:left="0" w:firstLine="20"/>
      <w:jc w:val="center"/>
      <w:spacing w:before="280" w:after="280" w:line="240" w:lineRule="auto"/>
      <w:shd w:val="clear" w:color="000000" w:fill="ffffff"/>
    </w:pPr>
    <w:rPr>
      <w:rFonts w:ascii="Times New Roman" w:hAnsi="Times New Roman" w:cs="Times New Roman"/>
    </w:rPr>
  </w:style>
  <w:style w:type="paragraph" w:styleId="1057" w:customStyle="1">
    <w:name w:val="Char1 Char Char"/>
    <w:basedOn w:val="859"/>
    <w:next w:val="897"/>
    <w:qFormat/>
    <w:pPr>
      <w:ind w:left="0" w:firstLine="2560"/>
      <w:spacing w:before="0" w:after="0" w:line="240" w:lineRule="auto"/>
    </w:pPr>
    <w:rPr>
      <w:rFonts w:ascii="Times New Roman" w:hAnsi="Times New Roman" w:cs="Times New Roman"/>
    </w:rPr>
  </w:style>
  <w:style w:type="paragraph" w:styleId="1058" w:customStyle="1">
    <w:name w:val="纯文本2"/>
    <w:basedOn w:val="859"/>
    <w:next w:val="1059"/>
    <w:qFormat/>
    <w:pPr>
      <w:ind w:left="0" w:firstLine="3584"/>
      <w:spacing w:before="0" w:after="0" w:line="240" w:lineRule="auto"/>
    </w:pPr>
    <w:rPr>
      <w:rFonts w:ascii="Times New Roman" w:hAnsi="Times New Roman" w:cs="Times New Roman"/>
    </w:rPr>
  </w:style>
  <w:style w:type="paragraph" w:styleId="1059" w:customStyle="1">
    <w:name w:val="xl69"/>
    <w:basedOn w:val="859"/>
    <w:next w:val="1060"/>
    <w:qFormat/>
    <w:pPr>
      <w:ind w:left="0" w:firstLine="3584"/>
      <w:spacing w:before="280" w:after="280" w:line="240" w:lineRule="auto"/>
    </w:pPr>
    <w:rPr>
      <w:rFonts w:ascii="Times New Roman" w:hAnsi="Times New Roman" w:cs="Times New Roman"/>
    </w:rPr>
  </w:style>
  <w:style w:type="paragraph" w:styleId="1060" w:customStyle="1">
    <w:name w:val="Char Char Char"/>
    <w:basedOn w:val="859"/>
    <w:next w:val="1061"/>
    <w:qFormat/>
    <w:pPr>
      <w:ind w:left="0" w:firstLine="2560"/>
      <w:spacing w:before="0" w:after="0" w:line="240" w:lineRule="auto"/>
    </w:pPr>
    <w:rPr>
      <w:rFonts w:ascii="Times New Roman" w:hAnsi="Times New Roman" w:cs="Times New Roman"/>
    </w:rPr>
  </w:style>
  <w:style w:type="paragraph" w:styleId="1061" w:customStyle="1">
    <w:name w:val="表格"/>
    <w:basedOn w:val="859"/>
    <w:next w:val="1056"/>
    <w:qFormat/>
    <w:pPr>
      <w:ind w:left="0" w:firstLine="2560"/>
      <w:spacing w:before="0" w:after="0" w:line="360" w:lineRule="auto"/>
    </w:pPr>
    <w:rPr>
      <w:rFonts w:ascii="Times New Roman" w:hAnsi="Times New Roman" w:cs="Times New Roman"/>
    </w:rPr>
  </w:style>
  <w:style w:type="paragraph" w:styleId="1062" w:customStyle="1">
    <w:name w:val="xl68"/>
    <w:basedOn w:val="859"/>
    <w:next w:val="1063"/>
    <w:qFormat/>
    <w:pPr>
      <w:ind w:left="100" w:firstLine="5220"/>
      <w:spacing w:before="280" w:after="280" w:line="240" w:lineRule="auto"/>
    </w:pPr>
    <w:rPr>
      <w:rFonts w:ascii="Times New Roman" w:hAnsi="Times New Roman" w:cs="Times New Roman"/>
    </w:rPr>
  </w:style>
  <w:style w:type="paragraph" w:styleId="1063" w:customStyle="1">
    <w:name w:val="Char1"/>
    <w:basedOn w:val="859"/>
    <w:next w:val="1064"/>
    <w:qFormat/>
    <w:pPr>
      <w:ind w:left="0" w:firstLine="2560"/>
      <w:spacing w:before="0" w:after="0" w:line="240" w:lineRule="auto"/>
    </w:pPr>
    <w:rPr>
      <w:rFonts w:ascii="Times New Roman" w:hAnsi="Times New Roman" w:cs="Times New Roman"/>
    </w:rPr>
  </w:style>
  <w:style w:type="paragraph" w:styleId="1064" w:customStyle="1">
    <w:name w:val="需求文档正文样式"/>
    <w:basedOn w:val="859"/>
    <w:next w:val="1065"/>
    <w:qFormat/>
    <w:pPr>
      <w:ind w:left="437" w:firstLine="2741"/>
      <w:spacing w:before="0" w:after="0" w:line="360" w:lineRule="auto"/>
    </w:pPr>
    <w:rPr>
      <w:rFonts w:ascii="Times New Roman" w:hAnsi="Times New Roman" w:cs="Times New Roman"/>
    </w:rPr>
  </w:style>
  <w:style w:type="paragraph" w:styleId="1065" w:customStyle="1">
    <w:name w:val="xl74"/>
    <w:basedOn w:val="859"/>
    <w:next w:val="1066"/>
    <w:qFormat/>
    <w:pPr>
      <w:ind w:left="0" w:firstLine="16"/>
      <w:jc w:val="center"/>
      <w:spacing w:before="280" w:after="280" w:line="240" w:lineRule="auto"/>
      <w:shd w:val="clear" w:color="000000" w:fill="538dd5"/>
    </w:pPr>
    <w:rPr>
      <w:rFonts w:ascii="Times New Roman" w:hAnsi="Times New Roman" w:cs="Times New Roman"/>
    </w:rPr>
  </w:style>
  <w:style w:type="paragraph" w:styleId="1066" w:customStyle="1">
    <w:name w:val="xl88"/>
    <w:basedOn w:val="859"/>
    <w:next w:val="1067"/>
    <w:qFormat/>
    <w:pPr>
      <w:ind w:left="0" w:firstLine="5120"/>
      <w:spacing w:before="280" w:after="280" w:line="240" w:lineRule="auto"/>
    </w:pPr>
    <w:rPr>
      <w:rFonts w:ascii="Times New Roman" w:hAnsi="Times New Roman" w:cs="Times New Roman"/>
    </w:rPr>
  </w:style>
  <w:style w:type="paragraph" w:styleId="1067" w:customStyle="1">
    <w:name w:val="xl70"/>
    <w:basedOn w:val="859"/>
    <w:next w:val="913"/>
    <w:qFormat/>
    <w:pPr>
      <w:ind w:left="0" w:firstLine="1024"/>
      <w:spacing w:before="280" w:after="280" w:line="240" w:lineRule="auto"/>
    </w:pPr>
    <w:rPr>
      <w:rFonts w:ascii="Times New Roman" w:hAnsi="Times New Roman" w:cs="Times New Roman"/>
    </w:rPr>
  </w:style>
  <w:style w:type="paragraph" w:styleId="1068" w:customStyle="1">
    <w:name w:val="文档标题5"/>
    <w:basedOn w:val="864"/>
    <w:next w:val="858"/>
    <w:qFormat/>
    <w:pPr>
      <w:ind w:left="992" w:firstLine="18"/>
      <w:spacing w:before="280" w:after="280" w:line="360" w:lineRule="auto"/>
      <w:outlineLvl w:val="4"/>
    </w:pPr>
  </w:style>
  <w:style w:type="paragraph" w:styleId="1069" w:customStyle="1">
    <w:name w:val="样式 加粗 居中"/>
    <w:basedOn w:val="859"/>
    <w:next w:val="1070"/>
    <w:qFormat/>
    <w:pPr>
      <w:ind w:left="0" w:firstLine="2560"/>
      <w:jc w:val="center"/>
      <w:spacing w:before="0" w:after="0" w:line="360" w:lineRule="auto"/>
    </w:pPr>
    <w:rPr>
      <w:rFonts w:ascii="Times New Roman" w:hAnsi="Times New Roman" w:cs="Times New Roman"/>
    </w:rPr>
  </w:style>
  <w:style w:type="paragraph" w:styleId="1070" w:customStyle="1">
    <w:name w:val="_Style 12"/>
    <w:next w:val="1071"/>
    <w:qFormat/>
    <w:pPr>
      <w:ind w:firstLine="14"/>
      <w:spacing w:line="360" w:lineRule="auto"/>
      <w:shd w:val="clear" w:color="000000" w:fill="000080"/>
    </w:pPr>
    <w:rPr>
      <w:rFonts w:ascii="Calibri" w:hAnsi="Calibri"/>
    </w:rPr>
  </w:style>
  <w:style w:type="paragraph" w:styleId="1071" w:customStyle="1">
    <w:name w:val="正文文本缩进1"/>
    <w:basedOn w:val="859"/>
    <w:next w:val="1072"/>
    <w:qFormat/>
    <w:pPr>
      <w:ind w:left="420" w:firstLine="3584"/>
      <w:spacing w:before="0" w:after="120" w:line="240" w:lineRule="auto"/>
    </w:pPr>
    <w:rPr>
      <w:rFonts w:ascii="Times New Roman" w:hAnsi="Times New Roman" w:cs="Times New Roman"/>
    </w:rPr>
  </w:style>
  <w:style w:type="paragraph" w:styleId="1072" w:customStyle="1">
    <w:name w:val="列表编号 31"/>
    <w:basedOn w:val="859"/>
    <w:next w:val="915"/>
    <w:qFormat/>
    <w:pPr>
      <w:ind w:left="1200" w:firstLine="2712"/>
      <w:spacing w:before="0" w:after="0" w:line="360" w:lineRule="auto"/>
    </w:pPr>
    <w:rPr>
      <w:rFonts w:ascii="Times New Roman" w:hAnsi="Times New Roman" w:cs="Times New Roman"/>
    </w:rPr>
  </w:style>
  <w:style w:type="paragraph" w:styleId="1073" w:customStyle="1">
    <w:name w:val="三号 居中"/>
    <w:basedOn w:val="859"/>
    <w:next w:val="1074"/>
    <w:qFormat/>
    <w:pPr>
      <w:ind w:left="0" w:firstLine="6144"/>
      <w:jc w:val="center"/>
      <w:spacing w:before="0" w:after="0" w:line="360" w:lineRule="auto"/>
    </w:pPr>
    <w:rPr>
      <w:rFonts w:ascii="Times New Roman" w:hAnsi="Times New Roman" w:cs="Times New Roman"/>
    </w:rPr>
  </w:style>
  <w:style w:type="paragraph" w:styleId="1074" w:customStyle="1">
    <w:name w:val="列出段落1"/>
    <w:basedOn w:val="859"/>
    <w:next w:val="1075"/>
    <w:qFormat/>
    <w:pPr>
      <w:ind w:left="420" w:firstLine="3748"/>
      <w:spacing w:before="0" w:after="0" w:line="240" w:lineRule="auto"/>
    </w:pPr>
    <w:rPr>
      <w:rFonts w:ascii="Times New Roman" w:hAnsi="Times New Roman" w:cs="Times New Roman"/>
    </w:rPr>
  </w:style>
  <w:style w:type="paragraph" w:styleId="1075" w:customStyle="1">
    <w:name w:val="Char Char Char Char Char Char1 Char Char Char1 Char Char Char"/>
    <w:basedOn w:val="859"/>
    <w:next w:val="1076"/>
    <w:qFormat/>
    <w:pPr>
      <w:ind w:left="0" w:firstLine="2560"/>
      <w:spacing w:before="0" w:after="0" w:line="240" w:lineRule="auto"/>
    </w:pPr>
    <w:rPr>
      <w:rFonts w:ascii="Times New Roman" w:hAnsi="Times New Roman" w:cs="Times New Roman"/>
    </w:rPr>
  </w:style>
  <w:style w:type="paragraph" w:styleId="1076" w:customStyle="1">
    <w:name w:val="Char Char Char Char Char Char1 Char Char Char1 Char"/>
    <w:basedOn w:val="859"/>
    <w:next w:val="1077"/>
    <w:qFormat/>
    <w:pPr>
      <w:ind w:left="0" w:firstLine="2560"/>
      <w:spacing w:before="0" w:after="0" w:line="240" w:lineRule="auto"/>
    </w:pPr>
    <w:rPr>
      <w:rFonts w:ascii="Times New Roman" w:hAnsi="Times New Roman" w:cs="Times New Roman"/>
    </w:rPr>
  </w:style>
  <w:style w:type="paragraph" w:styleId="1077" w:customStyle="1">
    <w:name w:val="正文符号4"/>
    <w:basedOn w:val="859"/>
    <w:next w:val="1069"/>
    <w:qFormat/>
    <w:pPr>
      <w:ind w:left="0" w:firstLine="5632"/>
      <w:spacing w:before="0" w:after="0" w:line="240" w:lineRule="auto"/>
    </w:pPr>
    <w:rPr>
      <w:rFonts w:ascii="Times New Roman" w:hAnsi="Times New Roman" w:cs="Times New Roman"/>
    </w:rPr>
  </w:style>
  <w:style w:type="paragraph" w:styleId="1078" w:customStyle="1">
    <w:name w:val="加粗（居中）"/>
    <w:next w:val="1079"/>
    <w:qFormat/>
    <w:pPr>
      <w:ind w:firstLine="2560"/>
    </w:pPr>
    <w:rPr>
      <w:rFonts w:ascii="Calibri" w:hAnsi="Calibri"/>
    </w:rPr>
  </w:style>
  <w:style w:type="paragraph" w:styleId="1079" w:customStyle="1">
    <w:name w:val="xl65"/>
    <w:basedOn w:val="859"/>
    <w:next w:val="1039"/>
    <w:qFormat/>
    <w:pPr>
      <w:ind w:left="0" w:firstLine="5120"/>
      <w:spacing w:before="280" w:after="280" w:line="240" w:lineRule="auto"/>
    </w:pPr>
    <w:rPr>
      <w:rFonts w:ascii="Times New Roman" w:hAnsi="Times New Roman" w:cs="Times New Roman"/>
    </w:rPr>
  </w:style>
  <w:style w:type="paragraph" w:styleId="1080" w:customStyle="1">
    <w:name w:val="WPSOffice手动目录 3"/>
    <w:qFormat/>
    <w:pPr>
      <w:ind w:left="400"/>
    </w:pPr>
  </w:style>
  <w:style w:type="paragraph" w:styleId="1081" w:customStyle="1">
    <w:name w:val="xl77"/>
    <w:basedOn w:val="859"/>
    <w:next w:val="1082"/>
    <w:qFormat/>
    <w:pPr>
      <w:ind w:left="0" w:firstLine="3584"/>
      <w:spacing w:before="280" w:after="280" w:line="240" w:lineRule="auto"/>
    </w:pPr>
    <w:rPr>
      <w:rFonts w:ascii="Times New Roman" w:hAnsi="Times New Roman" w:cs="Times New Roman"/>
    </w:rPr>
  </w:style>
  <w:style w:type="paragraph" w:styleId="1082" w:customStyle="1">
    <w:name w:val="Char Char Char1"/>
    <w:basedOn w:val="859"/>
    <w:next w:val="1083"/>
    <w:qFormat/>
    <w:pPr>
      <w:ind w:left="900" w:firstLine="2096"/>
      <w:spacing w:before="0" w:after="0" w:line="240" w:lineRule="auto"/>
    </w:pPr>
    <w:rPr>
      <w:rFonts w:ascii="Times New Roman" w:hAnsi="Times New Roman" w:cs="Times New Roman"/>
    </w:rPr>
  </w:style>
  <w:style w:type="paragraph" w:styleId="1083" w:customStyle="1">
    <w:name w:val="索引 21"/>
    <w:basedOn w:val="859"/>
    <w:next w:val="858"/>
    <w:qFormat/>
    <w:pPr>
      <w:ind w:left="200" w:firstLine="2560"/>
      <w:jc w:val="center"/>
      <w:spacing w:before="0" w:after="0" w:line="360" w:lineRule="auto"/>
    </w:pPr>
    <w:rPr>
      <w:rFonts w:ascii="Times New Roman" w:hAnsi="Times New Roman" w:cs="Times New Roman"/>
    </w:rPr>
  </w:style>
  <w:style w:type="paragraph" w:styleId="1084" w:customStyle="1">
    <w:name w:val="正文（首行缩进 2 字符）"/>
    <w:next w:val="1085"/>
    <w:qFormat/>
    <w:pPr>
      <w:ind w:left="480" w:firstLine="2784"/>
      <w:jc w:val="center"/>
      <w:spacing w:line="300" w:lineRule="auto"/>
    </w:pPr>
    <w:rPr>
      <w:rFonts w:ascii="Calibri" w:hAnsi="Calibri"/>
    </w:rPr>
  </w:style>
  <w:style w:type="paragraph" w:styleId="1085" w:customStyle="1">
    <w:name w:val="xl28"/>
    <w:basedOn w:val="859"/>
    <w:next w:val="1086"/>
    <w:qFormat/>
    <w:pPr>
      <w:ind w:left="0" w:firstLine="20"/>
      <w:spacing w:before="280" w:after="280" w:line="240" w:lineRule="auto"/>
      <w:shd w:val="clear" w:color="000000" w:fill="ffffff"/>
    </w:pPr>
    <w:rPr>
      <w:rFonts w:ascii="Times New Roman" w:hAnsi="Times New Roman" w:cs="Times New Roman"/>
    </w:rPr>
  </w:style>
  <w:style w:type="paragraph" w:styleId="1086" w:customStyle="1">
    <w:name w:val="HTML 预设格式1"/>
    <w:basedOn w:val="859"/>
    <w:next w:val="1087"/>
    <w:qFormat/>
    <w:pPr>
      <w:ind w:left="0" w:firstLine="3584"/>
      <w:spacing w:before="0" w:after="0" w:line="253" w:lineRule="atLeast"/>
    </w:pPr>
    <w:rPr>
      <w:rFonts w:ascii="Times New Roman" w:hAnsi="Times New Roman" w:cs="Times New Roman"/>
    </w:rPr>
  </w:style>
  <w:style w:type="paragraph" w:styleId="1087" w:customStyle="1">
    <w:name w:val="项目符号：一级"/>
    <w:basedOn w:val="859"/>
    <w:next w:val="858"/>
    <w:qFormat/>
    <w:pPr>
      <w:ind w:left="425" w:firstLine="1111"/>
      <w:spacing w:before="0" w:after="0" w:line="360" w:lineRule="auto"/>
    </w:pPr>
    <w:rPr>
      <w:rFonts w:ascii="Times New Roman" w:hAnsi="Times New Roman" w:cs="Times New Roman"/>
    </w:rPr>
  </w:style>
  <w:style w:type="paragraph" w:styleId="1088" w:customStyle="1">
    <w:name w:val="Default"/>
    <w:next w:val="893"/>
    <w:qFormat/>
    <w:pPr>
      <w:ind w:firstLine="5120"/>
      <w:widowControl w:val="off"/>
    </w:pPr>
    <w:rPr>
      <w:rFonts w:ascii="Calibri" w:hAnsi="Calibri"/>
    </w:rPr>
  </w:style>
  <w:style w:type="paragraph" w:styleId="1089" w:customStyle="1">
    <w:name w:val="xl84"/>
    <w:basedOn w:val="859"/>
    <w:next w:val="1090"/>
    <w:qFormat/>
    <w:pPr>
      <w:ind w:left="0" w:firstLine="2048"/>
      <w:jc w:val="center"/>
      <w:spacing w:before="280" w:after="280" w:line="240" w:lineRule="auto"/>
    </w:pPr>
    <w:rPr>
      <w:rFonts w:ascii="Times New Roman" w:hAnsi="Times New Roman" w:cs="Times New Roman"/>
    </w:rPr>
  </w:style>
  <w:style w:type="paragraph" w:styleId="1090" w:customStyle="1">
    <w:name w:val="2-2ji"/>
    <w:basedOn w:val="861"/>
    <w:next w:val="1091"/>
    <w:qFormat/>
    <w:pPr>
      <w:ind w:left="0" w:firstLine="24"/>
      <w:jc w:val="center"/>
      <w:spacing w:before="0" w:after="0" w:line="360" w:lineRule="auto"/>
      <w:outlineLvl w:val="1"/>
    </w:pPr>
  </w:style>
  <w:style w:type="paragraph" w:styleId="1091" w:customStyle="1">
    <w:name w:val="应答文本"/>
    <w:basedOn w:val="859"/>
    <w:next w:val="1092"/>
    <w:qFormat/>
    <w:pPr>
      <w:ind w:left="1296" w:firstLine="2112"/>
      <w:spacing w:before="0" w:after="0" w:line="460" w:lineRule="exact"/>
    </w:pPr>
    <w:rPr>
      <w:rFonts w:ascii="Times New Roman" w:hAnsi="Times New Roman" w:cs="Times New Roman"/>
    </w:rPr>
  </w:style>
  <w:style w:type="paragraph" w:styleId="1092" w:customStyle="1">
    <w:name w:val="引文目录1"/>
    <w:basedOn w:val="859"/>
    <w:next w:val="858"/>
    <w:qFormat/>
    <w:pPr>
      <w:ind w:left="420" w:firstLine="2560"/>
      <w:jc w:val="center"/>
      <w:spacing w:before="0" w:after="0" w:line="360" w:lineRule="auto"/>
    </w:pPr>
    <w:rPr>
      <w:rFonts w:ascii="Times New Roman" w:hAnsi="Times New Roman" w:cs="Times New Roman"/>
    </w:rPr>
  </w:style>
  <w:style w:type="paragraph" w:styleId="1093" w:customStyle="1">
    <w:name w:val="首行缩进"/>
    <w:basedOn w:val="858"/>
    <w:qFormat/>
    <w:pPr>
      <w:ind w:firstLine="480"/>
    </w:pPr>
    <w:rPr>
      <w:rFonts w:ascii="Times New Roman" w:hAnsi="Times New Roman" w:cs="Times New Roman"/>
      <w:lang w:val="zh-CN"/>
    </w:rPr>
  </w:style>
  <w:style w:type="paragraph" w:styleId="1094" w:customStyle="1">
    <w:name w:val="font9"/>
    <w:basedOn w:val="859"/>
    <w:next w:val="1095"/>
    <w:qFormat/>
    <w:pPr>
      <w:ind w:left="0" w:firstLine="7168"/>
      <w:spacing w:before="280" w:after="280" w:line="240" w:lineRule="auto"/>
    </w:pPr>
    <w:rPr>
      <w:rFonts w:ascii="Times New Roman" w:hAnsi="Times New Roman" w:cs="Times New Roman"/>
    </w:rPr>
  </w:style>
  <w:style w:type="paragraph" w:styleId="1095" w:customStyle="1">
    <w:name w:val="样式 标题 3 + (中文) 黑体 小四 非加粗 段前: 7.8 磅 段后: 0 磅 行距: 固定值 20 磅"/>
    <w:basedOn w:val="862"/>
    <w:next w:val="1096"/>
    <w:qFormat/>
    <w:pPr>
      <w:ind w:left="0"/>
      <w:spacing w:before="0" w:after="0" w:line="400" w:lineRule="exact"/>
      <w:outlineLvl w:val="2"/>
    </w:pPr>
  </w:style>
  <w:style w:type="paragraph" w:styleId="1096" w:customStyle="1">
    <w:name w:val="标书正文"/>
    <w:basedOn w:val="859"/>
    <w:next w:val="1097"/>
    <w:qFormat/>
    <w:pPr>
      <w:ind w:left="440" w:right="100" w:firstLine="2760"/>
      <w:spacing w:before="0" w:after="0" w:line="360" w:lineRule="auto"/>
    </w:pPr>
    <w:rPr>
      <w:rFonts w:ascii="Times New Roman" w:hAnsi="Times New Roman" w:cs="Times New Roman"/>
    </w:rPr>
  </w:style>
  <w:style w:type="paragraph" w:styleId="1097" w:customStyle="1">
    <w:name w:val="xl67"/>
    <w:basedOn w:val="859"/>
    <w:next w:val="1098"/>
    <w:qFormat/>
    <w:pPr>
      <w:ind w:left="0" w:firstLine="5120"/>
      <w:spacing w:before="280" w:after="280" w:line="240" w:lineRule="auto"/>
    </w:pPr>
    <w:rPr>
      <w:rFonts w:ascii="Times New Roman" w:hAnsi="Times New Roman" w:cs="Times New Roman"/>
    </w:rPr>
  </w:style>
  <w:style w:type="paragraph" w:styleId="1098" w:customStyle="1">
    <w:name w:val="索引 61"/>
    <w:basedOn w:val="859"/>
    <w:next w:val="858"/>
    <w:qFormat/>
    <w:pPr>
      <w:ind w:left="1000" w:firstLine="2560"/>
      <w:jc w:val="center"/>
      <w:spacing w:before="0" w:after="0" w:line="360" w:lineRule="auto"/>
    </w:pPr>
    <w:rPr>
      <w:rFonts w:ascii="Times New Roman" w:hAnsi="Times New Roman" w:cs="Times New Roman"/>
    </w:rPr>
  </w:style>
  <w:style w:type="paragraph" w:styleId="1099" w:customStyle="1">
    <w:name w:val="目录3"/>
    <w:basedOn w:val="859"/>
    <w:next w:val="858"/>
    <w:qFormat/>
    <w:pPr>
      <w:ind w:left="419" w:firstLine="5283"/>
      <w:spacing w:before="0" w:after="0" w:line="317" w:lineRule="atLeast"/>
    </w:pPr>
    <w:rPr>
      <w:rFonts w:ascii="Times New Roman" w:hAnsi="Times New Roman" w:cs="Times New Roman"/>
    </w:rPr>
  </w:style>
  <w:style w:type="paragraph" w:styleId="1100" w:customStyle="1">
    <w:name w:val="xl90"/>
    <w:basedOn w:val="859"/>
    <w:next w:val="1101"/>
    <w:qFormat/>
    <w:pPr>
      <w:ind w:left="0" w:firstLine="3584"/>
      <w:spacing w:before="280" w:after="280" w:line="240" w:lineRule="auto"/>
    </w:pPr>
    <w:rPr>
      <w:rFonts w:ascii="Times New Roman" w:hAnsi="Times New Roman" w:cs="Times New Roman"/>
    </w:rPr>
  </w:style>
  <w:style w:type="paragraph" w:styleId="1101" w:customStyle="1">
    <w:name w:val="列表框1"/>
    <w:next w:val="1092"/>
    <w:qFormat/>
    <w:pPr>
      <w:ind w:firstLine="2048"/>
      <w:spacing w:line="460" w:lineRule="exact"/>
    </w:pPr>
    <w:rPr>
      <w:rFonts w:ascii="Calibri" w:hAnsi="Calibri"/>
    </w:rPr>
  </w:style>
  <w:style w:type="paragraph" w:styleId="1102" w:customStyle="1">
    <w:name w:val="1ji"/>
    <w:basedOn w:val="860"/>
    <w:next w:val="1081"/>
    <w:qFormat/>
    <w:pPr>
      <w:ind w:left="0" w:firstLine="18"/>
      <w:jc w:val="center"/>
      <w:spacing w:before="0" w:after="0" w:line="240" w:lineRule="auto"/>
      <w:outlineLvl w:val="0"/>
    </w:pPr>
  </w:style>
  <w:style w:type="paragraph" w:styleId="1103" w:customStyle="1">
    <w:name w:val="索引 81"/>
    <w:basedOn w:val="859"/>
    <w:next w:val="858"/>
    <w:qFormat/>
    <w:pPr>
      <w:ind w:left="1400" w:firstLine="2560"/>
      <w:jc w:val="center"/>
      <w:spacing w:before="0" w:after="0" w:line="360" w:lineRule="auto"/>
    </w:pPr>
    <w:rPr>
      <w:rFonts w:ascii="Times New Roman" w:hAnsi="Times New Roman" w:cs="Times New Roman"/>
    </w:rPr>
  </w:style>
  <w:style w:type="paragraph" w:styleId="1104" w:customStyle="1">
    <w:name w:val="正文1"/>
    <w:basedOn w:val="858"/>
    <w:next w:val="858"/>
    <w:qFormat/>
    <w:pPr>
      <w:spacing w:line="312" w:lineRule="atLeast"/>
    </w:pPr>
    <w:rPr>
      <w:rFonts w:ascii="楷体_GB2312" w:hAnsi="Times New Roman" w:eastAsia="楷体_GB2312" w:cs="Times New Roman"/>
      <w:sz w:val="24"/>
    </w:rPr>
  </w:style>
  <w:style w:type="paragraph" w:styleId="1105" w:customStyle="1">
    <w:name w:val="Char Char Char Char Char Char1 Char Char Char1 Char Char Char Char Char Char Char Char Char Char Char Char Char Char Char Char Char Char"/>
    <w:basedOn w:val="859"/>
    <w:next w:val="1106"/>
    <w:qFormat/>
    <w:pPr>
      <w:ind w:left="0" w:firstLine="2560"/>
      <w:spacing w:before="0" w:after="0" w:line="240" w:lineRule="auto"/>
    </w:pPr>
    <w:rPr>
      <w:rFonts w:ascii="Times New Roman" w:hAnsi="Times New Roman" w:cs="Times New Roman"/>
    </w:rPr>
  </w:style>
  <w:style w:type="paragraph" w:styleId="1106" w:customStyle="1">
    <w:name w:val="样式 加粗 居中11"/>
    <w:basedOn w:val="859"/>
    <w:next w:val="1107"/>
    <w:qFormat/>
    <w:pPr>
      <w:ind w:left="0" w:firstLine="2560"/>
      <w:jc w:val="center"/>
      <w:spacing w:before="0" w:after="0" w:line="360" w:lineRule="auto"/>
    </w:pPr>
    <w:rPr>
      <w:rFonts w:ascii="Times New Roman" w:hAnsi="Times New Roman" w:cs="Times New Roman"/>
    </w:rPr>
  </w:style>
  <w:style w:type="paragraph" w:styleId="1107" w:customStyle="1">
    <w:name w:val="xl89"/>
    <w:basedOn w:val="859"/>
    <w:next w:val="1108"/>
    <w:qFormat/>
    <w:pPr>
      <w:ind w:left="0" w:firstLine="3584"/>
      <w:spacing w:before="280" w:after="280" w:line="240" w:lineRule="auto"/>
    </w:pPr>
    <w:rPr>
      <w:rFonts w:ascii="Times New Roman" w:hAnsi="Times New Roman" w:cs="Times New Roman"/>
    </w:rPr>
  </w:style>
  <w:style w:type="paragraph" w:styleId="1108" w:customStyle="1">
    <w:name w:val="Char Char Char Char Char Char1 Char Char Char Char Char Char1 Char Char Char Char Char Char Char Char Char"/>
    <w:basedOn w:val="859"/>
    <w:next w:val="1109"/>
    <w:qFormat/>
    <w:pPr>
      <w:ind w:left="0" w:firstLine="2560"/>
      <w:spacing w:before="0" w:after="0" w:line="240" w:lineRule="auto"/>
    </w:pPr>
    <w:rPr>
      <w:rFonts w:ascii="Times New Roman" w:hAnsi="Times New Roman" w:cs="Times New Roman"/>
    </w:rPr>
  </w:style>
  <w:style w:type="paragraph" w:styleId="1109" w:customStyle="1">
    <w:name w:val="文章附标题"/>
    <w:basedOn w:val="859"/>
    <w:next w:val="859"/>
    <w:qFormat/>
    <w:pPr>
      <w:ind w:left="0" w:firstLine="5120"/>
      <w:jc w:val="center"/>
      <w:spacing w:before="187" w:after="175" w:line="374" w:lineRule="atLeast"/>
    </w:pPr>
    <w:rPr>
      <w:rFonts w:ascii="Times New Roman" w:hAnsi="Times New Roman" w:cs="Times New Roman"/>
    </w:rPr>
  </w:style>
  <w:style w:type="paragraph" w:styleId="1110">
    <w:name w:val="Quote"/>
    <w:next w:val="858"/>
    <w:qFormat/>
    <w:pPr>
      <w:ind w:left="3680" w:right="864"/>
      <w:jc w:val="center"/>
      <w:spacing w:before="200" w:after="160"/>
    </w:pPr>
    <w:rPr>
      <w:rFonts w:ascii="Calibri" w:hAnsi="Calibri"/>
      <w:i/>
    </w:rPr>
  </w:style>
  <w:style w:type="paragraph" w:styleId="1111" w:customStyle="1">
    <w:name w:val="Default Paragraph Font Para Char Char Char Char Char Char"/>
    <w:basedOn w:val="859"/>
    <w:next w:val="1112"/>
    <w:qFormat/>
    <w:pPr>
      <w:ind w:left="0" w:firstLine="3584"/>
      <w:spacing w:before="0" w:after="160" w:line="240" w:lineRule="exact"/>
    </w:pPr>
    <w:rPr>
      <w:rFonts w:ascii="Times New Roman" w:hAnsi="Times New Roman" w:cs="Times New Roman"/>
    </w:rPr>
  </w:style>
  <w:style w:type="paragraph" w:styleId="1112" w:customStyle="1">
    <w:name w:val="xl23"/>
    <w:basedOn w:val="859"/>
    <w:next w:val="895"/>
    <w:qFormat/>
    <w:pPr>
      <w:ind w:left="0" w:firstLine="20"/>
      <w:spacing w:before="280" w:after="280" w:line="240" w:lineRule="auto"/>
      <w:shd w:val="clear" w:color="000000" w:fill="ffffff"/>
    </w:pPr>
    <w:rPr>
      <w:rFonts w:ascii="Times New Roman" w:hAnsi="Times New Roman" w:cs="Times New Roman"/>
    </w:rPr>
  </w:style>
  <w:style w:type="paragraph" w:styleId="1113" w:customStyle="1">
    <w:name w:val="列出段落11"/>
    <w:basedOn w:val="859"/>
    <w:next w:val="1114"/>
    <w:qFormat/>
    <w:pPr>
      <w:ind w:left="420" w:firstLine="3748"/>
      <w:spacing w:before="0" w:after="0" w:line="240" w:lineRule="auto"/>
    </w:pPr>
    <w:rPr>
      <w:rFonts w:ascii="Times New Roman" w:hAnsi="Times New Roman" w:cs="Times New Roman"/>
    </w:rPr>
  </w:style>
  <w:style w:type="paragraph" w:styleId="1114" w:customStyle="1">
    <w:name w:val="样式 标题 2 + (西文) 宋体 非加粗 居中"/>
    <w:basedOn w:val="861"/>
    <w:next w:val="1115"/>
    <w:qFormat/>
    <w:pPr>
      <w:ind w:left="0" w:firstLine="24"/>
      <w:jc w:val="center"/>
      <w:spacing w:line="412" w:lineRule="auto"/>
      <w:outlineLvl w:val="1"/>
    </w:pPr>
  </w:style>
  <w:style w:type="paragraph" w:styleId="1115" w:customStyle="1">
    <w:name w:val="页脚 Char Char"/>
    <w:basedOn w:val="859"/>
    <w:next w:val="1116"/>
    <w:qFormat/>
    <w:pPr>
      <w:ind w:left="0" w:firstLine="5120"/>
      <w:spacing w:before="0" w:after="0" w:line="240" w:lineRule="auto"/>
    </w:pPr>
    <w:rPr>
      <w:rFonts w:ascii="Times New Roman" w:hAnsi="Times New Roman" w:cs="Times New Roman"/>
    </w:rPr>
  </w:style>
  <w:style w:type="paragraph" w:styleId="1116" w:customStyle="1">
    <w:name w:val="样式 标题 1 + 段前: 16 磅 段后: 16 磅"/>
    <w:basedOn w:val="860"/>
    <w:next w:val="1117"/>
    <w:qFormat/>
    <w:pPr>
      <w:ind w:left="0" w:firstLine="18"/>
      <w:jc w:val="center"/>
      <w:spacing w:before="120" w:after="0" w:line="360" w:lineRule="auto"/>
      <w:outlineLvl w:val="0"/>
    </w:pPr>
  </w:style>
  <w:style w:type="paragraph" w:styleId="1117" w:customStyle="1">
    <w:name w:val="Char1 Char Char Char Char Char Char"/>
    <w:basedOn w:val="859"/>
    <w:next w:val="1118"/>
    <w:qFormat/>
    <w:pPr>
      <w:ind w:left="0" w:firstLine="2560"/>
      <w:spacing w:before="0" w:after="0" w:line="240" w:lineRule="auto"/>
    </w:pPr>
    <w:rPr>
      <w:rFonts w:ascii="Times New Roman" w:hAnsi="Times New Roman" w:cs="Times New Roman"/>
    </w:rPr>
  </w:style>
  <w:style w:type="paragraph" w:styleId="1118" w:customStyle="1">
    <w:name w:val="文档标题4"/>
    <w:basedOn w:val="863"/>
    <w:next w:val="858"/>
    <w:qFormat/>
    <w:pPr>
      <w:ind w:left="851" w:firstLine="30"/>
      <w:spacing w:after="280" w:line="360" w:lineRule="auto"/>
      <w:outlineLvl w:val="3"/>
    </w:pPr>
  </w:style>
  <w:style w:type="paragraph" w:styleId="1119" w:customStyle="1">
    <w:name w:val="font0"/>
    <w:basedOn w:val="859"/>
    <w:next w:val="1094"/>
    <w:qFormat/>
    <w:pPr>
      <w:ind w:left="0" w:firstLine="1024"/>
      <w:spacing w:before="280" w:after="280" w:line="240" w:lineRule="auto"/>
    </w:pPr>
    <w:rPr>
      <w:rFonts w:ascii="Times New Roman" w:hAnsi="Times New Roman" w:cs="Times New Roman"/>
    </w:rPr>
  </w:style>
  <w:style w:type="paragraph" w:styleId="1120" w:customStyle="1">
    <w:name w:val="CM5"/>
    <w:basedOn w:val="859"/>
    <w:next w:val="858"/>
    <w:qFormat/>
    <w:pPr>
      <w:ind w:left="200" w:firstLine="2760"/>
      <w:spacing w:before="0" w:after="0" w:line="400" w:lineRule="atLeast"/>
    </w:pPr>
    <w:rPr>
      <w:rFonts w:ascii="Times New Roman" w:hAnsi="Times New Roman" w:cs="Times New Roman"/>
    </w:rPr>
  </w:style>
  <w:style w:type="paragraph" w:styleId="1121" w:customStyle="1">
    <w:name w:val="Pa0"/>
    <w:basedOn w:val="859"/>
    <w:next w:val="858"/>
    <w:qFormat/>
    <w:pPr>
      <w:ind w:left="0" w:firstLine="4608"/>
      <w:spacing w:before="0" w:after="0" w:line="241" w:lineRule="atLeast"/>
    </w:pPr>
    <w:rPr>
      <w:rFonts w:ascii="Times New Roman" w:hAnsi="Times New Roman" w:cs="Times New Roman"/>
    </w:rPr>
  </w:style>
  <w:style w:type="paragraph" w:styleId="1122" w:customStyle="1">
    <w:name w:val="招标文件》"/>
    <w:basedOn w:val="859"/>
    <w:next w:val="1058"/>
    <w:qFormat/>
    <w:pPr>
      <w:ind w:left="420" w:firstLine="2140"/>
      <w:spacing w:before="120" w:after="120" w:line="300" w:lineRule="auto"/>
    </w:pPr>
    <w:rPr>
      <w:rFonts w:ascii="Times New Roman" w:hAnsi="Times New Roman" w:cs="Times New Roman"/>
    </w:rPr>
  </w:style>
  <w:style w:type="paragraph" w:styleId="1123" w:customStyle="1">
    <w:name w:val="段"/>
    <w:next w:val="858"/>
    <w:qFormat/>
    <w:pPr>
      <w:ind w:firstLine="200"/>
      <w:jc w:val="both"/>
      <w:spacing w:line="360" w:lineRule="auto"/>
    </w:pPr>
    <w:rPr>
      <w:sz w:val="24"/>
      <w:szCs w:val="22"/>
    </w:rPr>
  </w:style>
  <w:style w:type="paragraph" w:styleId="1124" w:customStyle="1">
    <w:name w:val="标书_正文"/>
    <w:basedOn w:val="859"/>
    <w:next w:val="1125"/>
    <w:qFormat/>
    <w:pPr>
      <w:ind w:left="420" w:firstLine="1188"/>
      <w:spacing w:before="0" w:after="0" w:line="360" w:lineRule="auto"/>
    </w:pPr>
    <w:rPr>
      <w:rFonts w:ascii="Times New Roman" w:hAnsi="Times New Roman" w:cs="Times New Roman"/>
    </w:rPr>
  </w:style>
  <w:style w:type="paragraph" w:styleId="1125" w:customStyle="1">
    <w:name w:val="样式 标题 2 + Times New Roman 四号 非加粗 段前: 5 磅 段后: 0 磅 行距: 固定值 20..."/>
    <w:basedOn w:val="861"/>
    <w:next w:val="1073"/>
    <w:qFormat/>
    <w:pPr>
      <w:ind w:left="0" w:firstLine="24"/>
      <w:spacing w:before="100" w:after="0" w:line="400" w:lineRule="exact"/>
      <w:outlineLvl w:val="1"/>
    </w:pPr>
  </w:style>
  <w:style w:type="paragraph" w:styleId="1126" w:customStyle="1">
    <w:name w:val="图片0"/>
    <w:basedOn w:val="859"/>
    <w:next w:val="906"/>
    <w:qFormat/>
    <w:pPr>
      <w:ind w:left="-161" w:firstLine="1187"/>
      <w:spacing w:before="0" w:after="0" w:line="276" w:lineRule="auto"/>
    </w:pPr>
    <w:rPr>
      <w:rFonts w:ascii="Times New Roman" w:hAnsi="Times New Roman" w:cs="Times New Roman"/>
    </w:rPr>
  </w:style>
  <w:style w:type="paragraph" w:styleId="1127" w:customStyle="1">
    <w:name w:val="Char Char Char2 Char Char Char2 Char"/>
    <w:basedOn w:val="859"/>
    <w:next w:val="1099"/>
    <w:qFormat/>
    <w:pPr>
      <w:ind w:left="560" w:firstLine="3632"/>
      <w:spacing w:before="0" w:after="160" w:line="240" w:lineRule="exact"/>
    </w:pPr>
    <w:rPr>
      <w:rFonts w:ascii="Times New Roman" w:hAnsi="Times New Roman" w:cs="Times New Roman"/>
    </w:rPr>
  </w:style>
  <w:style w:type="paragraph" w:styleId="1128" w:customStyle="1">
    <w:name w:val="Char Char Char Char"/>
    <w:next w:val="1129"/>
    <w:qFormat/>
    <w:pPr>
      <w:ind w:firstLine="10"/>
      <w:spacing w:line="360" w:lineRule="auto"/>
      <w:shd w:val="clear" w:color="000000" w:fill="000080"/>
    </w:pPr>
    <w:rPr>
      <w:rFonts w:ascii="Calibri" w:hAnsi="Calibri"/>
    </w:rPr>
  </w:style>
  <w:style w:type="paragraph" w:styleId="1129" w:customStyle="1">
    <w:name w:val="杨昂超式样黑体主"/>
    <w:basedOn w:val="859"/>
    <w:next w:val="1130"/>
    <w:qFormat/>
    <w:pPr>
      <w:ind w:left="0" w:firstLine="4608"/>
      <w:spacing w:before="0" w:after="0" w:line="240" w:lineRule="auto"/>
    </w:pPr>
    <w:rPr>
      <w:rFonts w:ascii="Times New Roman" w:hAnsi="Times New Roman" w:cs="Times New Roman"/>
    </w:rPr>
  </w:style>
  <w:style w:type="paragraph" w:styleId="1130" w:customStyle="1">
    <w:name w:val="Char Char Char Char Char Char1 Char Char Char Char Char Char Char Char Char Char"/>
    <w:basedOn w:val="859"/>
    <w:next w:val="1131"/>
    <w:qFormat/>
    <w:pPr>
      <w:ind w:left="0" w:firstLine="2560"/>
      <w:spacing w:before="0" w:after="0" w:line="240" w:lineRule="auto"/>
    </w:pPr>
    <w:rPr>
      <w:rFonts w:ascii="Times New Roman" w:hAnsi="Times New Roman" w:cs="Times New Roman"/>
    </w:rPr>
  </w:style>
  <w:style w:type="paragraph" w:styleId="1131" w:customStyle="1">
    <w:name w:val="目录1"/>
    <w:basedOn w:val="859"/>
    <w:next w:val="858"/>
    <w:qFormat/>
    <w:pPr>
      <w:ind w:left="0" w:firstLine="7168"/>
      <w:spacing w:before="0" w:after="136" w:line="289" w:lineRule="atLeast"/>
    </w:pPr>
    <w:rPr>
      <w:rFonts w:ascii="Times New Roman" w:hAnsi="Times New Roman" w:cs="Times New Roman"/>
    </w:rPr>
  </w:style>
  <w:style w:type="paragraph" w:styleId="1132" w:customStyle="1">
    <w:name w:val="文档结构图1"/>
    <w:basedOn w:val="859"/>
    <w:next w:val="1133"/>
    <w:qFormat/>
    <w:pPr>
      <w:ind w:left="200" w:firstLine="2248"/>
      <w:spacing w:before="0" w:after="0" w:line="360" w:lineRule="auto"/>
    </w:pPr>
    <w:rPr>
      <w:rFonts w:ascii="Times New Roman" w:hAnsi="Times New Roman" w:cs="Times New Roman"/>
    </w:rPr>
  </w:style>
  <w:style w:type="paragraph" w:styleId="1133" w:customStyle="1">
    <w:name w:val="2ji"/>
    <w:basedOn w:val="861"/>
    <w:next w:val="901"/>
    <w:qFormat/>
    <w:pPr>
      <w:ind w:left="0" w:firstLine="24"/>
      <w:spacing w:before="0" w:after="0" w:line="360" w:lineRule="auto"/>
      <w:outlineLvl w:val="1"/>
    </w:pPr>
  </w:style>
  <w:style w:type="paragraph" w:styleId="1134" w:customStyle="1">
    <w:name w:val="xl91"/>
    <w:basedOn w:val="859"/>
    <w:next w:val="1055"/>
    <w:qFormat/>
    <w:pPr>
      <w:ind w:left="0" w:firstLine="3584"/>
      <w:spacing w:before="280" w:after="280" w:line="240" w:lineRule="auto"/>
    </w:pPr>
    <w:rPr>
      <w:rFonts w:ascii="Times New Roman" w:hAnsi="Times New Roman" w:cs="Times New Roman"/>
    </w:rPr>
  </w:style>
  <w:style w:type="paragraph" w:styleId="1135" w:customStyle="1">
    <w:name w:val="Text Body"/>
    <w:basedOn w:val="859"/>
    <w:next w:val="1136"/>
    <w:qFormat/>
    <w:pPr>
      <w:ind w:left="0" w:firstLine="4096"/>
      <w:spacing w:before="0" w:after="120" w:line="240" w:lineRule="auto"/>
    </w:pPr>
    <w:rPr>
      <w:rFonts w:ascii="Times New Roman" w:hAnsi="Times New Roman" w:cs="Times New Roman"/>
    </w:rPr>
  </w:style>
  <w:style w:type="paragraph" w:styleId="1136" w:customStyle="1">
    <w:name w:val="项目符1"/>
    <w:basedOn w:val="859"/>
    <w:next w:val="1137"/>
    <w:qFormat/>
    <w:pPr>
      <w:ind w:left="1365" w:right="100" w:firstLine="2728"/>
      <w:spacing w:before="78" w:after="78" w:line="300" w:lineRule="auto"/>
    </w:pPr>
    <w:rPr>
      <w:rFonts w:ascii="Times New Roman" w:hAnsi="Times New Roman" w:cs="Times New Roman"/>
    </w:rPr>
  </w:style>
  <w:style w:type="paragraph" w:styleId="1137" w:customStyle="1">
    <w:name w:val="引文目录标题1"/>
    <w:basedOn w:val="859"/>
    <w:next w:val="858"/>
    <w:qFormat/>
    <w:pPr>
      <w:ind w:left="0" w:firstLine="4608"/>
      <w:jc w:val="center"/>
      <w:spacing w:before="120" w:after="0" w:line="360" w:lineRule="auto"/>
    </w:pPr>
    <w:rPr>
      <w:rFonts w:ascii="Times New Roman" w:hAnsi="Times New Roman" w:cs="Times New Roman"/>
    </w:rPr>
  </w:style>
  <w:style w:type="paragraph" w:styleId="1138" w:customStyle="1">
    <w:name w:val="样式 标题 3 + (西文) 黑体 (中文) 黑体 (符号) 宋体 小四 段前: 5 磅 段后: 5 磅 行距: 1..."/>
    <w:basedOn w:val="862"/>
    <w:next w:val="1139"/>
    <w:qFormat/>
    <w:pPr>
      <w:ind w:left="1429" w:firstLine="18"/>
      <w:spacing w:before="100" w:after="100" w:line="360" w:lineRule="auto"/>
      <w:outlineLvl w:val="2"/>
    </w:pPr>
  </w:style>
  <w:style w:type="paragraph" w:styleId="1139" w:customStyle="1">
    <w:name w:val="xl22"/>
    <w:basedOn w:val="859"/>
    <w:next w:val="1140"/>
    <w:qFormat/>
    <w:pPr>
      <w:ind w:left="0" w:firstLine="20"/>
      <w:jc w:val="right"/>
      <w:spacing w:before="280" w:after="280" w:line="240" w:lineRule="auto"/>
      <w:shd w:val="clear" w:color="000000" w:fill="ffffff"/>
    </w:pPr>
    <w:rPr>
      <w:rFonts w:ascii="Times New Roman" w:hAnsi="Times New Roman" w:cs="Times New Roman"/>
    </w:rPr>
  </w:style>
  <w:style w:type="paragraph" w:styleId="1140" w:customStyle="1">
    <w:name w:val="自定义一"/>
    <w:basedOn w:val="859"/>
    <w:next w:val="858"/>
    <w:qFormat/>
    <w:pPr>
      <w:ind w:left="0"/>
      <w:spacing w:before="0" w:after="0" w:line="360" w:lineRule="auto"/>
    </w:pPr>
    <w:rPr>
      <w:rFonts w:ascii="Times New Roman" w:hAnsi="Times New Roman" w:cs="Times New Roman"/>
    </w:rPr>
  </w:style>
  <w:style w:type="paragraph" w:styleId="1141" w:customStyle="1">
    <w:name w:val="xl78"/>
    <w:basedOn w:val="859"/>
    <w:next w:val="1142"/>
    <w:qFormat/>
    <w:pPr>
      <w:ind w:left="0" w:firstLine="3584"/>
      <w:jc w:val="center"/>
      <w:spacing w:before="280" w:after="280" w:line="240" w:lineRule="auto"/>
    </w:pPr>
    <w:rPr>
      <w:rFonts w:ascii="Times New Roman" w:hAnsi="Times New Roman" w:cs="Times New Roman"/>
    </w:rPr>
  </w:style>
  <w:style w:type="paragraph" w:styleId="1142" w:customStyle="1">
    <w:name w:val="段落正文"/>
    <w:next w:val="1084"/>
    <w:qFormat/>
    <w:pPr>
      <w:ind w:firstLine="4608"/>
      <w:jc w:val="center"/>
      <w:spacing w:line="360" w:lineRule="auto"/>
    </w:pPr>
    <w:rPr>
      <w:rFonts w:ascii="Calibri" w:hAnsi="Calibri"/>
    </w:rPr>
  </w:style>
  <w:style w:type="paragraph" w:styleId="1143" w:customStyle="1">
    <w:name w:val="_Style 169"/>
    <w:next w:val="858"/>
    <w:qFormat/>
    <w:pPr>
      <w:ind w:left="2560"/>
    </w:pPr>
    <w:rPr>
      <w:rFonts w:ascii="Calibri" w:hAnsi="Calibri"/>
    </w:rPr>
  </w:style>
  <w:style w:type="paragraph" w:styleId="1144" w:customStyle="1">
    <w:name w:val="样式 小四 行距: 1.5 倍行距 首行缩进:  2 字符"/>
    <w:basedOn w:val="859"/>
    <w:next w:val="1089"/>
    <w:qFormat/>
    <w:pPr>
      <w:ind w:left="480" w:firstLine="2784"/>
      <w:spacing w:before="0" w:after="0" w:line="360" w:lineRule="auto"/>
    </w:pPr>
    <w:rPr>
      <w:rFonts w:ascii="Times New Roman" w:hAnsi="Times New Roman" w:cs="Times New Roman"/>
    </w:rPr>
  </w:style>
  <w:style w:type="paragraph" w:styleId="1145" w:customStyle="1">
    <w:name w:val="小节标题"/>
    <w:basedOn w:val="859"/>
    <w:next w:val="858"/>
    <w:qFormat/>
    <w:pPr>
      <w:ind w:left="0" w:firstLine="7168"/>
      <w:spacing w:before="175" w:after="102" w:line="351" w:lineRule="atLeast"/>
    </w:pPr>
    <w:rPr>
      <w:rFonts w:ascii="Times New Roman" w:hAnsi="Times New Roman" w:cs="Times New Roman"/>
    </w:rPr>
  </w:style>
  <w:style w:type="paragraph" w:styleId="1146" w:customStyle="1">
    <w:name w:val="TOC 标题2"/>
    <w:basedOn w:val="859"/>
    <w:next w:val="85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7" w:customStyle="1">
    <w:name w:val="表格文字（两侧对齐）"/>
    <w:basedOn w:val="859"/>
    <w:next w:val="1148"/>
    <w:qFormat/>
    <w:pPr>
      <w:ind w:left="0" w:firstLine="3584"/>
      <w:spacing w:before="0" w:after="0" w:line="240" w:lineRule="auto"/>
    </w:pPr>
    <w:rPr>
      <w:rFonts w:ascii="Times New Roman" w:hAnsi="Times New Roman" w:cs="Times New Roman"/>
    </w:rPr>
  </w:style>
  <w:style w:type="paragraph" w:styleId="1148" w:customStyle="1">
    <w:name w:val="Char"/>
    <w:basedOn w:val="859"/>
    <w:next w:val="1127"/>
    <w:qFormat/>
    <w:pPr>
      <w:ind w:left="900" w:firstLine="2608"/>
      <w:spacing w:before="0" w:after="0" w:line="240" w:lineRule="auto"/>
    </w:pPr>
    <w:rPr>
      <w:rFonts w:ascii="Times New Roman" w:hAnsi="Times New Roman" w:cs="Times New Roman"/>
    </w:rPr>
  </w:style>
  <w:style w:type="paragraph" w:styleId="1149" w:customStyle="1">
    <w:name w:val="xl86"/>
    <w:basedOn w:val="859"/>
    <w:next w:val="1150"/>
    <w:qFormat/>
    <w:pPr>
      <w:ind w:left="0" w:firstLine="5120"/>
      <w:spacing w:before="280" w:after="280" w:line="240" w:lineRule="auto"/>
    </w:pPr>
    <w:rPr>
      <w:rFonts w:ascii="Times New Roman" w:hAnsi="Times New Roman" w:cs="Times New Roman"/>
    </w:rPr>
  </w:style>
  <w:style w:type="paragraph" w:styleId="1150" w:customStyle="1">
    <w:name w:val="索引 71"/>
    <w:basedOn w:val="859"/>
    <w:next w:val="858"/>
    <w:qFormat/>
    <w:pPr>
      <w:ind w:left="1200" w:firstLine="2560"/>
      <w:jc w:val="center"/>
      <w:spacing w:before="0" w:after="0" w:line="360" w:lineRule="auto"/>
    </w:pPr>
    <w:rPr>
      <w:rFonts w:ascii="Times New Roman" w:hAnsi="Times New Roman" w:cs="Times New Roman"/>
    </w:rPr>
  </w:style>
  <w:style w:type="paragraph" w:styleId="1151" w:customStyle="1">
    <w:name w:val="111"/>
    <w:next w:val="1152"/>
    <w:qFormat/>
    <w:pPr>
      <w:ind w:left="480" w:firstLine="4320"/>
      <w:spacing w:line="440" w:lineRule="exact"/>
    </w:pPr>
    <w:rPr>
      <w:rFonts w:ascii="Calibri" w:hAnsi="Calibri"/>
    </w:rPr>
  </w:style>
  <w:style w:type="paragraph" w:styleId="1152" w:customStyle="1">
    <w:name w:val="4"/>
    <w:basedOn w:val="859"/>
    <w:next w:val="871"/>
    <w:qFormat/>
    <w:pPr>
      <w:ind w:left="409" w:firstLine="3737"/>
      <w:spacing w:before="0" w:after="0" w:line="420" w:lineRule="exact"/>
    </w:pPr>
    <w:rPr>
      <w:rFonts w:ascii="Times New Roman" w:hAnsi="Times New Roman" w:cs="Times New Roman"/>
    </w:rPr>
  </w:style>
  <w:style w:type="paragraph" w:styleId="1153" w:customStyle="1">
    <w:name w:val="Char Char Char Char Char Char1 Char Char Char1 Char Char Char Char Char Char"/>
    <w:basedOn w:val="859"/>
    <w:next w:val="1138"/>
    <w:qFormat/>
    <w:pPr>
      <w:ind w:left="0" w:firstLine="2560"/>
      <w:spacing w:before="0" w:after="0" w:line="240" w:lineRule="auto"/>
    </w:pPr>
    <w:rPr>
      <w:rFonts w:ascii="Times New Roman" w:hAnsi="Times New Roman" w:cs="Times New Roman"/>
    </w:rPr>
  </w:style>
  <w:style w:type="paragraph" w:styleId="1154" w:customStyle="1">
    <w:name w:val="Char Char Char Char Char Char1 Char Char Char Char Char Char1 Char Char Char"/>
    <w:basedOn w:val="859"/>
    <w:next w:val="1155"/>
    <w:qFormat/>
    <w:pPr>
      <w:ind w:left="0" w:firstLine="2560"/>
      <w:spacing w:before="0" w:after="0" w:line="240" w:lineRule="auto"/>
    </w:pPr>
    <w:rPr>
      <w:rFonts w:ascii="Times New Roman" w:hAnsi="Times New Roman" w:cs="Times New Roman"/>
    </w:rPr>
  </w:style>
  <w:style w:type="paragraph" w:styleId="1155" w:customStyle="1">
    <w:name w:val="正文符号1"/>
    <w:basedOn w:val="859"/>
    <w:next w:val="1156"/>
    <w:qFormat/>
    <w:pPr>
      <w:ind w:left="987" w:firstLine="5724"/>
      <w:spacing w:before="0" w:after="0" w:line="240" w:lineRule="auto"/>
    </w:pPr>
    <w:rPr>
      <w:rFonts w:ascii="Times New Roman" w:hAnsi="Times New Roman" w:cs="Times New Roman"/>
    </w:rPr>
  </w:style>
  <w:style w:type="paragraph" w:styleId="1156" w:customStyle="1">
    <w:name w:val="索引 31"/>
    <w:basedOn w:val="859"/>
    <w:next w:val="858"/>
    <w:qFormat/>
    <w:pPr>
      <w:ind w:left="400" w:firstLine="2560"/>
      <w:jc w:val="center"/>
      <w:spacing w:before="0" w:after="0" w:line="360" w:lineRule="auto"/>
    </w:pPr>
    <w:rPr>
      <w:rFonts w:ascii="Times New Roman" w:hAnsi="Times New Roman" w:cs="Times New Roman"/>
    </w:rPr>
  </w:style>
  <w:style w:type="paragraph" w:styleId="1157" w:customStyle="1">
    <w:name w:val="目录4"/>
    <w:basedOn w:val="859"/>
    <w:next w:val="858"/>
    <w:qFormat/>
    <w:pPr>
      <w:ind w:left="629" w:firstLine="5237"/>
      <w:spacing w:before="0" w:after="0" w:line="317" w:lineRule="atLeast"/>
    </w:pPr>
    <w:rPr>
      <w:rFonts w:ascii="Times New Roman" w:hAnsi="Times New Roman" w:cs="Times New Roman"/>
    </w:rPr>
  </w:style>
  <w:style w:type="paragraph" w:styleId="1158" w:customStyle="1">
    <w:name w:val="p15"/>
    <w:basedOn w:val="858"/>
    <w:qFormat/>
    <w:pPr>
      <w:ind w:left="0"/>
    </w:pPr>
    <w:rPr>
      <w:rFonts w:ascii="宋体" w:hAnsi="宋体"/>
      <w:sz w:val="28"/>
      <w:szCs w:val="28"/>
    </w:rPr>
  </w:style>
  <w:style w:type="paragraph" w:styleId="1159" w:customStyle="1">
    <w:name w:val="四号 居中"/>
    <w:basedOn w:val="859"/>
    <w:next w:val="1153"/>
    <w:qFormat/>
    <w:pPr>
      <w:ind w:left="0" w:firstLine="6144"/>
      <w:jc w:val="center"/>
      <w:spacing w:before="0" w:after="0" w:line="360" w:lineRule="auto"/>
    </w:pPr>
    <w:rPr>
      <w:rFonts w:ascii="Times New Roman" w:hAnsi="Times New Roman" w:cs="Times New Roman"/>
    </w:rPr>
  </w:style>
  <w:style w:type="paragraph" w:styleId="1160" w:customStyle="1">
    <w:name w:val="p0"/>
    <w:next w:val="858"/>
    <w:qFormat/>
    <w:pPr>
      <w:ind w:firstLine="2048"/>
      <w:spacing w:line="360" w:lineRule="auto"/>
    </w:pPr>
    <w:rPr>
      <w:rFonts w:ascii="Calibri" w:hAnsi="Calibri"/>
    </w:rPr>
  </w:style>
  <w:style w:type="paragraph" w:styleId="1161" w:customStyle="1">
    <w:name w:val="列表编号 21"/>
    <w:basedOn w:val="859"/>
    <w:next w:val="1162"/>
    <w:qFormat/>
    <w:pPr>
      <w:ind w:left="0" w:firstLine="2560"/>
      <w:spacing w:before="0" w:after="0" w:line="360" w:lineRule="auto"/>
    </w:pPr>
    <w:rPr>
      <w:rFonts w:ascii="Times New Roman" w:hAnsi="Times New Roman" w:cs="Times New Roman"/>
    </w:rPr>
  </w:style>
  <w:style w:type="paragraph" w:styleId="1162" w:customStyle="1">
    <w:name w:val="正文文本 21"/>
    <w:basedOn w:val="859"/>
    <w:next w:val="1043"/>
    <w:qFormat/>
    <w:pPr>
      <w:ind w:left="0" w:firstLine="2560"/>
      <w:jc w:val="center"/>
      <w:spacing w:before="0" w:after="120" w:line="480" w:lineRule="auto"/>
    </w:pPr>
    <w:rPr>
      <w:rFonts w:ascii="Times New Roman" w:hAnsi="Times New Roman" w:cs="Times New Roman"/>
    </w:rPr>
  </w:style>
  <w:style w:type="paragraph" w:styleId="1163" w:customStyle="1">
    <w:name w:val="a2"/>
    <w:basedOn w:val="859"/>
    <w:next w:val="898"/>
    <w:qFormat/>
    <w:pPr>
      <w:ind w:left="0" w:firstLine="1024"/>
      <w:spacing w:before="280" w:after="280" w:line="240" w:lineRule="auto"/>
    </w:pPr>
    <w:rPr>
      <w:rFonts w:ascii="Times New Roman" w:hAnsi="Times New Roman" w:cs="Times New Roman"/>
    </w:rPr>
  </w:style>
  <w:style w:type="paragraph" w:styleId="1164" w:customStyle="1">
    <w:name w:val="font8"/>
    <w:basedOn w:val="859"/>
    <w:next w:val="1088"/>
    <w:qFormat/>
    <w:pPr>
      <w:ind w:left="0" w:firstLine="2048"/>
      <w:spacing w:before="280" w:after="280" w:line="240" w:lineRule="auto"/>
    </w:pPr>
    <w:rPr>
      <w:rFonts w:ascii="Times New Roman" w:hAnsi="Times New Roman" w:cs="Times New Roman"/>
    </w:rPr>
  </w:style>
  <w:style w:type="paragraph" w:styleId="1165" w:customStyle="1">
    <w:name w:val="Char Char Char Char Char Char1 Char Char Char Char Char Char1 Char Char Char Char Char Char Char"/>
    <w:basedOn w:val="859"/>
    <w:next w:val="1166"/>
    <w:qFormat/>
    <w:pPr>
      <w:ind w:left="0" w:firstLine="2560"/>
      <w:spacing w:before="0" w:after="0" w:line="240" w:lineRule="auto"/>
    </w:pPr>
    <w:rPr>
      <w:rFonts w:ascii="Times New Roman" w:hAnsi="Times New Roman" w:cs="Times New Roman"/>
    </w:rPr>
  </w:style>
  <w:style w:type="paragraph" w:styleId="1166" w:customStyle="1">
    <w:name w:val="xl87"/>
    <w:basedOn w:val="859"/>
    <w:next w:val="1122"/>
    <w:qFormat/>
    <w:pPr>
      <w:ind w:left="0" w:firstLine="5120"/>
      <w:spacing w:before="280" w:after="280" w:line="240" w:lineRule="auto"/>
    </w:pPr>
    <w:rPr>
      <w:rFonts w:ascii="Times New Roman" w:hAnsi="Times New Roman" w:cs="Times New Roman"/>
    </w:rPr>
  </w:style>
  <w:style w:type="paragraph" w:styleId="1167" w:customStyle="1">
    <w:name w:val="444"/>
    <w:basedOn w:val="859"/>
    <w:next w:val="880"/>
    <w:qFormat/>
    <w:pPr>
      <w:ind w:left="0" w:firstLine="4608"/>
      <w:jc w:val="center"/>
      <w:spacing w:before="0" w:after="0" w:line="312" w:lineRule="atLeast"/>
    </w:pPr>
    <w:rPr>
      <w:rFonts w:ascii="Times New Roman" w:hAnsi="Times New Roman" w:cs="Times New Roman"/>
    </w:rPr>
  </w:style>
  <w:style w:type="paragraph" w:styleId="1168" w:customStyle="1">
    <w:name w:val="表格文字图表文字"/>
    <w:basedOn w:val="859"/>
    <w:next w:val="1169"/>
    <w:qFormat/>
    <w:pPr>
      <w:ind w:left="0" w:firstLine="3584"/>
      <w:jc w:val="center"/>
      <w:spacing w:before="0" w:after="0" w:line="240" w:lineRule="auto"/>
    </w:pPr>
    <w:rPr>
      <w:rFonts w:ascii="Times New Roman" w:hAnsi="Times New Roman" w:cs="Times New Roman"/>
    </w:rPr>
  </w:style>
  <w:style w:type="paragraph" w:styleId="1169" w:customStyle="1">
    <w:name w:val="样式 目录 3 + 左侧:  2 字符1"/>
    <w:next w:val="1170"/>
    <w:qFormat/>
    <w:pPr>
      <w:ind w:left="960" w:firstLine="5120"/>
      <w:spacing w:line="360" w:lineRule="auto"/>
      <w:widowControl w:val="off"/>
    </w:pPr>
    <w:rPr>
      <w:rFonts w:ascii="Calibri" w:hAnsi="Calibri"/>
    </w:rPr>
  </w:style>
  <w:style w:type="paragraph" w:styleId="1170" w:customStyle="1">
    <w:name w:val="文档正文"/>
    <w:basedOn w:val="859"/>
    <w:next w:val="1171"/>
    <w:qFormat/>
    <w:pPr>
      <w:ind w:left="567" w:firstLine="3639"/>
      <w:spacing w:before="0" w:after="0" w:line="480" w:lineRule="atLeast"/>
    </w:pPr>
    <w:rPr>
      <w:rFonts w:ascii="Times New Roman" w:hAnsi="Times New Roman" w:cs="Times New Roman"/>
    </w:rPr>
  </w:style>
  <w:style w:type="paragraph" w:styleId="1171" w:customStyle="1">
    <w:name w:val="列表框2"/>
    <w:next w:val="1172"/>
    <w:qFormat/>
    <w:pPr>
      <w:ind w:firstLine="2048"/>
      <w:spacing w:line="460" w:lineRule="exact"/>
    </w:pPr>
    <w:rPr>
      <w:rFonts w:ascii="Calibri" w:hAnsi="Calibri"/>
    </w:rPr>
  </w:style>
  <w:style w:type="paragraph" w:styleId="1172" w:customStyle="1">
    <w:name w:val="font10"/>
    <w:basedOn w:val="859"/>
    <w:next w:val="891"/>
    <w:qFormat/>
    <w:pPr>
      <w:ind w:left="0" w:firstLine="3584"/>
      <w:spacing w:before="280" w:after="280" w:line="240" w:lineRule="auto"/>
    </w:pPr>
    <w:rPr>
      <w:rFonts w:ascii="Times New Roman" w:hAnsi="Times New Roman" w:cs="Times New Roman"/>
    </w:rPr>
  </w:style>
  <w:style w:type="paragraph" w:styleId="1173" w:customStyle="1">
    <w:name w:val="纯文本1"/>
    <w:basedOn w:val="859"/>
    <w:next w:val="903"/>
    <w:qFormat/>
    <w:pPr>
      <w:ind w:left="0" w:firstLine="3584"/>
      <w:spacing w:before="0" w:after="0" w:line="240" w:lineRule="auto"/>
    </w:pPr>
    <w:rPr>
      <w:rFonts w:ascii="Times New Roman" w:hAnsi="Times New Roman" w:cs="Times New Roman"/>
    </w:rPr>
  </w:style>
  <w:style w:type="paragraph" w:styleId="1174" w:customStyle="1">
    <w:name w:val="索引 91"/>
    <w:basedOn w:val="859"/>
    <w:next w:val="858"/>
    <w:qFormat/>
    <w:pPr>
      <w:ind w:left="1600" w:firstLine="2560"/>
      <w:jc w:val="center"/>
      <w:spacing w:before="0" w:after="0" w:line="360" w:lineRule="auto"/>
    </w:pPr>
    <w:rPr>
      <w:rFonts w:ascii="Times New Roman" w:hAnsi="Times New Roman" w:cs="Times New Roman"/>
    </w:rPr>
  </w:style>
  <w:style w:type="paragraph" w:styleId="1175" w:customStyle="1">
    <w:name w:val="xl79"/>
    <w:basedOn w:val="859"/>
    <w:next w:val="1151"/>
    <w:qFormat/>
    <w:pPr>
      <w:ind w:left="0" w:firstLine="3584"/>
      <w:jc w:val="center"/>
      <w:spacing w:before="280" w:after="280" w:line="240" w:lineRule="auto"/>
    </w:pPr>
    <w:rPr>
      <w:rFonts w:ascii="Times New Roman" w:hAnsi="Times New Roman" w:cs="Times New Roman"/>
    </w:rPr>
  </w:style>
  <w:style w:type="paragraph" w:styleId="1176" w:customStyle="1">
    <w:name w:val="表格文字（4号居中）"/>
    <w:next w:val="1177"/>
    <w:qFormat/>
    <w:pPr>
      <w:ind w:firstLine="2560"/>
      <w:jc w:val="center"/>
    </w:pPr>
    <w:rPr>
      <w:rFonts w:ascii="Calibri" w:hAnsi="Calibri"/>
    </w:rPr>
  </w:style>
  <w:style w:type="paragraph" w:styleId="1177" w:customStyle="1">
    <w:name w:val="!方块加粗"/>
    <w:basedOn w:val="859"/>
    <w:next w:val="1144"/>
    <w:qFormat/>
    <w:pPr>
      <w:ind w:left="600" w:firstLine="5212"/>
      <w:spacing w:before="0" w:after="0" w:line="360" w:lineRule="auto"/>
    </w:pPr>
    <w:rPr>
      <w:rFonts w:ascii="Times New Roman" w:hAnsi="Times New Roman" w:cs="Times New Roman"/>
    </w:rPr>
  </w:style>
  <w:style w:type="paragraph" w:styleId="1178" w:customStyle="1">
    <w:name w:val="xl75"/>
    <w:basedOn w:val="859"/>
    <w:next w:val="904"/>
    <w:qFormat/>
    <w:pPr>
      <w:ind w:left="0" w:firstLine="3584"/>
      <w:jc w:val="center"/>
      <w:spacing w:before="280" w:after="280" w:line="240" w:lineRule="auto"/>
    </w:pPr>
    <w:rPr>
      <w:rFonts w:ascii="Times New Roman" w:hAnsi="Times New Roman" w:cs="Times New Roman"/>
    </w:rPr>
  </w:style>
  <w:style w:type="paragraph" w:styleId="1179" w:customStyle="1">
    <w:name w:val="xl81"/>
    <w:basedOn w:val="859"/>
    <w:next w:val="1180"/>
    <w:qFormat/>
    <w:pPr>
      <w:ind w:left="0" w:firstLine="5120"/>
      <w:spacing w:before="280" w:after="280" w:line="240" w:lineRule="auto"/>
    </w:pPr>
    <w:rPr>
      <w:rFonts w:ascii="Times New Roman" w:hAnsi="Times New Roman" w:cs="Times New Roman"/>
    </w:rPr>
  </w:style>
  <w:style w:type="paragraph" w:styleId="1180" w:customStyle="1">
    <w:name w:val="xl25"/>
    <w:basedOn w:val="859"/>
    <w:next w:val="1181"/>
    <w:qFormat/>
    <w:pPr>
      <w:ind w:left="0" w:firstLine="14"/>
      <w:spacing w:before="280" w:after="280" w:line="240" w:lineRule="auto"/>
      <w:shd w:val="clear" w:color="000000" w:fill="ffffff"/>
    </w:pPr>
    <w:rPr>
      <w:rFonts w:ascii="Times New Roman" w:hAnsi="Times New Roman" w:cs="Times New Roman"/>
    </w:rPr>
  </w:style>
  <w:style w:type="paragraph" w:styleId="1181" w:customStyle="1">
    <w:name w:val="普通(网站)1"/>
    <w:basedOn w:val="859"/>
    <w:next w:val="1182"/>
    <w:qFormat/>
    <w:pPr>
      <w:ind w:left="200" w:firstLine="1224"/>
      <w:spacing w:before="280" w:after="280" w:line="240" w:lineRule="auto"/>
    </w:pPr>
    <w:rPr>
      <w:rFonts w:ascii="Times New Roman" w:hAnsi="Times New Roman" w:cs="Times New Roman"/>
    </w:rPr>
  </w:style>
  <w:style w:type="paragraph" w:styleId="1182" w:customStyle="1">
    <w:name w:val="xl27"/>
    <w:basedOn w:val="859"/>
    <w:next w:val="1168"/>
    <w:qFormat/>
    <w:pPr>
      <w:ind w:left="0" w:firstLine="20"/>
      <w:spacing w:before="280" w:after="280" w:line="240" w:lineRule="auto"/>
      <w:shd w:val="clear" w:color="000000" w:fill="ffffff"/>
    </w:pPr>
    <w:rPr>
      <w:rFonts w:ascii="Times New Roman" w:hAnsi="Times New Roman" w:cs="Times New Roman"/>
    </w:rPr>
  </w:style>
  <w:style w:type="paragraph" w:styleId="1183" w:customStyle="1">
    <w:name w:val="H 4"/>
    <w:basedOn w:val="863"/>
    <w:next w:val="1184"/>
    <w:qFormat/>
    <w:pPr>
      <w:ind w:left="426" w:firstLine="24"/>
      <w:spacing w:before="0" w:after="0" w:line="360" w:lineRule="auto"/>
      <w:outlineLvl w:val="3"/>
    </w:pPr>
  </w:style>
  <w:style w:type="paragraph" w:styleId="1184" w:customStyle="1">
    <w:name w:val="xl82"/>
    <w:basedOn w:val="859"/>
    <w:next w:val="1179"/>
    <w:qFormat/>
    <w:pPr>
      <w:ind w:left="0" w:firstLine="5120"/>
      <w:spacing w:before="280" w:after="280" w:line="240" w:lineRule="auto"/>
    </w:pPr>
    <w:rPr>
      <w:rFonts w:ascii="Times New Roman" w:hAnsi="Times New Roman" w:cs="Times New Roman"/>
    </w:rPr>
  </w:style>
  <w:style w:type="paragraph" w:styleId="1185" w:customStyle="1">
    <w:name w:val="Char Char Char Char Char Char Char Char"/>
    <w:next w:val="1186"/>
    <w:qFormat/>
    <w:pPr>
      <w:ind w:firstLine="14"/>
      <w:jc w:val="both"/>
      <w:shd w:val="clear" w:color="000000" w:fill="000080"/>
      <w:widowControl w:val="off"/>
    </w:pPr>
    <w:rPr>
      <w:rFonts w:ascii="Calibri" w:hAnsi="Calibri"/>
    </w:rPr>
  </w:style>
  <w:style w:type="paragraph" w:styleId="1186" w:customStyle="1">
    <w:name w:val="Char Char Char Char Char Char1 Char Char Char1 Char Char Char Char Char Char Char Char Char Char Char Char Char Char Char"/>
    <w:basedOn w:val="859"/>
    <w:next w:val="1187"/>
    <w:qFormat/>
    <w:pPr>
      <w:ind w:left="0" w:firstLine="2560"/>
      <w:spacing w:before="0" w:after="0" w:line="240" w:lineRule="auto"/>
    </w:pPr>
    <w:rPr>
      <w:rFonts w:ascii="Times New Roman" w:hAnsi="Times New Roman" w:cs="Times New Roman"/>
    </w:rPr>
  </w:style>
  <w:style w:type="paragraph" w:styleId="1187" w:customStyle="1">
    <w:name w:val="样式1"/>
    <w:basedOn w:val="859"/>
    <w:next w:val="1188"/>
    <w:qFormat/>
    <w:pPr>
      <w:ind w:left="0" w:firstLine="1536"/>
      <w:spacing w:before="120" w:after="120" w:line="300" w:lineRule="auto"/>
    </w:pPr>
    <w:rPr>
      <w:rFonts w:ascii="Times New Roman" w:hAnsi="Times New Roman" w:cs="Times New Roman"/>
    </w:rPr>
  </w:style>
  <w:style w:type="paragraph" w:styleId="1188" w:customStyle="1">
    <w:name w:val="索引 41"/>
    <w:basedOn w:val="859"/>
    <w:next w:val="858"/>
    <w:qFormat/>
    <w:pPr>
      <w:ind w:left="600" w:firstLine="2560"/>
      <w:jc w:val="center"/>
      <w:spacing w:before="0" w:after="0" w:line="360" w:lineRule="auto"/>
    </w:pPr>
    <w:rPr>
      <w:rFonts w:ascii="Times New Roman" w:hAnsi="Times New Roman" w:cs="Times New Roman"/>
    </w:rPr>
  </w:style>
  <w:style w:type="paragraph" w:styleId="1189" w:customStyle="1">
    <w:name w:val="自定义二"/>
    <w:basedOn w:val="859"/>
    <w:next w:val="858"/>
    <w:qFormat/>
    <w:pPr>
      <w:ind w:left="0" w:firstLine="14"/>
      <w:spacing w:before="0" w:after="0" w:line="360" w:lineRule="auto"/>
      <w:outlineLvl w:val="1"/>
    </w:pPr>
    <w:rPr>
      <w:rFonts w:ascii="Times New Roman" w:hAnsi="Times New Roman" w:cs="Times New Roman"/>
    </w:rPr>
  </w:style>
  <w:style w:type="paragraph" w:styleId="1190" w:customStyle="1">
    <w:name w:val="Bullet"/>
    <w:next w:val="1128"/>
    <w:qFormat/>
    <w:pPr>
      <w:ind w:left="567" w:right="2835" w:firstLine="3584"/>
      <w:spacing w:after="60"/>
    </w:pPr>
    <w:rPr>
      <w:rFonts w:ascii="Calibri" w:hAnsi="Calibri"/>
    </w:rPr>
  </w:style>
  <w:style w:type="paragraph" w:styleId="1191" w:customStyle="1">
    <w:name w:val="Char Char Char Char Char Char1"/>
    <w:basedOn w:val="859"/>
    <w:next w:val="1192"/>
    <w:qFormat/>
    <w:pPr>
      <w:ind w:left="0" w:firstLine="2560"/>
      <w:spacing w:before="0" w:after="0" w:line="240" w:lineRule="auto"/>
    </w:pPr>
    <w:rPr>
      <w:rFonts w:ascii="Times New Roman" w:hAnsi="Times New Roman" w:cs="Times New Roman"/>
    </w:rPr>
  </w:style>
  <w:style w:type="paragraph" w:styleId="1192" w:customStyle="1">
    <w:name w:val="正文缩进2"/>
    <w:basedOn w:val="859"/>
    <w:next w:val="1193"/>
    <w:qFormat/>
    <w:pPr>
      <w:ind w:left="420" w:firstLine="1188"/>
      <w:spacing w:before="0" w:after="0" w:line="240" w:lineRule="auto"/>
    </w:pPr>
    <w:rPr>
      <w:rFonts w:ascii="Times New Roman" w:hAnsi="Times New Roman" w:cs="Times New Roman"/>
    </w:rPr>
  </w:style>
  <w:style w:type="paragraph" w:styleId="1193" w:customStyle="1">
    <w:name w:val="列出段落2"/>
    <w:basedOn w:val="859"/>
    <w:next w:val="1194"/>
    <w:qFormat/>
    <w:pPr>
      <w:ind w:left="420" w:firstLine="3748"/>
      <w:spacing w:before="0" w:after="0" w:line="240" w:lineRule="auto"/>
    </w:pPr>
    <w:rPr>
      <w:rFonts w:ascii="Times New Roman" w:hAnsi="Times New Roman" w:cs="Times New Roman"/>
    </w:rPr>
  </w:style>
  <w:style w:type="paragraph" w:styleId="1194" w:customStyle="1">
    <w:name w:val="正文文本缩进 31"/>
    <w:basedOn w:val="859"/>
    <w:next w:val="1195"/>
    <w:qFormat/>
    <w:pPr>
      <w:ind w:left="1200" w:firstLine="1248"/>
      <w:spacing w:before="120" w:after="0" w:line="22" w:lineRule="atLeast"/>
    </w:pPr>
    <w:rPr>
      <w:rFonts w:ascii="Times New Roman" w:hAnsi="Times New Roman" w:cs="Times New Roman"/>
    </w:rPr>
  </w:style>
  <w:style w:type="paragraph" w:styleId="1195" w:customStyle="1">
    <w:name w:val="样式 正文首行缩进 + 首行缩进:  2 字符5"/>
    <w:next w:val="1196"/>
    <w:qFormat/>
    <w:pPr>
      <w:ind w:left="200" w:firstLine="3784"/>
      <w:spacing w:line="300" w:lineRule="auto"/>
    </w:pPr>
    <w:rPr>
      <w:rFonts w:ascii="Calibri" w:hAnsi="Calibri"/>
    </w:rPr>
  </w:style>
  <w:style w:type="paragraph" w:styleId="1196" w:customStyle="1">
    <w:name w:val="Char2"/>
    <w:basedOn w:val="859"/>
    <w:next w:val="1190"/>
    <w:qFormat/>
    <w:pPr>
      <w:ind w:left="0" w:firstLine="3584"/>
      <w:spacing w:before="0" w:after="160" w:line="240" w:lineRule="exact"/>
    </w:pPr>
    <w:rPr>
      <w:rFonts w:ascii="Times New Roman" w:hAnsi="Times New Roman" w:cs="Times New Roman"/>
    </w:rPr>
  </w:style>
  <w:style w:type="paragraph" w:styleId="1197" w:customStyle="1">
    <w:name w:val="WPSOffice手动目录 1"/>
    <w:qFormat/>
  </w:style>
  <w:style w:type="paragraph" w:styleId="1198" w:customStyle="1">
    <w:name w:val="纯文本4"/>
    <w:basedOn w:val="858"/>
    <w:qFormat/>
    <w:pPr>
      <w:ind w:left="0"/>
      <w:widowControl w:val="off"/>
    </w:pPr>
    <w:rPr>
      <w:rFonts w:ascii="宋体" w:hAnsi="Courier New" w:eastAsia="楷体_GB2312" w:cs="Times New Roman"/>
      <w:sz w:val="26"/>
    </w:rPr>
  </w:style>
  <w:style w:type="paragraph" w:styleId="1199" w:customStyle="1">
    <w:name w:val="Char Char Char Char Char Char Char Char Char Char Char Char Char Char Char Char"/>
    <w:basedOn w:val="859"/>
    <w:next w:val="1200"/>
    <w:qFormat/>
    <w:pPr>
      <w:ind w:left="682" w:firstLine="1224"/>
      <w:spacing w:before="0" w:after="0" w:line="360" w:lineRule="auto"/>
    </w:pPr>
    <w:rPr>
      <w:rFonts w:ascii="Times New Roman" w:hAnsi="Times New Roman" w:cs="Times New Roman"/>
    </w:rPr>
  </w:style>
  <w:style w:type="paragraph" w:styleId="1200" w:customStyle="1">
    <w:name w:val="列表编号 51"/>
    <w:basedOn w:val="859"/>
    <w:next w:val="1201"/>
    <w:qFormat/>
    <w:pPr>
      <w:ind w:left="900" w:firstLine="2652"/>
      <w:spacing w:before="0" w:after="0" w:line="360" w:lineRule="auto"/>
    </w:pPr>
    <w:rPr>
      <w:rFonts w:ascii="Times New Roman" w:hAnsi="Times New Roman" w:cs="Times New Roman"/>
    </w:rPr>
  </w:style>
  <w:style w:type="paragraph" w:styleId="1201" w:customStyle="1">
    <w:name w:val="样式 标题 1 + 黑体 (符号) 宋体 三号 段前: 7.8 磅 段后: 7.8 磅 行距: 1.5 倍行距"/>
    <w:basedOn w:val="860"/>
    <w:next w:val="1202"/>
    <w:qFormat/>
    <w:pPr>
      <w:ind w:left="432" w:firstLine="18"/>
      <w:spacing w:before="40" w:after="40" w:line="360" w:lineRule="auto"/>
      <w:outlineLvl w:val="0"/>
    </w:pPr>
  </w:style>
  <w:style w:type="paragraph" w:styleId="1202" w:customStyle="1">
    <w:name w:val="表格用"/>
    <w:basedOn w:val="859"/>
    <w:next w:val="1159"/>
    <w:qFormat/>
    <w:pPr>
      <w:ind w:left="0" w:firstLine="1024"/>
      <w:spacing w:before="0" w:after="0" w:line="360" w:lineRule="auto"/>
    </w:pPr>
    <w:rPr>
      <w:rFonts w:ascii="Times New Roman" w:hAnsi="Times New Roman" w:cs="Times New Roman"/>
    </w:rPr>
  </w:style>
  <w:style w:type="paragraph" w:styleId="1203" w:customStyle="1">
    <w:name w:val="xl71"/>
    <w:basedOn w:val="859"/>
    <w:next w:val="1204"/>
    <w:qFormat/>
    <w:pPr>
      <w:ind w:left="0" w:firstLine="1536"/>
      <w:spacing w:before="280" w:after="280" w:line="240" w:lineRule="auto"/>
    </w:pPr>
    <w:rPr>
      <w:rFonts w:ascii="Times New Roman" w:hAnsi="Times New Roman" w:cs="Times New Roman"/>
    </w:rPr>
  </w:style>
  <w:style w:type="paragraph" w:styleId="1204" w:customStyle="1">
    <w:name w:val="正文文本 31"/>
    <w:basedOn w:val="859"/>
    <w:next w:val="1205"/>
    <w:qFormat/>
    <w:pPr>
      <w:ind w:left="0" w:firstLine="3584"/>
      <w:jc w:val="center"/>
      <w:spacing w:before="0" w:after="120" w:line="360" w:lineRule="auto"/>
    </w:pPr>
    <w:rPr>
      <w:rFonts w:ascii="Times New Roman" w:hAnsi="Times New Roman" w:cs="Times New Roman"/>
    </w:rPr>
  </w:style>
  <w:style w:type="paragraph" w:styleId="1205" w:customStyle="1">
    <w:name w:val="列出段落111"/>
    <w:basedOn w:val="859"/>
    <w:next w:val="1141"/>
    <w:qFormat/>
    <w:pPr>
      <w:ind w:left="420" w:firstLine="3748"/>
      <w:spacing w:before="0" w:after="0" w:line="240" w:lineRule="auto"/>
    </w:pPr>
    <w:rPr>
      <w:rFonts w:ascii="Times New Roman" w:hAnsi="Times New Roman" w:cs="Times New Roman"/>
    </w:rPr>
  </w:style>
  <w:style w:type="paragraph" w:styleId="1206" w:customStyle="1">
    <w:name w:val="修订1"/>
    <w:qFormat/>
    <w:rPr>
      <w:rFonts w:ascii="Calibri" w:hAnsi="Calibri"/>
    </w:rPr>
  </w:style>
  <w:style w:type="paragraph" w:styleId="1207" w:customStyle="1">
    <w:name w:val="正文文本缩进 21"/>
    <w:basedOn w:val="859"/>
    <w:next w:val="1147"/>
    <w:qFormat/>
    <w:pPr>
      <w:ind w:left="480" w:firstLine="4832"/>
      <w:spacing w:before="0" w:after="0" w:line="240" w:lineRule="auto"/>
    </w:pPr>
    <w:rPr>
      <w:rFonts w:ascii="Times New Roman" w:hAnsi="Times New Roman" w:cs="Times New Roman"/>
    </w:rPr>
  </w:style>
  <w:style w:type="paragraph" w:styleId="1208" w:customStyle="1">
    <w:name w:val="Char Char4 Char Char"/>
    <w:basedOn w:val="859"/>
    <w:next w:val="1157"/>
    <w:qFormat/>
    <w:pPr>
      <w:ind w:left="0" w:firstLine="2560"/>
      <w:spacing w:before="0" w:after="0" w:line="240" w:lineRule="auto"/>
    </w:pPr>
    <w:rPr>
      <w:rFonts w:ascii="Times New Roman" w:hAnsi="Times New Roman" w:cs="Times New Roman"/>
    </w:rPr>
  </w:style>
  <w:style w:type="paragraph" w:styleId="1209" w:customStyle="1">
    <w:name w:val="样式"/>
    <w:next w:val="858"/>
    <w:qFormat/>
    <w:pPr>
      <w:ind w:firstLine="3584"/>
      <w:widowControl w:val="off"/>
    </w:pPr>
    <w:rPr>
      <w:rFonts w:ascii="Calibri" w:hAnsi="Calibri"/>
    </w:rPr>
  </w:style>
  <w:style w:type="paragraph" w:styleId="1210" w:customStyle="1">
    <w:name w:val="TOC 标题1"/>
    <w:basedOn w:val="860"/>
    <w:next w:val="858"/>
    <w:qFormat/>
    <w:pPr>
      <w:ind w:left="0" w:firstLine="6144"/>
      <w:spacing w:before="480" w:after="0" w:line="276" w:lineRule="auto"/>
    </w:pPr>
    <w:rPr>
      <w:b/>
      <w:sz w:val="30"/>
    </w:rPr>
  </w:style>
  <w:style w:type="paragraph" w:styleId="1211" w:customStyle="1">
    <w:name w:val="纯文本3"/>
    <w:basedOn w:val="858"/>
    <w:qFormat/>
    <w:rPr>
      <w:rFonts w:ascii="宋体" w:hAnsi="Courier New" w:cs="Times New Roman"/>
    </w:rPr>
  </w:style>
  <w:style w:type="paragraph" w:styleId="1212" w:customStyle="1">
    <w:name w:val="afont"/>
    <w:basedOn w:val="859"/>
    <w:next w:val="884"/>
    <w:qFormat/>
    <w:pPr>
      <w:ind w:left="0" w:firstLine="2048"/>
      <w:spacing w:before="100" w:after="100" w:line="285" w:lineRule="atLeast"/>
    </w:pPr>
    <w:rPr>
      <w:rFonts w:ascii="Times New Roman" w:hAnsi="Times New Roman" w:cs="Times New Roman"/>
    </w:rPr>
  </w:style>
  <w:style w:type="paragraph" w:styleId="1213" w:customStyle="1">
    <w:name w:val="xl85"/>
    <w:basedOn w:val="859"/>
    <w:next w:val="1214"/>
    <w:qFormat/>
    <w:pPr>
      <w:ind w:left="0" w:firstLine="2048"/>
      <w:jc w:val="center"/>
      <w:spacing w:before="280" w:after="280" w:line="240" w:lineRule="auto"/>
    </w:pPr>
    <w:rPr>
      <w:rFonts w:ascii="Times New Roman" w:hAnsi="Times New Roman" w:cs="Times New Roman"/>
    </w:rPr>
  </w:style>
  <w:style w:type="paragraph" w:styleId="1214" w:customStyle="1">
    <w:name w:val="文章总标题"/>
    <w:basedOn w:val="859"/>
    <w:next w:val="1215"/>
    <w:qFormat/>
    <w:pPr>
      <w:ind w:left="0" w:firstLine="7168"/>
      <w:jc w:val="center"/>
      <w:spacing w:before="566" w:after="544" w:line="566" w:lineRule="atLeast"/>
    </w:pPr>
    <w:rPr>
      <w:rFonts w:ascii="Times New Roman" w:hAnsi="Times New Roman" w:cs="Times New Roman"/>
    </w:rPr>
  </w:style>
  <w:style w:type="paragraph" w:styleId="1215" w:customStyle="1">
    <w:name w:val="样式 首行缩进:  2 字符"/>
    <w:basedOn w:val="859"/>
    <w:next w:val="1178"/>
    <w:qFormat/>
    <w:pPr>
      <w:ind w:left="200" w:firstLine="1224"/>
      <w:spacing w:before="0" w:after="0" w:line="400" w:lineRule="exact"/>
    </w:pPr>
    <w:rPr>
      <w:rFonts w:ascii="Times New Roman" w:hAnsi="Times New Roman" w:cs="Times New Roman"/>
    </w:rPr>
  </w:style>
  <w:style w:type="paragraph" w:styleId="1216" w:customStyle="1">
    <w:name w:val="二级条标题"/>
    <w:basedOn w:val="859"/>
    <w:next w:val="858"/>
    <w:qFormat/>
    <w:pPr>
      <w:ind w:left="0" w:firstLine="8"/>
      <w:spacing w:before="0" w:after="0" w:line="240" w:lineRule="auto"/>
      <w:outlineLvl w:val="3"/>
    </w:pPr>
    <w:rPr>
      <w:rFonts w:ascii="Times New Roman" w:hAnsi="Times New Roman" w:cs="Times New Roman"/>
    </w:rPr>
  </w:style>
  <w:style w:type="paragraph" w:styleId="1217" w:customStyle="1">
    <w:name w:val="Plain Text*"/>
    <w:basedOn w:val="858"/>
    <w:qFormat/>
    <w:pPr>
      <w:ind w:left="0"/>
      <w:jc w:val="left"/>
    </w:pPr>
    <w:rPr>
      <w:rFonts w:ascii="宋体" w:hAnsi="宋体" w:eastAsia="楷体_GB2312" w:cs="Courier New"/>
      <w:sz w:val="26"/>
      <w:lang w:val="zh-CN"/>
    </w:rPr>
  </w:style>
  <w:style w:type="paragraph" w:styleId="1218" w:customStyle="1">
    <w:name w:val="样式 加粗 居中2"/>
    <w:basedOn w:val="859"/>
    <w:next w:val="1070"/>
    <w:qFormat/>
    <w:pPr>
      <w:ind w:left="0" w:firstLine="2560"/>
      <w:jc w:val="center"/>
      <w:spacing w:before="0" w:after="0" w:line="360" w:lineRule="auto"/>
    </w:pPr>
    <w:rPr>
      <w:rFonts w:ascii="Times New Roman" w:hAnsi="Times New Roman" w:cs="Times New Roman"/>
    </w:rPr>
  </w:style>
  <w:style w:type="paragraph" w:styleId="1219" w:customStyle="1">
    <w:name w:val="标准文本"/>
    <w:basedOn w:val="859"/>
    <w:next w:val="1173"/>
    <w:qFormat/>
    <w:pPr>
      <w:ind w:left="480" w:firstLine="2784"/>
      <w:spacing w:before="0" w:after="0" w:line="360" w:lineRule="auto"/>
    </w:pPr>
    <w:rPr>
      <w:rFonts w:ascii="Times New Roman" w:hAnsi="Times New Roman" w:cs="Times New Roman"/>
    </w:rPr>
  </w:style>
  <w:style w:type="paragraph" w:styleId="1220" w:customStyle="1">
    <w:name w:val="font5"/>
    <w:basedOn w:val="859"/>
    <w:next w:val="1221"/>
    <w:qFormat/>
    <w:pPr>
      <w:ind w:left="0" w:firstLine="5120"/>
      <w:spacing w:before="280" w:after="280" w:line="240" w:lineRule="auto"/>
    </w:pPr>
    <w:rPr>
      <w:rFonts w:ascii="Times New Roman" w:hAnsi="Times New Roman" w:cs="Times New Roman"/>
    </w:rPr>
  </w:style>
  <w:style w:type="paragraph" w:styleId="1221" w:customStyle="1">
    <w:name w:val="索引标题1"/>
    <w:basedOn w:val="859"/>
    <w:next w:val="1100"/>
    <w:qFormat/>
    <w:pPr>
      <w:ind w:left="0" w:firstLine="4608"/>
      <w:jc w:val="center"/>
      <w:spacing w:before="0" w:after="0" w:line="360" w:lineRule="auto"/>
    </w:pPr>
    <w:rPr>
      <w:rFonts w:ascii="Times New Roman" w:hAnsi="Times New Roman" w:cs="Times New Roman"/>
    </w:rPr>
  </w:style>
  <w:style w:type="paragraph" w:styleId="1222" w:customStyle="1">
    <w:name w:val="Char Char Char Char Char Char1 Char Char Char1 Char Char Char Char Char Char Char Char Char Char Char Char Char Char Char Char"/>
    <w:basedOn w:val="859"/>
    <w:next w:val="1223"/>
    <w:qFormat/>
    <w:pPr>
      <w:ind w:left="0" w:firstLine="2560"/>
      <w:spacing w:before="0" w:after="0" w:line="240" w:lineRule="auto"/>
    </w:pPr>
    <w:rPr>
      <w:rFonts w:ascii="Times New Roman" w:hAnsi="Times New Roman" w:cs="Times New Roman"/>
    </w:rPr>
  </w:style>
  <w:style w:type="paragraph" w:styleId="1223" w:customStyle="1">
    <w:name w:val="1正文"/>
    <w:basedOn w:val="859"/>
    <w:next w:val="1224"/>
    <w:qFormat/>
    <w:pPr>
      <w:ind w:left="480" w:firstLine="2784"/>
      <w:spacing w:before="0" w:after="0" w:line="300" w:lineRule="auto"/>
    </w:pPr>
    <w:rPr>
      <w:rFonts w:ascii="Times New Roman" w:hAnsi="Times New Roman" w:cs="Times New Roman"/>
    </w:rPr>
  </w:style>
  <w:style w:type="paragraph" w:styleId="1224" w:customStyle="1">
    <w:name w:val="目录2"/>
    <w:basedOn w:val="859"/>
    <w:next w:val="858"/>
    <w:qFormat/>
    <w:pPr>
      <w:ind w:left="209" w:firstLine="5329"/>
      <w:spacing w:before="0" w:after="0" w:line="317" w:lineRule="atLeast"/>
    </w:pPr>
    <w:rPr>
      <w:rFonts w:ascii="Times New Roman" w:hAnsi="Times New Roman" w:cs="Times New Roman"/>
    </w:rPr>
  </w:style>
  <w:style w:type="paragraph" w:styleId="1225" w:customStyle="1">
    <w:name w:val="图表目录1"/>
    <w:basedOn w:val="859"/>
    <w:next w:val="858"/>
    <w:qFormat/>
    <w:pPr>
      <w:ind w:left="200" w:firstLine="2616"/>
      <w:jc w:val="center"/>
      <w:spacing w:before="0" w:after="0" w:line="360" w:lineRule="auto"/>
    </w:pPr>
    <w:rPr>
      <w:rFonts w:ascii="Times New Roman" w:hAnsi="Times New Roman" w:cs="Times New Roman"/>
    </w:rPr>
  </w:style>
  <w:style w:type="paragraph" w:styleId="1226" w:customStyle="1">
    <w:name w:val="xl63"/>
    <w:basedOn w:val="859"/>
    <w:next w:val="1176"/>
    <w:qFormat/>
    <w:pPr>
      <w:ind w:left="0" w:firstLine="5120"/>
      <w:spacing w:before="280" w:after="280" w:line="240" w:lineRule="auto"/>
    </w:pPr>
    <w:rPr>
      <w:rFonts w:ascii="Times New Roman" w:hAnsi="Times New Roman" w:cs="Times New Roman"/>
    </w:rPr>
  </w:style>
  <w:style w:type="paragraph" w:styleId="1227">
    <w:name w:val="List Paragraph"/>
    <w:basedOn w:val="858"/>
    <w:next w:val="1134"/>
    <w:qFormat/>
    <w:pPr>
      <w:ind w:left="420" w:firstLine="3748"/>
    </w:pPr>
    <w:rPr>
      <w:rFonts w:ascii="Times New Roman" w:hAnsi="Times New Roman" w:cs="Times New Roman"/>
    </w:rPr>
  </w:style>
  <w:style w:type="paragraph" w:styleId="1228" w:customStyle="1">
    <w:name w:val="xl73"/>
    <w:basedOn w:val="859"/>
    <w:next w:val="1229"/>
    <w:qFormat/>
    <w:pPr>
      <w:ind w:left="0" w:firstLine="3584"/>
      <w:spacing w:before="280" w:after="280" w:line="240" w:lineRule="auto"/>
    </w:pPr>
    <w:rPr>
      <w:rFonts w:ascii="Times New Roman" w:hAnsi="Times New Roman" w:cs="Times New Roman"/>
    </w:rPr>
  </w:style>
  <w:style w:type="paragraph" w:styleId="1229" w:customStyle="1">
    <w:name w:val="xl80"/>
    <w:basedOn w:val="859"/>
    <w:next w:val="1230"/>
    <w:qFormat/>
    <w:pPr>
      <w:ind w:left="0" w:firstLine="3584"/>
      <w:jc w:val="center"/>
      <w:spacing w:before="280" w:after="280" w:line="240" w:lineRule="auto"/>
    </w:pPr>
    <w:rPr>
      <w:rFonts w:ascii="Times New Roman" w:hAnsi="Times New Roman" w:cs="Times New Roman"/>
    </w:rPr>
  </w:style>
  <w:style w:type="paragraph" w:styleId="1230" w:customStyle="1">
    <w:name w:val="样式2"/>
    <w:basedOn w:val="864"/>
    <w:next w:val="1231"/>
    <w:qFormat/>
    <w:pPr>
      <w:ind w:left="1134" w:firstLine="18"/>
      <w:spacing w:before="0" w:after="0" w:line="360" w:lineRule="auto"/>
      <w:outlineLvl w:val="4"/>
    </w:pPr>
  </w:style>
  <w:style w:type="paragraph" w:styleId="1231" w:customStyle="1">
    <w:name w:val="日期1"/>
    <w:basedOn w:val="859"/>
    <w:next w:val="858"/>
    <w:qFormat/>
    <w:pPr>
      <w:ind w:left="100" w:firstLine="6144"/>
      <w:spacing w:before="0" w:after="0" w:line="240" w:lineRule="auto"/>
    </w:pPr>
    <w:rPr>
      <w:rFonts w:ascii="Times New Roman" w:hAnsi="Times New Roman" w:cs="Times New Roman"/>
    </w:rPr>
  </w:style>
  <w:style w:type="paragraph" w:styleId="1232" w:customStyle="1">
    <w:name w:val="图1"/>
    <w:basedOn w:val="859"/>
    <w:next w:val="858"/>
    <w:qFormat/>
    <w:pPr>
      <w:ind w:left="1105" w:firstLine="2580"/>
      <w:jc w:val="center"/>
      <w:spacing w:before="0" w:after="0" w:line="360" w:lineRule="auto"/>
    </w:pPr>
    <w:rPr>
      <w:rFonts w:ascii="Times New Roman" w:hAnsi="Times New Roman" w:cs="Times New Roman"/>
    </w:rPr>
  </w:style>
  <w:style w:type="paragraph" w:styleId="1233" w:customStyle="1">
    <w:name w:val="Char Char Char Char Char Char1 Char Char Char1 Char Char Char Char Char Char Char Char Char Char Char Char"/>
    <w:basedOn w:val="859"/>
    <w:next w:val="1213"/>
    <w:qFormat/>
    <w:pPr>
      <w:ind w:left="0" w:firstLine="2560"/>
      <w:spacing w:before="0" w:after="0" w:line="240" w:lineRule="auto"/>
    </w:pPr>
    <w:rPr>
      <w:rFonts w:ascii="Times New Roman" w:hAnsi="Times New Roman" w:cs="Times New Roman"/>
    </w:rPr>
  </w:style>
  <w:style w:type="paragraph" w:styleId="1234" w:customStyle="1">
    <w:name w:val="Char Char Char Char Char Char Char"/>
    <w:basedOn w:val="859"/>
    <w:next w:val="1119"/>
    <w:qFormat/>
    <w:pPr>
      <w:ind w:left="200" w:firstLine="4808"/>
      <w:spacing w:before="0" w:after="0" w:line="360" w:lineRule="auto"/>
    </w:pPr>
    <w:rPr>
      <w:rFonts w:ascii="Times New Roman" w:hAnsi="Times New Roman" w:cs="Times New Roman"/>
    </w:rPr>
  </w:style>
  <w:style w:type="paragraph" w:styleId="1235" w:customStyle="1">
    <w:name w:val="Char Char Char Char Char Char Char Char Char Char Char Char Char Char Char"/>
    <w:basedOn w:val="859"/>
    <w:next w:val="1210"/>
    <w:qFormat/>
    <w:pPr>
      <w:ind w:left="0" w:firstLine="3584"/>
      <w:jc w:val="center"/>
      <w:spacing w:before="0" w:after="0" w:line="400" w:lineRule="exact"/>
    </w:pPr>
    <w:rPr>
      <w:rFonts w:ascii="Times New Roman" w:hAnsi="Times New Roman" w:cs="Times New Roman"/>
    </w:rPr>
  </w:style>
  <w:style w:type="paragraph" w:styleId="1236">
    <w:name w:val="Intense Quote"/>
    <w:next w:val="858"/>
    <w:qFormat/>
    <w:pPr>
      <w:ind w:left="3766" w:right="950"/>
      <w:jc w:val="center"/>
      <w:spacing w:before="360" w:after="360"/>
    </w:pPr>
    <w:rPr>
      <w:rFonts w:ascii="Calibri" w:hAnsi="Calibri"/>
      <w:i/>
    </w:rPr>
  </w:style>
  <w:style w:type="paragraph" w:styleId="1237" w:customStyle="1">
    <w:name w:val="索引 51"/>
    <w:basedOn w:val="859"/>
    <w:next w:val="858"/>
    <w:qFormat/>
    <w:pPr>
      <w:ind w:left="800" w:firstLine="2560"/>
      <w:jc w:val="center"/>
      <w:spacing w:before="0" w:after="0" w:line="360" w:lineRule="auto"/>
    </w:pPr>
    <w:rPr>
      <w:rFonts w:ascii="Times New Roman" w:hAnsi="Times New Roman" w:cs="Times New Roman"/>
    </w:rPr>
  </w:style>
  <w:style w:type="paragraph" w:styleId="1238" w:customStyle="1">
    <w:name w:val="图表"/>
    <w:basedOn w:val="859"/>
    <w:next w:val="1239"/>
    <w:qFormat/>
    <w:pPr>
      <w:ind w:left="0" w:firstLine="2048"/>
      <w:jc w:val="center"/>
      <w:spacing w:before="0" w:after="0" w:line="240" w:lineRule="auto"/>
    </w:pPr>
    <w:rPr>
      <w:rFonts w:ascii="Times New Roman" w:hAnsi="Times New Roman" w:cs="Times New Roman"/>
    </w:rPr>
  </w:style>
  <w:style w:type="paragraph" w:styleId="1239" w:customStyle="1">
    <w:name w:val="reader-word-layer"/>
    <w:basedOn w:val="859"/>
    <w:next w:val="1240"/>
    <w:qFormat/>
    <w:pPr>
      <w:ind w:left="0" w:firstLine="1024"/>
      <w:spacing w:before="280" w:after="280" w:line="240" w:lineRule="auto"/>
    </w:pPr>
    <w:rPr>
      <w:rFonts w:ascii="Times New Roman" w:hAnsi="Times New Roman" w:cs="Times New Roman"/>
    </w:rPr>
  </w:style>
  <w:style w:type="paragraph" w:styleId="1240" w:customStyle="1">
    <w:name w:val="样式 加粗 居中1"/>
    <w:next w:val="1079"/>
    <w:qFormat/>
    <w:pPr>
      <w:ind w:firstLine="2560"/>
      <w:jc w:val="center"/>
    </w:pPr>
    <w:rPr>
      <w:rFonts w:ascii="Calibri" w:hAnsi="Calibri"/>
    </w:rPr>
  </w:style>
  <w:style w:type="paragraph" w:styleId="1241" w:customStyle="1">
    <w:name w:val="修订2"/>
    <w:qFormat/>
    <w:rPr>
      <w:rFonts w:ascii="Calibri" w:hAnsi="Calibri"/>
    </w:rPr>
  </w:style>
  <w:style w:type="paragraph" w:styleId="1242" w:customStyle="1">
    <w:name w:val="Body"/>
    <w:next w:val="1174"/>
    <w:qFormat/>
    <w:pPr>
      <w:ind w:left="567" w:right="2835" w:firstLine="3584"/>
      <w:spacing w:after="60"/>
    </w:pPr>
    <w:rPr>
      <w:rFonts w:ascii="Calibri" w:hAnsi="Calibri"/>
    </w:rPr>
  </w:style>
  <w:style w:type="paragraph" w:styleId="1243" w:customStyle="1">
    <w:name w:val="font6"/>
    <w:basedOn w:val="859"/>
    <w:next w:val="1244"/>
    <w:qFormat/>
    <w:pPr>
      <w:ind w:left="0" w:firstLine="5120"/>
      <w:spacing w:before="280" w:after="280" w:line="240" w:lineRule="auto"/>
    </w:pPr>
    <w:rPr>
      <w:rFonts w:ascii="Times New Roman" w:hAnsi="Times New Roman" w:cs="Times New Roman"/>
    </w:rPr>
  </w:style>
  <w:style w:type="paragraph" w:styleId="1244" w:customStyle="1">
    <w:name w:val="正文首行缩进 21"/>
    <w:basedOn w:val="871"/>
    <w:next w:val="1242"/>
    <w:qFormat/>
    <w:pPr>
      <w:ind w:left="200" w:firstLine="3784"/>
      <w:jc w:val="center"/>
      <w:spacing w:after="120" w:line="360" w:lineRule="auto"/>
    </w:pPr>
    <w:rPr>
      <w:rFonts w:ascii="Calibri" w:hAnsi="Calibri"/>
    </w:rPr>
  </w:style>
  <w:style w:type="paragraph" w:styleId="1245" w:customStyle="1">
    <w:name w:val="Char Char"/>
    <w:next w:val="1238"/>
    <w:qFormat/>
    <w:pPr>
      <w:ind w:firstLine="14"/>
      <w:spacing w:line="360" w:lineRule="auto"/>
      <w:shd w:val="clear" w:color="000000" w:fill="000080"/>
    </w:pPr>
    <w:rPr>
      <w:rFonts w:ascii="Calibri" w:hAnsi="Calibri"/>
    </w:rPr>
  </w:style>
  <w:style w:type="paragraph" w:styleId="1246" w:customStyle="1">
    <w:name w:val="正文_0_0"/>
    <w:next w:val="1078"/>
    <w:qFormat/>
    <w:pPr>
      <w:ind w:firstLine="3584"/>
      <w:jc w:val="both"/>
      <w:widowControl w:val="off"/>
    </w:pPr>
    <w:rPr>
      <w:rFonts w:ascii="Calibri" w:hAnsi="Calibri"/>
    </w:rPr>
  </w:style>
  <w:style w:type="paragraph" w:styleId="1247" w:customStyle="1">
    <w:name w:val="font7"/>
    <w:basedOn w:val="859"/>
    <w:next w:val="1248"/>
    <w:qFormat/>
    <w:pPr>
      <w:ind w:left="0" w:firstLine="3584"/>
      <w:spacing w:before="280" w:after="280" w:line="240" w:lineRule="auto"/>
    </w:pPr>
    <w:rPr>
      <w:rFonts w:ascii="Times New Roman" w:hAnsi="Times New Roman" w:cs="Times New Roman"/>
    </w:rPr>
  </w:style>
  <w:style w:type="paragraph" w:styleId="1248" w:customStyle="1">
    <w:name w:val="Char Char Char Char Char Char1 Char Char Char Char Char Char1 Char Char Char1"/>
    <w:basedOn w:val="859"/>
    <w:next w:val="1249"/>
    <w:qFormat/>
    <w:pPr>
      <w:ind w:left="0" w:firstLine="2560"/>
      <w:spacing w:before="0" w:after="0" w:line="240" w:lineRule="auto"/>
    </w:pPr>
    <w:rPr>
      <w:rFonts w:ascii="Times New Roman" w:hAnsi="Times New Roman" w:cs="Times New Roman"/>
    </w:rPr>
  </w:style>
  <w:style w:type="paragraph" w:styleId="1249" w:customStyle="1">
    <w:name w:val="xl64"/>
    <w:basedOn w:val="859"/>
    <w:next w:val="1216"/>
    <w:qFormat/>
    <w:pPr>
      <w:ind w:left="0" w:firstLine="3584"/>
      <w:spacing w:before="280" w:after="280" w:line="240" w:lineRule="auto"/>
    </w:pPr>
    <w:rPr>
      <w:rFonts w:ascii="Times New Roman" w:hAnsi="Times New Roman" w:cs="Times New Roman"/>
    </w:rPr>
  </w:style>
  <w:style w:type="paragraph" w:styleId="1250" w:customStyle="1">
    <w:name w:val="style16"/>
    <w:basedOn w:val="859"/>
    <w:next w:val="1243"/>
    <w:qFormat/>
    <w:pPr>
      <w:ind w:left="0" w:firstLine="2048"/>
      <w:spacing w:before="280" w:after="280" w:line="240" w:lineRule="auto"/>
    </w:pPr>
    <w:rPr>
      <w:rFonts w:ascii="Times New Roman" w:hAnsi="Times New Roman" w:cs="Times New Roman"/>
    </w:rPr>
  </w:style>
  <w:style w:type="paragraph" w:styleId="1251" w:customStyle="1">
    <w:name w:val="索引 11"/>
    <w:basedOn w:val="859"/>
    <w:next w:val="858"/>
    <w:qFormat/>
    <w:pPr>
      <w:ind w:left="0" w:firstLine="3584"/>
      <w:spacing w:before="0" w:after="0" w:line="240" w:lineRule="auto"/>
    </w:pPr>
    <w:rPr>
      <w:rFonts w:ascii="Times New Roman" w:hAnsi="Times New Roman" w:cs="Times New Roman"/>
    </w:rPr>
  </w:style>
  <w:style w:type="paragraph" w:styleId="1252" w:customStyle="1">
    <w:name w:val="H 3"/>
    <w:basedOn w:val="862"/>
    <w:next w:val="1253"/>
    <w:qFormat/>
    <w:pPr>
      <w:ind w:left="1429" w:firstLine="18"/>
      <w:spacing w:before="0" w:after="0" w:line="360" w:lineRule="auto"/>
      <w:outlineLvl w:val="2"/>
    </w:pPr>
  </w:style>
  <w:style w:type="paragraph" w:styleId="1253" w:customStyle="1">
    <w:name w:val="xl83"/>
    <w:basedOn w:val="859"/>
    <w:next w:val="1234"/>
    <w:qFormat/>
    <w:pPr>
      <w:ind w:left="0" w:firstLine="5120"/>
      <w:spacing w:before="280" w:after="280" w:line="240" w:lineRule="auto"/>
    </w:pPr>
    <w:rPr>
      <w:rFonts w:ascii="Times New Roman" w:hAnsi="Times New Roman" w:cs="Times New Roman"/>
    </w:rPr>
  </w:style>
  <w:style w:type="paragraph" w:styleId="1254" w:customStyle="1">
    <w:name w:val="表格文字（居中）"/>
    <w:basedOn w:val="859"/>
    <w:next w:val="1250"/>
    <w:qFormat/>
    <w:pPr>
      <w:ind w:left="0" w:firstLine="2560"/>
      <w:jc w:val="center"/>
      <w:spacing w:before="0" w:after="0" w:line="360" w:lineRule="auto"/>
    </w:pPr>
    <w:rPr>
      <w:rFonts w:ascii="Times New Roman" w:hAnsi="Times New Roman" w:cs="Times New Roman"/>
    </w:rPr>
  </w:style>
  <w:style w:type="paragraph" w:styleId="1255" w:customStyle="1">
    <w:name w:val="正文首行缩进两字符"/>
    <w:basedOn w:val="859"/>
    <w:next w:val="1237"/>
    <w:qFormat/>
    <w:pPr>
      <w:ind w:left="200" w:firstLine="3784"/>
      <w:spacing w:before="0" w:after="0" w:line="360" w:lineRule="auto"/>
    </w:pPr>
    <w:rPr>
      <w:rFonts w:ascii="Times New Roman" w:hAnsi="Times New Roman" w:cs="Times New Roman"/>
    </w:rPr>
  </w:style>
  <w:style w:type="paragraph" w:styleId="1256" w:customStyle="1">
    <w:name w:val="1"/>
    <w:basedOn w:val="859"/>
    <w:next w:val="892"/>
    <w:qFormat/>
    <w:pPr>
      <w:ind w:left="0" w:firstLine="2048"/>
      <w:spacing w:before="0" w:after="0" w:line="240" w:lineRule="auto"/>
    </w:pPr>
    <w:rPr>
      <w:rFonts w:ascii="Times New Roman" w:hAnsi="Times New Roman" w:cs="Times New Roman"/>
    </w:rPr>
  </w:style>
  <w:style w:type="paragraph" w:styleId="1257" w:customStyle="1">
    <w:name w:val="_Style 398"/>
    <w:basedOn w:val="859"/>
    <w:next w:val="85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8" w:customStyle="1">
    <w:name w:val="Table Paragraph"/>
    <w:basedOn w:val="858"/>
    <w:uiPriority w:val="1"/>
    <w:qFormat/>
    <w:rPr>
      <w:rFonts w:ascii="宋体" w:hAnsi="宋体"/>
      <w:lang w:val="zh-CN" w:bidi="zh-CN"/>
    </w:rPr>
  </w:style>
  <w:style w:type="paragraph" w:styleId="1259" w:customStyle="1">
    <w:name w:val="_Style 400"/>
    <w:qFormat/>
    <w:rPr>
      <w:rFonts w:ascii="Calibri" w:hAnsi="Calibri"/>
    </w:rPr>
  </w:style>
  <w:style w:type="paragraph" w:styleId="1260" w:customStyle="1">
    <w:name w:val="Style1"/>
    <w:basedOn w:val="858"/>
    <w:qFormat/>
    <w:pPr>
      <w:ind w:left="0"/>
      <w:tabs>
        <w:tab w:val="left" w:pos="-720" w:leader="none"/>
      </w:tabs>
    </w:pPr>
    <w:rPr>
      <w:rFonts w:ascii="Times New Roman" w:hAnsi="Times New Roman" w:cs="Times New Roman"/>
      <w:spacing w:val="-3"/>
      <w:sz w:val="24"/>
      <w:szCs w:val="24"/>
      <w:lang w:val="en-AU" w:eastAsia="en-US"/>
    </w:rPr>
  </w:style>
  <w:style w:type="paragraph" w:styleId="1261" w:customStyle="1">
    <w:name w:val="msolistparagraph"/>
    <w:basedOn w:val="859"/>
    <w:next w:val="1126"/>
    <w:qFormat/>
    <w:pPr>
      <w:ind w:left="420" w:firstLine="3748"/>
      <w:spacing w:before="0" w:after="0" w:line="240" w:lineRule="auto"/>
    </w:pPr>
    <w:rPr>
      <w:rFonts w:ascii="Times New Roman" w:hAnsi="Times New Roman" w:cs="Times New Roman"/>
    </w:rPr>
  </w:style>
  <w:style w:type="paragraph" w:styleId="1262" w:customStyle="1">
    <w:name w:val="Char1 Char Char Char"/>
    <w:basedOn w:val="859"/>
    <w:next w:val="1263"/>
    <w:qFormat/>
    <w:pPr>
      <w:ind w:left="0" w:firstLine="2560"/>
      <w:spacing w:before="0" w:after="0" w:line="240" w:lineRule="auto"/>
    </w:pPr>
    <w:rPr>
      <w:rFonts w:ascii="Times New Roman" w:hAnsi="Times New Roman" w:cs="Times New Roman"/>
    </w:rPr>
  </w:style>
  <w:style w:type="paragraph" w:styleId="1263" w:customStyle="1">
    <w:name w:val="xl24"/>
    <w:basedOn w:val="859"/>
    <w:next w:val="1208"/>
    <w:qFormat/>
    <w:pPr>
      <w:ind w:left="0" w:firstLine="20"/>
      <w:jc w:val="center"/>
      <w:spacing w:before="280" w:after="280" w:line="240" w:lineRule="auto"/>
      <w:shd w:val="clear" w:color="000000" w:fill="ffffff"/>
    </w:pPr>
    <w:rPr>
      <w:rFonts w:ascii="Times New Roman" w:hAnsi="Times New Roman" w:cs="Times New Roman"/>
    </w:rPr>
  </w:style>
  <w:style w:type="paragraph" w:styleId="1264" w:customStyle="1">
    <w:name w:val="表格文字"/>
    <w:next w:val="1222"/>
    <w:qFormat/>
    <w:pPr>
      <w:ind w:firstLine="3584"/>
    </w:pPr>
    <w:rPr>
      <w:rFonts w:ascii="Calibri" w:hAnsi="Calibri"/>
    </w:rPr>
  </w:style>
  <w:style w:type="paragraph" w:styleId="1265" w:customStyle="1">
    <w:name w:val="xl72"/>
    <w:basedOn w:val="859"/>
    <w:next w:val="1121"/>
    <w:qFormat/>
    <w:pPr>
      <w:ind w:left="0" w:firstLine="3584"/>
      <w:spacing w:before="280" w:after="280" w:line="240" w:lineRule="auto"/>
    </w:pPr>
    <w:rPr>
      <w:rFonts w:ascii="Times New Roman" w:hAnsi="Times New Roman" w:cs="Times New Roman"/>
    </w:rPr>
  </w:style>
  <w:style w:type="paragraph" w:styleId="1266" w:customStyle="1">
    <w:name w:val="插图"/>
    <w:next w:val="858"/>
    <w:qFormat/>
    <w:pPr>
      <w:ind w:firstLine="4608"/>
      <w:jc w:val="center"/>
    </w:pPr>
    <w:rPr>
      <w:rFonts w:ascii="Calibri" w:hAnsi="Calibri"/>
    </w:rPr>
  </w:style>
  <w:style w:type="paragraph" w:styleId="1267" w:customStyle="1">
    <w:name w:val="列出段落3"/>
    <w:basedOn w:val="859"/>
    <w:next w:val="1161"/>
    <w:qFormat/>
    <w:pPr>
      <w:ind w:left="420" w:firstLine="3748"/>
      <w:spacing w:before="0" w:after="0" w:line="240" w:lineRule="auto"/>
    </w:pPr>
    <w:rPr>
      <w:rFonts w:ascii="Times New Roman" w:hAnsi="Times New Roman" w:cs="Times New Roman"/>
    </w:rPr>
  </w:style>
  <w:style w:type="paragraph" w:styleId="1268" w:customStyle="1">
    <w:name w:val="目录标题"/>
    <w:basedOn w:val="859"/>
    <w:next w:val="858"/>
    <w:qFormat/>
    <w:pPr>
      <w:ind w:left="419" w:firstLine="7331"/>
      <w:jc w:val="center"/>
      <w:spacing w:before="566" w:after="544" w:line="566" w:lineRule="atLeast"/>
    </w:pPr>
    <w:rPr>
      <w:rFonts w:ascii="Times New Roman" w:hAnsi="Times New Roman" w:cs="Times New Roman"/>
    </w:rPr>
  </w:style>
  <w:style w:type="paragraph" w:styleId="1269" w:customStyle="1">
    <w:name w:val="默认段落字体 Para Char Char Char Char Char Char Char Char Char1 Char Char Char Char"/>
    <w:basedOn w:val="859"/>
    <w:next w:val="1164"/>
    <w:qFormat/>
    <w:pPr>
      <w:ind w:left="0" w:firstLine="2560"/>
      <w:spacing w:before="0" w:after="0" w:line="240" w:lineRule="auto"/>
    </w:pPr>
    <w:rPr>
      <w:rFonts w:ascii="Times New Roman" w:hAnsi="Times New Roman" w:cs="Times New Roman"/>
    </w:rPr>
  </w:style>
  <w:style w:type="paragraph" w:styleId="1270" w:customStyle="1">
    <w:name w:val="WPSOffice手动目录 2"/>
    <w:qFormat/>
    <w:pPr>
      <w:ind w:left="200"/>
    </w:pPr>
  </w:style>
  <w:style w:type="paragraph" w:styleId="1271" w:customStyle="1">
    <w:name w:val="表内文字"/>
    <w:basedOn w:val="859"/>
    <w:next w:val="900"/>
    <w:qFormat/>
    <w:pPr>
      <w:ind w:left="0" w:firstLine="7680"/>
      <w:jc w:val="center"/>
      <w:spacing w:before="50" w:after="50" w:line="240" w:lineRule="auto"/>
    </w:pPr>
    <w:rPr>
      <w:rFonts w:ascii="Times New Roman" w:hAnsi="Times New Roman" w:cs="Times New Roman"/>
    </w:rPr>
  </w:style>
  <w:style w:type="paragraph" w:styleId="1272" w:customStyle="1">
    <w:name w:val="xl66"/>
    <w:basedOn w:val="859"/>
    <w:next w:val="1254"/>
    <w:qFormat/>
    <w:pPr>
      <w:ind w:left="0" w:firstLine="3584"/>
      <w:spacing w:before="280" w:after="280" w:line="240" w:lineRule="auto"/>
    </w:pPr>
    <w:rPr>
      <w:rFonts w:ascii="Times New Roman" w:hAnsi="Times New Roman" w:cs="Times New Roman"/>
    </w:rPr>
  </w:style>
  <w:style w:type="paragraph" w:styleId="1273" w:customStyle="1">
    <w:name w:val="*正文"/>
    <w:basedOn w:val="858"/>
    <w:qFormat/>
    <w:pPr>
      <w:ind w:left="0" w:firstLine="200"/>
      <w:spacing w:line="360" w:lineRule="auto"/>
    </w:pPr>
    <w:rPr>
      <w:rFonts w:ascii="仿宋_GB2312" w:hAnsi="Times New Roman" w:eastAsia="仿宋_GB2312" w:cs="Times New Roman"/>
      <w:sz w:val="24"/>
      <w:szCs w:val="28"/>
    </w:rPr>
  </w:style>
  <w:style w:type="paragraph" w:styleId="1274" w:customStyle="1">
    <w:name w:val="0"/>
    <w:basedOn w:val="859"/>
    <w:next w:val="1167"/>
    <w:qFormat/>
    <w:pPr>
      <w:ind w:left="0" w:firstLine="2815"/>
      <w:spacing w:before="0" w:after="0" w:line="360" w:lineRule="auto"/>
    </w:pPr>
    <w:rPr>
      <w:rFonts w:ascii="Times New Roman" w:hAnsi="Times New Roman" w:cs="Times New Roman"/>
    </w:rPr>
  </w:style>
  <w:style w:type="table" w:styleId="1275" w:customStyle="1">
    <w:name w:val="网格型1"/>
    <w:basedOn w:val="86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6" w:customStyle="1">
    <w:name w:val="font61"/>
    <w:qFormat/>
    <w:rPr>
      <w:rFonts w:hint="default" w:ascii="Times New Roman" w:hAnsi="Times New Roman" w:cs="Times New Roman"/>
      <w:b/>
      <w:bCs/>
      <w:color w:val="000000"/>
      <w:sz w:val="24"/>
      <w:szCs w:val="24"/>
      <w:u w:val="none"/>
    </w:rPr>
  </w:style>
  <w:style w:type="table" w:styleId="1277" w:customStyle="1">
    <w:name w:val="网格型3"/>
    <w:basedOn w:val="869"/>
    <w:uiPriority w:val="39"/>
    <w:qFormat/>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8" w:customStyle="1">
    <w:name w:val="font41"/>
    <w:basedOn w:val="868"/>
    <w:rPr>
      <w:rFonts w:hint="eastAsia" w:ascii="宋体" w:hAnsi="宋体" w:eastAsia="宋体" w:cs="宋体"/>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headEnd/>
          <a:tailE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1D509F8B-0BC3-441D-9A03-3F25D30C986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26</cp:revision>
  <dcterms:created xsi:type="dcterms:W3CDTF">2026-03-12T00:56:00Z</dcterms:created>
  <dcterms:modified xsi:type="dcterms:W3CDTF">2026-03-23T05:29:31Z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