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宋体"/>
          <w:color w:val="auto"/>
          <w:highlight w:val="none"/>
        </w:rPr>
      </w:pPr>
      <w:r/>
      <w:bookmarkStart w:id="20" w:name="_GoBack"/>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t xml:space="preserve">招　标　文　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ind w:firstLine="1285"/>
        <w:spacing w:line="480" w:lineRule="auto"/>
        <w:rPr>
          <w:rFonts w:ascii="黑体" w:hAnsi="Arial" w:eastAsia="宋体" w:cs="Times New Roman"/>
          <w:b/>
          <w:color w:val="auto"/>
          <w:sz w:val="44"/>
          <w:szCs w:val="21"/>
          <w:highlight w:val="none"/>
        </w:rPr>
      </w:pPr>
      <w:r>
        <w:rPr>
          <w:rFonts w:hint="eastAsia" w:ascii="Arial" w:hAnsi="Arial" w:eastAsia="宋体" w:cs="Times New Roman"/>
          <w:b/>
          <w:bCs/>
          <w:color w:val="auto"/>
          <w:sz w:val="32"/>
          <w:szCs w:val="24"/>
          <w:highlight w:val="none"/>
        </w:rPr>
        <w:t xml:space="preserve">项目名称：连云港市市区城市污水处理厂污泥烧制陶粒资源化处置服务（专门面向中小企业项目）</w:t>
      </w:r>
      <w:r/>
    </w:p>
    <w:p>
      <w:pPr>
        <w:ind w:firstLine="1285"/>
        <w:spacing w:line="480" w:lineRule="auto"/>
        <w:rPr>
          <w:rFonts w:hint="eastAsia" w:ascii="黑体" w:hAnsi="Arial" w:eastAsia="宋体" w:cs="Times New Roman"/>
          <w:b/>
          <w:color w:val="auto"/>
          <w:sz w:val="44"/>
          <w:szCs w:val="21"/>
          <w:highlight w:val="none"/>
          <w:lang w:eastAsia="zh-CN"/>
        </w:rPr>
      </w:pPr>
      <w:r>
        <w:rPr>
          <w:rFonts w:hint="eastAsia" w:ascii="Arial" w:hAnsi="Arial" w:eastAsia="宋体" w:cs="Times New Roman"/>
          <w:b/>
          <w:bCs/>
          <w:color w:val="auto"/>
          <w:sz w:val="32"/>
          <w:szCs w:val="24"/>
          <w:highlight w:val="none"/>
        </w:rPr>
        <w:t xml:space="preserve">项目编号：</w:t>
      </w:r>
      <w:r>
        <w:rPr>
          <w:rFonts w:hint="eastAsia" w:ascii="宋体" w:hAnsi="宋体" w:eastAsia="宋体" w:cs="宋体"/>
          <w:b/>
          <w:bCs/>
          <w:color w:val="auto"/>
          <w:sz w:val="32"/>
          <w:szCs w:val="24"/>
          <w:highlight w:val="none"/>
          <w:lang w:eastAsia="zh-CN"/>
        </w:rPr>
        <w:t xml:space="preserve">JSZC-320700-XHZX-G2026-0005</w:t>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line="480" w:lineRule="auto"/>
        <w:rPr>
          <w:rFonts w:ascii="黑体" w:hAnsi="Arial" w:eastAsia="黑体" w:cs="Times New Roman"/>
          <w:b/>
          <w:color w:val="auto"/>
          <w:sz w:val="44"/>
          <w:szCs w:val="21"/>
          <w:highlight w:val="none"/>
        </w:rPr>
      </w:pPr>
      <w:r>
        <w:rPr>
          <w:rFonts w:ascii="黑体" w:hAnsi="Arial" w:eastAsia="黑体" w:cs="Times New Roman"/>
          <w:b/>
          <w:color w:val="auto"/>
          <w:sz w:val="44"/>
          <w:szCs w:val="21"/>
          <w:highlight w:val="none"/>
        </w:rPr>
      </w:r>
      <w:r/>
    </w:p>
    <w:p>
      <w:pPr>
        <w:jc w:val="center"/>
        <w:spacing w:before="60" w:after="60"/>
        <w:rPr>
          <w:rFonts w:hint="eastAsia" w:ascii="宋体" w:hAnsi="宋体" w:eastAsia="宋体" w:cs="Times New Roman"/>
          <w:bCs/>
          <w:color w:val="auto"/>
          <w:sz w:val="32"/>
          <w:szCs w:val="24"/>
          <w:highlight w:val="none"/>
        </w:rPr>
      </w:pPr>
      <w:r>
        <w:rPr>
          <w:rFonts w:hint="eastAsia" w:ascii="宋体" w:hAnsi="宋体" w:cs="Times New Roman"/>
          <w:bCs/>
          <w:color w:val="auto"/>
          <w:sz w:val="32"/>
          <w:szCs w:val="24"/>
          <w:highlight w:val="none"/>
        </w:rPr>
        <w:t xml:space="preserve">采   购   人：</w:t>
      </w:r>
      <w:r>
        <w:rPr>
          <w:rFonts w:hint="eastAsia" w:ascii="宋体" w:hAnsi="宋体" w:eastAsia="宋体" w:cs="Times New Roman"/>
          <w:bCs/>
          <w:color w:val="auto"/>
          <w:sz w:val="32"/>
          <w:szCs w:val="24"/>
          <w:highlight w:val="none"/>
        </w:rPr>
        <w:t xml:space="preserve">连云港市市政公用事业发展中心</w:t>
      </w:r>
      <w:r/>
    </w:p>
    <w:p>
      <w:pPr>
        <w:jc w:val="center"/>
        <w:spacing w:before="60" w:after="60"/>
        <w:rPr>
          <w:rFonts w:ascii="Arial" w:hAnsi="Arial" w:eastAsia="宋体" w:cs="Times New Roman"/>
          <w:b/>
          <w:bCs/>
          <w:color w:val="auto"/>
          <w:sz w:val="32"/>
          <w:szCs w:val="24"/>
          <w:highlight w:val="none"/>
        </w:rPr>
      </w:pPr>
      <w:r>
        <w:rPr>
          <w:rFonts w:hint="eastAsia" w:ascii="宋体" w:hAnsi="宋体" w:cs="Times New Roman"/>
          <w:bCs/>
          <w:color w:val="auto"/>
          <w:sz w:val="32"/>
          <w:szCs w:val="24"/>
          <w:highlight w:val="none"/>
        </w:rPr>
        <w:t xml:space="preserve">采购代理机构：江苏协鸿工程咨询有限公司</w:t>
      </w:r>
      <w:r/>
    </w:p>
    <w:p>
      <w:pPr>
        <w:jc w:val="center"/>
        <w:widowControl/>
        <w:rPr>
          <w:color w:val="auto"/>
          <w:highlight w:val="none"/>
        </w:rPr>
      </w:pPr>
      <w:r>
        <w:rPr>
          <w:rFonts w:ascii="Times New Roman" w:hAnsi="Times New Roman" w:eastAsia="宋体" w:cs="Times New Roman"/>
          <w:bCs/>
          <w:color w:val="auto"/>
          <w:sz w:val="32"/>
          <w:szCs w:val="24"/>
          <w:highlight w:val="none"/>
        </w:rPr>
        <w:t xml:space="preserve">202</w:t>
      </w:r>
      <w:r>
        <w:rPr>
          <w:rFonts w:hint="eastAsia" w:ascii="Times New Roman" w:hAnsi="Times New Roman" w:eastAsia="宋体" w:cs="Times New Roman"/>
          <w:bCs/>
          <w:color w:val="auto"/>
          <w:sz w:val="32"/>
          <w:szCs w:val="24"/>
          <w:highlight w:val="none"/>
        </w:rPr>
        <w:t xml:space="preserve">6</w:t>
      </w:r>
      <w:r>
        <w:rPr>
          <w:rFonts w:ascii="Times New Roman" w:hAnsi="Times New Roman" w:eastAsia="宋体" w:cs="Times New Roman"/>
          <w:bCs/>
          <w:color w:val="auto"/>
          <w:sz w:val="32"/>
          <w:szCs w:val="24"/>
          <w:highlight w:val="none"/>
        </w:rPr>
        <w:t xml:space="preserve">年</w:t>
      </w:r>
      <w:r>
        <w:rPr>
          <w:rFonts w:hint="eastAsia" w:ascii="Times New Roman" w:hAnsi="Times New Roman" w:eastAsia="宋体" w:cs="Times New Roman"/>
          <w:bCs/>
          <w:color w:val="auto"/>
          <w:sz w:val="32"/>
          <w:szCs w:val="24"/>
          <w:highlight w:val="none"/>
        </w:rPr>
        <w:t xml:space="preserve">4</w:t>
      </w:r>
      <w:r>
        <w:rPr>
          <w:rFonts w:ascii="Times New Roman" w:hAnsi="Times New Roman" w:eastAsia="宋体" w:cs="Times New Roman"/>
          <w:bCs/>
          <w:color w:val="auto"/>
          <w:sz w:val="32"/>
          <w:szCs w:val="24"/>
          <w:highlight w:val="none"/>
        </w:rPr>
        <w:t xml:space="preserve">月</w:t>
      </w:r>
      <w:r>
        <w:rPr>
          <w:rFonts w:ascii="Times New Roman" w:hAnsi="Times New Roman" w:cs="Times New Roman"/>
          <w:color w:val="auto"/>
          <w:highlight w:val="none"/>
        </w:rPr>
        <w:br w:type="page" w:clear="all"/>
      </w:r>
      <w:r>
        <w:rPr>
          <w:rFonts w:ascii="Times New Roman" w:hAnsi="Times New Roman" w:cs="Times New Roman"/>
          <w:color w:val="auto"/>
          <w:highlight w:val="none"/>
        </w:rPr>
        <w:fldChar w:fldCharType="begin"/>
      </w:r>
      <w:r>
        <w:rPr>
          <w:rFonts w:ascii="Times New Roman" w:hAnsi="Times New Roman" w:cs="Times New Roman"/>
          <w:color w:val="auto"/>
          <w:highlight w:val="none"/>
        </w:rPr>
        <w:instrText xml:space="preserve"> TOC \o "1-1" \u </w:instrText>
      </w:r>
      <w:r>
        <w:rPr>
          <w:rFonts w:ascii="Times New Roman" w:hAnsi="Times New Roman" w:cs="Times New Roman"/>
          <w:color w:val="auto"/>
          <w:highlight w:val="none"/>
        </w:rPr>
        <w:fldChar w:fldCharType="separate"/>
      </w:r>
      <w:r/>
    </w:p>
    <w:p>
      <w:pPr>
        <w:pStyle w:val="897"/>
        <w:jc w:val="center"/>
        <w:tabs>
          <w:tab w:val="right" w:pos="8306" w:leader="dot"/>
        </w:tabs>
        <w:rPr>
          <w:rFonts w:hint="eastAsia" w:ascii="黑体" w:hAnsi="黑体" w:eastAsia="黑体"/>
          <w:color w:val="auto"/>
          <w:sz w:val="44"/>
          <w:szCs w:val="44"/>
          <w:highlight w:val="none"/>
        </w:rPr>
      </w:pPr>
      <w:r>
        <w:rPr>
          <w:rFonts w:hint="eastAsia" w:ascii="黑体" w:hAnsi="黑体" w:eastAsia="黑体"/>
          <w:color w:val="auto"/>
          <w:sz w:val="44"/>
          <w:szCs w:val="44"/>
          <w:highlight w:val="none"/>
        </w:rPr>
        <w:t xml:space="preserve">目  录</w:t>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投标邀请</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_Toc275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1</w:t>
      </w:r>
      <w:r>
        <w:rPr>
          <w:rFonts w:hint="eastAsia" w:ascii="黑体" w:hAnsi="黑体" w:eastAsia="黑体" w:cs="黑体"/>
          <w:color w:val="auto"/>
          <w:sz w:val="32"/>
          <w:szCs w:val="32"/>
          <w:highlight w:val="none"/>
        </w:rPr>
        <w:fldChar w:fldCharType="end"/>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第二章  供应商须知</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_Toc21405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5</w:t>
      </w:r>
      <w:r>
        <w:rPr>
          <w:rFonts w:hint="eastAsia" w:ascii="黑体" w:hAnsi="黑体" w:eastAsia="黑体" w:cs="黑体"/>
          <w:color w:val="auto"/>
          <w:sz w:val="32"/>
          <w:szCs w:val="32"/>
          <w:highlight w:val="none"/>
        </w:rPr>
        <w:fldChar w:fldCharType="end"/>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第三章  合同条款及格式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_Toc17167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21</w:t>
      </w:r>
      <w:r>
        <w:rPr>
          <w:rFonts w:hint="eastAsia" w:ascii="黑体" w:hAnsi="黑体" w:eastAsia="黑体" w:cs="黑体"/>
          <w:color w:val="auto"/>
          <w:sz w:val="32"/>
          <w:szCs w:val="32"/>
          <w:highlight w:val="none"/>
        </w:rPr>
        <w:fldChar w:fldCharType="end"/>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第四章  采购需求</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_Toc7226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26</w:t>
      </w:r>
      <w:r>
        <w:rPr>
          <w:rFonts w:hint="eastAsia" w:ascii="黑体" w:hAnsi="黑体" w:eastAsia="黑体" w:cs="黑体"/>
          <w:color w:val="auto"/>
          <w:sz w:val="32"/>
          <w:szCs w:val="32"/>
          <w:highlight w:val="none"/>
        </w:rPr>
        <w:fldChar w:fldCharType="end"/>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第五章  评标方法与评标标准</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_Toc17443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32</w:t>
      </w:r>
      <w:r>
        <w:rPr>
          <w:rFonts w:hint="eastAsia" w:ascii="黑体" w:hAnsi="黑体" w:eastAsia="黑体" w:cs="黑体"/>
          <w:color w:val="auto"/>
          <w:sz w:val="32"/>
          <w:szCs w:val="32"/>
          <w:highlight w:val="none"/>
        </w:rPr>
        <w:fldChar w:fldCharType="end"/>
      </w:r>
      <w:r/>
    </w:p>
    <w:p>
      <w:pPr>
        <w:pStyle w:val="897"/>
        <w:tabs>
          <w:tab w:val="right" w:pos="8306" w:leader="dot"/>
        </w:tabs>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第六章  投标文件格式</w:t>
      </w:r>
      <w:r>
        <w:rPr>
          <w:rFonts w:hint="eastAsia" w:ascii="黑体" w:hAnsi="黑体" w:eastAsia="黑体" w:cs="黑体"/>
          <w:color w:val="auto"/>
          <w:sz w:val="32"/>
          <w:szCs w:val="32"/>
          <w:highlight w:val="none"/>
        </w:rPr>
        <w:tab/>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PAGEREF _Toc29785 \h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t xml:space="preserve">35</w:t>
      </w:r>
      <w:r>
        <w:rPr>
          <w:rFonts w:hint="eastAsia" w:ascii="黑体" w:hAnsi="黑体" w:eastAsia="黑体" w:cs="黑体"/>
          <w:color w:val="auto"/>
          <w:sz w:val="32"/>
          <w:szCs w:val="32"/>
          <w:highlight w:val="none"/>
        </w:rPr>
        <w:fldChar w:fldCharType="end"/>
      </w:r>
      <w:r/>
    </w:p>
    <w:p>
      <w:pPr>
        <w:jc w:val="center"/>
        <w:spacing w:before="120" w:after="120" w:line="360" w:lineRule="auto"/>
        <w:widowControl/>
        <w:rPr>
          <w:color w:val="auto"/>
          <w:highlight w:val="none"/>
        </w:rPr>
      </w:pPr>
      <w:r>
        <w:rPr>
          <w:color w:val="auto"/>
          <w:highlight w:val="none"/>
        </w:rPr>
        <w:fldChar w:fldCharType="end"/>
      </w:r>
      <w:r>
        <w:rPr>
          <w:color w:val="auto"/>
          <w:highlight w:val="none"/>
        </w:rPr>
        <w:br w:type="page" w:clear="all"/>
      </w:r>
      <w:r/>
    </w:p>
    <w:p>
      <w:pPr>
        <w:pStyle w:val="870"/>
        <w:jc w:val="center"/>
        <w:spacing w:before="156" w:after="156" w:line="360" w:lineRule="auto"/>
        <w:rPr>
          <w:rFonts w:hint="eastAsia" w:ascii="黑体" w:hAnsi="黑体" w:eastAsia="黑体"/>
          <w:b w:val="0"/>
          <w:color w:val="auto"/>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黑体" w:hAnsi="黑体" w:eastAsia="黑体"/>
          <w:b w:val="0"/>
          <w:color w:val="auto"/>
          <w:highlight w:val="none"/>
        </w:rPr>
      </w:r>
      <w:r/>
    </w:p>
    <w:p>
      <w:pPr>
        <w:pStyle w:val="870"/>
        <w:jc w:val="center"/>
        <w:spacing w:before="156" w:after="156" w:line="360" w:lineRule="auto"/>
        <w:rPr>
          <w:rFonts w:hint="eastAsia" w:ascii="黑体" w:hAnsi="黑体" w:eastAsia="黑体"/>
          <w:b w:val="0"/>
          <w:color w:val="auto"/>
          <w:highlight w:val="none"/>
        </w:rPr>
      </w:pPr>
      <w:r/>
      <w:bookmarkStart w:id="0" w:name="_Toc275"/>
      <w:r>
        <w:rPr>
          <w:rFonts w:hint="eastAsia" w:ascii="黑体" w:hAnsi="黑体" w:eastAsia="黑体"/>
          <w:b w:val="0"/>
          <w:color w:val="auto"/>
          <w:highlight w:val="none"/>
        </w:rPr>
        <w:t xml:space="preserve">第一章  投标邀请</w:t>
      </w:r>
      <w:bookmarkEnd w:id="0"/>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eastAsia="宋体"/>
          <w:color w:val="auto"/>
          <w:sz w:val="24"/>
          <w:szCs w:val="24"/>
          <w:highlight w:val="none"/>
          <w:u w:val="single"/>
        </w:rPr>
        <w:t xml:space="preserve">连云港市市政公用事业发展中心</w:t>
      </w:r>
      <w:r>
        <w:rPr>
          <w:rFonts w:hint="eastAsia"/>
          <w:color w:val="auto"/>
          <w:sz w:val="24"/>
          <w:szCs w:val="24"/>
          <w:highlight w:val="none"/>
        </w:rPr>
        <w:t xml:space="preserve">的委托，</w:t>
      </w:r>
      <w:r>
        <w:rPr>
          <w:rFonts w:hint="eastAsia"/>
          <w:color w:val="auto"/>
          <w:sz w:val="24"/>
          <w:szCs w:val="24"/>
          <w:highlight w:val="none"/>
          <w:u w:val="single"/>
        </w:rPr>
        <w:t xml:space="preserve">江苏协鸿工程咨询有限公司</w:t>
      </w:r>
      <w:r>
        <w:rPr>
          <w:rFonts w:hint="eastAsia"/>
          <w:color w:val="auto"/>
          <w:sz w:val="24"/>
          <w:szCs w:val="24"/>
          <w:highlight w:val="none"/>
        </w:rPr>
        <w:t xml:space="preserve">就</w:t>
      </w:r>
      <w:r>
        <w:rPr>
          <w:rFonts w:hint="eastAsia" w:eastAsia="宋体"/>
          <w:color w:val="auto"/>
          <w:sz w:val="24"/>
          <w:szCs w:val="24"/>
          <w:highlight w:val="none"/>
          <w:u w:val="single"/>
        </w:rPr>
        <w:t xml:space="preserve">连云港市市区城市污水处理厂污泥烧制陶粒资源化处置服务（专门面向中小企业项目）</w:t>
      </w:r>
      <w:r>
        <w:rPr>
          <w:rFonts w:hint="eastAsia"/>
          <w:color w:val="auto"/>
          <w:sz w:val="24"/>
          <w:szCs w:val="24"/>
          <w:highlight w:val="none"/>
        </w:rPr>
        <w:t xml:space="preserve">（</w:t>
      </w:r>
      <w:r>
        <w:rPr>
          <w:rFonts w:hint="eastAsia"/>
          <w:color w:val="auto"/>
          <w:sz w:val="24"/>
          <w:szCs w:val="24"/>
          <w:highlight w:val="none"/>
          <w:lang w:eastAsia="zh-CN"/>
        </w:rPr>
        <w:t xml:space="preserve">JSZC-320700-XHZX-G2026-0005</w:t>
      </w:r>
      <w:r>
        <w:rPr>
          <w:rFonts w:hint="eastAsia"/>
          <w:color w:val="auto"/>
          <w:sz w:val="24"/>
          <w:szCs w:val="24"/>
          <w:highlight w:val="none"/>
        </w:rPr>
        <w:t xml:space="preserve">）进行公开招标采购，欢迎符合条件的供应商投标。</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color w:val="auto"/>
                <w:sz w:val="24"/>
                <w:szCs w:val="24"/>
                <w:highlight w:val="none"/>
              </w:rPr>
            </w:pPr>
            <w:r>
              <w:rPr>
                <w:rFonts w:hint="eastAsia"/>
                <w:color w:val="auto"/>
                <w:sz w:val="24"/>
                <w:szCs w:val="24"/>
                <w:highlight w:val="none"/>
              </w:rPr>
              <w:t xml:space="preserve">项目概况</w:t>
            </w:r>
            <w:r/>
          </w:p>
          <w:p>
            <w:pPr>
              <w:ind w:firstLine="480"/>
              <w:jc w:val="left"/>
              <w:spacing w:line="500" w:lineRule="exact"/>
              <w:rPr>
                <w:color w:val="auto"/>
                <w:sz w:val="24"/>
                <w:szCs w:val="24"/>
                <w:highlight w:val="none"/>
              </w:rPr>
            </w:pPr>
            <w:r>
              <w:rPr>
                <w:rFonts w:hint="eastAsia" w:eastAsia="宋体"/>
                <w:color w:val="auto"/>
                <w:sz w:val="24"/>
                <w:szCs w:val="24"/>
                <w:highlight w:val="none"/>
                <w:u w:val="single"/>
              </w:rPr>
              <w:t xml:space="preserve">连云港市市区城市污水处理厂污泥烧制陶粒资源化处置服务（专门面向中小企业项目）</w:t>
            </w:r>
            <w:r>
              <w:rPr>
                <w:rFonts w:hint="eastAsia"/>
                <w:color w:val="auto"/>
                <w:sz w:val="24"/>
                <w:szCs w:val="24"/>
                <w:highlight w:val="none"/>
              </w:rPr>
              <w:t xml:space="preserve">的潜在供应商应在</w:t>
            </w:r>
            <w:r>
              <w:rPr>
                <w:rFonts w:hint="eastAsia"/>
                <w:color w:val="auto"/>
                <w:sz w:val="24"/>
                <w:szCs w:val="24"/>
                <w:highlight w:val="none"/>
                <w:u w:val="single"/>
              </w:rPr>
              <w:t xml:space="preserve">江苏政府采购网</w:t>
            </w:r>
            <w:r>
              <w:rPr>
                <w:rFonts w:hint="eastAsia"/>
                <w:color w:val="auto"/>
                <w:sz w:val="24"/>
                <w:szCs w:val="24"/>
                <w:highlight w:val="none"/>
              </w:rPr>
              <w:t xml:space="preserve">自行免费下载招标文件，并于</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rPr>
              <w:t xml:space="preserve">04</w:t>
            </w:r>
            <w:r>
              <w:rPr>
                <w:rFonts w:hint="eastAsia" w:ascii="Times New Roman" w:hAnsi="Times New Roman" w:cs="Times New Roman"/>
                <w:color w:val="auto"/>
                <w:sz w:val="24"/>
                <w:szCs w:val="24"/>
                <w:highlight w:val="none"/>
              </w:rPr>
              <w:t xml:space="preserve">月30</w:t>
            </w:r>
            <w:r>
              <w:rPr>
                <w:rFonts w:hint="eastAsia" w:ascii="Times New Roman" w:hAnsi="Times New Roman" w:cs="Times New Roman"/>
                <w:color w:val="auto"/>
                <w:sz w:val="24"/>
                <w:szCs w:val="24"/>
                <w:highlight w:val="none"/>
              </w:rPr>
              <w:t xml:space="preserve">日</w:t>
            </w:r>
            <w:r>
              <w:rPr>
                <w:rFonts w:ascii="Times New Roman" w:hAnsi="Times New Roman" w:cs="Times New Roman"/>
                <w:color w:val="auto"/>
                <w:sz w:val="24"/>
                <w:szCs w:val="24"/>
                <w:highlight w:val="none"/>
              </w:rPr>
              <w:t xml:space="preserve">9: 00:00（</w:t>
            </w:r>
            <w:r>
              <w:rPr>
                <w:rFonts w:hint="eastAsia"/>
                <w:color w:val="auto"/>
                <w:sz w:val="24"/>
                <w:szCs w:val="24"/>
                <w:highlight w:val="none"/>
              </w:rPr>
              <w:t xml:space="preserve">北京时间）前递交（上传）投标文件。</w:t>
            </w:r>
            <w:r/>
          </w:p>
        </w:tc>
      </w:tr>
    </w:tbl>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pStyle w:val="887"/>
        <w:ind w:left="0"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JSZC-320700-XHZX-G2026-0005</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项目名称：连云港市市区城市污水处理厂污泥烧制陶粒资源化处置服务（专门面向中小企业项目）</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预算金额：1500万元</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最高限价（单价）：</w:t>
      </w:r>
      <w:r>
        <w:rPr>
          <w:rFonts w:hint="eastAsia" w:ascii="宋体" w:hAnsi="宋体" w:eastAsia="宋体" w:cs="宋体"/>
          <w:color w:val="auto"/>
          <w:sz w:val="24"/>
          <w:szCs w:val="24"/>
          <w:highlight w:val="none"/>
        </w:rPr>
        <w:t xml:space="preserve">含水率80%污泥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val="en-US" w:eastAsia="zh-CN"/>
        </w:rPr>
        <w:t xml:space="preserve">不得超过</w:t>
      </w:r>
      <w:r>
        <w:rPr>
          <w:rFonts w:hint="eastAsia" w:ascii="宋体" w:hAnsi="宋体" w:eastAsia="宋体" w:cs="宋体"/>
          <w:color w:val="auto"/>
          <w:sz w:val="24"/>
          <w:szCs w:val="24"/>
          <w:highlight w:val="none"/>
        </w:rPr>
        <w:t xml:space="preserve">300元/吨，含水率40%、60%污泥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报价在含水率80%</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报价基础上下浮28%，</w:t>
      </w:r>
      <w:r>
        <w:rPr>
          <w:rFonts w:hint="eastAsia" w:ascii="宋体" w:hAnsi="宋体" w:eastAsia="宋体" w:cs="宋体"/>
          <w:color w:val="auto"/>
          <w:sz w:val="24"/>
          <w:szCs w:val="24"/>
          <w:highlight w:val="none"/>
        </w:rPr>
        <w:t xml:space="preserve">投标报价超过最高限价的投标无效。</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为加强连云港市市区城市污水处理厂污泥处置，确保市区城市污水处理厂的稳定运行，对市区城市污水处理厂所产含水率40%、60%、80%污泥进行烧制陶粒资源化利用处置服务。具体内容详见第四章采购需求。</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对本项目资格要求、采购需求、评标方法与评标标准等部分的询问、质疑请与采购人联系，由采购人负责答复。</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合同履行期限：合同签订之日起3年。</w:t>
      </w:r>
      <w:r/>
    </w:p>
    <w:p>
      <w:pPr>
        <w:pStyle w:val="887"/>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本项目（是/否）接受联合体投标：不接受联合体。</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spacing w:line="500" w:lineRule="exact"/>
        <w:rPr>
          <w:color w:val="auto"/>
          <w:sz w:val="24"/>
          <w:szCs w:val="24"/>
          <w:highlight w:val="none"/>
        </w:rPr>
      </w:pPr>
      <w:r>
        <w:rPr>
          <w:rFonts w:hint="eastAsia"/>
          <w:color w:val="auto"/>
          <w:sz w:val="24"/>
          <w:szCs w:val="24"/>
          <w:highlight w:val="none"/>
        </w:rPr>
        <w:t xml:space="preserve">2.上一年度的财务状况报告；（成立不满一年无需提供）</w:t>
      </w:r>
      <w:r/>
    </w:p>
    <w:p>
      <w:pPr>
        <w:ind w:firstLine="480"/>
        <w:jc w:val="left"/>
        <w:spacing w:line="500" w:lineRule="exact"/>
        <w:rPr>
          <w:rFonts w:hint="eastAsia"/>
          <w:color w:val="auto"/>
          <w:sz w:val="24"/>
          <w:szCs w:val="24"/>
          <w:highlight w:val="none"/>
        </w:rPr>
        <w:sectPr>
          <w:footerReference w:type="default" r:id="rId10"/>
          <w:footerReference w:type="first" r:id="rId11"/>
          <w:footnotePr/>
          <w:endnotePr/>
          <w:type w:val="nextPage"/>
          <w:pgSz w:w="11906" w:h="16838" w:orient="portrait"/>
          <w:pgMar w:top="1440" w:right="1134" w:bottom="1440" w:left="1418" w:header="851" w:footer="992" w:gutter="0"/>
          <w:pgNumType w:start="1"/>
          <w:cols w:num="1" w:sep="0" w:space="720" w:equalWidth="1"/>
          <w:docGrid w:linePitch="360"/>
          <w:titlePg/>
        </w:sectPr>
      </w:pPr>
      <w:r>
        <w:rPr>
          <w:rFonts w:hint="eastAsia"/>
          <w:color w:val="auto"/>
          <w:sz w:val="24"/>
          <w:szCs w:val="24"/>
          <w:highlight w:val="none"/>
        </w:rPr>
      </w:r>
      <w:r/>
    </w:p>
    <w:p>
      <w:pPr>
        <w:ind w:firstLine="480"/>
        <w:jc w:val="left"/>
        <w:spacing w:line="500" w:lineRule="exact"/>
        <w:rPr>
          <w:color w:val="auto"/>
          <w:sz w:val="24"/>
          <w:szCs w:val="24"/>
          <w:highlight w:val="none"/>
        </w:rPr>
      </w:pPr>
      <w:r>
        <w:rPr>
          <w:rFonts w:hint="eastAsia"/>
          <w:color w:val="auto"/>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2"/>
        <w:jc w:val="left"/>
        <w:spacing w:line="500" w:lineRule="exact"/>
        <w:rPr>
          <w:color w:val="auto"/>
          <w:sz w:val="24"/>
          <w:szCs w:val="24"/>
          <w:highlight w:val="none"/>
        </w:rPr>
      </w:pPr>
      <w:r>
        <w:rPr>
          <w:rFonts w:hint="eastAsia"/>
          <w:b/>
          <w:bCs/>
          <w:color w:val="auto"/>
          <w:sz w:val="24"/>
          <w:szCs w:val="24"/>
          <w:highlight w:val="none"/>
        </w:rPr>
        <w:t xml:space="preserve">（根据连财</w:t>
      </w:r>
      <w:r>
        <w:rPr>
          <w:rFonts w:ascii="Times New Roman" w:hAnsi="Times New Roman" w:cs="Times New Roman"/>
          <w:b/>
          <w:bCs/>
          <w:color w:val="auto"/>
          <w:sz w:val="24"/>
          <w:szCs w:val="24"/>
          <w:highlight w:val="none"/>
        </w:rPr>
        <w:t xml:space="preserve">购〔2023〕4号文件精神，2、3项可以提供《财务状况报告及税收、社会保障资金缴纳情况承诺函》，详见第六章 投标文件</w:t>
      </w:r>
      <w:r>
        <w:rPr>
          <w:rFonts w:hint="eastAsia"/>
          <w:b/>
          <w:bCs/>
          <w:color w:val="auto"/>
          <w:sz w:val="24"/>
          <w:szCs w:val="24"/>
          <w:highlight w:val="none"/>
        </w:rPr>
        <w:t xml:space="preserve">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spacing w:line="500" w:lineRule="exact"/>
        <w:rPr>
          <w:color w:val="auto"/>
          <w:sz w:val="24"/>
          <w:szCs w:val="24"/>
          <w:highlight w:val="none"/>
        </w:rPr>
      </w:pPr>
      <w:r>
        <w:rPr>
          <w:rFonts w:hint="eastAsia"/>
          <w:color w:val="auto"/>
          <w:sz w:val="24"/>
          <w:szCs w:val="24"/>
          <w:highlight w:val="none"/>
        </w:rPr>
        <w:t xml:space="preserve">6.法律、行政法规规定的其他条件；（如有，请按要求提供）</w:t>
      </w:r>
      <w:r/>
    </w:p>
    <w:p>
      <w:pPr>
        <w:ind w:firstLine="480"/>
        <w:jc w:val="left"/>
        <w:spacing w:line="500" w:lineRule="exact"/>
        <w:rPr>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w:t>
      </w:r>
      <w:r>
        <w:rPr>
          <w:rFonts w:hint="eastAsia" w:ascii="宋体" w:hAnsi="宋体" w:eastAsia="宋体" w:cs="Times New Roman"/>
          <w:color w:val="auto"/>
          <w:sz w:val="24"/>
          <w:szCs w:val="24"/>
          <w:highlight w:val="none"/>
        </w:rPr>
        <w:t xml:space="preserve">（www.creditchina.gov.cn）</w:t>
      </w:r>
      <w:r>
        <w:rPr>
          <w:rFonts w:hint="eastAsia" w:ascii="Calibri" w:hAnsi="Calibri" w:eastAsia="宋体"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（www.ccgp.gov.cn）</w:t>
      </w:r>
      <w:r>
        <w:rPr>
          <w:rFonts w:hint="eastAsia"/>
          <w:color w:val="auto"/>
          <w:sz w:val="24"/>
          <w:szCs w:val="24"/>
          <w:highlight w:val="none"/>
        </w:rPr>
        <w:t xml:space="preserve">，供应商被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（二）落实政府采购政策需满足的资格要求：</w:t>
      </w:r>
      <w:r>
        <w:rPr>
          <w:rFonts w:hint="eastAsia"/>
          <w:b/>
          <w:bCs/>
          <w:color w:val="auto"/>
          <w:sz w:val="24"/>
          <w:szCs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ascii="Times New Roman" w:hAnsi="Times New Roman" w:cs="Times New Roman"/>
          <w:color w:val="auto"/>
          <w:sz w:val="24"/>
          <w:szCs w:val="24"/>
          <w:highlight w:val="none"/>
        </w:rPr>
        <w:t xml:space="preserve"> </w:t>
      </w:r>
      <w:r/>
    </w:p>
    <w:p>
      <w:pPr>
        <w:ind w:firstLine="482"/>
        <w:jc w:val="left"/>
        <w:spacing w:line="500" w:lineRule="exact"/>
        <w:rPr>
          <w:rFonts w:ascii="Times New Roman" w:hAnsi="Times New Roman" w:cs="Times New Roman"/>
          <w:b/>
          <w:bCs/>
          <w:color w:val="auto"/>
          <w:sz w:val="24"/>
          <w:szCs w:val="24"/>
          <w:highlight w:val="none"/>
        </w:rPr>
      </w:pPr>
      <w:r>
        <w:rPr>
          <w:rFonts w:hint="eastAsia"/>
          <w:color w:val="auto"/>
          <w:sz w:val="24"/>
          <w:szCs w:val="24"/>
          <w:highlight w:val="none"/>
        </w:rPr>
        <w:t xml:space="preserve">（三）本项目的特定资格要求：</w:t>
      </w:r>
      <w:r>
        <w:rPr>
          <w:rFonts w:hint="eastAsia"/>
          <w:b/>
          <w:bCs/>
          <w:color w:val="auto"/>
          <w:sz w:val="24"/>
          <w:szCs w:val="24"/>
          <w:highlight w:val="none"/>
        </w:rPr>
        <w:t xml:space="preserve">具有与本项目规模相适应的污泥处置能力，提供具备污泥处置能力的环评批复（污泥处置能力包括处置方式、处置量，如环评批复不能体现处置能力，须另外提供环评报告等其他证明文件）。</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spacing w:line="50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时间：202</w:t>
      </w:r>
      <w:r>
        <w:rPr>
          <w:rFonts w:hint="eastAsia" w:eastAsia="宋体"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年</w:t>
      </w:r>
      <w:r>
        <w:rPr>
          <w:rFonts w:hint="eastAsia" w:eastAsia="宋体" w:asciiTheme="minorEastAsia" w:hAnsiTheme="minorEastAsia"/>
          <w:color w:val="auto"/>
          <w:sz w:val="24"/>
          <w:szCs w:val="24"/>
          <w:highlight w:val="none"/>
        </w:rPr>
        <w:t xml:space="preserve">04</w:t>
      </w:r>
      <w:r>
        <w:rPr>
          <w:rFonts w:hint="eastAsia" w:asciiTheme="minorEastAsia" w:hAnsiTheme="minorEastAsia"/>
          <w:color w:val="auto"/>
          <w:sz w:val="24"/>
          <w:szCs w:val="24"/>
          <w:highlight w:val="none"/>
        </w:rPr>
        <w:t xml:space="preserve">月08</w:t>
      </w:r>
      <w:r>
        <w:rPr>
          <w:rFonts w:hint="eastAsia" w:asciiTheme="minorEastAsia" w:hAnsiTheme="minorEastAsia"/>
          <w:color w:val="auto"/>
          <w:sz w:val="24"/>
          <w:szCs w:val="24"/>
          <w:highlight w:val="none"/>
        </w:rPr>
        <w:t xml:space="preserve">日 至202</w:t>
      </w:r>
      <w:r>
        <w:rPr>
          <w:rFonts w:hint="eastAsia" w:eastAsia="宋体"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rPr>
        <w:t xml:space="preserve">年</w:t>
      </w:r>
      <w:r>
        <w:rPr>
          <w:rFonts w:hint="eastAsia" w:eastAsia="宋体" w:asciiTheme="minorEastAsia" w:hAnsiTheme="minorEastAsia"/>
          <w:color w:val="auto"/>
          <w:sz w:val="24"/>
          <w:szCs w:val="24"/>
          <w:highlight w:val="none"/>
        </w:rPr>
        <w:t xml:space="preserve">04</w:t>
      </w:r>
      <w:r>
        <w:rPr>
          <w:rFonts w:hint="eastAsia" w:asciiTheme="minorEastAsia" w:hAnsiTheme="minorEastAsia"/>
          <w:color w:val="auto"/>
          <w:sz w:val="24"/>
          <w:szCs w:val="24"/>
          <w:highlight w:val="none"/>
        </w:rPr>
        <w:t xml:space="preserve">月</w:t>
      </w:r>
      <w:r>
        <w:rPr>
          <w:rFonts w:hint="eastAsia" w:eastAsia="宋体" w:asciiTheme="minorEastAsia" w:hAnsiTheme="minorEastAsia"/>
          <w:color w:val="auto"/>
          <w:sz w:val="24"/>
          <w:szCs w:val="24"/>
          <w:highlight w:val="none"/>
        </w:rPr>
        <w:t xml:space="preserve">15</w:t>
      </w:r>
      <w:r>
        <w:rPr>
          <w:rFonts w:hint="eastAsia" w:asciiTheme="minorEastAsia" w:hAnsiTheme="minorEastAsia"/>
          <w:color w:val="auto"/>
          <w:sz w:val="24"/>
          <w:szCs w:val="24"/>
          <w:highlight w:val="none"/>
        </w:rPr>
        <w:t xml:space="preserve">日</w:t>
      </w:r>
      <w:r/>
    </w:p>
    <w:p>
      <w:pPr>
        <w:ind w:firstLine="480"/>
        <w:jc w:val="left"/>
        <w:spacing w:line="500" w:lineRule="exact"/>
        <w:rPr>
          <w:color w:val="auto"/>
          <w:sz w:val="24"/>
          <w:szCs w:val="24"/>
          <w:highlight w:val="none"/>
        </w:rPr>
      </w:pPr>
      <w:r>
        <w:rPr>
          <w:rFonts w:hint="eastAsia"/>
          <w:color w:val="auto"/>
          <w:sz w:val="24"/>
          <w:szCs w:val="24"/>
          <w:highlight w:val="none"/>
        </w:rPr>
        <w:t xml:space="preserve">地点：江苏政府采购网</w:t>
      </w:r>
      <w:r/>
    </w:p>
    <w:p>
      <w:pPr>
        <w:ind w:firstLine="480"/>
        <w:jc w:val="left"/>
        <w:spacing w:line="500" w:lineRule="exact"/>
        <w:rPr>
          <w:color w:val="auto"/>
          <w:sz w:val="24"/>
          <w:szCs w:val="24"/>
          <w:highlight w:val="none"/>
        </w:rPr>
      </w:pPr>
      <w:r>
        <w:rPr>
          <w:rFonts w:hint="eastAsia"/>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color w:val="auto"/>
          <w:sz w:val="24"/>
          <w:szCs w:val="24"/>
          <w:highlight w:val="none"/>
        </w:rPr>
      </w:pPr>
      <w:r>
        <w:rPr>
          <w:rFonts w:hint="eastAsia"/>
          <w:color w:val="auto"/>
          <w:sz w:val="24"/>
          <w:szCs w:val="24"/>
          <w:highlight w:val="none"/>
        </w:rPr>
        <w:t xml:space="preserve">售价：0.00元</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spacing w:line="500" w:lineRule="exact"/>
        <w:rPr>
          <w:color w:val="auto"/>
          <w:sz w:val="24"/>
          <w:szCs w:val="24"/>
          <w:highlight w:val="none"/>
        </w:rPr>
      </w:pPr>
      <w:r>
        <w:rPr>
          <w:rFonts w:hint="eastAsia"/>
          <w:color w:val="auto"/>
          <w:sz w:val="24"/>
          <w:szCs w:val="24"/>
          <w:highlight w:val="none"/>
        </w:rPr>
        <w:t xml:space="preserve">提交投标文件截止时间：</w:t>
      </w:r>
      <w:r>
        <w:rPr>
          <w:rFonts w:hint="eastAsia" w:ascii="Times New Roman" w:hAnsi="Times New Roman" w:cs="Times New Roman"/>
          <w:color w:val="auto"/>
          <w:sz w:val="24"/>
          <w:szCs w:val="24"/>
          <w:highlight w:val="none"/>
        </w:rPr>
        <w:t xml:space="preserve">202</w:t>
      </w:r>
      <w:r>
        <w:rPr>
          <w:rFonts w:hint="eastAsia" w:ascii="Times New Roman" w:hAnsi="Times New Roman" w:eastAsia="宋体" w:cs="Times New Roman"/>
          <w:color w:val="auto"/>
          <w:sz w:val="24"/>
          <w:szCs w:val="24"/>
          <w:highlight w:val="none"/>
        </w:rPr>
        <w:t xml:space="preserve">6</w:t>
      </w:r>
      <w:r>
        <w:rPr>
          <w:rFonts w:hint="eastAsia" w:ascii="Times New Roman" w:hAnsi="Times New Roman"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rPr>
        <w:t xml:space="preserve">04</w:t>
      </w:r>
      <w:r>
        <w:rPr>
          <w:rFonts w:hint="eastAsia" w:ascii="Times New Roman" w:hAnsi="Times New Roman" w:cs="Times New Roman"/>
          <w:color w:val="auto"/>
          <w:sz w:val="24"/>
          <w:szCs w:val="24"/>
          <w:highlight w:val="none"/>
        </w:rPr>
        <w:t xml:space="preserve">月30</w:t>
      </w:r>
      <w:r>
        <w:rPr>
          <w:rFonts w:hint="eastAsia" w:ascii="Times New Roman" w:hAnsi="Times New Roman" w:cs="Times New Roman"/>
          <w:color w:val="auto"/>
          <w:sz w:val="24"/>
          <w:szCs w:val="24"/>
          <w:highlight w:val="none"/>
        </w:rPr>
        <w:t xml:space="preserve">日</w:t>
      </w:r>
      <w:r>
        <w:rPr>
          <w:rFonts w:ascii="Times New Roman" w:hAnsi="Times New Roman" w:cs="Times New Roman"/>
          <w:color w:val="auto"/>
          <w:sz w:val="24"/>
          <w:szCs w:val="24"/>
          <w:highlight w:val="none"/>
        </w:rPr>
        <w:t xml:space="preserve">9:00:00</w:t>
      </w:r>
      <w:r>
        <w:rPr>
          <w:rFonts w:hint="eastAsia"/>
          <w:color w:val="auto"/>
          <w:sz w:val="24"/>
          <w:szCs w:val="24"/>
          <w:highlight w:val="none"/>
        </w:rPr>
        <w:t xml:space="preserve">（北京时间）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spacing w:line="500" w:lineRule="exact"/>
        <w:rPr>
          <w:color w:val="auto"/>
          <w:highlight w:val="none"/>
        </w:rPr>
      </w:pPr>
      <w:r>
        <w:rPr>
          <w:rFonts w:hint="eastAsia"/>
          <w:color w:val="auto"/>
          <w:sz w:val="24"/>
          <w:szCs w:val="24"/>
          <w:highlight w:val="none"/>
        </w:rPr>
        <w:t xml:space="preserve">开标地点：“苏采云”政府采购交易系统网上开标大厅</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spacing w:line="500" w:lineRule="exact"/>
        <w:rPr>
          <w:color w:val="auto"/>
          <w:sz w:val="24"/>
          <w:szCs w:val="24"/>
          <w:highlight w:val="none"/>
        </w:rPr>
      </w:pPr>
      <w:r>
        <w:rPr>
          <w:rFonts w:hint="eastAsia"/>
          <w:color w:val="auto"/>
          <w:sz w:val="24"/>
          <w:szCs w:val="24"/>
          <w:highlight w:val="none"/>
        </w:rPr>
        <w:t xml:space="preserve">自本公告发布之日起5个工作日。</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2.本招标文件中</w:t>
      </w:r>
      <w:r>
        <w:rPr>
          <w:rFonts w:hint="eastAsia"/>
          <w:i/>
          <w:iCs/>
          <w:color w:val="auto"/>
          <w:sz w:val="24"/>
          <w:szCs w:val="24"/>
          <w:highlight w:val="none"/>
          <w:u w:val="single"/>
        </w:rPr>
        <w:t xml:space="preserve">斜体且有下划线</w:t>
      </w:r>
      <w:r>
        <w:rPr>
          <w:rFonts w:hint="eastAsia"/>
          <w:color w:val="auto"/>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color w:val="auto"/>
          <w:sz w:val="24"/>
          <w:szCs w:val="24"/>
          <w:highlight w:val="none"/>
        </w:rPr>
      </w:pPr>
      <w:r>
        <w:rPr>
          <w:rFonts w:hint="eastAsia"/>
          <w:color w:val="auto"/>
          <w:sz w:val="24"/>
          <w:szCs w:val="24"/>
          <w:highlight w:val="none"/>
        </w:rPr>
        <w:t xml:space="preserve">http://www.ccgp-jiangsu.gov.cn/jiangsu/zlxz/ee/ee3a4bc5a3454aa2b0d9312230633ce9.html</w:t>
      </w:r>
      <w:r/>
    </w:p>
    <w:p>
      <w:pPr>
        <w:ind w:firstLine="480"/>
        <w:jc w:val="left"/>
        <w:spacing w:line="500" w:lineRule="exact"/>
        <w:rPr>
          <w:color w:val="auto"/>
          <w:sz w:val="24"/>
          <w:szCs w:val="24"/>
          <w:highlight w:val="none"/>
        </w:rPr>
      </w:pPr>
      <w:r>
        <w:rPr>
          <w:rFonts w:hint="eastAsia"/>
          <w:color w:val="auto"/>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spacing w:line="500" w:lineRule="exact"/>
        <w:rPr>
          <w:color w:val="auto"/>
          <w:sz w:val="24"/>
          <w:szCs w:val="24"/>
          <w:highlight w:val="none"/>
        </w:rPr>
      </w:pPr>
      <w:r>
        <w:rPr>
          <w:rFonts w:hint="eastAsia"/>
          <w:color w:val="auto"/>
          <w:sz w:val="24"/>
          <w:szCs w:val="24"/>
          <w:highlight w:val="none"/>
        </w:rPr>
        <w:t xml:space="preserve">1.采购人信息</w:t>
      </w:r>
      <w:r/>
    </w:p>
    <w:p>
      <w:pPr>
        <w:ind w:firstLine="480"/>
        <w:jc w:val="left"/>
        <w:spacing w:line="500" w:lineRule="exact"/>
        <w:rPr>
          <w:rFonts w:eastAsia="宋体"/>
          <w:color w:val="auto"/>
          <w:sz w:val="24"/>
          <w:szCs w:val="24"/>
          <w:highlight w:val="none"/>
        </w:rPr>
      </w:pPr>
      <w:r>
        <w:rPr>
          <w:rFonts w:hint="eastAsia"/>
          <w:color w:val="auto"/>
          <w:sz w:val="24"/>
          <w:szCs w:val="24"/>
          <w:highlight w:val="none"/>
        </w:rPr>
        <w:t xml:space="preserve">名    称：</w:t>
      </w:r>
      <w:r>
        <w:rPr>
          <w:rFonts w:hint="eastAsia" w:eastAsia="宋体"/>
          <w:color w:val="auto"/>
          <w:sz w:val="24"/>
          <w:szCs w:val="24"/>
          <w:highlight w:val="none"/>
        </w:rPr>
        <w:t xml:space="preserve">连云港市市政公用事业发展中心</w:t>
      </w:r>
      <w:r/>
    </w:p>
    <w:p>
      <w:pPr>
        <w:ind w:firstLine="480"/>
        <w:jc w:val="left"/>
        <w:spacing w:line="500" w:lineRule="exact"/>
        <w:rPr>
          <w:rFonts w:ascii="Times New Roman" w:hAnsi="Times New Roman" w:cs="Times New Roman"/>
          <w:color w:val="auto"/>
          <w:sz w:val="24"/>
          <w:szCs w:val="24"/>
          <w:highlight w:val="none"/>
        </w:rPr>
      </w:pPr>
      <w:r>
        <w:rPr>
          <w:rFonts w:hint="eastAsia"/>
          <w:color w:val="auto"/>
          <w:sz w:val="24"/>
          <w:szCs w:val="24"/>
          <w:highlight w:val="none"/>
        </w:rPr>
        <w:t xml:space="preserve">地    址：连云港市海州区南极南路64号</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联系电话：苏先生 </w:t>
      </w:r>
      <w:r>
        <w:rPr>
          <w:rFonts w:hint="eastAsia"/>
          <w:color w:val="auto"/>
          <w:sz w:val="24"/>
          <w:szCs w:val="24"/>
          <w:highlight w:val="none"/>
          <w:lang w:val="en-US" w:eastAsia="zh-CN"/>
        </w:rPr>
        <w:t xml:space="preserve">0518-83086598</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2.采购代理机构信息</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名    称：江苏协鸿工程咨询有限公司</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地    址：连云港市海州区秦东门大街兴亿达大厦西厅14楼</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联系方式：陈工  0518-82341968</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3.项目联系方式</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项目联系人：苏先生</w:t>
      </w:r>
      <w:r/>
    </w:p>
    <w:p>
      <w:pPr>
        <w:ind w:firstLine="480"/>
        <w:jc w:val="left"/>
        <w:spacing w:line="500" w:lineRule="exact"/>
        <w:rPr>
          <w:rFonts w:hint="eastAsia"/>
          <w:color w:val="auto"/>
          <w:sz w:val="24"/>
          <w:szCs w:val="24"/>
          <w:highlight w:val="none"/>
          <w:lang w:val="en-US" w:eastAsia="zh-CN"/>
        </w:rPr>
      </w:pPr>
      <w:r>
        <w:rPr>
          <w:rFonts w:hint="eastAsia"/>
          <w:color w:val="auto"/>
          <w:sz w:val="24"/>
          <w:szCs w:val="24"/>
          <w:highlight w:val="none"/>
        </w:rPr>
        <w:t xml:space="preserve">电      话： </w:t>
      </w:r>
      <w:r>
        <w:rPr>
          <w:rFonts w:hint="eastAsia"/>
          <w:color w:val="auto"/>
          <w:sz w:val="24"/>
          <w:szCs w:val="24"/>
          <w:highlight w:val="none"/>
          <w:lang w:val="en-US" w:eastAsia="zh-CN"/>
        </w:rPr>
        <w:t xml:space="preserve">0518-83086598</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jc w:val="left"/>
        <w:widowControl/>
        <w:rPr>
          <w:rFonts w:hint="eastAsia" w:ascii="黑体" w:hAnsi="黑体" w:eastAsia="黑体"/>
          <w:bCs/>
          <w:color w:val="auto"/>
          <w:sz w:val="44"/>
          <w:szCs w:val="44"/>
          <w:highlight w:val="none"/>
        </w:rPr>
      </w:pPr>
      <w:r>
        <w:rPr>
          <w:rFonts w:ascii="黑体" w:hAnsi="黑体" w:eastAsia="黑体"/>
          <w:b/>
          <w:color w:val="auto"/>
          <w:highlight w:val="none"/>
        </w:rPr>
        <w:br w:type="page" w:clear="all"/>
      </w:r>
      <w:r/>
    </w:p>
    <w:p>
      <w:pPr>
        <w:pStyle w:val="870"/>
        <w:jc w:val="center"/>
        <w:spacing w:before="156" w:after="156" w:line="360" w:lineRule="auto"/>
        <w:rPr>
          <w:rFonts w:hint="eastAsia" w:ascii="黑体" w:hAnsi="黑体" w:eastAsia="黑体"/>
          <w:b w:val="0"/>
          <w:color w:val="auto"/>
          <w:highlight w:val="none"/>
        </w:rPr>
      </w:pPr>
      <w:r/>
      <w:bookmarkStart w:id="1" w:name="_Toc21405"/>
      <w:r>
        <w:rPr>
          <w:rFonts w:hint="eastAsia" w:ascii="黑体" w:hAnsi="黑体" w:eastAsia="黑体"/>
          <w:b w:val="0"/>
          <w:color w:val="auto"/>
          <w:highlight w:val="none"/>
        </w:rPr>
        <w:t xml:space="preserve">第二章  供应商须知</w:t>
      </w:r>
      <w:bookmarkEnd w:id="1"/>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spacing w:line="500" w:lineRule="exact"/>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2、合格的供应商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2.4 符合上述条件的供应商应承担投标及履约过程应承担的全部责任与义务。</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spacing w:line="500" w:lineRule="exact"/>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4.1 供应商应自行承担所有与参与投标有关的费用，无论投标过程中的做法和结果如何，采购人和江苏协鸿工程咨询有限公司（以下简称代理机构）在任何情况下均无义务和责任承担这些费用。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4.2 本项目招标代理服务费</w:t>
      </w:r>
      <w:r>
        <w:rPr>
          <w:rFonts w:hint="eastAsia" w:eastAsia="宋体"/>
          <w:color w:val="auto"/>
          <w:sz w:val="24"/>
          <w:szCs w:val="24"/>
          <w:highlight w:val="none"/>
        </w:rPr>
        <w:t xml:space="preserve">为人民币捌仟元整，</w:t>
      </w:r>
      <w:r>
        <w:rPr>
          <w:rFonts w:hint="eastAsia"/>
          <w:color w:val="auto"/>
          <w:sz w:val="24"/>
          <w:szCs w:val="24"/>
          <w:highlight w:val="none"/>
        </w:rPr>
        <w:t xml:space="preserve">由中标人在领取中标通知书时一次性支付，支付方式：电汇，网银，现金。</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spacing w:line="500" w:lineRule="exact"/>
        <w:rPr>
          <w:color w:val="auto"/>
          <w:sz w:val="24"/>
          <w:szCs w:val="24"/>
          <w:highlight w:val="none"/>
        </w:rPr>
      </w:pPr>
      <w:r>
        <w:rPr>
          <w:rFonts w:hint="eastAsia"/>
          <w:color w:val="auto"/>
          <w:sz w:val="24"/>
          <w:szCs w:val="24"/>
          <w:highlight w:val="none"/>
        </w:rPr>
        <w:t xml:space="preserve">5.1 供应商一旦参与本项目采购活动，即被认为接受了本招标文件的规定和约束。</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6.1 招标文件由以下部分构成：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（1）投标邀请</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（2）供应商须知</w:t>
      </w:r>
      <w:r/>
    </w:p>
    <w:p>
      <w:pPr>
        <w:ind w:firstLine="480"/>
        <w:jc w:val="left"/>
        <w:spacing w:line="500" w:lineRule="exact"/>
        <w:rPr>
          <w:color w:val="auto"/>
          <w:sz w:val="24"/>
          <w:szCs w:val="24"/>
          <w:highlight w:val="none"/>
        </w:rPr>
      </w:pPr>
      <w:r>
        <w:rPr>
          <w:rFonts w:hint="eastAsia"/>
          <w:color w:val="auto"/>
          <w:sz w:val="24"/>
          <w:szCs w:val="24"/>
          <w:highlight w:val="none"/>
        </w:rPr>
        <w:t xml:space="preserve">（3）合同文本</w:t>
      </w:r>
      <w:r/>
    </w:p>
    <w:p>
      <w:pPr>
        <w:ind w:firstLine="480"/>
        <w:jc w:val="left"/>
        <w:spacing w:line="500" w:lineRule="exact"/>
        <w:rPr>
          <w:color w:val="auto"/>
          <w:sz w:val="24"/>
          <w:szCs w:val="24"/>
          <w:highlight w:val="none"/>
        </w:rPr>
      </w:pPr>
      <w:r>
        <w:rPr>
          <w:rFonts w:hint="eastAsia"/>
          <w:color w:val="auto"/>
          <w:sz w:val="24"/>
          <w:szCs w:val="24"/>
          <w:highlight w:val="none"/>
        </w:rPr>
        <w:t xml:space="preserve">（4）采购需求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（5）评标方法与评标标准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（6）投标文件格式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请仔细检查招标文件是否齐全，如有缺漏请立即与代理机构联系解决。</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7.1 任何要求对招标文件进行澄清的供应商，应在投标截止时间十日前按招标公告中的通讯地址，以书面形式通知采购人或者代理机构。</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8.1 在投标截止时间前，采购人和代理机构可以对招标文件进行修改。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8.2 采购人和代理机构有权按照法定的要求推迟投标截止时间和开标时间。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招标文件的修改将在江苏政府采购网公布，补充文件将作为招标文件的组成部分，并对供应商具有约束力。</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spacing w:line="500" w:lineRule="exact"/>
        <w:rPr>
          <w:color w:val="auto"/>
          <w:sz w:val="24"/>
          <w:szCs w:val="24"/>
          <w:highlight w:val="none"/>
        </w:rPr>
      </w:pPr>
      <w:r>
        <w:rPr>
          <w:rFonts w:hint="eastAsia"/>
          <w:color w:val="auto"/>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10.1 除专用术语外，供应商提交的投标文件以及供应商与采购人和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spacing w:line="500" w:lineRule="exact"/>
        <w:rPr>
          <w:color w:val="auto"/>
          <w:sz w:val="24"/>
          <w:szCs w:val="24"/>
          <w:highlight w:val="none"/>
        </w:rPr>
      </w:pPr>
      <w:r>
        <w:rPr>
          <w:rFonts w:hint="eastAsia"/>
          <w:color w:val="auto"/>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11.3 特别提醒供应商，混乱的编排导致投标文件被误读或评标委员会（以下简称评委会）查找不到有效文件是供应商的风险。</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12、证明供应商及投标标的符合招标文件规定的文件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12.1 供应商应按照招标文件要求提交证明文件，证明其及投标标的符合招标文件规定。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spacing w:line="500" w:lineRule="exact"/>
        <w:rPr>
          <w:color w:val="auto"/>
          <w:sz w:val="24"/>
          <w:szCs w:val="24"/>
          <w:highlight w:val="none"/>
        </w:rPr>
      </w:pPr>
      <w:r>
        <w:rPr>
          <w:rFonts w:hint="eastAsia"/>
          <w:color w:val="auto"/>
          <w:sz w:val="24"/>
          <w:szCs w:val="24"/>
          <w:highlight w:val="none"/>
        </w:rPr>
        <w:t xml:space="preserve">12.3 供应商委托代理时应当提交授权委托书，请按招标文件第六章给定格式及要求填写并附法定代表人（单位负责人）与委托代理人身份证明。</w:t>
      </w:r>
      <w:r/>
    </w:p>
    <w:p>
      <w:pPr>
        <w:pStyle w:val="872"/>
        <w:ind w:firstLine="562"/>
        <w:jc w:val="left"/>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spacing w:line="500" w:lineRule="exact"/>
        <w:rPr>
          <w:color w:val="auto"/>
          <w:sz w:val="24"/>
          <w:szCs w:val="24"/>
          <w:highlight w:val="none"/>
        </w:rPr>
      </w:pPr>
      <w:r>
        <w:rPr>
          <w:rFonts w:hint="eastAsia"/>
          <w:color w:val="auto"/>
          <w:sz w:val="24"/>
          <w:szCs w:val="24"/>
          <w:highlight w:val="none"/>
        </w:rPr>
        <w:t xml:space="preserve">13.1 供应商应根据投标报价要求在投标分项报价表中列明各项投标单价、总价等，未全部列示的作无效响应处理。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13.2 投标文件中的单价和总价无特殊规定的采用人民币报价，以元为单位标注。招标文件中另有规定的按规定执行。</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spacing w:line="500" w:lineRule="exact"/>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color w:val="auto"/>
          <w:sz w:val="24"/>
          <w:szCs w:val="24"/>
          <w:highlight w:val="none"/>
        </w:rPr>
      </w:pPr>
      <w:r>
        <w:rPr>
          <w:rFonts w:hint="eastAsia"/>
          <w:color w:val="auto"/>
          <w:sz w:val="24"/>
          <w:szCs w:val="24"/>
          <w:highlight w:val="none"/>
        </w:rPr>
        <w:t xml:space="preserve">14.2 供应商可在投标文件中提供认为需要的其他技术文件或说明。</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spacing w:line="500" w:lineRule="exact"/>
        <w:rPr>
          <w:color w:val="auto"/>
          <w:sz w:val="24"/>
          <w:szCs w:val="24"/>
          <w:highlight w:val="none"/>
        </w:rPr>
      </w:pPr>
      <w:r>
        <w:rPr>
          <w:rFonts w:hint="eastAsia"/>
          <w:color w:val="auto"/>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color w:val="auto"/>
          <w:sz w:val="24"/>
          <w:szCs w:val="24"/>
          <w:highlight w:val="none"/>
        </w:rPr>
      </w:pPr>
      <w:r>
        <w:rPr>
          <w:rFonts w:hint="eastAsia"/>
          <w:color w:val="auto"/>
          <w:sz w:val="24"/>
          <w:szCs w:val="24"/>
          <w:highlight w:val="none"/>
        </w:rPr>
        <w:t xml:space="preserve">15.2 供应商应根据招标文件要求提供培训计划、人员安排等。</w:t>
      </w:r>
      <w:r/>
    </w:p>
    <w:p>
      <w:pPr>
        <w:ind w:firstLine="480"/>
        <w:jc w:val="left"/>
        <w:spacing w:line="500" w:lineRule="exact"/>
        <w:rPr>
          <w:color w:val="auto"/>
          <w:sz w:val="24"/>
          <w:szCs w:val="24"/>
          <w:highlight w:val="none"/>
        </w:rPr>
      </w:pPr>
      <w:r>
        <w:rPr>
          <w:rFonts w:hint="eastAsia"/>
          <w:color w:val="auto"/>
          <w:sz w:val="24"/>
          <w:szCs w:val="24"/>
          <w:highlight w:val="none"/>
        </w:rPr>
        <w:t xml:space="preserve">15.3 供应商应根据招标文件要求提供所投标的的主要组成部分、功能设计、实现思路及关键技术等。</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16.1 供应商应按照招标文件提供的格式完整、正确填写投标函、开标一览表。</w:t>
      </w:r>
      <w:r/>
    </w:p>
    <w:p>
      <w:pPr>
        <w:ind w:firstLine="480"/>
        <w:jc w:val="left"/>
        <w:spacing w:line="500" w:lineRule="exact"/>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spacing w:line="500" w:lineRule="exact"/>
        <w:rPr>
          <w:color w:val="auto"/>
          <w:sz w:val="24"/>
          <w:szCs w:val="24"/>
          <w:highlight w:val="none"/>
        </w:rPr>
      </w:pPr>
      <w:r>
        <w:rPr>
          <w:rFonts w:hint="eastAsia"/>
          <w:color w:val="auto"/>
          <w:sz w:val="24"/>
          <w:szCs w:val="24"/>
          <w:highlight w:val="none"/>
        </w:rPr>
        <w:t xml:space="preserve">17.1 投标有效期为招标文件规定的开标之日后</w:t>
      </w:r>
      <w:r>
        <w:rPr>
          <w:rFonts w:hint="eastAsia" w:eastAsia="宋体"/>
          <w:color w:val="auto"/>
          <w:sz w:val="24"/>
          <w:szCs w:val="24"/>
          <w:highlight w:val="none"/>
        </w:rPr>
        <w:t xml:space="preserve">一百二十</w:t>
      </w:r>
      <w:r>
        <w:rPr>
          <w:rFonts w:hint="eastAsia"/>
          <w:color w:val="auto"/>
          <w:sz w:val="24"/>
          <w:szCs w:val="24"/>
          <w:highlight w:val="none"/>
        </w:rPr>
        <w:t xml:space="preserve">（</w:t>
      </w:r>
      <w:r>
        <w:rPr>
          <w:rFonts w:hint="eastAsia" w:eastAsia="宋体"/>
          <w:color w:val="auto"/>
          <w:sz w:val="24"/>
          <w:szCs w:val="24"/>
          <w:highlight w:val="none"/>
        </w:rPr>
        <w:t xml:space="preserve">120</w:t>
      </w:r>
      <w:r>
        <w:rPr>
          <w:rFonts w:hint="eastAsia"/>
          <w:color w:val="auto"/>
          <w:sz w:val="24"/>
          <w:szCs w:val="24"/>
          <w:highlight w:val="none"/>
        </w:rPr>
        <w:t xml:space="preserve">）天。投标有效期比规定短的将被视为未实质性响应招标文件而予以拒绝。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17.2 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spacing w:line="500" w:lineRule="exact"/>
        <w:rPr>
          <w:color w:val="auto"/>
          <w:sz w:val="24"/>
          <w:szCs w:val="24"/>
          <w:highlight w:val="none"/>
        </w:rPr>
      </w:pPr>
      <w:r>
        <w:rPr>
          <w:rFonts w:hint="eastAsia"/>
          <w:color w:val="auto"/>
          <w:sz w:val="24"/>
          <w:szCs w:val="24"/>
          <w:highlight w:val="none"/>
        </w:rPr>
        <w:t xml:space="preserve">18.1 供应商应当按照《操作手册》规定，在投标截止时间前制作并递交（上传）电子投标文件。</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19.1 供应商递交（上传）电子投标文件的时间不得迟于招标公告中规定的投标截止时间。</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19.2 采购人和代理机构可以按照规定，通过修改招标文件酌情延长投标截止时间，在此情况下，供应商的所有权利和义务以及供应商受制的截止时间均应以延长后新的截止时间为准。</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spacing w:line="500" w:lineRule="exact"/>
        <w:rPr>
          <w:color w:val="auto"/>
          <w:sz w:val="24"/>
          <w:szCs w:val="24"/>
          <w:highlight w:val="none"/>
        </w:rPr>
      </w:pPr>
      <w:r>
        <w:rPr>
          <w:rFonts w:hint="eastAsia"/>
          <w:color w:val="auto"/>
          <w:sz w:val="24"/>
          <w:szCs w:val="24"/>
          <w:highlight w:val="none"/>
        </w:rPr>
        <w:t xml:space="preserve">20.1 采购人、代理机构拒绝接收在招标文件规定的投标截止时间后递交（上传）的任何投标文件。</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color w:val="auto"/>
          <w:sz w:val="24"/>
          <w:szCs w:val="24"/>
          <w:highlight w:val="none"/>
        </w:rPr>
      </w:pPr>
      <w:r>
        <w:rPr>
          <w:rFonts w:hint="eastAsia"/>
          <w:color w:val="auto"/>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在投标截止时间至招标文件规定的投标有效期满之间的这段时间内，供应商不得撤回其投标。</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spacing w:line="500" w:lineRule="exact"/>
        <w:rPr>
          <w:color w:val="auto"/>
          <w:sz w:val="24"/>
          <w:szCs w:val="24"/>
          <w:highlight w:val="none"/>
        </w:rPr>
      </w:pPr>
      <w:r>
        <w:rPr>
          <w:rFonts w:hint="eastAsia"/>
          <w:color w:val="auto"/>
          <w:sz w:val="24"/>
          <w:szCs w:val="24"/>
          <w:highlight w:val="none"/>
        </w:rPr>
        <w:t xml:space="preserve">22.1 代理机构将在招标公告中规定的时间和地点组织公开开标。供应商应当按时参加开标活动，并在“苏采云”系统规定的时间内对其投标文件进行解密。</w:t>
      </w:r>
      <w:r/>
    </w:p>
    <w:p>
      <w:pPr>
        <w:ind w:firstLine="480"/>
        <w:jc w:val="left"/>
        <w:spacing w:line="500" w:lineRule="exact"/>
        <w:rPr>
          <w:color w:val="auto"/>
          <w:sz w:val="24"/>
          <w:szCs w:val="24"/>
          <w:highlight w:val="none"/>
        </w:rPr>
      </w:pPr>
      <w:r>
        <w:rPr>
          <w:rFonts w:hint="eastAsia"/>
          <w:color w:val="auto"/>
          <w:sz w:val="24"/>
          <w:szCs w:val="24"/>
          <w:highlight w:val="none"/>
        </w:rPr>
        <w:t xml:space="preserve">22.2 开标仪式由代理机构组织。“苏采云”系统将自动对项目进行开标，并宣布各供应商名称和投标价格。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color w:val="auto"/>
          <w:sz w:val="24"/>
          <w:szCs w:val="24"/>
          <w:highlight w:val="none"/>
        </w:rPr>
      </w:pPr>
      <w:r>
        <w:rPr>
          <w:rFonts w:hint="eastAsia"/>
          <w:color w:val="auto"/>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22.5 供应商未参加开标的，视同认可开标结果。</w:t>
      </w:r>
      <w:r/>
    </w:p>
    <w:p>
      <w:pPr>
        <w:ind w:firstLine="480"/>
        <w:jc w:val="left"/>
        <w:spacing w:line="500" w:lineRule="exact"/>
        <w:rPr>
          <w:color w:val="auto"/>
          <w:sz w:val="24"/>
          <w:szCs w:val="24"/>
          <w:highlight w:val="none"/>
        </w:rPr>
      </w:pPr>
      <w:r>
        <w:rPr>
          <w:rFonts w:hint="eastAsia"/>
          <w:color w:val="auto"/>
          <w:sz w:val="24"/>
          <w:szCs w:val="24"/>
          <w:highlight w:val="none"/>
        </w:rPr>
        <w:t xml:space="preserve">22.6 供应商在开标、评标全过程中应保持通讯畅通，及时登录“苏采云”系统查阅、答复相关信息，并安排专人与代理机构及评委会联系。</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spacing w:line="500" w:lineRule="exact"/>
        <w:rPr>
          <w:color w:val="auto"/>
          <w:sz w:val="24"/>
          <w:szCs w:val="24"/>
          <w:highlight w:val="none"/>
        </w:rPr>
      </w:pPr>
      <w:r>
        <w:rPr>
          <w:rFonts w:hint="eastAsia"/>
          <w:color w:val="auto"/>
          <w:sz w:val="24"/>
          <w:szCs w:val="24"/>
          <w:highlight w:val="none"/>
        </w:rPr>
        <w:t xml:space="preserve">23.1 开标后，代理机构将组织评委会进行评标。</w:t>
      </w:r>
      <w:r/>
    </w:p>
    <w:p>
      <w:pPr>
        <w:ind w:firstLine="480"/>
        <w:jc w:val="left"/>
        <w:spacing w:line="500" w:lineRule="exact"/>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color w:val="auto"/>
          <w:sz w:val="24"/>
          <w:szCs w:val="24"/>
          <w:highlight w:val="none"/>
        </w:rPr>
      </w:pPr>
      <w:r>
        <w:rPr>
          <w:rFonts w:hint="eastAsia"/>
          <w:color w:val="auto"/>
          <w:sz w:val="24"/>
          <w:szCs w:val="24"/>
          <w:highlight w:val="none"/>
        </w:rPr>
        <w:t xml:space="preserve">23.3 评委会按照</w:t>
      </w:r>
      <w:r>
        <w:rPr>
          <w:rFonts w:hint="eastAsia" w:eastAsia="宋体"/>
          <w:color w:val="auto"/>
          <w:sz w:val="24"/>
          <w:szCs w:val="24"/>
          <w:highlight w:val="none"/>
        </w:rPr>
        <w:t xml:space="preserve">招标文件</w:t>
      </w:r>
      <w:r>
        <w:rPr>
          <w:rFonts w:hint="eastAsia"/>
          <w:color w:val="auto"/>
          <w:sz w:val="24"/>
          <w:szCs w:val="24"/>
          <w:highlight w:val="none"/>
        </w:rPr>
        <w:t xml:space="preserve">规定的评审程序、评审方法和评审标准进行独立评审并确定中标候选人。</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spacing w:line="500" w:lineRule="exact"/>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凡是与审查、澄清、评价和比较投标的有关资料以及授标建议等，采购人、评审专家、代理机构均不得向供应商或与评标无关的其他人员透露。</w:t>
      </w:r>
      <w:r/>
    </w:p>
    <w:p>
      <w:pPr>
        <w:ind w:firstLine="480"/>
        <w:jc w:val="left"/>
        <w:spacing w:line="500" w:lineRule="exact"/>
        <w:rPr>
          <w:color w:val="auto"/>
          <w:sz w:val="24"/>
          <w:szCs w:val="24"/>
          <w:highlight w:val="none"/>
        </w:rPr>
      </w:pPr>
      <w:r>
        <w:rPr>
          <w:rFonts w:hint="eastAsia"/>
          <w:color w:val="auto"/>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color w:val="auto"/>
          <w:sz w:val="24"/>
          <w:szCs w:val="24"/>
          <w:highlight w:val="none"/>
        </w:rPr>
      </w:pPr>
      <w:r>
        <w:rPr>
          <w:rFonts w:hint="eastAsia"/>
          <w:color w:val="auto"/>
          <w:sz w:val="24"/>
          <w:szCs w:val="24"/>
          <w:highlight w:val="none"/>
        </w:rPr>
        <w:t xml:space="preserve">24.3 代理机构和评委会不向未中标的供应商解释未中标原因，也不公布评标过程中的相关细节。</w:t>
      </w:r>
      <w:r/>
    </w:p>
    <w:p>
      <w:pPr>
        <w:ind w:firstLine="480"/>
        <w:jc w:val="left"/>
        <w:spacing w:line="500" w:lineRule="exact"/>
        <w:rPr>
          <w:color w:val="auto"/>
          <w:sz w:val="24"/>
          <w:szCs w:val="24"/>
          <w:highlight w:val="none"/>
        </w:rPr>
      </w:pPr>
      <w:r>
        <w:rPr>
          <w:rFonts w:hint="eastAsia"/>
          <w:color w:val="auto"/>
          <w:sz w:val="24"/>
          <w:szCs w:val="24"/>
          <w:highlight w:val="none"/>
        </w:rPr>
        <w:t xml:space="preserve">24.4 采用综合评分法的项目，未中标的供应商可于中标结果公告期限届满之日起通过“苏采云”系统查看自己的评审得分及排序情况。</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spacing w:line="500" w:lineRule="exact"/>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评委会并非对每个供应商都提出澄清、说明或者补正要求。</w:t>
      </w:r>
      <w:r/>
    </w:p>
    <w:p>
      <w:pPr>
        <w:ind w:firstLine="480"/>
        <w:jc w:val="left"/>
        <w:spacing w:line="500" w:lineRule="exact"/>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color w:val="auto"/>
          <w:sz w:val="24"/>
          <w:szCs w:val="24"/>
          <w:highlight w:val="none"/>
        </w:rPr>
      </w:pPr>
      <w:r>
        <w:rPr>
          <w:rFonts w:hint="eastAsia"/>
          <w:color w:val="auto"/>
          <w:sz w:val="24"/>
          <w:szCs w:val="24"/>
          <w:highlight w:val="none"/>
        </w:rPr>
        <w:t xml:space="preserve">25.3 接到评委会澄清、说明或者补正要求的供应商如未按要求响应，其风险由供应商自行承担。</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26、对投标文件的初审</w:t>
      </w:r>
      <w:r/>
    </w:p>
    <w:p>
      <w:pPr>
        <w:ind w:firstLine="480"/>
        <w:jc w:val="left"/>
        <w:spacing w:line="500" w:lineRule="exact"/>
        <w:rPr>
          <w:color w:val="auto"/>
          <w:sz w:val="24"/>
          <w:szCs w:val="24"/>
          <w:highlight w:val="none"/>
        </w:rPr>
      </w:pPr>
      <w:r>
        <w:rPr>
          <w:rFonts w:hint="eastAsia"/>
          <w:color w:val="auto"/>
          <w:sz w:val="24"/>
          <w:szCs w:val="24"/>
          <w:highlight w:val="none"/>
        </w:rPr>
        <w:t xml:space="preserve">26.1 投标文件初审分为资格审查和符合性审查。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spacing w:line="500" w:lineRule="exact"/>
        <w:rPr>
          <w:color w:val="auto"/>
          <w:sz w:val="24"/>
          <w:szCs w:val="24"/>
          <w:highlight w:val="none"/>
        </w:rPr>
      </w:pPr>
      <w:r>
        <w:rPr>
          <w:rFonts w:hint="eastAsia"/>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auto"/>
          <w:sz w:val="24"/>
          <w:szCs w:val="24"/>
          <w:highlight w:val="none"/>
        </w:rPr>
      </w:pPr>
      <w:r>
        <w:rPr>
          <w:rFonts w:hint="eastAsia"/>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所谓重大偏离或保留是指与招标文件规定的实质性要求存在负偏离，或者在实质上与招标文件不一致，而且限制了合同中买方的权利或供应商的义务，纠正这些偏离或保留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color w:val="auto"/>
          <w:sz w:val="24"/>
          <w:szCs w:val="24"/>
          <w:highlight w:val="none"/>
        </w:rPr>
      </w:pPr>
      <w:r>
        <w:rPr>
          <w:rFonts w:hint="eastAsia"/>
          <w:color w:val="auto"/>
          <w:sz w:val="24"/>
          <w:szCs w:val="24"/>
          <w:highlight w:val="none"/>
        </w:rPr>
        <w:t xml:space="preserve">26.3 如果投标文件实质上没有响应招标文件的要求，评委会将予以拒绝，供应商不得通过修改或撤销不符合要求的偏离或保留而使其投标成为实质性响应的投标。</w:t>
      </w:r>
      <w:r/>
    </w:p>
    <w:p>
      <w:pPr>
        <w:ind w:firstLine="480"/>
        <w:jc w:val="left"/>
        <w:spacing w:line="500" w:lineRule="exact"/>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spacing w:line="500" w:lineRule="exact"/>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spacing w:line="500" w:lineRule="exact"/>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spacing w:line="500" w:lineRule="exact"/>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color w:val="auto"/>
          <w:sz w:val="24"/>
          <w:szCs w:val="24"/>
          <w:highlight w:val="none"/>
        </w:rPr>
      </w:pPr>
      <w:r>
        <w:rPr>
          <w:rFonts w:hint="eastAsia"/>
          <w:color w:val="auto"/>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color w:val="auto"/>
          <w:sz w:val="24"/>
          <w:szCs w:val="24"/>
          <w:highlight w:val="none"/>
        </w:rPr>
      </w:pPr>
      <w:r>
        <w:rPr>
          <w:rFonts w:hint="eastAsia"/>
          <w:color w:val="auto"/>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26.7政府采购异常低价审查：</w:t>
      </w:r>
      <w:r/>
    </w:p>
    <w:p>
      <w:pPr>
        <w:ind w:firstLine="480"/>
        <w:jc w:val="left"/>
        <w:spacing w:line="500" w:lineRule="exact"/>
        <w:rPr>
          <w:color w:val="auto"/>
          <w:sz w:val="24"/>
          <w:szCs w:val="24"/>
          <w:highlight w:val="none"/>
        </w:rPr>
      </w:pPr>
      <w:r>
        <w:rPr>
          <w:rFonts w:hint="eastAsia"/>
          <w:color w:val="auto"/>
          <w:sz w:val="24"/>
          <w:szCs w:val="24"/>
          <w:highlight w:val="none"/>
        </w:rPr>
        <w:t xml:space="preserve">（1）评审过程中出现下列情形之一的，磋商小组应当启动异常低价投标（响应）审查程序：</w:t>
      </w:r>
      <w:r/>
    </w:p>
    <w:p>
      <w:pPr>
        <w:ind w:firstLine="480"/>
        <w:jc w:val="left"/>
        <w:spacing w:line="500" w:lineRule="exact"/>
        <w:rPr>
          <w:color w:val="auto"/>
          <w:sz w:val="24"/>
          <w:szCs w:val="24"/>
        </w:rPr>
      </w:pPr>
      <w:r>
        <w:rPr>
          <w:rFonts w:hint="eastAsia"/>
          <w:color w:val="auto"/>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color w:val="auto"/>
          <w:sz w:val="24"/>
          <w:szCs w:val="24"/>
        </w:rPr>
      </w:pPr>
      <w:r>
        <w:rPr>
          <w:rFonts w:hint="eastAsia"/>
          <w:color w:val="auto"/>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rFonts w:eastAsia="宋体"/>
          <w:color w:val="auto"/>
          <w:sz w:val="24"/>
          <w:szCs w:val="24"/>
        </w:rPr>
      </w:pPr>
      <w:r>
        <w:rPr>
          <w:rFonts w:hint="eastAsia"/>
          <w:color w:val="auto"/>
          <w:sz w:val="24"/>
          <w:szCs w:val="24"/>
        </w:rPr>
        <w:t xml:space="preserve">③投标（响应）报价低于采购项目最高限价45%的，即投标（响应）报价&lt;采购项目最高限价×45%</w:t>
      </w:r>
      <w:r>
        <w:rPr>
          <w:rFonts w:hint="eastAsia" w:eastAsia="宋体"/>
          <w:color w:val="auto"/>
          <w:sz w:val="24"/>
          <w:szCs w:val="24"/>
        </w:rPr>
        <w:t xml:space="preserve">；</w:t>
      </w:r>
      <w:r/>
    </w:p>
    <w:p>
      <w:pPr>
        <w:ind w:firstLine="480"/>
        <w:jc w:val="left"/>
        <w:spacing w:line="500" w:lineRule="exact"/>
        <w:rPr>
          <w:color w:val="auto"/>
          <w:sz w:val="24"/>
          <w:szCs w:val="24"/>
          <w:highlight w:val="none"/>
        </w:rPr>
      </w:pPr>
      <w:r>
        <w:rPr>
          <w:rFonts w:hint="eastAsia" w:eastAsia="宋体"/>
          <w:color w:val="auto"/>
          <w:sz w:val="24"/>
          <w:szCs w:val="24"/>
        </w:rPr>
        <w:t xml:space="preserve">④评审委员会基于专业判断，认为供应商报价过低，有可能影响产品质量或者不能诚信履约的其他情形</w:t>
      </w:r>
      <w:r>
        <w:rPr>
          <w:rFonts w:hint="eastAsia"/>
          <w:color w:val="auto"/>
          <w:sz w:val="24"/>
          <w:szCs w:val="24"/>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0"/>
        <w:jc w:val="left"/>
        <w:spacing w:line="500" w:lineRule="exact"/>
        <w:rPr>
          <w:color w:val="auto"/>
          <w:sz w:val="24"/>
          <w:szCs w:val="24"/>
          <w:highlight w:val="none"/>
        </w:rPr>
      </w:pPr>
      <w:r>
        <w:rPr>
          <w:rFonts w:hint="eastAsia"/>
          <w:color w:val="auto"/>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27.1 无效投标条款：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（1）供应商未按照招标文件要求递交（上传）电子投标文件的。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（2）供应商在“苏采云”系统规定的时间内未成功解密电子投标文件的。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（3）供应商不具备招标文件中规定的资格要求的。</w:t>
      </w:r>
      <w:r/>
    </w:p>
    <w:p>
      <w:pPr>
        <w:ind w:firstLine="480"/>
        <w:jc w:val="left"/>
        <w:spacing w:line="500" w:lineRule="exact"/>
        <w:rPr>
          <w:color w:val="auto"/>
          <w:sz w:val="24"/>
          <w:szCs w:val="24"/>
          <w:highlight w:val="none"/>
        </w:rPr>
      </w:pPr>
      <w:r>
        <w:rPr>
          <w:rFonts w:hint="eastAsia"/>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（5）供应商提交两个（含两个）以上不同的投标报价的。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（6）供应商的报价超过了采购预算或者最高限价的。</w:t>
      </w:r>
      <w:r/>
    </w:p>
    <w:p>
      <w:pPr>
        <w:ind w:firstLine="480"/>
        <w:jc w:val="left"/>
        <w:spacing w:line="500" w:lineRule="exact"/>
        <w:rPr>
          <w:color w:val="auto"/>
          <w:sz w:val="24"/>
          <w:szCs w:val="24"/>
          <w:highlight w:val="none"/>
        </w:rPr>
      </w:pPr>
      <w:r>
        <w:rPr>
          <w:rFonts w:hint="eastAsia"/>
          <w:color w:val="auto"/>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color w:val="auto"/>
          <w:sz w:val="24"/>
          <w:szCs w:val="24"/>
          <w:highlight w:val="none"/>
        </w:rPr>
      </w:pPr>
      <w:r>
        <w:rPr>
          <w:rFonts w:hint="eastAsia"/>
          <w:color w:val="auto"/>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color w:val="auto"/>
          <w:sz w:val="24"/>
          <w:szCs w:val="24"/>
          <w:highlight w:val="none"/>
        </w:rPr>
      </w:pPr>
      <w:r>
        <w:rPr>
          <w:rFonts w:hint="eastAsia"/>
          <w:color w:val="auto"/>
          <w:sz w:val="24"/>
          <w:szCs w:val="24"/>
          <w:highlight w:val="none"/>
        </w:rPr>
        <w:t xml:space="preserve">（10）供应商未通过符合性审查的。</w:t>
      </w:r>
      <w:r/>
    </w:p>
    <w:p>
      <w:pPr>
        <w:ind w:firstLine="480"/>
        <w:jc w:val="left"/>
        <w:spacing w:line="500" w:lineRule="exact"/>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spacing w:line="500" w:lineRule="exact"/>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spacing w:line="500" w:lineRule="exact"/>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spacing w:line="500" w:lineRule="exact"/>
        <w:rPr>
          <w:color w:val="auto"/>
          <w:sz w:val="24"/>
          <w:szCs w:val="24"/>
          <w:highlight w:val="none"/>
        </w:rPr>
      </w:pPr>
      <w:r>
        <w:rPr>
          <w:rFonts w:hint="eastAsia"/>
          <w:color w:val="auto"/>
          <w:sz w:val="24"/>
          <w:szCs w:val="24"/>
          <w:highlight w:val="none"/>
        </w:rPr>
        <w:t xml:space="preserve">27.2 有下列情形之一的，视为供应商串通投标，投标无效：</w:t>
      </w:r>
      <w:r/>
    </w:p>
    <w:p>
      <w:pPr>
        <w:ind w:firstLine="480"/>
        <w:jc w:val="left"/>
        <w:spacing w:line="500" w:lineRule="exact"/>
        <w:rPr>
          <w:color w:val="auto"/>
          <w:sz w:val="24"/>
          <w:szCs w:val="24"/>
          <w:highlight w:val="none"/>
        </w:rPr>
      </w:pPr>
      <w:r>
        <w:rPr>
          <w:rFonts w:hint="eastAsia"/>
          <w:color w:val="auto"/>
          <w:sz w:val="24"/>
          <w:szCs w:val="24"/>
          <w:highlight w:val="none"/>
        </w:rPr>
        <w:t xml:space="preserve">（1）不同供应商的投标文件由同一单位或者个人编制。</w:t>
      </w:r>
      <w:r/>
    </w:p>
    <w:p>
      <w:pPr>
        <w:ind w:firstLine="480"/>
        <w:jc w:val="left"/>
        <w:spacing w:line="500" w:lineRule="exact"/>
        <w:rPr>
          <w:color w:val="auto"/>
          <w:sz w:val="24"/>
          <w:szCs w:val="24"/>
          <w:highlight w:val="none"/>
        </w:rPr>
      </w:pPr>
      <w:r>
        <w:rPr>
          <w:rFonts w:hint="eastAsia"/>
          <w:color w:val="auto"/>
          <w:sz w:val="24"/>
          <w:szCs w:val="24"/>
          <w:highlight w:val="none"/>
        </w:rPr>
        <w:t xml:space="preserve">（2）不同供应商委托同一单位或者个人办理投标事宜。</w:t>
      </w:r>
      <w:r/>
    </w:p>
    <w:p>
      <w:pPr>
        <w:ind w:firstLine="480"/>
        <w:jc w:val="left"/>
        <w:spacing w:line="500" w:lineRule="exact"/>
        <w:rPr>
          <w:color w:val="auto"/>
          <w:sz w:val="24"/>
          <w:szCs w:val="24"/>
          <w:highlight w:val="none"/>
        </w:rPr>
      </w:pPr>
      <w:r>
        <w:rPr>
          <w:rFonts w:hint="eastAsia"/>
          <w:color w:val="auto"/>
          <w:sz w:val="24"/>
          <w:szCs w:val="24"/>
          <w:highlight w:val="none"/>
        </w:rPr>
        <w:t xml:space="preserve">（3）不同供应商的投标文件载明的项目管理成员或者联系人员为同一人。</w:t>
      </w:r>
      <w:r/>
    </w:p>
    <w:p>
      <w:pPr>
        <w:ind w:firstLine="480"/>
        <w:jc w:val="left"/>
        <w:spacing w:line="500" w:lineRule="exact"/>
        <w:rPr>
          <w:color w:val="auto"/>
          <w:sz w:val="24"/>
          <w:szCs w:val="24"/>
          <w:highlight w:val="none"/>
        </w:rPr>
      </w:pPr>
      <w:r>
        <w:rPr>
          <w:rFonts w:hint="eastAsia"/>
          <w:color w:val="auto"/>
          <w:sz w:val="24"/>
          <w:szCs w:val="24"/>
          <w:highlight w:val="none"/>
        </w:rPr>
        <w:t xml:space="preserve">（4）不同供应商的投标文件异常一致或者投标报价呈规律性差异。</w:t>
      </w:r>
      <w:r/>
    </w:p>
    <w:p>
      <w:pPr>
        <w:ind w:firstLine="480"/>
        <w:jc w:val="left"/>
        <w:spacing w:line="500" w:lineRule="exact"/>
        <w:rPr>
          <w:color w:val="auto"/>
          <w:sz w:val="24"/>
          <w:szCs w:val="24"/>
          <w:highlight w:val="none"/>
        </w:rPr>
      </w:pPr>
      <w:r>
        <w:rPr>
          <w:rFonts w:hint="eastAsia"/>
          <w:color w:val="auto"/>
          <w:sz w:val="24"/>
          <w:szCs w:val="24"/>
          <w:highlight w:val="none"/>
        </w:rPr>
        <w:t xml:space="preserve">（5）不同供应商的投标文件相互混装。</w:t>
      </w:r>
      <w:r/>
    </w:p>
    <w:p>
      <w:pPr>
        <w:ind w:firstLine="480"/>
        <w:jc w:val="left"/>
        <w:spacing w:line="500" w:lineRule="exact"/>
        <w:rPr>
          <w:color w:val="auto"/>
          <w:sz w:val="24"/>
          <w:szCs w:val="24"/>
          <w:highlight w:val="none"/>
        </w:rPr>
      </w:pPr>
      <w:r>
        <w:rPr>
          <w:rFonts w:hint="eastAsia"/>
          <w:color w:val="auto"/>
          <w:sz w:val="24"/>
          <w:szCs w:val="24"/>
          <w:highlight w:val="none"/>
        </w:rPr>
        <w:t xml:space="preserve">27.3 废标条款：</w:t>
      </w:r>
      <w:r/>
    </w:p>
    <w:p>
      <w:pPr>
        <w:ind w:firstLine="480"/>
        <w:jc w:val="left"/>
        <w:spacing w:line="500" w:lineRule="exact"/>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spacing w:line="500" w:lineRule="exact"/>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spacing w:line="500" w:lineRule="exact"/>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spacing w:line="500" w:lineRule="exact"/>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spacing w:line="500" w:lineRule="exact"/>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spacing w:line="500" w:lineRule="exact"/>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spacing w:line="500" w:lineRule="exact"/>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spacing w:line="500" w:lineRule="exact"/>
        <w:rPr>
          <w:color w:val="auto"/>
          <w:sz w:val="24"/>
          <w:szCs w:val="24"/>
          <w:highlight w:val="none"/>
        </w:rPr>
      </w:pPr>
      <w:r>
        <w:rPr>
          <w:rFonts w:hint="eastAsia"/>
          <w:color w:val="auto"/>
          <w:sz w:val="24"/>
          <w:szCs w:val="24"/>
          <w:highlight w:val="none"/>
        </w:rPr>
        <w:t xml:space="preserve">28.3 代理机构将在江苏政府采购网发布中标公告，公告期限为1个工作日。</w:t>
      </w:r>
      <w:r/>
    </w:p>
    <w:p>
      <w:pPr>
        <w:ind w:firstLine="480"/>
        <w:jc w:val="left"/>
        <w:spacing w:line="500" w:lineRule="exact"/>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spacing w:line="500" w:lineRule="exact"/>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spacing w:line="500" w:lineRule="exact"/>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spacing w:line="500" w:lineRule="exact"/>
        <w:rPr>
          <w:color w:val="auto"/>
          <w:sz w:val="24"/>
          <w:szCs w:val="24"/>
          <w:highlight w:val="none"/>
        </w:rPr>
      </w:pPr>
      <w:r>
        <w:rPr>
          <w:rFonts w:hint="eastAsia"/>
          <w:color w:val="auto"/>
          <w:sz w:val="24"/>
          <w:szCs w:val="24"/>
          <w:highlight w:val="none"/>
        </w:rPr>
        <w:t xml:space="preserve">（3）与采购人、其他供应商或者代理机构恶意串通的。</w:t>
      </w:r>
      <w:r/>
    </w:p>
    <w:p>
      <w:pPr>
        <w:ind w:firstLine="480"/>
        <w:jc w:val="left"/>
        <w:spacing w:line="500" w:lineRule="exact"/>
        <w:rPr>
          <w:color w:val="auto"/>
          <w:sz w:val="24"/>
          <w:szCs w:val="24"/>
          <w:highlight w:val="none"/>
        </w:rPr>
      </w:pPr>
      <w:r>
        <w:rPr>
          <w:rFonts w:hint="eastAsia"/>
          <w:color w:val="auto"/>
          <w:sz w:val="24"/>
          <w:szCs w:val="24"/>
          <w:highlight w:val="none"/>
        </w:rPr>
        <w:t xml:space="preserve">（4）向采购人、代理机构行贿或者提供其他不正当利益的。</w:t>
      </w:r>
      <w:r/>
    </w:p>
    <w:p>
      <w:pPr>
        <w:ind w:firstLine="480"/>
        <w:jc w:val="left"/>
        <w:spacing w:line="500" w:lineRule="exact"/>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spacing w:line="500" w:lineRule="exact"/>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spacing w:line="500" w:lineRule="exact"/>
        <w:rPr>
          <w:color w:val="auto"/>
          <w:sz w:val="24"/>
          <w:szCs w:val="24"/>
          <w:highlight w:val="none"/>
        </w:rPr>
      </w:pPr>
      <w:r>
        <w:rPr>
          <w:rFonts w:hint="eastAsia"/>
          <w:color w:val="auto"/>
          <w:sz w:val="24"/>
          <w:szCs w:val="24"/>
          <w:highlight w:val="none"/>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color w:val="auto"/>
          <w:sz w:val="24"/>
          <w:szCs w:val="24"/>
          <w:highlight w:val="none"/>
        </w:rPr>
      </w:pPr>
      <w:r>
        <w:rPr>
          <w:rFonts w:hint="eastAsia"/>
          <w:color w:val="auto"/>
          <w:sz w:val="24"/>
          <w:szCs w:val="24"/>
          <w:highlight w:val="none"/>
        </w:rPr>
        <w:t xml:space="preserve">29.3 中标人应在中标后七个工作日内，向代理机构各提供肆份与电子投标文件一致的纸质打印胶装投标文件，封面、骑缝需加盖公章。</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p>
    <w:p>
      <w:pPr>
        <w:ind w:firstLine="480"/>
        <w:jc w:val="left"/>
        <w:spacing w:line="500" w:lineRule="exact"/>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spacing w:line="500" w:lineRule="exact"/>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spacing w:line="500" w:lineRule="exact"/>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spacing w:line="500" w:lineRule="exact"/>
        <w:rPr>
          <w:color w:val="auto"/>
          <w:sz w:val="24"/>
          <w:szCs w:val="24"/>
          <w:highlight w:val="none"/>
        </w:rPr>
      </w:pPr>
      <w:r>
        <w:rPr>
          <w:rFonts w:hint="eastAsia"/>
          <w:color w:val="auto"/>
          <w:sz w:val="24"/>
          <w:szCs w:val="24"/>
          <w:highlight w:val="none"/>
        </w:rPr>
        <w:t xml:space="preserve">33.1 供应商对政府采购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spacing w:line="500" w:lineRule="exact"/>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spacing w:line="500" w:lineRule="exact"/>
        <w:rPr>
          <w:color w:val="auto"/>
          <w:sz w:val="24"/>
          <w:szCs w:val="24"/>
          <w:highlight w:val="none"/>
        </w:rPr>
      </w:pPr>
      <w:r>
        <w:rPr>
          <w:rFonts w:hint="eastAsia"/>
          <w:color w:val="auto"/>
          <w:sz w:val="24"/>
          <w:szCs w:val="24"/>
          <w:highlight w:val="none"/>
        </w:rPr>
        <w:t xml:space="preserve">34.2 供应商认为</w:t>
      </w:r>
      <w:r>
        <w:rPr>
          <w:rFonts w:hint="eastAsia" w:eastAsia="宋体"/>
          <w:color w:val="auto"/>
          <w:sz w:val="24"/>
          <w:szCs w:val="24"/>
          <w:highlight w:val="none"/>
        </w:rPr>
        <w:t xml:space="preserve">招标文件</w:t>
      </w:r>
      <w:r>
        <w:rPr>
          <w:rFonts w:hint="eastAsia"/>
          <w:color w:val="auto"/>
          <w:sz w:val="24"/>
          <w:szCs w:val="24"/>
          <w:highlight w:val="none"/>
        </w:rPr>
        <w:t xml:space="preserve">、采购过程、采购结果使自己的权益受到损害的，可以在知道或者应知其权益受到损害之日（获取</w:t>
      </w:r>
      <w:r>
        <w:rPr>
          <w:rFonts w:hint="eastAsia" w:eastAsia="宋体"/>
          <w:color w:val="auto"/>
          <w:sz w:val="24"/>
          <w:szCs w:val="24"/>
          <w:highlight w:val="none"/>
        </w:rPr>
        <w:t xml:space="preserve">招标文件</w:t>
      </w:r>
      <w:r>
        <w:rPr>
          <w:rFonts w:hint="eastAsia"/>
          <w:color w:val="auto"/>
          <w:sz w:val="24"/>
          <w:szCs w:val="24"/>
          <w:highlight w:val="none"/>
        </w:rPr>
        <w:t xml:space="preserve">之日、中标公告发布之日）起七个工作日内以书面形式向采购人、代理机构提出质疑。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未按照采购公告要求获取</w:t>
      </w:r>
      <w:r>
        <w:rPr>
          <w:rFonts w:hint="eastAsia" w:eastAsia="宋体"/>
          <w:color w:val="auto"/>
          <w:sz w:val="24"/>
          <w:szCs w:val="24"/>
          <w:highlight w:val="none"/>
        </w:rPr>
        <w:t xml:space="preserve">招标文件</w:t>
      </w:r>
      <w:r>
        <w:rPr>
          <w:rFonts w:hint="eastAsia"/>
          <w:color w:val="auto"/>
          <w:sz w:val="24"/>
          <w:szCs w:val="24"/>
          <w:highlight w:val="none"/>
        </w:rPr>
        <w:t xml:space="preserve">的供应商，视为未参与该项目采购活动，不具备对该</w:t>
      </w:r>
      <w:r>
        <w:rPr>
          <w:rFonts w:hint="eastAsia" w:eastAsia="宋体"/>
          <w:color w:val="auto"/>
          <w:sz w:val="24"/>
          <w:szCs w:val="24"/>
          <w:highlight w:val="none"/>
        </w:rPr>
        <w:t xml:space="preserve">招标文件</w:t>
      </w:r>
      <w:r>
        <w:rPr>
          <w:rFonts w:hint="eastAsia"/>
          <w:color w:val="auto"/>
          <w:sz w:val="24"/>
          <w:szCs w:val="24"/>
          <w:highlight w:val="none"/>
        </w:rPr>
        <w:t xml:space="preserve">提出质疑的法定权利。</w:t>
      </w:r>
      <w:r/>
    </w:p>
    <w:p>
      <w:pPr>
        <w:ind w:firstLine="480"/>
        <w:jc w:val="left"/>
        <w:spacing w:line="500" w:lineRule="exact"/>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left"/>
        <w:spacing w:line="500" w:lineRule="exact"/>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spacing w:line="500" w:lineRule="exact"/>
        <w:rPr>
          <w:color w:val="auto"/>
          <w:sz w:val="24"/>
          <w:szCs w:val="24"/>
          <w:highlight w:val="none"/>
        </w:rPr>
      </w:pPr>
      <w:r>
        <w:rPr>
          <w:rFonts w:hint="eastAsia"/>
          <w:color w:val="auto"/>
          <w:sz w:val="24"/>
          <w:szCs w:val="24"/>
          <w:highlight w:val="none"/>
        </w:rPr>
        <w:t xml:space="preserve">（2）质疑项目的名称、编号；</w:t>
      </w:r>
      <w:r/>
    </w:p>
    <w:p>
      <w:pPr>
        <w:ind w:firstLine="480"/>
        <w:jc w:val="left"/>
        <w:spacing w:line="500" w:lineRule="exact"/>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spacing w:line="500" w:lineRule="exact"/>
        <w:rPr>
          <w:color w:val="auto"/>
          <w:sz w:val="24"/>
          <w:szCs w:val="24"/>
          <w:highlight w:val="none"/>
        </w:rPr>
      </w:pPr>
      <w:r>
        <w:rPr>
          <w:rFonts w:hint="eastAsia"/>
          <w:color w:val="auto"/>
          <w:sz w:val="24"/>
          <w:szCs w:val="24"/>
          <w:highlight w:val="none"/>
        </w:rPr>
        <w:t xml:space="preserve">（4）事实依据；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（5）必要的法律依据；</w:t>
      </w:r>
      <w:r/>
    </w:p>
    <w:p>
      <w:pPr>
        <w:ind w:firstLine="480"/>
        <w:jc w:val="left"/>
        <w:spacing w:line="500" w:lineRule="exact"/>
        <w:rPr>
          <w:color w:val="auto"/>
          <w:sz w:val="24"/>
          <w:szCs w:val="24"/>
          <w:highlight w:val="none"/>
        </w:rPr>
      </w:pPr>
      <w:r>
        <w:rPr>
          <w:rFonts w:hint="eastAsia"/>
          <w:color w:val="auto"/>
          <w:sz w:val="24"/>
          <w:szCs w:val="24"/>
          <w:highlight w:val="none"/>
        </w:rPr>
        <w:t xml:space="preserve">（6）提出质疑的日期；</w:t>
      </w:r>
      <w:r/>
    </w:p>
    <w:p>
      <w:pPr>
        <w:ind w:firstLine="480"/>
        <w:jc w:val="left"/>
        <w:spacing w:line="500" w:lineRule="exact"/>
        <w:rPr>
          <w:color w:val="auto"/>
          <w:sz w:val="24"/>
          <w:szCs w:val="24"/>
          <w:highlight w:val="none"/>
        </w:rPr>
      </w:pPr>
      <w:r>
        <w:rPr>
          <w:rFonts w:hint="eastAsia"/>
          <w:color w:val="auto"/>
          <w:sz w:val="24"/>
          <w:szCs w:val="24"/>
          <w:highlight w:val="none"/>
        </w:rPr>
        <w:t xml:space="preserve">（7）必要的证明材料；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72"/>
        <w:ind w:firstLine="562"/>
        <w:jc w:val="left"/>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spacing w:line="500" w:lineRule="exact"/>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35.2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35.3 对不符合质疑要求的，采购人、代理机构有权要求其补充必要的证明材料，质疑供应商未在法定时间内补充必要的证明材料的，视同放弃质疑。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spacing w:line="500" w:lineRule="exact"/>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spacing w:line="500" w:lineRule="exact"/>
        <w:rPr>
          <w:color w:val="auto"/>
          <w:sz w:val="24"/>
          <w:szCs w:val="24"/>
          <w:highlight w:val="none"/>
        </w:rPr>
      </w:pPr>
      <w:r>
        <w:rPr>
          <w:rFonts w:hint="eastAsia"/>
          <w:color w:val="auto"/>
          <w:sz w:val="24"/>
          <w:szCs w:val="24"/>
          <w:highlight w:val="none"/>
        </w:rPr>
        <w:t xml:space="preserve">35.5 采购人、代理机构依法受理的质疑，将按照政府采购有关规定，在法定期限内作出答复。</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spacing w:line="500" w:lineRule="exact"/>
        <w:rPr>
          <w:color w:val="auto"/>
          <w:sz w:val="24"/>
          <w:szCs w:val="24"/>
          <w:highlight w:val="none"/>
        </w:rPr>
      </w:pPr>
      <w:r>
        <w:rPr>
          <w:rFonts w:hint="eastAsia"/>
          <w:color w:val="auto"/>
          <w:sz w:val="24"/>
          <w:szCs w:val="24"/>
          <w:highlight w:val="none"/>
        </w:rPr>
        <w:t xml:space="preserve">36.7 未尽事宜，依照有关法律、法规执行。</w:t>
      </w:r>
      <w:r/>
    </w:p>
    <w:p>
      <w:pPr>
        <w:pStyle w:val="871"/>
        <w:spacing w:before="0" w:after="0" w:line="360" w:lineRule="auto"/>
        <w:rPr>
          <w:rFonts w:hint="eastAsia"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72"/>
        <w:ind w:firstLine="562"/>
        <w:jc w:val="left"/>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color w:val="auto"/>
          <w:sz w:val="24"/>
          <w:szCs w:val="24"/>
          <w:highlight w:val="none"/>
        </w:rPr>
      </w:pPr>
      <w:r>
        <w:rPr>
          <w:rFonts w:hint="eastAsia"/>
          <w:color w:val="auto"/>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37.2参加本项目政府采购活动的供应商应当提供的材料：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（1）供应商为</w:t>
      </w:r>
      <w:r>
        <w:rPr>
          <w:rFonts w:hint="eastAsia" w:eastAsia="宋体"/>
          <w:color w:val="auto"/>
          <w:sz w:val="24"/>
          <w:szCs w:val="24"/>
          <w:highlight w:val="none"/>
        </w:rPr>
        <w:t xml:space="preserve">中型企业、</w:t>
      </w:r>
      <w:r>
        <w:rPr>
          <w:rFonts w:hint="eastAsia"/>
          <w:color w:val="auto"/>
          <w:sz w:val="24"/>
          <w:szCs w:val="24"/>
          <w:highlight w:val="none"/>
        </w:rPr>
        <w:t xml:space="preserve">小型企业、微型企业的，提供《中小企业声明函》（第六章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3</w:t>
      </w:r>
      <w:r>
        <w:rPr>
          <w:rFonts w:hint="eastAsia"/>
          <w:color w:val="auto"/>
          <w:sz w:val="24"/>
          <w:szCs w:val="24"/>
          <w:highlight w:val="none"/>
        </w:rPr>
        <w:t xml:space="preserve"> 残疾人福利单位、监狱企业属于小型、微型企业的，不重复享受政策。</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eastAsia="宋体"/>
          <w:color w:val="auto"/>
          <w:sz w:val="24"/>
          <w:szCs w:val="24"/>
          <w:highlight w:val="none"/>
        </w:rPr>
        <w:t xml:space="preserve">4</w:t>
      </w:r>
      <w:r>
        <w:rPr>
          <w:rFonts w:hint="eastAsia"/>
          <w:color w:val="auto"/>
          <w:sz w:val="24"/>
          <w:szCs w:val="24"/>
          <w:highlight w:val="none"/>
        </w:rPr>
        <w:t xml:space="preserve"> 享受扶持政策获得政府采购合同的，小微型企业不得将合同分包给大中型企业，中型企业不得将合同分包给大型企业。</w:t>
      </w:r>
      <w:r/>
    </w:p>
    <w:p>
      <w:pPr>
        <w:pStyle w:val="1076"/>
        <w:ind w:firstLine="562"/>
        <w:jc w:val="left"/>
        <w:spacing w:before="0" w:after="0" w:line="360" w:lineRule="auto"/>
        <w:rPr>
          <w:color w:val="auto"/>
          <w:sz w:val="28"/>
          <w:szCs w:val="28"/>
        </w:rPr>
      </w:pPr>
      <w:r>
        <w:rPr>
          <w:rFonts w:hint="eastAsia"/>
          <w:color w:val="auto"/>
          <w:sz w:val="28"/>
          <w:szCs w:val="28"/>
        </w:rPr>
        <w:t xml:space="preserve">38、政府采购中实施本国产品标准及相关政策</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38.6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2"/>
        <w:ind w:firstLine="562"/>
        <w:jc w:val="left"/>
        <w:spacing w:before="0" w:after="0" w:line="360" w:lineRule="auto"/>
        <w:rPr>
          <w:rFonts w:hint="eastAsia"/>
          <w:color w:val="auto"/>
          <w:sz w:val="28"/>
          <w:szCs w:val="28"/>
        </w:rPr>
      </w:pPr>
      <w:r>
        <w:rPr>
          <w:rFonts w:hint="eastAsia" w:ascii="宋体" w:hAnsi="宋体" w:cs="宋体"/>
          <w:b w:val="0"/>
          <w:color w:val="auto"/>
          <w:sz w:val="24"/>
          <w:szCs w:val="24"/>
        </w:rPr>
        <w:t xml:space="preserve">38.7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72"/>
        <w:ind w:firstLine="562"/>
        <w:jc w:val="left"/>
        <w:spacing w:before="0" w:after="0" w:line="360" w:lineRule="auto"/>
        <w:rPr>
          <w:color w:val="auto"/>
          <w:sz w:val="28"/>
          <w:szCs w:val="28"/>
        </w:rPr>
      </w:pPr>
      <w:r>
        <w:rPr>
          <w:rFonts w:hint="eastAsia"/>
          <w:color w:val="auto"/>
          <w:sz w:val="28"/>
          <w:szCs w:val="28"/>
        </w:rPr>
        <w:t xml:space="preserve">3</w:t>
      </w:r>
      <w:r>
        <w:rPr>
          <w:rFonts w:hint="eastAsia"/>
          <w:color w:val="auto"/>
          <w:sz w:val="28"/>
          <w:szCs w:val="28"/>
          <w:lang w:val="en-US" w:eastAsia="zh-CN"/>
        </w:rPr>
        <w:t xml:space="preserve">9</w:t>
      </w:r>
      <w:r>
        <w:rPr>
          <w:rFonts w:hint="eastAsia"/>
          <w:color w:val="auto"/>
          <w:sz w:val="28"/>
          <w:szCs w:val="28"/>
        </w:rPr>
        <w:t xml:space="preserve">、支持绿色发展</w:t>
      </w:r>
      <w:r/>
    </w:p>
    <w:p>
      <w:pPr>
        <w:ind w:firstLine="480"/>
        <w:jc w:val="left"/>
        <w:spacing w:line="500" w:lineRule="exact"/>
        <w:rPr>
          <w:color w:val="auto"/>
          <w:sz w:val="24"/>
          <w:szCs w:val="24"/>
        </w:rPr>
      </w:pPr>
      <w:r>
        <w:rPr>
          <w:rFonts w:hint="eastAsia"/>
          <w:color w:val="auto"/>
          <w:sz w:val="24"/>
          <w:szCs w:val="24"/>
        </w:rPr>
        <w:t xml:space="preserve">3</w:t>
      </w:r>
      <w:r>
        <w:rPr>
          <w:rFonts w:hint="eastAsia"/>
          <w:color w:val="auto"/>
          <w:sz w:val="24"/>
          <w:szCs w:val="24"/>
          <w:lang w:val="en-US" w:eastAsia="zh-CN"/>
        </w:rPr>
        <w:t xml:space="preserve">9</w:t>
      </w:r>
      <w:r>
        <w:rPr>
          <w:rFonts w:hint="eastAsia"/>
          <w:color w:val="auto"/>
          <w:sz w:val="24"/>
          <w:szCs w:val="24"/>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color w:val="auto"/>
          <w:sz w:val="24"/>
          <w:szCs w:val="24"/>
          <w:highlight w:val="none"/>
        </w:rPr>
      </w:pPr>
      <w:r>
        <w:rPr>
          <w:rFonts w:hint="eastAsia"/>
          <w:color w:val="auto"/>
          <w:sz w:val="24"/>
          <w:szCs w:val="24"/>
        </w:rPr>
        <w:t xml:space="preserve">3</w:t>
      </w:r>
      <w:r>
        <w:rPr>
          <w:rFonts w:hint="eastAsia"/>
          <w:color w:val="auto"/>
          <w:sz w:val="24"/>
          <w:szCs w:val="24"/>
          <w:lang w:val="en-US" w:eastAsia="zh-CN"/>
        </w:rPr>
        <w:t xml:space="preserve">9</w:t>
      </w:r>
      <w:r>
        <w:rPr>
          <w:rFonts w:hint="eastAsia"/>
          <w:color w:val="auto"/>
          <w:sz w:val="24"/>
          <w:szCs w:val="24"/>
        </w:rPr>
        <w:t xml:space="preserve">.2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jc w:val="left"/>
        <w:widowControl/>
        <w:rPr>
          <w:color w:val="auto"/>
          <w:sz w:val="24"/>
          <w:szCs w:val="24"/>
          <w:highlight w:val="none"/>
        </w:rPr>
      </w:pPr>
      <w:r>
        <w:rPr>
          <w:color w:val="auto"/>
          <w:sz w:val="24"/>
          <w:szCs w:val="24"/>
          <w:highlight w:val="none"/>
        </w:rPr>
        <w:br w:type="page" w:clear="all"/>
      </w:r>
      <w:r/>
    </w:p>
    <w:p>
      <w:pPr>
        <w:pStyle w:val="870"/>
        <w:jc w:val="center"/>
        <w:keepNext w:val="0"/>
        <w:rPr>
          <w:rFonts w:hint="eastAsia" w:ascii="黑体" w:hAnsi="黑体" w:eastAsia="黑体"/>
          <w:color w:val="auto"/>
          <w:highlight w:val="none"/>
        </w:rPr>
      </w:pPr>
      <w:r/>
      <w:bookmarkStart w:id="2" w:name="_Toc17167"/>
      <w:r/>
      <w:bookmarkStart w:id="3" w:name="_Toc28816"/>
      <w:r>
        <w:rPr>
          <w:rFonts w:hint="eastAsia" w:ascii="黑体" w:hAnsi="黑体" w:eastAsia="黑体"/>
          <w:color w:val="auto"/>
          <w:highlight w:val="none"/>
        </w:rPr>
        <w:t xml:space="preserve">第三章 合同条款及格式</w:t>
      </w:r>
      <w:bookmarkEnd w:id="2"/>
      <w:r/>
      <w:bookmarkEnd w:id="3"/>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rFonts w:hint="eastAsia" w:ascii="黑体" w:hAnsi="黑体" w:eastAsia="黑体"/>
          <w:color w:val="auto"/>
          <w:sz w:val="44"/>
          <w:szCs w:val="44"/>
          <w:highlight w:val="none"/>
        </w:rPr>
      </w:pPr>
      <w:r>
        <w:rPr>
          <w:rFonts w:hint="eastAsia" w:ascii="黑体" w:hAnsi="黑体" w:eastAsia="黑体"/>
          <w:color w:val="auto"/>
          <w:sz w:val="44"/>
          <w:szCs w:val="44"/>
          <w:highlight w:val="none"/>
        </w:rPr>
      </w:r>
      <w:r/>
    </w:p>
    <w:p>
      <w:pPr>
        <w:rPr>
          <w:color w:val="auto"/>
          <w:highlight w:val="none"/>
        </w:rPr>
      </w:pPr>
      <w:r>
        <w:rPr>
          <w:color w:val="auto"/>
          <w:highlight w:val="none"/>
        </w:rPr>
      </w:r>
      <w:r/>
    </w:p>
    <w:p>
      <w:pPr>
        <w:ind w:firstLine="2078"/>
        <w:spacing w:line="360" w:lineRule="auto"/>
        <w:rPr>
          <w:rFonts w:hint="eastAsia" w:ascii="宋体" w:hAnsi="宋体"/>
          <w:b/>
          <w:bCs/>
          <w:color w:val="auto"/>
          <w:sz w:val="52"/>
          <w:highlight w:val="none"/>
        </w:rPr>
      </w:pPr>
      <w:r>
        <w:rPr>
          <w:rFonts w:hint="eastAsia" w:ascii="宋体" w:hAnsi="宋体"/>
          <w:b/>
          <w:bCs/>
          <w:color w:val="auto"/>
          <w:sz w:val="52"/>
          <w:highlight w:val="none"/>
        </w:rPr>
        <w:t xml:space="preserve">连 云 港 市 政 府 采 购</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                                                 </w:t>
      </w:r>
      <w:r/>
    </w:p>
    <w:p>
      <w:pPr>
        <w:jc w:val="center"/>
        <w:spacing w:line="360" w:lineRule="auto"/>
        <w:rPr>
          <w:rFonts w:hint="eastAsia" w:ascii="宋体" w:hAnsi="宋体"/>
          <w:b/>
          <w:bCs/>
          <w:color w:val="auto"/>
          <w:sz w:val="44"/>
          <w:highlight w:val="none"/>
        </w:rPr>
      </w:pPr>
      <w:r>
        <w:rPr>
          <w:rFonts w:hint="eastAsia" w:ascii="宋体" w:hAnsi="宋体"/>
          <w:b/>
          <w:bCs/>
          <w:color w:val="auto"/>
          <w:sz w:val="44"/>
          <w:highlight w:val="none"/>
          <w:u w:val="single"/>
        </w:rPr>
        <w:t xml:space="preserve">                    </w:t>
      </w:r>
      <w:r>
        <w:rPr>
          <w:rFonts w:hint="eastAsia" w:ascii="宋体" w:hAnsi="宋体"/>
          <w:b/>
          <w:bCs/>
          <w:color w:val="auto"/>
          <w:sz w:val="44"/>
          <w:highlight w:val="none"/>
        </w:rPr>
        <w:t xml:space="preserve">合同</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ascii="宋体" w:hAnsi="宋体"/>
          <w:color w:val="auto"/>
          <w:sz w:val="44"/>
          <w:szCs w:val="44"/>
          <w:highlight w:val="none"/>
        </w:rPr>
      </w:pPr>
      <w:r>
        <w:rPr>
          <w:rFonts w:hint="eastAsia" w:ascii="宋体" w:hAnsi="宋体"/>
          <w:color w:val="auto"/>
          <w:sz w:val="44"/>
          <w:szCs w:val="44"/>
          <w:highlight w:val="none"/>
        </w:rPr>
      </w:r>
      <w:r/>
    </w:p>
    <w:p>
      <w:pPr>
        <w:ind w:firstLine="1966"/>
        <w:spacing w:line="360" w:lineRule="auto"/>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合同编号：</w:t>
      </w:r>
      <w:r/>
    </w:p>
    <w:p>
      <w:pPr>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880"/>
        <w:spacing w:line="360" w:lineRule="auto"/>
        <w:rPr>
          <w:rFonts w:hint="eastAsia" w:ascii="宋体" w:hAnsi="宋体"/>
          <w:color w:val="auto"/>
          <w:sz w:val="44"/>
          <w:highlight w:val="none"/>
        </w:rPr>
      </w:pPr>
      <w:r>
        <w:rPr>
          <w:rFonts w:hint="eastAsia" w:ascii="宋体" w:hAnsi="宋体"/>
          <w:color w:val="auto"/>
          <w:sz w:val="44"/>
          <w:highlight w:val="none"/>
        </w:rPr>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采购人：</w:t>
      </w:r>
      <w:r/>
    </w:p>
    <w:p>
      <w:pPr>
        <w:ind w:firstLine="1758"/>
        <w:spacing w:line="360" w:lineRule="auto"/>
        <w:rPr>
          <w:rFonts w:hint="eastAsia" w:ascii="宋体" w:hAnsi="宋体"/>
          <w:b/>
          <w:bCs/>
          <w:color w:val="auto"/>
          <w:sz w:val="44"/>
          <w:highlight w:val="none"/>
        </w:rPr>
      </w:pPr>
      <w:r>
        <w:rPr>
          <w:rFonts w:hint="eastAsia" w:ascii="宋体" w:hAnsi="宋体"/>
          <w:b/>
          <w:bCs/>
          <w:color w:val="auto"/>
          <w:sz w:val="44"/>
          <w:highlight w:val="none"/>
        </w:rPr>
        <w:t xml:space="preserve">中标人：</w:t>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sz w:val="28"/>
          <w:highlight w:val="none"/>
        </w:rPr>
      </w:pPr>
      <w:r>
        <w:rPr>
          <w:rFonts w:ascii="宋体" w:hAnsi="宋体"/>
          <w:color w:val="auto"/>
          <w:highlight w:val="none"/>
        </w:rPr>
        <w:br w:type="page" w:clear="all"/>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以下为中标后签订本项目合同的通用条款，中标供应商不得提出实质性的修改，关于专用条款将由采购人与中标供应商结合本项目具体情况协商后签订。</w:t>
      </w:r>
      <w:r/>
    </w:p>
    <w:p>
      <w:pPr>
        <w:jc w:val="center"/>
        <w:spacing w:line="560" w:lineRule="exact"/>
        <w:rPr>
          <w:rFonts w:ascii="Times New Roman" w:hAnsi="Times New Roman" w:eastAsia="宋体" w:cs="Times New Roman"/>
          <w:b/>
          <w:color w:val="auto"/>
          <w:sz w:val="32"/>
          <w:szCs w:val="32"/>
          <w:highlight w:val="none"/>
        </w:rPr>
      </w:pPr>
      <w:r>
        <w:rPr>
          <w:rFonts w:ascii="Times New Roman" w:hAnsi="Times New Roman" w:eastAsia="宋体" w:cs="Times New Roman"/>
          <w:b/>
          <w:color w:val="auto"/>
          <w:sz w:val="32"/>
          <w:szCs w:val="32"/>
          <w:highlight w:val="none"/>
        </w:rPr>
      </w:r>
      <w:r/>
    </w:p>
    <w:p>
      <w:pPr>
        <w:jc w:val="center"/>
        <w:spacing w:line="560" w:lineRule="exact"/>
        <w:rPr>
          <w:rFonts w:hint="eastAsia" w:ascii="宋体" w:hAnsi="宋体" w:eastAsia="宋体" w:cs="Times New Roman"/>
          <w:bCs/>
          <w:color w:val="auto"/>
          <w:sz w:val="24"/>
          <w:szCs w:val="24"/>
          <w:highlight w:val="none"/>
        </w:rPr>
      </w:pPr>
      <w:r>
        <w:rPr>
          <w:rFonts w:hint="eastAsia" w:ascii="Times New Roman" w:hAnsi="Times New Roman" w:eastAsia="宋体" w:cs="Times New Roman"/>
          <w:b/>
          <w:color w:val="auto"/>
          <w:sz w:val="32"/>
          <w:szCs w:val="32"/>
          <w:highlight w:val="none"/>
        </w:rPr>
        <w:t xml:space="preserve">政府采购合同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rPr>
        <w:t xml:space="preserve">连云港市市政公用事业发展中心</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乙方：_________</w:t>
      </w:r>
      <w:r/>
    </w:p>
    <w:p>
      <w:pPr>
        <w:ind w:firstLine="480"/>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0"/>
          <w:highlight w:val="none"/>
        </w:rPr>
        <w:t xml:space="preserve">年月日</w:t>
      </w:r>
      <w:r>
        <w:rPr>
          <w:rFonts w:hint="eastAsia" w:ascii="宋体" w:hAnsi="宋体" w:eastAsia="宋体" w:cs="Times New Roman"/>
          <w:color w:val="auto"/>
          <w:sz w:val="24"/>
          <w:szCs w:val="20"/>
          <w:highlight w:val="none"/>
          <w:lang w:val="en-US" w:eastAsia="zh-CN"/>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标段</w:t>
      </w:r>
      <w:r>
        <w:rPr>
          <w:rFonts w:ascii="宋体" w:hAnsi="宋体" w:eastAsia="宋体" w:cs="Times New Roman"/>
          <w:color w:val="auto"/>
          <w:sz w:val="24"/>
          <w:szCs w:val="24"/>
          <w:highlight w:val="none"/>
        </w:rPr>
        <w:t xml:space="preserve">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）招标的结果，签订本合同。</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一、采购标的</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1.1 服务内容：</w:t>
      </w:r>
      <w:r/>
    </w:p>
    <w:p>
      <w:pPr>
        <w:ind w:firstLine="480"/>
        <w:jc w:val="left"/>
        <w:spacing w:line="560" w:lineRule="exact"/>
        <w:rPr>
          <w:rFonts w:eastAsia="宋体"/>
          <w:color w:val="auto"/>
          <w:highlight w:val="none"/>
        </w:rPr>
      </w:pPr>
      <w:r>
        <w:rPr>
          <w:rFonts w:hint="eastAsia" w:ascii="宋体" w:hAnsi="宋体" w:eastAsia="宋体" w:cs="宋体"/>
          <w:color w:val="auto"/>
          <w:sz w:val="24"/>
          <w:szCs w:val="24"/>
          <w:highlight w:val="none"/>
        </w:rPr>
        <w:t xml:space="preserve">为加强连云港市市区城市污水处理厂污泥处置，确保市区城市污水处理厂的稳定运行，对市区城市污水处理厂所产含水率40%、60%、80%污泥进行烧制陶粒资源化利用处置服务</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1.2 服务期限：</w:t>
      </w:r>
      <w:r>
        <w:rPr>
          <w:rFonts w:hint="eastAsia" w:ascii="宋体" w:hAnsi="宋体" w:eastAsia="宋体" w:cs="Times New Roman"/>
          <w:color w:val="auto"/>
          <w:sz w:val="24"/>
          <w:szCs w:val="24"/>
          <w:highlight w:val="none"/>
          <w:u w:val="single"/>
        </w:rPr>
        <w:t xml:space="preserve">3年，    年   月   日至    年   月   日</w:t>
      </w:r>
      <w:r>
        <w:rPr>
          <w:rFonts w:ascii="宋体" w:hAnsi="宋体" w:eastAsia="宋体" w:cs="Times New Roman"/>
          <w:color w:val="auto"/>
          <w:sz w:val="24"/>
          <w:szCs w:val="24"/>
          <w:highlight w:val="none"/>
        </w:rPr>
        <w:t xml:space="preserve">。</w:t>
      </w:r>
      <w:r>
        <w:rPr>
          <w:rFonts w:hint="eastAsia" w:ascii="宋体" w:hAnsi="宋体" w:eastAsia="宋体" w:cs="宋体"/>
          <w:bCs/>
          <w:color w:val="auto"/>
          <w:sz w:val="24"/>
          <w:szCs w:val="24"/>
          <w:highlight w:val="none"/>
        </w:rPr>
        <w:t xml:space="preserve">项目属于服务采购，其设备、设施、运行、水、电等全成本均由服务方承担，干化后污泥由市区各城市污水处理厂运送到采购人指定签订污泥处置协议且符合环保要求的处置地点妥善处置。项目服务周期原则上自签订合同之日起3年，但采购方不设污泥处置保底量，根据污泥生产实际情况或受环保部门要求限制采购方可以随时能终止服务，通知方式为提前一个月书面告知，服务方接到采购方书面通知后应立即终止污泥处置服务</w:t>
      </w:r>
      <w:r>
        <w:rPr>
          <w:rFonts w:hint="eastAsia" w:ascii="宋体" w:hAnsi="宋体" w:eastAsia="宋体" w:cs="宋体"/>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1.3 补充条款：</w:t>
      </w:r>
      <w:r>
        <w:rPr>
          <w:rFonts w:hint="eastAsia" w:ascii="宋体" w:hAnsi="宋体" w:eastAsia="宋体" w:cs="Times New Roman"/>
          <w:color w:val="auto"/>
          <w:sz w:val="24"/>
          <w:szCs w:val="24"/>
          <w:highlight w:val="none"/>
          <w:u w:val="single"/>
        </w:rPr>
        <w:t xml:space="preserve">无</w:t>
      </w:r>
      <w:r>
        <w:rPr>
          <w:rFonts w:ascii="宋体" w:hAnsi="宋体" w:eastAsia="宋体" w:cs="Times New Roman"/>
          <w:color w:val="auto"/>
          <w:sz w:val="24"/>
          <w:szCs w:val="24"/>
          <w:highlight w:val="none"/>
        </w:rPr>
        <w:t xml:space="preserve">。</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w:t>
      </w:r>
      <w:r>
        <w:rPr>
          <w:rFonts w:hint="eastAsia" w:ascii="宋体" w:hAnsi="宋体" w:eastAsia="宋体" w:cs="Times New Roman"/>
          <w:color w:val="auto"/>
          <w:sz w:val="24"/>
          <w:szCs w:val="24"/>
          <w:highlight w:val="none"/>
        </w:rPr>
        <w:t xml:space="preserve">为固定单价，污泥处理处置单价为</w:t>
      </w:r>
      <w:r>
        <w:rPr>
          <w:rFonts w:ascii="宋体" w:hAnsi="宋体" w:eastAsia="宋体" w:cs="Times New Roman"/>
          <w:color w:val="auto"/>
          <w:sz w:val="24"/>
          <w:szCs w:val="24"/>
          <w:highlight w:val="none"/>
        </w:rPr>
        <w:t xml:space="preserve">__________</w:t>
      </w:r>
      <w:r>
        <w:rPr>
          <w:rFonts w:hint="eastAsia" w:ascii="宋体" w:hAnsi="宋体" w:eastAsia="宋体" w:cs="Times New Roman"/>
          <w:color w:val="auto"/>
          <w:sz w:val="24"/>
          <w:szCs w:val="24"/>
          <w:highlight w:val="none"/>
        </w:rPr>
        <w:t xml:space="preserve">元/吨，根据月度核算结果按实结算。</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3.1乙方应按招标文件规定的时间向甲方提供有关技术资料。</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hint="eastAsia" w:ascii="宋体" w:hAnsi="宋体" w:eastAsia="宋体" w:cs="Times New Roman"/>
          <w:color w:val="auto"/>
          <w:sz w:val="24"/>
          <w:szCs w:val="24"/>
          <w:highlight w:val="none"/>
        </w:rPr>
      </w:pPr>
      <w:r>
        <w:rPr>
          <w:rFonts w:hint="eastAsia" w:ascii="Times New Roman" w:hAnsi="宋体" w:eastAsia="宋体" w:cs="Times New Roman"/>
          <w:color w:val="auto"/>
          <w:sz w:val="24"/>
          <w:szCs w:val="24"/>
          <w:highlight w:val="none"/>
        </w:rPr>
        <w:t xml:space="preserve">4.1 </w:t>
      </w:r>
      <w:r>
        <w:rPr>
          <w:rFonts w:ascii="Times New Roman"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Times New Roman"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hint="eastAsia"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hint="eastAsia"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 本项目不收取履约保证金。</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 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 </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 如有转让和未经甲方同意的分包行为，甲方有权给予终止合同。 </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宋体" w:eastAsia="宋体" w:cs="Times New Roman"/>
          <w:b/>
          <w:color w:val="auto"/>
          <w:sz w:val="24"/>
          <w:szCs w:val="24"/>
          <w:highlight w:val="none"/>
        </w:rPr>
        <w:t xml:space="preserve">八</w:t>
      </w:r>
      <w:r>
        <w:rPr>
          <w:rFonts w:ascii="Times New Roman" w:hAnsi="宋体" w:eastAsia="宋体" w:cs="Times New Roman"/>
          <w:b/>
          <w:color w:val="auto"/>
          <w:sz w:val="24"/>
          <w:szCs w:val="24"/>
          <w:highlight w:val="none"/>
        </w:rPr>
        <w:t xml:space="preserve">、合同款支付</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8.1 </w:t>
      </w:r>
      <w:r>
        <w:rPr>
          <w:rFonts w:hint="eastAsia" w:ascii="宋体" w:hAnsi="宋体" w:eastAsia="宋体" w:cs="Times New Roman"/>
          <w:color w:val="auto"/>
          <w:sz w:val="24"/>
          <w:szCs w:val="24"/>
          <w:highlight w:val="none"/>
        </w:rPr>
        <w:t xml:space="preserve">本项目合同为固定单价合同，付款金额以实际污泥处理量进行结算，超出预算金额按预算金额支付。</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8.2</w:t>
      </w:r>
      <w:r>
        <w:rPr>
          <w:rFonts w:hint="eastAsia" w:ascii="宋体" w:hAnsi="宋体" w:eastAsia="宋体" w:cs="Times New Roman"/>
          <w:color w:val="auto"/>
          <w:sz w:val="24"/>
          <w:szCs w:val="24"/>
          <w:highlight w:val="none"/>
        </w:rPr>
        <w:t xml:space="preserve">项目运营服务费每月支付一次。乙方每月报送处置计量报表；经甲方审核测算后确定支付运营服务费；</w:t>
      </w:r>
      <w:r/>
    </w:p>
    <w:p>
      <w:pPr>
        <w:ind w:firstLine="480"/>
        <w:jc w:val="left"/>
        <w:spacing w:line="560" w:lineRule="exact"/>
        <w:rPr>
          <w:color w:val="auto"/>
          <w:highlight w:val="none"/>
        </w:rPr>
      </w:pPr>
      <w:r>
        <w:rPr>
          <w:rFonts w:ascii="宋体" w:hAnsi="宋体" w:eastAsia="宋体" w:cs="Times New Roman"/>
          <w:color w:val="auto"/>
          <w:sz w:val="24"/>
          <w:szCs w:val="24"/>
          <w:highlight w:val="none"/>
        </w:rPr>
        <w:t xml:space="preserve">8.3 </w:t>
      </w:r>
      <w:r>
        <w:rPr>
          <w:rFonts w:hint="eastAsia" w:ascii="宋体" w:hAnsi="宋体" w:eastAsia="宋体" w:cs="Times New Roman"/>
          <w:color w:val="auto"/>
          <w:sz w:val="24"/>
          <w:szCs w:val="24"/>
          <w:highlight w:val="none"/>
        </w:rPr>
        <w:t xml:space="preserve">甲方支付运营服务费前，乙方须提供等额的正式发票给甲方，以便甲方及时办理转帐支付手续。本项目所涉及费用均以人民币结算。</w:t>
      </w:r>
      <w:r/>
    </w:p>
    <w:p>
      <w:pPr>
        <w:ind w:firstLine="482"/>
        <w:jc w:val="left"/>
        <w:spacing w:line="56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九、</w:t>
      </w:r>
      <w:r>
        <w:rPr>
          <w:rFonts w:ascii="Times New Roman" w:hAnsi="宋体" w:eastAsia="宋体" w:cs="Times New Roman"/>
          <w:b/>
          <w:color w:val="auto"/>
          <w:sz w:val="24"/>
          <w:szCs w:val="24"/>
          <w:highlight w:val="none"/>
        </w:rPr>
        <w:t xml:space="preserve">税费</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.1 本合同执行中相关的一切税费均由乙方负担。</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十、不可抗力事件处理</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.1 在合同有效期内，任何一方因不可抗力事件导致不能履行合同，则合同履行期延长，其延长期与不可抗力影响期相同。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.2 不可抗力事件发生后，应立即通知对方，并寄送有关权威机构出具的证明。</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rPr>
          <w:rFonts w:ascii="宋体" w:hAnsi="宋体" w:eastAsia="宋体" w:cs="Times New Roman"/>
          <w:color w:val="auto"/>
          <w:sz w:val="24"/>
          <w:szCs w:val="24"/>
          <w:highlight w:val="none"/>
        </w:rPr>
        <w:t xml:space="preserve">.3不可抗力事件延续120天以上，双方应通过友好协商，确定是否继续履行合同。</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rPr>
        <w:t xml:space="preserve">一</w:t>
      </w:r>
      <w:r>
        <w:rPr>
          <w:rFonts w:ascii="宋体" w:hAnsi="宋体" w:eastAsia="宋体" w:cs="Times New Roman"/>
          <w:b/>
          <w:color w:val="auto"/>
          <w:sz w:val="24"/>
          <w:szCs w:val="24"/>
          <w:highlight w:val="none"/>
        </w:rPr>
        <w:t xml:space="preserve">、争议解决</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 </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（1）向连云港仲裁委员会申请仲裁。</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p>
    <w:p>
      <w:pPr>
        <w:ind w:firstLine="482"/>
        <w:jc w:val="left"/>
        <w:spacing w:line="560" w:lineRule="exact"/>
        <w:rPr>
          <w:rFonts w:hint="eastAsia"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w:t>
      </w:r>
      <w:r>
        <w:rPr>
          <w:rFonts w:hint="eastAsia" w:ascii="宋体" w:hAnsi="宋体" w:eastAsia="宋体" w:cs="Times New Roman"/>
          <w:b/>
          <w:color w:val="auto"/>
          <w:sz w:val="24"/>
          <w:szCs w:val="24"/>
          <w:highlight w:val="none"/>
        </w:rPr>
        <w:t xml:space="preserve">二</w:t>
      </w:r>
      <w:r>
        <w:rPr>
          <w:rFonts w:ascii="宋体" w:hAnsi="宋体" w:eastAsia="宋体" w:cs="Times New Roman"/>
          <w:b/>
          <w:color w:val="auto"/>
          <w:sz w:val="24"/>
          <w:szCs w:val="24"/>
          <w:highlight w:val="none"/>
        </w:rPr>
        <w:t xml:space="preserve">、合同生效及其它</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12.1甲方按照《连云港市市区城镇污水处理厂污泥处理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处置管理办法（试行）》的要求履行监管职责，定期开展监督巡查，有权要求乙方积极配合，甲方的调研和日常监督巡查。 </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2乙方按照《连云港市市区城镇污水处理厂污泥处理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的要求落实管理责任，无害化处置污泥，履行监管义务，污泥处理标准达到《城镇污水处理厂污泥技术标准》和《城镇污水处理厂污泥处理稳定标准》等相关要求，运行管理达到《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处置管理办法（试行）》有关规定</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3乙方应建立完善的应急预案，及时无害化处置污泥，具备一定的污泥应急存储能力，加强对暂存污泥的管理，严禁弃置</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抛洒和违规处置污泥，如因管理不到位造成环境污染等不利情况的，乙方应承担全部责任。在受托期间内应做好各项安全生产工作，建立健全安全生产责任制，制定覆盖所有岗位的安全操作规程和安全生产制定，全权负责污泥处置过程的安全管理责任。污泥处置生产过程中停产减产应向甲方及时报送并做好生产调度。</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4乙方具备完善的地磅计量系统，对进厂污泥</w:t>
      </w:r>
      <w:r>
        <w:rPr>
          <w:rFonts w:hint="eastAsia" w:ascii="仿宋_GB2312" w:hAnsi="仿宋_GB2312" w:eastAsia="仿宋_GB2312" w:cs="仿宋_GB2312"/>
          <w:color w:val="auto"/>
          <w:sz w:val="24"/>
          <w:szCs w:val="24"/>
          <w:highlight w:val="none"/>
        </w:rPr>
        <w:t xml:space="preserve">和</w:t>
      </w:r>
      <w:r>
        <w:rPr>
          <w:rFonts w:hint="eastAsia" w:ascii="宋体" w:hAnsi="宋体" w:eastAsia="宋体" w:cs="Times New Roman"/>
          <w:color w:val="auto"/>
          <w:sz w:val="24"/>
          <w:szCs w:val="24"/>
          <w:highlight w:val="none"/>
        </w:rPr>
        <w:t xml:space="preserve">出厂成品及时进行准确计量，并每年度对计量装置进行第三方检测，检测报告提交甲方备案。如甲方对检测报告有异议应在乙方提交报告的3个工作日内，提出异议并进行重新检测，否则视为认可检测报告</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5乙方应建立运行台账，全面</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及时</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准确记录各项运行数据，并每月及时制作和递交给甲方</w:t>
      </w:r>
      <w:r>
        <w:rPr>
          <w:rFonts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6</w:t>
      </w:r>
      <w:r>
        <w:rPr>
          <w:rFonts w:ascii="宋体" w:hAnsi="宋体" w:eastAsia="宋体" w:cs="Times New Roman"/>
          <w:color w:val="auto"/>
          <w:sz w:val="24"/>
          <w:szCs w:val="24"/>
          <w:highlight w:val="none"/>
        </w:rPr>
        <w:t xml:space="preserve">合同经双方法定代表人或委托代理人签字并加盖单位公章后生效。</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7</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8</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rPr>
        <w:t xml:space="preserve">八</w:t>
      </w:r>
      <w:r>
        <w:rPr>
          <w:rFonts w:ascii="宋体" w:hAnsi="宋体" w:eastAsia="宋体" w:cs="Times New Roman"/>
          <w:color w:val="auto"/>
          <w:sz w:val="24"/>
          <w:szCs w:val="24"/>
          <w:highlight w:val="none"/>
        </w:rPr>
        <w:t xml:space="preserve">份，具有同等法律效力，甲方、乙方、</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w:t>
      </w:r>
      <w:r>
        <w:rPr>
          <w:rFonts w:hint="eastAsia" w:ascii="宋体" w:hAnsi="宋体" w:eastAsia="宋体" w:cs="Times New Roman"/>
          <w:color w:val="auto"/>
          <w:sz w:val="24"/>
          <w:szCs w:val="24"/>
          <w:highlight w:val="none"/>
        </w:rPr>
        <w:t xml:space="preserve">贰</w:t>
      </w:r>
      <w:r>
        <w:rPr>
          <w:rFonts w:ascii="宋体" w:hAnsi="宋体" w:eastAsia="宋体" w:cs="Times New Roman"/>
          <w:color w:val="auto"/>
          <w:sz w:val="24"/>
          <w:szCs w:val="24"/>
          <w:highlight w:val="none"/>
        </w:rPr>
        <w:t xml:space="preserve">份。</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                     </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jc w:val="left"/>
        <w:spacing w:line="500" w:lineRule="exact"/>
        <w:rPr>
          <w:color w:val="auto"/>
          <w:sz w:val="24"/>
          <w:szCs w:val="24"/>
          <w:highlight w:val="none"/>
        </w:rPr>
      </w:pPr>
      <w:r>
        <w:rPr>
          <w:color w:val="auto"/>
          <w:sz w:val="24"/>
          <w:szCs w:val="24"/>
          <w:highlight w:val="none"/>
        </w:rPr>
      </w:r>
      <w:r/>
    </w:p>
    <w:p>
      <w:pPr>
        <w:ind w:firstLine="540"/>
        <w:spacing w:line="480" w:lineRule="exact"/>
        <w:rPr>
          <w:rFonts w:hint="eastAsia" w:ascii="宋体" w:hAnsi="宋体" w:eastAsia="宋体" w:cs="宋体"/>
          <w:color w:val="auto"/>
          <w:sz w:val="36"/>
          <w:szCs w:val="20"/>
          <w:highlight w:val="none"/>
        </w:rPr>
        <w:sectPr>
          <w:footerReference w:type="default" r:id="rId12"/>
          <w:footerReference w:type="first" r:id="rId13"/>
          <w:footnotePr/>
          <w:endnotePr/>
          <w:type w:val="nextPage"/>
          <w:pgSz w:w="11906" w:h="16838" w:orient="portrait"/>
          <w:pgMar w:top="1440" w:right="1134" w:bottom="1440" w:left="1418" w:header="851" w:footer="992" w:gutter="0"/>
          <w:cols w:num="1" w:sep="0" w:space="720" w:equalWidth="1"/>
          <w:docGrid w:linePitch="360"/>
        </w:sectPr>
      </w:pPr>
      <w:r>
        <w:rPr>
          <w:rFonts w:hint="eastAsia" w:ascii="宋体" w:hAnsi="宋体" w:eastAsia="宋体" w:cs="宋体"/>
          <w:color w:val="auto"/>
          <w:sz w:val="36"/>
          <w:szCs w:val="20"/>
          <w:highlight w:val="none"/>
        </w:rPr>
      </w:r>
      <w:r/>
    </w:p>
    <w:p>
      <w:pPr>
        <w:rPr>
          <w:color w:val="auto"/>
          <w:highlight w:val="none"/>
        </w:rPr>
      </w:pPr>
      <w:r>
        <w:rPr>
          <w:color w:val="auto"/>
          <w:highlight w:val="none"/>
        </w:rPr>
      </w:r>
      <w:r/>
    </w:p>
    <w:p>
      <w:pPr>
        <w:pStyle w:val="870"/>
        <w:jc w:val="center"/>
        <w:spacing w:before="156" w:after="156" w:line="360" w:lineRule="auto"/>
        <w:rPr>
          <w:rFonts w:hint="eastAsia" w:ascii="黑体" w:hAnsi="黑体" w:eastAsia="黑体"/>
          <w:b w:val="0"/>
          <w:color w:val="auto"/>
          <w:highlight w:val="none"/>
        </w:rPr>
      </w:pPr>
      <w:r/>
      <w:bookmarkStart w:id="4" w:name="_Toc7226"/>
      <w:r>
        <w:rPr>
          <w:rFonts w:hint="eastAsia" w:ascii="黑体" w:hAnsi="黑体" w:eastAsia="黑体"/>
          <w:b w:val="0"/>
          <w:color w:val="auto"/>
          <w:highlight w:val="none"/>
        </w:rPr>
        <w:t xml:space="preserve">第四章  采购需求</w:t>
      </w:r>
      <w:bookmarkEnd w:id="4"/>
      <w:r/>
      <w:r/>
    </w:p>
    <w:p>
      <w:pPr>
        <w:ind w:firstLine="480"/>
        <w:jc w:val="left"/>
        <w:spacing w:line="500" w:lineRule="exact"/>
        <w:rPr>
          <w:color w:val="auto"/>
          <w:sz w:val="24"/>
          <w:szCs w:val="24"/>
          <w:highlight w:val="none"/>
        </w:rPr>
      </w:pPr>
      <w:r>
        <w:rPr>
          <w:rFonts w:hint="eastAsia"/>
          <w:color w:val="auto"/>
          <w:sz w:val="24"/>
          <w:szCs w:val="24"/>
          <w:highlight w:val="none"/>
        </w:rPr>
        <w:t xml:space="preserve">说明：本项目属性为</w:t>
      </w:r>
      <w:r>
        <w:rPr>
          <w:rFonts w:hint="eastAsia"/>
          <w:b/>
          <w:color w:val="auto"/>
          <w:sz w:val="24"/>
          <w:szCs w:val="24"/>
          <w:highlight w:val="none"/>
        </w:rPr>
        <w:t xml:space="preserve">服务</w:t>
      </w:r>
      <w:r>
        <w:rPr>
          <w:rFonts w:hint="eastAsia"/>
          <w:color w:val="auto"/>
          <w:sz w:val="24"/>
          <w:szCs w:val="24"/>
          <w:highlight w:val="none"/>
        </w:rPr>
        <w:t xml:space="preserve">，采购标的对应的中小企业划分标准所属行业为：</w:t>
      </w:r>
      <w:r>
        <w:rPr>
          <w:rFonts w:hint="eastAsia" w:eastAsia="宋体"/>
          <w:b/>
          <w:bCs/>
          <w:color w:val="auto"/>
          <w:sz w:val="24"/>
          <w:szCs w:val="24"/>
          <w:highlight w:val="none"/>
          <w:u w:val="single"/>
        </w:rPr>
        <w:t xml:space="preserve">工业</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1、根据《政府采购需求管理办法》等有关规定，采购人确定采购需求。</w:t>
      </w:r>
      <w:r/>
    </w:p>
    <w:p>
      <w:pPr>
        <w:ind w:firstLine="480"/>
        <w:jc w:val="left"/>
        <w:spacing w:line="500" w:lineRule="exact"/>
        <w:rPr>
          <w:color w:val="auto"/>
          <w:sz w:val="24"/>
          <w:szCs w:val="24"/>
          <w:highlight w:val="none"/>
        </w:rPr>
      </w:pPr>
      <w:r>
        <w:rPr>
          <w:rFonts w:hint="eastAsia"/>
          <w:color w:val="auto"/>
          <w:sz w:val="24"/>
          <w:szCs w:val="24"/>
          <w:highlight w:val="none"/>
        </w:rPr>
        <w:t xml:space="preserve">2、</w:t>
      </w:r>
      <w:r>
        <w:rPr>
          <w:rFonts w:hint="eastAsia"/>
          <w:b/>
          <w:color w:val="auto"/>
          <w:sz w:val="24"/>
          <w:szCs w:val="24"/>
          <w:highlight w:val="none"/>
        </w:rPr>
        <w:t xml:space="preserve">本招标文件中</w:t>
      </w:r>
      <w:r>
        <w:rPr>
          <w:rFonts w:hint="eastAsia"/>
          <w:b/>
          <w:i/>
          <w:color w:val="auto"/>
          <w:sz w:val="24"/>
          <w:szCs w:val="24"/>
          <w:highlight w:val="none"/>
          <w:u w:val="single"/>
        </w:rPr>
        <w:t xml:space="preserve">斜体且有下划线部分</w:t>
      </w:r>
      <w:r>
        <w:rPr>
          <w:rFonts w:hint="eastAsia"/>
          <w:b/>
          <w:color w:val="auto"/>
          <w:sz w:val="24"/>
          <w:szCs w:val="24"/>
          <w:highlight w:val="none"/>
        </w:rPr>
        <w:t xml:space="preserve">为实质性要求和条件</w:t>
      </w:r>
      <w:r>
        <w:rPr>
          <w:rFonts w:hint="eastAsia"/>
          <w:color w:val="auto"/>
          <w:sz w:val="24"/>
          <w:szCs w:val="24"/>
          <w:highlight w:val="none"/>
        </w:rPr>
        <w:t xml:space="preserve">，由采购人根据实际情况设置，供应商须逐条明确作出满足实质性要求和条件的响应，否则将按无效响应处理。</w:t>
      </w:r>
      <w:r/>
    </w:p>
    <w:tbl>
      <w:tblPr>
        <w:tblStyle w:val="90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color w:val="auto"/>
                <w:sz w:val="24"/>
                <w:szCs w:val="24"/>
                <w:highlight w:val="none"/>
              </w:rPr>
            </w:pPr>
            <w:r>
              <w:rPr>
                <w:b/>
                <w:color w:val="auto"/>
                <w:sz w:val="24"/>
                <w:szCs w:val="24"/>
                <w:highlight w:val="none"/>
              </w:rPr>
              <w:t xml:space="preserve">实质性要求和条件</w:t>
            </w:r>
            <w:r/>
          </w:p>
        </w:tc>
      </w:tr>
      <w:tr>
        <w:trPr>
          <w:jc w:val="center"/>
        </w:trPr>
        <w:tc>
          <w:tcPr>
            <w:tcW w:w="816" w:type="dxa"/>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1</w:t>
            </w:r>
            <w:r/>
          </w:p>
        </w:tc>
        <w:tc>
          <w:tcPr>
            <w:tcW w:w="7689" w:type="dxa"/>
            <w:textDirection w:val="lrTb"/>
            <w:noWrap w:val="false"/>
          </w:tcPr>
          <w:p>
            <w:pPr>
              <w:jc w:val="left"/>
              <w:spacing w:line="500" w:lineRule="exact"/>
              <w:rPr>
                <w:b/>
                <w:bCs/>
                <w:i/>
                <w:iCs/>
                <w:color w:val="auto"/>
                <w:sz w:val="24"/>
                <w:szCs w:val="24"/>
                <w:highlight w:val="none"/>
                <w:u w:val="single"/>
              </w:rPr>
            </w:pPr>
            <w:r>
              <w:rPr>
                <w:rFonts w:hint="eastAsia" w:ascii="宋体" w:hAnsi="宋体" w:eastAsia="宋体" w:cs="宋体"/>
                <w:b/>
                <w:i/>
                <w:iCs/>
                <w:color w:val="auto"/>
                <w:sz w:val="24"/>
                <w:highlight w:val="none"/>
                <w:u w:val="single"/>
              </w:rPr>
              <w:t xml:space="preserve">本项目采购人选定的污泥处置方式为污泥烧制陶粒，其余处置方式均不予认可</w:t>
            </w:r>
            <w:r/>
          </w:p>
        </w:tc>
      </w:tr>
      <w:tr>
        <w:trPr>
          <w:jc w:val="center"/>
        </w:trPr>
        <w:tc>
          <w:tcPr>
            <w:tcW w:w="816" w:type="dxa"/>
            <w:vAlign w:val="center"/>
            <w:textDirection w:val="lrTb"/>
            <w:noWrap w:val="false"/>
          </w:tcPr>
          <w:p>
            <w:pPr>
              <w:jc w:val="center"/>
              <w:spacing w:line="500" w:lineRule="exact"/>
              <w:rPr>
                <w:color w:val="auto"/>
                <w:sz w:val="24"/>
                <w:szCs w:val="24"/>
                <w:highlight w:val="none"/>
              </w:rPr>
            </w:pPr>
            <w:r>
              <w:rPr>
                <w:rFonts w:hint="eastAsia"/>
                <w:color w:val="auto"/>
                <w:sz w:val="24"/>
                <w:szCs w:val="24"/>
                <w:highlight w:val="none"/>
              </w:rPr>
              <w:t xml:space="preserve">2</w:t>
            </w:r>
            <w:r/>
          </w:p>
        </w:tc>
        <w:tc>
          <w:tcPr>
            <w:tcW w:w="7689" w:type="dxa"/>
            <w:textDirection w:val="lrTb"/>
            <w:noWrap w:val="false"/>
          </w:tcPr>
          <w:p>
            <w:pPr>
              <w:jc w:val="left"/>
              <w:spacing w:line="500" w:lineRule="exact"/>
              <w:rPr>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tc>
      </w:tr>
      <w:tr>
        <w:trPr>
          <w:jc w:val="center"/>
        </w:trPr>
        <w:tc>
          <w:tcPr>
            <w:shd w:val="clear" w:color="auto" w:fill="auto"/>
            <w:tcW w:w="816" w:type="dxa"/>
            <w:vAlign w:val="center"/>
            <w:textDirection w:val="lrTb"/>
            <w:noWrap w:val="false"/>
          </w:tcPr>
          <w:p>
            <w:pPr>
              <w:jc w:val="center"/>
              <w:spacing w:line="500" w:lineRule="exact"/>
              <w:rPr>
                <w:rFonts w:hint="eastAsia" w:asciiTheme="minorHAnsi" w:hAnsiTheme="minorHAnsi" w:eastAsiaTheme="minorEastAsia" w:cstheme="minorBidi"/>
                <w:color w:val="auto"/>
                <w:sz w:val="24"/>
                <w:szCs w:val="24"/>
                <w:highlight w:val="none"/>
                <w:lang w:val="en-US" w:eastAsia="zh-CN" w:bidi="ar-SA"/>
              </w:rPr>
            </w:pPr>
            <w:r>
              <w:rPr>
                <w:rFonts w:hint="eastAsia"/>
                <w:color w:val="auto"/>
                <w:sz w:val="24"/>
                <w:szCs w:val="24"/>
                <w:highlight w:val="none"/>
              </w:rPr>
              <w:t xml:space="preserve">3</w:t>
            </w:r>
            <w:r/>
          </w:p>
        </w:tc>
        <w:tc>
          <w:tcPr>
            <w:tcW w:w="7689" w:type="dxa"/>
            <w:textDirection w:val="lrTb"/>
            <w:noWrap w:val="false"/>
          </w:tcPr>
          <w:p>
            <w:pPr>
              <w:jc w:val="left"/>
              <w:spacing w:line="500" w:lineRule="exact"/>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污泥处置设施要求：供应商应保证污泥处置的合法性，任何由于污泥处置引起的法律纠纷或责任、以及由此产生的费用和后果，供应商应自行负责承担，采购</w:t>
            </w:r>
            <w:r>
              <w:rPr>
                <w:rFonts w:hint="eastAsia" w:ascii="宋体" w:hAnsi="宋体" w:eastAsia="宋体" w:cs="宋体"/>
                <w:b/>
                <w:bCs/>
                <w:i/>
                <w:iCs/>
                <w:color w:val="auto"/>
                <w:sz w:val="24"/>
                <w:szCs w:val="24"/>
                <w:highlight w:val="none"/>
                <w:u w:val="single"/>
                <w:lang w:eastAsia="zh-CN"/>
              </w:rPr>
              <w:t xml:space="preserve">人</w:t>
            </w:r>
            <w:r>
              <w:rPr>
                <w:rFonts w:hint="eastAsia" w:ascii="宋体" w:hAnsi="宋体" w:eastAsia="宋体" w:cs="宋体"/>
                <w:b/>
                <w:bCs/>
                <w:i/>
                <w:iCs/>
                <w:color w:val="auto"/>
                <w:sz w:val="24"/>
                <w:szCs w:val="24"/>
                <w:highlight w:val="none"/>
                <w:u w:val="single"/>
              </w:rPr>
              <w:t xml:space="preserve">概不负责</w:t>
            </w:r>
            <w:r/>
          </w:p>
        </w:tc>
      </w:tr>
      <w:tr>
        <w:trPr>
          <w:jc w:val="center"/>
        </w:trPr>
        <w:tc>
          <w:tcPr>
            <w:shd w:val="clear" w:color="auto" w:fill="auto"/>
            <w:tcW w:w="816" w:type="dxa"/>
            <w:vAlign w:val="center"/>
            <w:textDirection w:val="lrTb"/>
            <w:noWrap w:val="false"/>
          </w:tcPr>
          <w:p>
            <w:pPr>
              <w:jc w:val="center"/>
              <w:spacing w:line="500" w:lineRule="exact"/>
              <w:rPr>
                <w:rFonts w:eastAsia="宋体" w:asciiTheme="minorHAnsi" w:hAnsiTheme="minorHAnsi" w:cstheme="minorBidi"/>
                <w:color w:val="auto"/>
                <w:sz w:val="24"/>
                <w:szCs w:val="24"/>
                <w:highlight w:val="none"/>
                <w:lang w:val="en-US" w:eastAsia="zh-CN" w:bidi="ar-SA"/>
              </w:rPr>
            </w:pPr>
            <w:r>
              <w:rPr>
                <w:rFonts w:hint="eastAsia" w:eastAsia="宋体"/>
                <w:color w:val="auto"/>
                <w:sz w:val="24"/>
                <w:szCs w:val="24"/>
                <w:highlight w:val="none"/>
              </w:rPr>
              <w:t xml:space="preserve">4</w:t>
            </w:r>
            <w:r/>
          </w:p>
        </w:tc>
        <w:tc>
          <w:tcPr>
            <w:tcW w:w="7689" w:type="dxa"/>
            <w:textDirection w:val="lrTb"/>
            <w:noWrap w:val="false"/>
          </w:tcPr>
          <w:p>
            <w:pPr>
              <w:jc w:val="left"/>
              <w:spacing w:line="500" w:lineRule="exact"/>
              <w:rPr>
                <w:b/>
                <w:bCs/>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服务期限：</w:t>
            </w:r>
            <w:r>
              <w:rPr>
                <w:rFonts w:hint="eastAsia" w:ascii="宋体" w:hAnsi="宋体" w:eastAsia="宋体" w:cs="宋体"/>
                <w:b/>
                <w:bCs/>
                <w:i/>
                <w:iCs/>
                <w:color w:val="auto"/>
                <w:sz w:val="24"/>
                <w:szCs w:val="24"/>
                <w:highlight w:val="none"/>
                <w:u w:val="single"/>
              </w:rPr>
              <w:t xml:space="preserve">合同签订之日起3年。</w:t>
            </w:r>
            <w:r/>
          </w:p>
        </w:tc>
      </w:tr>
      <w:tr>
        <w:trPr>
          <w:jc w:val="center"/>
        </w:trPr>
        <w:tc>
          <w:tcPr>
            <w:tcW w:w="816" w:type="dxa"/>
            <w:vAlign w:val="center"/>
            <w:textDirection w:val="lrTb"/>
            <w:noWrap w:val="false"/>
          </w:tcPr>
          <w:p>
            <w:pPr>
              <w:jc w:val="center"/>
              <w:spacing w:line="500" w:lineRule="exact"/>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5</w:t>
            </w:r>
            <w:r/>
          </w:p>
        </w:tc>
        <w:tc>
          <w:tcPr>
            <w:tcW w:w="7689" w:type="dxa"/>
            <w:textDirection w:val="lrTb"/>
            <w:noWrap w:val="false"/>
          </w:tcPr>
          <w:p>
            <w:pPr>
              <w:jc w:val="left"/>
              <w:spacing w:line="500" w:lineRule="exact"/>
              <w:rPr>
                <w:rFonts w:hint="eastAsia" w:ascii="宋体" w:hAnsi="宋体" w:eastAsia="宋体" w:cs="宋体"/>
                <w:b/>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一、项目概况</w:t>
      </w:r>
      <w:r/>
    </w:p>
    <w:p>
      <w:pPr>
        <w:ind w:firstLine="482"/>
        <w:spacing w:line="360" w:lineRule="auto"/>
        <w:rPr>
          <w:rFonts w:hint="eastAsia" w:ascii="宋体" w:hAnsi="宋体" w:eastAsia="宋体" w:cs="宋体"/>
          <w:b/>
          <w:color w:val="auto"/>
          <w:sz w:val="24"/>
          <w:szCs w:val="24"/>
          <w:highlight w:val="none"/>
        </w:rPr>
      </w:pPr>
      <w:r>
        <w:rPr>
          <w:rFonts w:hint="eastAsia"/>
          <w:color w:val="auto"/>
          <w:sz w:val="24"/>
          <w:highlight w:val="none"/>
        </w:rPr>
        <w:t xml:space="preserve">为加强连云港市市区城市污水处理厂污泥处置，确保市区城市污水处理厂的稳定运行，对市区城市污水处理厂所产含水率40%、60%、80%污泥进行烧制陶粒资源化利用处置服务。</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二、服务技术要求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w:t>
      </w:r>
      <w:r/>
    </w:p>
    <w:p>
      <w:pPr>
        <w:ind w:firstLine="482"/>
        <w:spacing w:line="360" w:lineRule="auto"/>
        <w:rPr>
          <w:color w:val="auto"/>
          <w:sz w:val="24"/>
          <w:highlight w:val="none"/>
        </w:rPr>
      </w:pPr>
      <w:r>
        <w:rPr>
          <w:color w:val="auto"/>
          <w:sz w:val="24"/>
          <w:highlight w:val="none"/>
        </w:rPr>
        <w:t xml:space="preserve">包括但不限于：污泥的计量、接收、现场暂存管理</w:t>
      </w:r>
      <w:r>
        <w:rPr>
          <w:rFonts w:hint="eastAsia"/>
          <w:color w:val="auto"/>
          <w:sz w:val="24"/>
          <w:highlight w:val="none"/>
        </w:rPr>
        <w:t xml:space="preserve">，</w:t>
      </w:r>
      <w:r>
        <w:rPr>
          <w:rFonts w:hint="eastAsia"/>
          <w:color w:val="auto"/>
          <w:sz w:val="24"/>
          <w:highlight w:val="none"/>
        </w:rPr>
        <w:t xml:space="preserve">暂存量不得大于500吨</w:t>
      </w:r>
      <w:r>
        <w:rPr>
          <w:color w:val="auto"/>
          <w:sz w:val="24"/>
          <w:highlight w:val="none"/>
        </w:rPr>
        <w:t xml:space="preserve">。</w:t>
      </w:r>
      <w:r>
        <w:rPr>
          <w:color w:val="auto"/>
          <w:sz w:val="24"/>
          <w:highlight w:val="none"/>
        </w:rPr>
        <w:t xml:space="preserve">采用烧制陶粒工艺对污泥进行规范化、资源化处置，确保污泥的无害化、稳定化和资源化。陶粒产品的生产、质量检测</w:t>
      </w:r>
      <w:r>
        <w:rPr>
          <w:rFonts w:hint="eastAsia"/>
          <w:color w:val="auto"/>
          <w:sz w:val="24"/>
          <w:highlight w:val="none"/>
        </w:rPr>
        <w:t xml:space="preserve">。</w:t>
      </w:r>
      <w:r>
        <w:rPr>
          <w:color w:val="auto"/>
          <w:sz w:val="24"/>
          <w:highlight w:val="none"/>
        </w:rPr>
        <w:t xml:space="preserve">整个过程中的环境保护、安全生产、数据监测与报送</w:t>
      </w:r>
      <w:r>
        <w:rPr>
          <w:rFonts w:hint="eastAsia"/>
          <w:color w:val="auto"/>
          <w:sz w:val="24"/>
          <w:highlight w:val="none"/>
        </w:rPr>
        <w:t xml:space="preserve">。</w:t>
      </w:r>
      <w:r/>
    </w:p>
    <w:p>
      <w:pPr>
        <w:ind w:firstLine="482"/>
        <w:spacing w:line="360" w:lineRule="auto"/>
        <w:rPr>
          <w:color w:val="auto"/>
          <w:sz w:val="24"/>
          <w:highlight w:val="none"/>
        </w:rPr>
      </w:pPr>
      <w:r>
        <w:rPr>
          <w:color w:val="auto"/>
          <w:sz w:val="24"/>
          <w:highlight w:val="none"/>
        </w:rPr>
        <w:t xml:space="preserve">计量与接收：</w:t>
      </w:r>
      <w:r>
        <w:rPr>
          <w:rFonts w:hint="eastAsia"/>
          <w:color w:val="auto"/>
          <w:sz w:val="24"/>
          <w:highlight w:val="none"/>
        </w:rPr>
        <w:t xml:space="preserve">与</w:t>
      </w:r>
      <w:r>
        <w:rPr>
          <w:color w:val="auto"/>
          <w:sz w:val="24"/>
          <w:highlight w:val="none"/>
        </w:rPr>
        <w:t xml:space="preserve">采购人（或其指定的运营单位）共同对污泥进行计量交接，签署交接单据。负责污泥接收点的暂存管理，确保不产生二次污染。</w:t>
      </w:r>
      <w:r/>
    </w:p>
    <w:p>
      <w:pPr>
        <w:ind w:firstLine="482"/>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资源化处置：采用烧制陶粒工艺对污泥进行无害化、稳定化处置，并实现资源化利用。处置过程必须连续、稳定，不得擅自倾倒、堆放或采用其他方式处置。</w:t>
      </w:r>
      <w:r/>
    </w:p>
    <w:p>
      <w:pPr>
        <w:ind w:firstLine="482"/>
        <w:spacing w:line="360" w:lineRule="auto"/>
        <w:rPr>
          <w:color w:val="auto"/>
          <w:sz w:val="24"/>
          <w:highlight w:val="none"/>
        </w:rPr>
      </w:pPr>
      <w:r>
        <w:rPr>
          <w:color w:val="auto"/>
          <w:sz w:val="24"/>
          <w:highlight w:val="none"/>
        </w:rPr>
        <w:t xml:space="preserve">陶粒生产：负责将处置后的污泥转化为符合国家及行业标准的陶粒产品。</w:t>
      </w:r>
      <w:r/>
    </w:p>
    <w:p>
      <w:pPr>
        <w:ind w:firstLine="482"/>
        <w:spacing w:line="360" w:lineRule="auto"/>
        <w:rPr>
          <w:color w:val="auto"/>
          <w:sz w:val="24"/>
          <w:highlight w:val="none"/>
        </w:rPr>
      </w:pPr>
      <w:r>
        <w:rPr>
          <w:color w:val="auto"/>
          <w:sz w:val="24"/>
          <w:highlight w:val="none"/>
        </w:rPr>
        <w:t xml:space="preserve">环保、安全与监测：负责整个服务链条（接收</w:t>
      </w:r>
      <w:r>
        <w:rPr>
          <w:rFonts w:hint="eastAsia"/>
          <w:color w:val="auto"/>
          <w:sz w:val="24"/>
          <w:highlight w:val="none"/>
        </w:rPr>
        <w:t xml:space="preserve">、</w:t>
      </w:r>
      <w:r>
        <w:rPr>
          <w:color w:val="auto"/>
          <w:sz w:val="24"/>
          <w:highlight w:val="none"/>
        </w:rPr>
        <w:t xml:space="preserve">处置、生产）中的所有环境保护、安全生产、职业健康工作。负责安装在线监测设备并与当地环保部门联网，定期委托有资质的第三方进行污染物排放检测，并向采购人提交报告。</w:t>
      </w:r>
      <w:r/>
    </w:p>
    <w:p>
      <w:pPr>
        <w:ind w:firstLine="482"/>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数据报送与应急响应：建立完善的运行台账，定期（如每日/每周/每月）向采购人报送污泥接收量、处置量、陶粒产量、环保监测数据、设备运行状况等报表。制定并执行针对设备故障、运输事故、环境突发事件等的应急预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若污泥含水率不适宜直接处置的</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须自行采用压滤、</w:t>
      </w:r>
      <w:r>
        <w:rPr>
          <w:rFonts w:hint="eastAsia" w:ascii="宋体" w:hAnsi="宋体" w:cs="宋体"/>
          <w:color w:val="auto"/>
          <w:sz w:val="24"/>
          <w:highlight w:val="none"/>
        </w:rPr>
        <w:t xml:space="preserve">增</w:t>
      </w:r>
      <w:r>
        <w:rPr>
          <w:rFonts w:hint="eastAsia" w:ascii="宋体" w:hAnsi="宋体" w:eastAsia="宋体" w:cs="宋体"/>
          <w:color w:val="auto"/>
          <w:sz w:val="24"/>
          <w:highlight w:val="none"/>
        </w:rPr>
        <w:t xml:space="preserve">加添加物等方式进行预处理，确保污泥含水率符合自身处置能力后再进行处置。如采用压滤、添加添加物的方式进行预处理的，压滤费用、添加物的重量及费用等不参与结算，由供应商自行承担。因</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自身原因，超出批准处置能力范围的情况下强行处置污泥的，所带来的一切责任后果由供应商自行承担。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2.服务技术要求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eastAsia="宋体" w:cs="宋体"/>
          <w:b/>
          <w:i/>
          <w:iCs/>
          <w:color w:val="auto"/>
          <w:sz w:val="24"/>
          <w:highlight w:val="none"/>
          <w:u w:val="single"/>
        </w:rPr>
        <w:t xml:space="preserve">本项目采购人选定的污泥处置方式为污泥烧制陶粒，其余处置方式均不予认可</w:t>
      </w:r>
      <w:r>
        <w:rPr>
          <w:rFonts w:hint="eastAsia" w:ascii="宋体" w:hAnsi="宋体" w:eastAsia="宋体" w:cs="宋体"/>
          <w:bCs/>
          <w:color w:val="auto"/>
          <w:sz w:val="24"/>
          <w:highlight w:val="none"/>
        </w:rPr>
        <w:t xml:space="preserve">，处置过程不得对环境造成二次污染。污泥处置工艺成熟，系统运行稳定，污泥处置设备设施环保措施符合国家和环保部门要求，污泥处置后的产物应符合国家和地方相关部门要求，</w:t>
      </w:r>
      <w:r>
        <w:rPr>
          <w:rFonts w:hint="eastAsia" w:ascii="宋体" w:hAnsi="宋体" w:cs="宋体"/>
          <w:bCs/>
          <w:color w:val="auto"/>
          <w:sz w:val="24"/>
          <w:highlight w:val="none"/>
        </w:rPr>
        <w:t xml:space="preserve">供应商</w:t>
      </w:r>
      <w:r>
        <w:rPr>
          <w:rFonts w:hint="eastAsia" w:ascii="宋体" w:hAnsi="宋体" w:eastAsia="宋体" w:cs="宋体"/>
          <w:bCs/>
          <w:color w:val="auto"/>
          <w:sz w:val="24"/>
          <w:highlight w:val="none"/>
        </w:rPr>
        <w:t xml:space="preserve">须具备与本项目相适应的且符合环保要求的贮存、处置能力，并具备一定应急调蓄储存能力，在紧急情况下，可储存一定量污泥。</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处置工艺：必须采用成熟的“污泥掺配-成型-干燥-预热-高温焙烧-冷却-筛分”的陶粒烧制工艺。采用能耗低、污染排放少、自动化程度高的先进工艺。</w:t>
      </w:r>
      <w:r>
        <w:rPr>
          <w:rFonts w:hint="eastAsia" w:ascii="宋体" w:hAnsi="宋体" w:eastAsia="宋体" w:cs="宋体"/>
          <w:bCs/>
          <w:color w:val="auto"/>
          <w:sz w:val="24"/>
          <w:highlight w:val="none"/>
        </w:rPr>
        <w:t xml:space="preserve">焙烧温度应达到1050℃-1200℃，物料在高温段停留时间应不低于20分钟，以确保污泥中有机物的彻底分解、病原体的完全灭活及重金属的有效固化。</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处置标准：污泥处置过程必须满足《城镇污水处理厂污泥处理处置技术指南》、《城镇污水处理厂污泥处理处置污染防治最佳可行技术指南》等国家及地方相关标准规范。处置后的残余物、烟气排放等需符合国家环保要求。</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产品要求：产出的陶粒产品必须符合《轻集料及其试验方法第1部分：轻集料》（GB/T 17431.1）的要求，至少满足密度等级、强度等级、吸水率、有害物质含量等关键指标。产品可用于制备轻集料混凝土、建材制品、园林绿化、无土栽培等领域</w:t>
      </w:r>
      <w:r>
        <w:rPr>
          <w:rFonts w:hint="eastAsia"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环保与安全：</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废气排放：焙烧烟气必须配备高效的除尘、脱硫、脱硝等净化装置，排放需稳定达到《生活垃圾焚烧污染控制标准》或更严格的行业及地方标准。</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废水、噪声、固废：需有妥善的防治措施</w:t>
      </w:r>
      <w:r>
        <w:rPr>
          <w:rFonts w:hint="eastAsia" w:ascii="宋体" w:hAnsi="宋体" w:eastAsia="宋体" w:cs="宋体"/>
          <w:bCs/>
          <w:color w:val="auto"/>
          <w:sz w:val="24"/>
          <w:highlight w:val="none"/>
        </w:rPr>
        <w:t xml:space="preserve">并达到相关标准</w:t>
      </w:r>
      <w:r>
        <w:rPr>
          <w:rFonts w:ascii="宋体" w:hAnsi="宋体" w:eastAsia="宋体" w:cs="宋体"/>
          <w:bCs/>
          <w:color w:val="auto"/>
          <w:sz w:val="24"/>
          <w:highlight w:val="none"/>
        </w:rPr>
        <w:t xml:space="preserve">。</w:t>
      </w:r>
      <w:r/>
    </w:p>
    <w:p>
      <w:pPr>
        <w:ind w:firstLine="480"/>
        <w:spacing w:line="360" w:lineRule="auto"/>
        <w:rPr>
          <w:rFonts w:hint="eastAsia" w:ascii="宋体" w:hAnsi="宋体" w:eastAsia="宋体" w:cs="宋体"/>
          <w:bCs/>
          <w:color w:val="auto"/>
          <w:sz w:val="24"/>
          <w:highlight w:val="none"/>
        </w:rPr>
      </w:pPr>
      <w:r>
        <w:rPr>
          <w:rFonts w:ascii="宋体" w:hAnsi="宋体" w:eastAsia="宋体" w:cs="宋体"/>
          <w:bCs/>
          <w:color w:val="auto"/>
          <w:sz w:val="24"/>
          <w:highlight w:val="none"/>
        </w:rPr>
        <w:t xml:space="preserve">安全生产：建立完善的安全管理制度和操作规程，特别是针对高温、烟气等风险点。</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（2）</w:t>
      </w:r>
      <w:r>
        <w:rPr>
          <w:rFonts w:hint="eastAsia" w:ascii="宋体" w:hAnsi="宋体" w:eastAsia="宋体" w:cs="宋体"/>
          <w:color w:val="auto"/>
          <w:sz w:val="24"/>
          <w:highlight w:val="none"/>
        </w:rPr>
        <w:t xml:space="preserve">在委托服务期内，</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应配合采购人做好污泥转运单的填报，真实有效地将地磅计量记录于污泥转运单上并盖章确认，场地内应建设地磅计量设施，且通过计量检验认证</w:t>
      </w:r>
      <w:r>
        <w:rPr>
          <w:rFonts w:hint="eastAsia" w:ascii="宋体" w:hAnsi="宋体" w:eastAsia="宋体" w:cs="宋体"/>
          <w:b/>
          <w:bCs/>
          <w:color w:val="auto"/>
          <w:sz w:val="24"/>
          <w:highlight w:val="none"/>
        </w:rPr>
        <w:t xml:space="preserve">（需提供计量检验检定证书）</w:t>
      </w:r>
      <w:r>
        <w:rPr>
          <w:rFonts w:hint="eastAsia" w:ascii="宋体" w:hAnsi="宋体" w:eastAsia="宋体" w:cs="宋体"/>
          <w:color w:val="auto"/>
          <w:sz w:val="24"/>
          <w:highlight w:val="none"/>
        </w:rPr>
        <w:t xml:space="preserve">，同时</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也应配合采购人做好污泥转运单的环保备案。</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（3）供应商</w:t>
      </w:r>
      <w:r>
        <w:rPr>
          <w:rFonts w:hint="eastAsia" w:ascii="宋体" w:hAnsi="宋体" w:eastAsia="宋体" w:cs="宋体"/>
          <w:color w:val="auto"/>
          <w:sz w:val="24"/>
          <w:highlight w:val="none"/>
        </w:rPr>
        <w:t xml:space="preserve">负责对污泥进行处理处置，实现污水处理厂污泥稳定化、无害化。</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包干所有费用（即包括所需要的处理处置费、卸车费、人工费、机械费、管理费、保险、各项规费、利润、各项税费、有关文件规定的政策性调价等完成本项目所涉及的全部费用。），同时期间所发生的一切安全及环保等问题，由</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负责。在服务期限内</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自行负责进行全过程污泥处置，并承担由此产生的相应费用和责任及风险。</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（4）供应商</w:t>
      </w:r>
      <w:r>
        <w:rPr>
          <w:rFonts w:hint="eastAsia" w:ascii="宋体" w:hAnsi="宋体" w:eastAsia="宋体" w:cs="宋体"/>
          <w:color w:val="auto"/>
          <w:sz w:val="24"/>
          <w:highlight w:val="none"/>
        </w:rPr>
        <w:t xml:space="preserve">不得在处置地随意倾倒污泥或将污泥作投标处置方式外的其他用途，采购人和污水处理厂可随时抽查处置情况，如发现或被举报核实</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有随意倾倒污泥等违法行为，采购人可立即解除合同，如造成环境二次污染等情况，</w:t>
      </w:r>
      <w:r>
        <w:rPr>
          <w:rFonts w:hint="eastAsia" w:ascii="宋体" w:hAnsi="宋体" w:cs="宋体"/>
          <w:color w:val="auto"/>
          <w:sz w:val="24"/>
          <w:highlight w:val="none"/>
        </w:rPr>
        <w:t xml:space="preserve">供应商</w:t>
      </w:r>
      <w:r>
        <w:rPr>
          <w:rFonts w:hint="eastAsia" w:ascii="宋体" w:hAnsi="宋体" w:eastAsia="宋体" w:cs="宋体"/>
          <w:color w:val="auto"/>
          <w:sz w:val="24"/>
          <w:highlight w:val="none"/>
        </w:rPr>
        <w:t xml:space="preserve">将承担相应的法律责任，同时承担环境修复所产生的一切费用。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项目属于服务采购，其场地、设备、设施、运行、水、电等全成本均由服务方承担，含水率80%、60%、40%的污泥由市区各城市污水处理厂运送到采购人指定签订污泥处置协议且符合环保要求的处置地点妥善处置。项目服务周期原则上自签订合同之日起3年，根据污泥生产实际情况，采购人不设污泥处置保底量。受环保部门要求限制采购人可以随时能终止服务，通知方式为提前一个月书面告知，服务方接到采购人书面通知后应立即终止污泥处置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（6）污泥运输费用：运输距离80km以内（含80km）由市区各污水处理厂负责，超出部分由中标单位承担。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（7）供应商进场、计量、处置、成品外运环节均能实现视频覆盖，且能实时存储影像资料，</w:t>
      </w:r>
      <w:r>
        <w:rPr>
          <w:rFonts w:hint="eastAsia" w:ascii="宋体" w:hAnsi="宋体" w:eastAsia="宋体" w:cs="宋体"/>
          <w:color w:val="auto"/>
          <w:sz w:val="24"/>
          <w:szCs w:val="24"/>
          <w:highlight w:val="none"/>
        </w:rPr>
        <w:t xml:space="preserve">存储周期不小于3个月</w:t>
      </w:r>
      <w:r>
        <w:rPr>
          <w:rFonts w:hint="eastAsia" w:ascii="宋体" w:hAnsi="宋体" w:eastAsia="宋体" w:cs="宋体"/>
          <w:b/>
          <w:bCs/>
          <w:color w:val="auto"/>
          <w:sz w:val="24"/>
          <w:szCs w:val="24"/>
          <w:highlight w:val="none"/>
        </w:rPr>
        <w:t xml:space="preserve">（供应商提供加盖公章的书面承诺书，格式自拟）</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color w:val="auto"/>
          <w:sz w:val="24"/>
          <w:szCs w:val="24"/>
          <w:highlight w:val="none"/>
        </w:rPr>
        <w:t xml:space="preserve">（8）</w:t>
      </w:r>
      <w:r>
        <w:rPr>
          <w:rFonts w:hint="eastAsia" w:ascii="宋体" w:hAnsi="宋体" w:eastAsia="宋体" w:cs="宋体"/>
          <w:b/>
          <w:bCs/>
          <w:i/>
          <w:iCs/>
          <w:color w:val="auto"/>
          <w:sz w:val="24"/>
          <w:szCs w:val="24"/>
          <w:highlight w:val="none"/>
          <w:u w:val="single"/>
        </w:rPr>
        <w:t xml:space="preserve">供应商须为江苏企业“环保脸谱”（一企一档）管理信息系统入库企业(供应商提供加盖公章的网站截图)，或承诺成交后进入江苏企业“环保脸谱”（一企一档）管理信息系统（格式详见第六章 投标文件格式）。如供应商未进入管理信息系统导致无法承接工作的，采购人将终止合同并清退出场，采购人因此受到损失的，供应商承担赔偿责任。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（9）污泥贮存场所必须符合环保要求，单独设置三防设施，要求提供设施照片、承诺书等证明材料，临时暂存污泥不得超过500吨。</w:t>
      </w:r>
      <w:r/>
    </w:p>
    <w:p>
      <w:pPr>
        <w:ind w:firstLine="420"/>
        <w:keepLines w:val="0"/>
        <w:keepNext w:val="0"/>
        <w:pageBreakBefore w:val="0"/>
        <w:spacing w:line="500" w:lineRule="exact"/>
        <w:widowControl w:val="off"/>
        <w:rPr>
          <w:color w:val="auto"/>
          <w:highlight w:val="none"/>
        </w:rPr>
      </w:pPr>
      <w:r>
        <w:rPr>
          <w:rFonts w:hint="eastAsia" w:cstheme="minorBidi"/>
          <w:color w:val="auto"/>
          <w:sz w:val="21"/>
          <w:szCs w:val="22"/>
          <w:highlight w:val="none"/>
          <w:lang w:val="en-US" w:eastAsia="zh-CN" w:bidi="ar-SA"/>
        </w:rPr>
        <w:t xml:space="preserve">（10）</w:t>
      </w:r>
      <w:r>
        <w:rPr>
          <w:rFonts w:hint="eastAsia" w:ascii="宋体" w:hAnsi="宋体" w:eastAsia="宋体" w:cs="宋体"/>
          <w:b/>
          <w:bCs/>
          <w:i/>
          <w:iCs/>
          <w:color w:val="auto"/>
          <w:sz w:val="24"/>
          <w:szCs w:val="24"/>
          <w:highlight w:val="none"/>
          <w:u w:val="single"/>
        </w:rPr>
        <w:t xml:space="preserve">污泥处置设施要求：供应商应保证污泥处置的合法性，任何由于污泥处置引起的法律纠纷或责任、以及由此产生的费用和后果，供应商应自行负责承担，采购</w:t>
      </w:r>
      <w:r>
        <w:rPr>
          <w:rFonts w:hint="eastAsia" w:ascii="宋体" w:hAnsi="宋体" w:eastAsia="宋体" w:cs="宋体"/>
          <w:b/>
          <w:bCs/>
          <w:i/>
          <w:iCs/>
          <w:color w:val="auto"/>
          <w:sz w:val="24"/>
          <w:szCs w:val="24"/>
          <w:highlight w:val="none"/>
          <w:u w:val="single"/>
          <w:lang w:eastAsia="zh-CN"/>
        </w:rPr>
        <w:t xml:space="preserve">人</w:t>
      </w:r>
      <w:r>
        <w:rPr>
          <w:rFonts w:hint="eastAsia" w:ascii="宋体" w:hAnsi="宋体" w:eastAsia="宋体" w:cs="宋体"/>
          <w:b/>
          <w:bCs/>
          <w:i/>
          <w:iCs/>
          <w:color w:val="auto"/>
          <w:sz w:val="24"/>
          <w:szCs w:val="24"/>
          <w:highlight w:val="none"/>
          <w:u w:val="single"/>
        </w:rPr>
        <w:t xml:space="preserve">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3.执行技术标准和文件</w:t>
      </w:r>
      <w:r/>
    </w:p>
    <w:p>
      <w:pPr>
        <w:ind w:firstLine="480"/>
        <w:spacing w:line="360" w:lineRule="auto"/>
        <w:rPr>
          <w:color w:val="auto"/>
          <w:sz w:val="24"/>
          <w:highlight w:val="none"/>
        </w:rPr>
      </w:pPr>
      <w:r>
        <w:rPr>
          <w:rFonts w:hint="eastAsia"/>
          <w:color w:val="auto"/>
          <w:sz w:val="24"/>
          <w:highlight w:val="none"/>
        </w:rPr>
        <w:t xml:space="preserve">（1）《中华人民共和国固体废物污染环境防治法》</w:t>
      </w:r>
      <w:r/>
    </w:p>
    <w:p>
      <w:pPr>
        <w:ind w:firstLine="480"/>
        <w:spacing w:line="360" w:lineRule="auto"/>
        <w:rPr>
          <w:color w:val="auto"/>
          <w:sz w:val="24"/>
          <w:highlight w:val="none"/>
        </w:rPr>
      </w:pPr>
      <w:r>
        <w:rPr>
          <w:rFonts w:hint="eastAsia"/>
          <w:color w:val="auto"/>
          <w:sz w:val="24"/>
          <w:highlight w:val="none"/>
        </w:rPr>
        <w:t xml:space="preserve">（2）《污泥无害化处理和资源化利用实施方案（发改环资〔2022〕1453号）</w:t>
      </w:r>
      <w:r/>
    </w:p>
    <w:p>
      <w:pPr>
        <w:ind w:firstLine="480"/>
        <w:spacing w:line="360" w:lineRule="auto"/>
        <w:rPr>
          <w:color w:val="auto"/>
          <w:sz w:val="24"/>
          <w:highlight w:val="none"/>
        </w:rPr>
      </w:pPr>
      <w:r>
        <w:rPr>
          <w:rFonts w:hint="eastAsia"/>
          <w:color w:val="auto"/>
          <w:sz w:val="24"/>
          <w:highlight w:val="none"/>
        </w:rPr>
        <w:t xml:space="preserve">（3）《城镇污水处理厂污泥处理处置污染防治最佳可行技术指南（试行）》（HJ-BAT-002）</w:t>
      </w:r>
      <w:r/>
    </w:p>
    <w:p>
      <w:pPr>
        <w:ind w:firstLine="480"/>
        <w:spacing w:line="360" w:lineRule="auto"/>
        <w:rPr>
          <w:color w:val="auto"/>
          <w:sz w:val="24"/>
          <w:highlight w:val="none"/>
        </w:rPr>
      </w:pPr>
      <w:r>
        <w:rPr>
          <w:rFonts w:hint="eastAsia"/>
          <w:color w:val="auto"/>
          <w:sz w:val="24"/>
          <w:highlight w:val="none"/>
        </w:rPr>
        <w:t xml:space="preserve">（4）《城市污水处理厂污泥检验方法》（CJ/T 221-2005）</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《连云港市市区城镇污水处理厂污泥处理</w:t>
      </w:r>
      <w:r>
        <w:rPr>
          <w:rFonts w:hint="eastAsia" w:ascii="仿宋_GB2312" w:hAnsi="仿宋_GB2312" w:eastAsia="仿宋_GB2312" w:cs="仿宋_GB2312"/>
          <w:color w:val="auto"/>
          <w:sz w:val="24"/>
          <w:szCs w:val="24"/>
          <w:highlight w:val="none"/>
        </w:rPr>
        <w:t xml:space="preserve">、</w:t>
      </w:r>
      <w:r>
        <w:rPr>
          <w:rFonts w:hint="eastAsia" w:ascii="宋体" w:hAnsi="宋体" w:eastAsia="宋体" w:cs="Times New Roman"/>
          <w:color w:val="auto"/>
          <w:sz w:val="24"/>
          <w:szCs w:val="24"/>
          <w:highlight w:val="none"/>
        </w:rPr>
        <w:t xml:space="preserve">处置管理办法（试行）》</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《城镇污水处理厂污泥技术标准》</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《城镇污水处理厂污泥处理稳定标准》</w:t>
      </w:r>
      <w:r/>
    </w:p>
    <w:p>
      <w:pPr>
        <w:ind w:firstLine="480"/>
        <w:spacing w:line="360" w:lineRule="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8</w:t>
      </w:r>
      <w:r>
        <w:rPr>
          <w:rFonts w:hint="eastAsia"/>
          <w:color w:val="auto"/>
          <w:sz w:val="24"/>
          <w:highlight w:val="none"/>
        </w:rPr>
        <w:t xml:space="preserve">）《环境监测技术规范》</w:t>
      </w:r>
      <w:r/>
    </w:p>
    <w:p>
      <w:pPr>
        <w:ind w:firstLine="480"/>
        <w:spacing w:line="360" w:lineRule="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9</w:t>
      </w:r>
      <w:r>
        <w:rPr>
          <w:rFonts w:hint="eastAsia"/>
          <w:color w:val="auto"/>
          <w:sz w:val="24"/>
          <w:highlight w:val="none"/>
        </w:rPr>
        <w:t xml:space="preserve">）《土壤监测分析方法》</w:t>
      </w:r>
      <w:r/>
    </w:p>
    <w:p>
      <w:pPr>
        <w:ind w:firstLine="480"/>
        <w:spacing w:line="360" w:lineRule="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10</w:t>
      </w:r>
      <w:r>
        <w:rPr>
          <w:rFonts w:hint="eastAsia"/>
          <w:color w:val="auto"/>
          <w:sz w:val="24"/>
          <w:highlight w:val="none"/>
        </w:rPr>
        <w:t xml:space="preserve">）《水和污水监测分析方法》</w:t>
      </w:r>
      <w:r/>
    </w:p>
    <w:p>
      <w:pPr>
        <w:ind w:firstLine="480"/>
        <w:spacing w:line="360" w:lineRule="auto"/>
        <w:rPr>
          <w:color w:val="auto"/>
          <w:sz w:val="24"/>
          <w:highlight w:val="none"/>
        </w:rPr>
      </w:pPr>
      <w:r>
        <w:rPr>
          <w:rFonts w:hint="eastAsia"/>
          <w:color w:val="auto"/>
          <w:sz w:val="24"/>
          <w:highlight w:val="none"/>
        </w:rPr>
        <w:t xml:space="preserve">（</w:t>
      </w:r>
      <w:r>
        <w:rPr>
          <w:rFonts w:hint="eastAsia"/>
          <w:color w:val="auto"/>
          <w:sz w:val="24"/>
          <w:highlight w:val="none"/>
          <w:lang w:val="en-US" w:eastAsia="zh-CN"/>
        </w:rPr>
        <w:t xml:space="preserve">11</w:t>
      </w:r>
      <w:r>
        <w:rPr>
          <w:rFonts w:hint="eastAsia"/>
          <w:color w:val="auto"/>
          <w:sz w:val="24"/>
          <w:highlight w:val="none"/>
        </w:rPr>
        <w:t xml:space="preserve">）《空气与废气监测分析方法》</w:t>
      </w:r>
      <w:r/>
    </w:p>
    <w:p>
      <w:pPr>
        <w:ind w:firstLine="480"/>
        <w:spacing w:line="360" w:lineRule="auto"/>
        <w:rPr>
          <w:rFonts w:hint="eastAsia" w:ascii="宋体" w:hAnsi="宋体" w:eastAsia="宋体" w:cs="宋体"/>
          <w:color w:val="auto"/>
          <w:sz w:val="24"/>
          <w:szCs w:val="24"/>
          <w:highlight w:val="none"/>
        </w:rPr>
      </w:pPr>
      <w:r>
        <w:rPr>
          <w:rFonts w:hint="eastAsia"/>
          <w:color w:val="auto"/>
          <w:sz w:val="24"/>
          <w:highlight w:val="none"/>
        </w:rPr>
        <w:t xml:space="preserve">（</w:t>
      </w:r>
      <w:r>
        <w:rPr>
          <w:rFonts w:hint="eastAsia"/>
          <w:color w:val="auto"/>
          <w:sz w:val="24"/>
          <w:highlight w:val="none"/>
          <w:lang w:val="en-US" w:eastAsia="zh-CN"/>
        </w:rPr>
        <w:t xml:space="preserve">12</w:t>
      </w:r>
      <w:r>
        <w:rPr>
          <w:rFonts w:hint="eastAsia"/>
          <w:color w:val="auto"/>
          <w:sz w:val="24"/>
          <w:highlight w:val="none"/>
        </w:rPr>
        <w:t xml:space="preserve">）《省政府办公厅关于印发江苏省环境基础设施三年建设方案（2018-2020年）的通知》等相关政策法规的规定。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项目实施过程中，上述标准有更新的，执行最新标准。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4.提交成果：按时提交污泥处理日报、月报、年报；每批次产物的检测报告；完整的运行台账（运输、接收、处理、产物去向）；年度工作总结等。</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三、人员配备要求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拟派项目团队人员中具有安全管理人员，人数构成符合本项目规模要求。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四、服务期限</w:t>
      </w:r>
      <w:r/>
    </w:p>
    <w:p>
      <w:pPr>
        <w:ind w:firstLine="482"/>
        <w:spacing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i/>
          <w:iCs/>
          <w:color w:val="auto"/>
          <w:sz w:val="24"/>
          <w:szCs w:val="24"/>
          <w:highlight w:val="none"/>
          <w:u w:val="single"/>
        </w:rPr>
        <w:t xml:space="preserve">服务期限：</w:t>
      </w:r>
      <w:r>
        <w:rPr>
          <w:rFonts w:hint="eastAsia" w:ascii="宋体" w:hAnsi="宋体" w:eastAsia="宋体" w:cs="宋体"/>
          <w:b/>
          <w:bCs/>
          <w:i/>
          <w:iCs/>
          <w:color w:val="auto"/>
          <w:sz w:val="24"/>
          <w:szCs w:val="24"/>
          <w:highlight w:val="none"/>
          <w:u w:val="single"/>
        </w:rPr>
        <w:t xml:space="preserve">合同签订之日起3年。</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1.项目技术任务书、总结报告等技术文档应当由具有编制能力的专业技术人员编制，并按规定审核。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2.项目承担单位应当加强安全生产管理，强化安全检查，切实把安全生产放在第一位，抓紧抓实，确保生命、财产安全和成果资料保密安全。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六、履约验收</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通过甲方组织的验收。</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七、付款方式与履约保证金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
          <w:bCs/>
          <w:i/>
          <w:iCs/>
          <w:color w:val="auto"/>
          <w:sz w:val="24"/>
          <w:szCs w:val="24"/>
          <w:highlight w:val="none"/>
          <w:u w:val="single"/>
        </w:rPr>
        <w:t xml:space="preserve">付款方式：（1）本项目合同为固定单价合同，付款金额以实际污泥处理量进行结算，超出预算金额按预算金额支付。（2）项目运营服务费每月支付一次。乙方每月报送处置计量报表；经甲方审核测算后确定支付运营服务费。（3）采购人支付运营服务费前，中标供应商须提供等额的正式发票给采购人，以便采购人及时办理转帐支付手续。本项目所涉及费用均以人民币结算。</w:t>
      </w:r>
      <w:r/>
    </w:p>
    <w:p>
      <w:pPr>
        <w:ind w:firstLine="48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2.履约保证金：</w:t>
      </w:r>
      <w:r>
        <w:rPr>
          <w:rFonts w:hint="eastAsia" w:ascii="宋体" w:hAnsi="宋体" w:eastAsia="宋体" w:cs="宋体"/>
          <w:b/>
          <w:color w:val="auto"/>
          <w:sz w:val="24"/>
          <w:szCs w:val="24"/>
          <w:highlight w:val="none"/>
        </w:rPr>
        <w:t xml:space="preserve">本项目不收取履约保证金。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八、报价要求</w:t>
      </w:r>
      <w:r/>
    </w:p>
    <w:p>
      <w:pPr>
        <w:pStyle w:val="885"/>
        <w:ind w:firstLine="480"/>
        <w:rPr>
          <w:rFonts w:hint="eastAsia" w:ascii="宋体" w:hAnsi="宋体" w:cs="宋体"/>
          <w:bCs/>
          <w:color w:val="auto"/>
          <w:sz w:val="24"/>
          <w:highlight w:val="none"/>
        </w:rPr>
      </w:pPr>
      <w:r>
        <w:rPr>
          <w:rFonts w:hint="eastAsia" w:ascii="宋体" w:hAnsi="宋体" w:cs="宋体"/>
          <w:bCs/>
          <w:color w:val="auto"/>
          <w:sz w:val="24"/>
          <w:highlight w:val="none"/>
        </w:rPr>
        <w:t xml:space="preserve">报价方式：固定单价。</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报价内容应包括但不限于人员工资、加班费、社会保障缴费、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采购人不再支付超出总价的任何费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供应商应保证污泥处置的合法性，任何由于污泥处置引起的法律纠纷或责任、以及由此产生的费用和后果，供应商应自行负责承担，采购人概不负责。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特别提醒供应商：应根据国家收费标准并结合市场实际进行报价，总价包干。</w:t>
      </w:r>
      <w:r/>
    </w:p>
    <w:p>
      <w:pPr>
        <w:ind w:firstLine="480"/>
        <w:spacing w:line="360" w:lineRule="auto"/>
        <w:rPr>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黑体" w:hAnsi="黑体" w:eastAsia="黑体"/>
          <w:bCs/>
          <w:color w:val="auto"/>
          <w:sz w:val="44"/>
          <w:szCs w:val="44"/>
          <w:highlight w:val="none"/>
        </w:rPr>
      </w:pPr>
      <w:r>
        <w:rPr>
          <w:rFonts w:ascii="黑体" w:hAnsi="黑体" w:eastAsia="黑体"/>
          <w:b/>
          <w:color w:val="auto"/>
          <w:highlight w:val="none"/>
        </w:rPr>
        <w:br w:type="page" w:clear="all"/>
      </w:r>
      <w:r/>
    </w:p>
    <w:p>
      <w:pPr>
        <w:pStyle w:val="870"/>
        <w:jc w:val="center"/>
        <w:spacing w:before="156" w:after="156" w:line="360" w:lineRule="auto"/>
        <w:rPr>
          <w:rFonts w:hint="eastAsia" w:ascii="黑体" w:hAnsi="黑体" w:eastAsia="黑体"/>
          <w:b w:val="0"/>
          <w:color w:val="auto"/>
          <w:highlight w:val="none"/>
        </w:rPr>
      </w:pPr>
      <w:r/>
      <w:bookmarkStart w:id="5" w:name="_Toc17443"/>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5"/>
      <w:r/>
      <w:r/>
    </w:p>
    <w:p>
      <w:pPr>
        <w:ind w:firstLine="480"/>
        <w:jc w:val="left"/>
        <w:spacing w:line="500" w:lineRule="exact"/>
        <w:rPr>
          <w:rFonts w:hint="eastAsia"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w:t>
      </w:r>
      <w:r/>
    </w:p>
    <w:p>
      <w:pPr>
        <w:ind w:firstLine="480"/>
        <w:jc w:val="left"/>
        <w:spacing w:line="500" w:lineRule="exact"/>
        <w:rPr>
          <w:rFonts w:hint="eastAsia"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hint="eastAsia"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jc w:val="left"/>
        <w:widowControl/>
        <w:rPr>
          <w:color w:val="auto"/>
          <w:sz w:val="24"/>
          <w:szCs w:val="24"/>
          <w:highlight w:val="none"/>
        </w:rPr>
      </w:pPr>
      <w:r>
        <w:rPr>
          <w:rFonts w:hint="eastAsia" w:ascii="宋体" w:hAnsi="宋体" w:eastAsia="宋体" w:cs="宋体"/>
          <w:b/>
          <w:color w:val="auto"/>
          <w:sz w:val="24"/>
          <w:szCs w:val="24"/>
          <w:highlight w:val="none"/>
        </w:rPr>
        <w:t xml:space="preserve">  </w:t>
      </w:r>
      <w:r/>
    </w:p>
    <w:p>
      <w:pPr>
        <w:ind w:left="420"/>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1.价格分：20分</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投标报价得分=（评标基准价/投标报价）×20分。</w:t>
      </w:r>
      <w:r/>
    </w:p>
    <w:p>
      <w:pPr>
        <w:ind w:firstLine="480"/>
        <w:spacing w:line="4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pStyle w:val="881"/>
        <w:numPr>
          <w:ilvl w:val="0"/>
          <w:numId w:val="1"/>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商务部分：36分</w:t>
      </w:r>
      <w:r/>
    </w:p>
    <w:tbl>
      <w:tblPr>
        <w:tblStyle w:val="880"/>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5"/>
        <w:gridCol w:w="6073"/>
      </w:tblGrid>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417"/>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项目运营管理人员配置</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w:t>
            </w:r>
            <w:r/>
          </w:p>
        </w:tc>
        <w:tc>
          <w:tcPr>
            <w:tcW w:w="6073"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拟派项目团队中配备安全管理人员，每有1人得3分，本项最高得6分。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供应商提供人员名单（格式自拟）、供应商为其缴纳的</w:t>
            </w:r>
            <w:r>
              <w:rPr>
                <w:rFonts w:hint="eastAsia" w:ascii="宋体" w:hAnsi="宋体" w:eastAsia="宋体" w:cs="宋体"/>
                <w:b/>
                <w:color w:val="auto"/>
                <w:sz w:val="24"/>
                <w:szCs w:val="24"/>
                <w:highlight w:val="none"/>
              </w:rPr>
              <w:t xml:space="preserve">2025年9月至2026年2月任意1个月社保缴纳证明材料、</w:t>
            </w:r>
            <w:r>
              <w:rPr>
                <w:rFonts w:hint="eastAsia" w:ascii="宋体" w:hAnsi="宋体" w:eastAsia="宋体" w:cs="宋体"/>
                <w:b/>
                <w:bCs/>
                <w:color w:val="auto"/>
                <w:sz w:val="24"/>
                <w:szCs w:val="24"/>
                <w:highlight w:val="none"/>
              </w:rPr>
              <w:t xml:space="preserve">生产经营安全管理人员合格证扫描件加盖供应商公章。</w:t>
            </w:r>
            <w:r/>
          </w:p>
        </w:tc>
      </w:tr>
      <w:tr>
        <w:trPr>
          <w:jc w:val="center"/>
          <w:trHeight w:val="2060"/>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合同业绩证明材料</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（25分）</w:t>
            </w:r>
            <w:r/>
          </w:p>
        </w:tc>
        <w:tc>
          <w:tcPr>
            <w:tcW w:w="6073"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供应商2020年1月1日（以合同签订时间为准）以来承担过处置一般固废（污泥或者污染土壤等）项目的合同业绩材料，每有一份得5分，最高得25分。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提供合同扫描件加盖供应商公章，不提供不得分。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污泥暂存设施（5分）</w:t>
            </w:r>
            <w:r/>
          </w:p>
        </w:tc>
        <w:tc>
          <w:tcPr>
            <w:tcW w:w="6073"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供应商具有污泥暂存设施，储泥量不少于100吨，且正常使用的得5分；储泥量不少于60吨，且正常使用的得3分，不提供不得分。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1、提供场地防雨、防渗、防臭功能完备的污泥暂存设施图片。</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2、提供符合实际情况的承诺书（格式自拟），并加盖供应商公章。</w:t>
            </w:r>
            <w:r/>
          </w:p>
        </w:tc>
      </w:tr>
    </w:tbl>
    <w:p>
      <w:pPr>
        <w:pStyle w:val="881"/>
        <w:ind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1"/>
        <w:ind w:left="421" w:firstLine="0"/>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881"/>
        <w:numPr>
          <w:ilvl w:val="0"/>
          <w:numId w:val="1"/>
        </w:numPr>
        <w:ind w:firstLine="42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技术部分44分</w:t>
      </w:r>
      <w:r/>
    </w:p>
    <w:tbl>
      <w:tblPr>
        <w:tblStyle w:val="880"/>
        <w:tblW w:w="8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23"/>
        <w:gridCol w:w="6075"/>
      </w:tblGrid>
      <w:tr>
        <w:trPr>
          <w:jc w:val="center"/>
          <w:trHeight w:val="57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W w:w="607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评审标准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523"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污泥处置工艺（11分）</w:t>
            </w:r>
            <w:r/>
          </w:p>
        </w:tc>
        <w:tc>
          <w:tcPr>
            <w:tcW w:w="6075" w:type="dxa"/>
            <w:textDirection w:val="lrTb"/>
            <w:noWrap w:val="false"/>
          </w:tcPr>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提供污泥处置生产工艺方案为合理，生产工艺描述准确、完整，得11分；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提供污泥处置生产工艺方案较为合理，描述较准确、完整的得9分；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eastAsia="宋体" w:cs="宋体"/>
                <w:color w:val="auto"/>
                <w:sz w:val="24"/>
                <w:szCs w:val="24"/>
                <w:highlight w:val="none"/>
              </w:rPr>
              <w:t xml:space="preserve">提供污泥处置生产工艺方案基本合理，描述基本准确、完整的得7分；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提供污泥处置生产工艺方案、描述不合理、有遗漏的得4分。</w:t>
            </w:r>
            <w:r/>
          </w:p>
          <w:p>
            <w:pPr>
              <w:jc w:val="left"/>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595"/>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安全事故应急预案完整，管控措施到位得11分；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安全事故应急预案较完整，管控措施较到位得9分；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安全事故应急预案基本完整，管控措施满足基本需求得7分；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安全事故应急预案与管控措施完整性不足得4分；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规章制度和操作规程（11分）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规章制度、操作规程完备、制度规程完整得11分；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规章制度、操作规程较完备、制度规程较完整得9分；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规章制度、操作规程基本完备、制度规程基本完整得7分；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规章制度、操作规程完整性不足、有遗漏得4分；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r>
        <w:trPr>
          <w:jc w:val="center"/>
          <w:trHeight w:val="614"/>
        </w:trPr>
        <w:tc>
          <w:tcPr>
            <w:tcW w:w="79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52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质量控制</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（11分）</w:t>
            </w:r>
            <w:r/>
          </w:p>
        </w:tc>
        <w:tc>
          <w:tcPr>
            <w:tcW w:w="6075" w:type="dxa"/>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具有专门的化验室和化验人员，分析污泥指标并编制相应的化验分析台账。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分析流程完整、台账资料完善、准确得11分；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分析流程较完整、台账资料较完善、准确得9分；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分析流程基本完整、台账资料基本完善得7分；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分析流程、台账资料存完整性不足、有遗漏得4分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不提供不得分。</w:t>
            </w:r>
            <w:r/>
          </w:p>
        </w:tc>
      </w:tr>
    </w:tbl>
    <w:p>
      <w:pPr>
        <w:rPr>
          <w:rFonts w:hint="eastAsia" w:ascii="黑体" w:hAnsi="黑体" w:eastAsia="黑体"/>
          <w:color w:val="auto"/>
          <w:highlight w:val="none"/>
        </w:rPr>
      </w:pPr>
      <w:r>
        <w:rPr>
          <w:rFonts w:hint="eastAsia" w:ascii="黑体" w:hAnsi="黑体" w:eastAsia="黑体"/>
          <w:color w:val="auto"/>
          <w:highlight w:val="none"/>
        </w:rPr>
        <w:br w:type="page" w:clear="all"/>
      </w:r>
      <w:r/>
    </w:p>
    <w:p>
      <w:pPr>
        <w:pStyle w:val="870"/>
        <w:jc w:val="center"/>
        <w:spacing w:before="156" w:after="156" w:line="360" w:lineRule="auto"/>
        <w:rPr>
          <w:rFonts w:hint="eastAsia" w:ascii="黑体" w:hAnsi="黑体" w:eastAsia="黑体"/>
          <w:b w:val="0"/>
          <w:color w:val="auto"/>
          <w:highlight w:val="none"/>
        </w:rPr>
      </w:pPr>
      <w:r/>
      <w:bookmarkStart w:id="6" w:name="_Toc29785"/>
      <w:r>
        <w:rPr>
          <w:rFonts w:hint="eastAsia" w:ascii="黑体" w:hAnsi="黑体" w:eastAsia="黑体"/>
          <w:b w:val="0"/>
          <w:color w:val="auto"/>
          <w:highlight w:val="none"/>
        </w:rPr>
        <w:t xml:space="preserve">第六章  投标文件格式</w:t>
      </w:r>
      <w:bookmarkEnd w:id="6"/>
      <w:r/>
      <w:r/>
    </w:p>
    <w:p>
      <w:pPr>
        <w:jc w:val="left"/>
        <w:spacing w:line="500" w:lineRule="exact"/>
        <w:rPr>
          <w:color w:val="auto"/>
          <w:sz w:val="24"/>
          <w:szCs w:val="24"/>
          <w:highlight w:val="none"/>
        </w:rPr>
      </w:pPr>
      <w:r>
        <w:rPr>
          <w:color w:val="auto"/>
          <w:sz w:val="24"/>
          <w:szCs w:val="24"/>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jc w:val="center"/>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r>
      <w:r/>
    </w:p>
    <w:p>
      <w:pPr>
        <w:ind w:firstLine="1084"/>
        <w:rPr>
          <w:rFonts w:hint="eastAsia"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rPr>
          <w:rFonts w:hint="eastAsia" w:ascii="宋体" w:hAnsi="宋体" w:eastAsia="宋体" w:cs="Times New Roman"/>
          <w:b/>
          <w:color w:val="auto"/>
          <w:sz w:val="36"/>
          <w:szCs w:val="21"/>
          <w:highlight w:val="none"/>
          <w:u w:val="single"/>
        </w:rPr>
        <w:t xml:space="preserve">                   </w:t>
      </w:r>
      <w:r/>
    </w:p>
    <w:p>
      <w:pPr>
        <w:ind w:firstLine="1084"/>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rPr>
          <w:rFonts w:hint="eastAsia" w:ascii="宋体" w:hAnsi="宋体" w:eastAsia="宋体" w:cs="Times New Roman"/>
          <w:b/>
          <w:color w:val="auto"/>
          <w:sz w:val="36"/>
          <w:szCs w:val="21"/>
          <w:highlight w:val="none"/>
          <w:u w:val="single"/>
        </w:rPr>
        <w:t xml:space="preserve">                   </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供应商名称 ：</w:t>
      </w:r>
      <w:r>
        <w:rPr>
          <w:rFonts w:hint="eastAsia" w:ascii="宋体" w:hAnsi="宋体" w:eastAsia="宋体" w:cs="Times New Roman"/>
          <w:b/>
          <w:color w:val="auto"/>
          <w:sz w:val="36"/>
          <w:szCs w:val="21"/>
          <w:highlight w:val="none"/>
          <w:u w:val="single"/>
        </w:rPr>
        <w:t xml:space="preserve">（加盖CA电子公章）</w:t>
      </w:r>
      <w:r/>
    </w:p>
    <w:p>
      <w:pPr>
        <w:rPr>
          <w:rFonts w:hint="eastAsia"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rPr>
          <w:rFonts w:hint="eastAsia" w:ascii="宋体" w:hAnsi="宋体" w:eastAsia="宋体" w:cs="Times New Roman"/>
          <w:b/>
          <w:color w:val="auto"/>
          <w:sz w:val="36"/>
          <w:szCs w:val="21"/>
          <w:highlight w:val="none"/>
          <w:u w:val="single"/>
        </w:rPr>
        <w:t xml:space="preserve">                   </w:t>
      </w:r>
      <w:r/>
    </w:p>
    <w:p>
      <w:pPr>
        <w:jc w:val="center"/>
        <w:spacing w:line="440" w:lineRule="exact"/>
        <w:rPr>
          <w:rFonts w:hint="eastAsia"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rPr>
      </w:r>
      <w:r/>
    </w:p>
    <w:p>
      <w:pPr>
        <w:spacing w:line="44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rFonts w:hint="eastAsia" w:ascii="宋体" w:hAnsi="宋体" w:eastAsia="宋体" w:cs="宋体"/>
          <w:i/>
          <w:color w:val="auto"/>
          <w:sz w:val="36"/>
          <w:szCs w:val="36"/>
          <w:highlight w:val="none"/>
          <w:u w:val="single"/>
        </w:rP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二、上一年度的财务状况报告</w:t>
      </w:r>
      <w:r/>
    </w:p>
    <w:p>
      <w:pPr>
        <w:ind w:firstLine="480"/>
        <w:jc w:val="left"/>
        <w:spacing w:line="500" w:lineRule="exact"/>
        <w:rPr>
          <w:color w:val="auto"/>
          <w:sz w:val="24"/>
          <w:szCs w:val="24"/>
          <w:highlight w:val="none"/>
        </w:rPr>
      </w:pPr>
      <w:r>
        <w:rPr>
          <w:rFonts w:hint="eastAsia"/>
          <w:color w:val="auto"/>
          <w:sz w:val="24"/>
          <w:szCs w:val="24"/>
          <w:highlight w:val="none"/>
        </w:rPr>
        <w:t xml:space="preserve">（成立不满一年无需提供）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三、依法缴纳税收和社会保障资金的相关材料</w:t>
      </w:r>
      <w:r/>
    </w:p>
    <w:p>
      <w:pPr>
        <w:ind w:firstLine="480"/>
        <w:jc w:val="left"/>
        <w:spacing w:line="500" w:lineRule="exact"/>
        <w:rPr>
          <w:color w:val="auto"/>
          <w:sz w:val="24"/>
          <w:szCs w:val="24"/>
          <w:highlight w:val="none"/>
        </w:rPr>
      </w:pPr>
      <w:r>
        <w:rPr>
          <w:rFonts w:hint="eastAsia"/>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财务状况报告及税收、社会保障资金缴纳情况承诺函</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致：</w:t>
      </w:r>
      <w:r>
        <w:rPr>
          <w:rFonts w:hint="eastAsia" w:ascii="Calibri" w:hAnsi="Calibri" w:eastAsia="宋体" w:cs="Times New Roman"/>
          <w:i/>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color w:val="auto"/>
          <w:sz w:val="24"/>
          <w:szCs w:val="24"/>
          <w:highlight w:val="none"/>
          <w:u w:val="single"/>
        </w:rPr>
        <w:t xml:space="preserve">供应商</w:t>
      </w:r>
      <w:r>
        <w:rPr>
          <w:rFonts w:hint="eastAsia" w:ascii="Calibri" w:hAnsi="Calibri" w:eastAsia="宋体" w:cs="Times New Roman"/>
          <w:i/>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参加</w:t>
      </w:r>
      <w:r>
        <w:rPr>
          <w:rFonts w:hint="eastAsia" w:ascii="Calibri" w:hAnsi="Calibri" w:eastAsia="宋体" w:cs="Times New Roman"/>
          <w:i/>
          <w:color w:val="auto"/>
          <w:sz w:val="24"/>
          <w:szCs w:val="24"/>
          <w:highlight w:val="none"/>
          <w:u w:val="single"/>
        </w:rPr>
        <w:t xml:space="preserve">项目名称</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color w:val="auto"/>
          <w:sz w:val="24"/>
          <w:szCs w:val="24"/>
          <w:highlight w:val="none"/>
          <w:u w:val="single"/>
        </w:rPr>
        <w:t xml:space="preserve">项目编号</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四、具备履行合同所必需的设备和专业技术能力的声明及证明材料</w:t>
      </w:r>
      <w:r/>
    </w:p>
    <w:p>
      <w:pPr>
        <w:jc w:val="center"/>
        <w:spacing w:line="460" w:lineRule="exact"/>
        <w:rPr>
          <w:rFonts w:ascii="Calibri" w:hAnsi="Calibri" w:eastAsia="宋体" w:cs="Times New Roman"/>
          <w:color w:val="auto"/>
          <w:sz w:val="24"/>
          <w:szCs w:val="24"/>
          <w:highlight w:val="none"/>
        </w:rPr>
      </w:pPr>
      <w:r>
        <w:rPr>
          <w:rFonts w:hint="eastAsia" w:ascii="黑体" w:hAnsi="黑体"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五、参加政府采购活动前3年内在经营活动中没有重大违法记录的书面声明</w:t>
      </w:r>
      <w:r/>
    </w:p>
    <w:p>
      <w:pPr>
        <w:jc w:val="center"/>
        <w:spacing w:line="460" w:lineRule="exact"/>
        <w:rPr>
          <w:rFonts w:hint="eastAsia"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六、法律、行政法规规定的其他条件的证明文件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七、落实政府采购政策需满足的资格要求的证明文件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八、特定资格要求的证明文件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九、授权委托书与法定代表人（单位负责人）身份证明</w:t>
      </w:r>
      <w:r/>
    </w:p>
    <w:p>
      <w:pPr>
        <w:jc w:val="center"/>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系</w:t>
      </w:r>
      <w:r>
        <w:rPr>
          <w:rFonts w:hint="eastAsia" w:ascii="Calibri" w:hAnsi="Calibri"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ascii="Calibri" w:hAnsi="Calibri" w:eastAsia="宋体" w:cs="Times New Roman"/>
          <w:color w:val="auto"/>
          <w:sz w:val="24"/>
          <w:szCs w:val="24"/>
          <w:highlight w:val="none"/>
          <w:u w:val="single"/>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rPr>
          <w:rFonts w:ascii="Calibri" w:hAnsi="Calibri" w:eastAsia="宋体" w:cs="Times New Roman"/>
          <w:color w:val="auto"/>
          <w:sz w:val="24"/>
          <w:szCs w:val="24"/>
          <w:highlight w:val="none"/>
        </w:rPr>
        <w:b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w:t>
      </w:r>
      <w:r>
        <w:rPr>
          <w:rFonts w:ascii="Calibri" w:hAnsi="Calibri" w:eastAsia="宋体" w:cs="Times New Roman"/>
          <w:color w:val="auto"/>
          <w:sz w:val="24"/>
          <w:szCs w:val="24"/>
          <w:highlight w:val="none"/>
        </w:rPr>
        <w:t xml:space="preserve">名称（加盖公章）：</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8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hint="eastAsia"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r>
      <w:r/>
    </w:p>
    <w:p>
      <w:pPr>
        <w:spacing w:line="360" w:lineRule="auto"/>
        <w:tabs>
          <w:tab w:val="left" w:pos="5580"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性别：</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年龄：</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职务：</w:t>
      </w:r>
      <w:r>
        <w:rPr>
          <w:rFonts w:hint="eastAsia" w:ascii="宋体" w:hAnsi="宋体"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hint="eastAsia" w:ascii="宋体" w:hAnsi="宋体" w:eastAsia="宋体" w:cs="Times New Roman"/>
          <w:color w:val="auto"/>
          <w:sz w:val="24"/>
          <w:szCs w:val="24"/>
          <w:highlight w:val="none"/>
          <w:u w:val="single"/>
        </w:rPr>
        <w:t xml:space="preserve"> </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供应商</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6"/>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88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p>
            <w:pPr>
              <w:jc w:val="left"/>
              <w:spacing w:line="360" w:lineRule="auto"/>
              <w:tabs>
                <w:tab w:val="left" w:pos="5580" w:leader="none"/>
              </w:tabs>
              <w:rPr>
                <w:rFonts w:hint="eastAsia"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r>
            <w:r/>
          </w:p>
        </w:tc>
      </w:tr>
    </w:tbl>
    <w:p>
      <w:pPr>
        <w:ind w:right="4305"/>
        <w:spacing w:before="120" w:line="583" w:lineRule="auto"/>
        <w:tabs>
          <w:tab w:val="left" w:pos="567" w:leader="none"/>
        </w:tabs>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rPr>
          <w:rFonts w:hint="eastAsia" w:ascii="Calibri" w:hAnsi="Calibri" w:eastAsia="宋体" w:cs="Times New Roman"/>
          <w:color w:val="auto"/>
          <w:sz w:val="24"/>
          <w:szCs w:val="24"/>
          <w:highlight w:val="none"/>
          <w:u w:val="single"/>
        </w:rPr>
        <w:t xml:space="preserve">             </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jc w:val="left"/>
        <w:keepLines/>
        <w:keepNext/>
        <w:spacing w:before="260" w:after="260" w:line="416" w:lineRule="auto"/>
        <w:rPr>
          <w:rFonts w:hint="eastAsia"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致：（采购人）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供应商开户行：</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十一、中小企业声明函（服务）（分包号：**）</w:t>
      </w:r>
      <w:r/>
    </w:p>
    <w:p>
      <w:pPr>
        <w:jc w:val="center"/>
        <w:spacing w:line="360" w:lineRule="auto"/>
        <w:tabs>
          <w:tab w:val="left" w:pos="360" w:leader="none"/>
        </w:tabs>
        <w:rPr>
          <w:rFonts w:hint="eastAsia"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hint="eastAsia" w:ascii="宋体" w:hAnsi="宋体"/>
          <w:color w:val="auto"/>
          <w:sz w:val="24"/>
          <w:highlight w:val="none"/>
        </w:rPr>
      </w:pPr>
      <w:r>
        <w:rPr>
          <w:rFonts w:hint="eastAsia" w:ascii="宋体" w:hAnsi="宋体" w:eastAsia="宋体" w:cs="Times New Roman"/>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）采购活动，提供的</w:t>
      </w:r>
      <w:r>
        <w:rPr>
          <w:rFonts w:ascii="宋体" w:hAnsi="宋体"/>
          <w:color w:val="auto"/>
          <w:sz w:val="24"/>
          <w:highlight w:val="none"/>
        </w:rPr>
        <w:t xml:space="preserve">服务全部由符合政策要求的中小企业承接。</w:t>
      </w:r>
      <w:r/>
    </w:p>
    <w:p>
      <w:pPr>
        <w:ind w:firstLine="480"/>
        <w:spacing w:line="500" w:lineRule="exact"/>
        <w:rPr>
          <w:rFonts w:hint="eastAsia"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（招标文件中明确的所属行业）</w:t>
      </w:r>
      <w:r>
        <w:rPr>
          <w:rFonts w:hint="eastAsia" w:ascii="宋体" w:hAnsi="宋体" w:eastAsia="宋体" w:cs="Times New Roman"/>
          <w:color w:val="auto"/>
          <w:sz w:val="24"/>
          <w:szCs w:val="24"/>
          <w:highlight w:val="none"/>
        </w:rPr>
        <w:t xml:space="preserve">行业；承接企业为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人，营业收入为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万元，资产总额为</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right="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w:t>
      </w:r>
      <w:r>
        <w:rPr>
          <w:rFonts w:hint="eastAsia" w:ascii="宋体" w:hAnsi="宋体"/>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单位的</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1"/>
          <w:highlight w:val="none"/>
        </w:rPr>
        <w:t xml:space="preserve">）采购活动由本单位提供全部服务。</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right="162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w:t>
      </w:r>
      <w:r>
        <w:rPr>
          <w:rFonts w:hint="eastAsia" w:ascii="宋体" w:hAnsi="宋体"/>
          <w:bCs/>
          <w:color w:val="auto"/>
          <w:sz w:val="24"/>
          <w:highlight w:val="none"/>
        </w:rPr>
        <w:t xml:space="preserve">所填内容将作为评审的依据</w:t>
      </w:r>
      <w:r>
        <w:rPr>
          <w:rFonts w:hint="eastAsia" w:ascii="宋体" w:hAnsi="宋体" w:eastAsia="宋体" w:cs="Times New Roman"/>
          <w:color w:val="auto"/>
          <w:sz w:val="24"/>
          <w:szCs w:val="24"/>
          <w:highlight w:val="none"/>
        </w:rPr>
        <w:t xml:space="preserve">，如填写不完整或不一致或填写有误，将不享受扶持政策。</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（小型、微型企业/残疾人福利性单位/监狱企业全称）为</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u w:val="single"/>
        </w:rPr>
        <w:t xml:space="preserve"> </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r>
      <w:r/>
    </w:p>
    <w:p>
      <w:pPr>
        <w:ind w:firstLine="480"/>
        <w:spacing w:line="500" w:lineRule="exact"/>
        <w:rPr>
          <w:rFonts w:hint="eastAsia"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rPr>
          <w:rFonts w:ascii="宋体" w:hAnsi="宋体" w:eastAsia="宋体" w:cs="Times New Roman"/>
          <w:color w:val="auto"/>
          <w:sz w:val="24"/>
          <w:szCs w:val="21"/>
          <w:highlight w:val="none"/>
        </w:rPr>
        <w:t xml:space="preserve">  </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p>
      <w:pPr>
        <w:jc w:val="right"/>
        <w:spacing w:line="360" w:lineRule="auto"/>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880"/>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序号</w:t>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产品、服务（标的）名称</w:t>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分项单位</w:t>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数量</w:t>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单价</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单项</w:t>
            </w:r>
            <w:r/>
          </w:p>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tcW w:w="89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756"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417"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9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1093"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501"/>
        </w:trPr>
        <w:tc>
          <w:tcPr>
            <w:gridSpan w:val="5"/>
            <w:tcW w:w="6155"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t xml:space="preserve">总计（元）</w:t>
            </w:r>
            <w:r/>
          </w:p>
        </w:tc>
        <w:tc>
          <w:tcPr>
            <w:tcW w:w="2350" w:type="dxa"/>
            <w:vAlign w:val="center"/>
            <w:textDirection w:val="lrTb"/>
            <w:noWrap w:val="false"/>
          </w:tcPr>
          <w:p>
            <w:pPr>
              <w:jc w:val="center"/>
              <w:spacing w:line="560" w:lineRule="exact"/>
              <w:rPr>
                <w:rFonts w:hint="eastAsia" w:ascii="宋体" w:hAnsi="宋体"/>
                <w:color w:val="auto"/>
                <w:sz w:val="24"/>
                <w:highlight w:val="none"/>
              </w:rPr>
            </w:pPr>
            <w:r>
              <w:rPr>
                <w:rFonts w:hint="eastAsia" w:ascii="宋体" w:hAnsi="宋体"/>
                <w:color w:val="auto"/>
                <w:sz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hint="eastAsia"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20"/>
        <w:spacing w:line="500" w:lineRule="exact"/>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2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7" w:name="_Hlt26955054"/>
      <w:r/>
      <w:bookmarkEnd w:id="7"/>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8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bookmarkStart w:id="8" w:name="_Hlt26955064"/>
            <w:r/>
            <w:bookmarkEnd w:id="8"/>
            <w:r/>
            <w:bookmarkStart w:id="9" w:name="_Hlt26609391"/>
            <w:r/>
            <w:bookmarkEnd w:id="9"/>
            <w:r/>
            <w:bookmarkStart w:id="10" w:name="_Hlt26671343"/>
            <w:r/>
            <w:bookmarkEnd w:id="10"/>
            <w:r/>
            <w:bookmarkStart w:id="11" w:name="_Hlt26671372"/>
            <w:r/>
            <w:bookmarkEnd w:id="11"/>
            <w:r/>
            <w:bookmarkStart w:id="12" w:name="_Hlt26580838"/>
            <w:r/>
            <w:bookmarkEnd w:id="12"/>
            <w:r/>
            <w:bookmarkStart w:id="13" w:name="_Hlt26782999"/>
            <w:r/>
            <w:bookmarkEnd w:id="13"/>
            <w:r/>
            <w:bookmarkStart w:id="14" w:name="_Hlt24879081"/>
            <w:r/>
            <w:bookmarkEnd w:id="14"/>
            <w:r/>
            <w:bookmarkStart w:id="15" w:name="_Hlt26955056"/>
            <w:r/>
            <w:bookmarkEnd w:id="15"/>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30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9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16" w:name="_Hlt26955066"/>
      <w:r/>
      <w:bookmarkEnd w:id="16"/>
      <w:r/>
      <w:bookmarkStart w:id="17" w:name="_Hlt26609389"/>
      <w:r/>
      <w:bookmarkEnd w:id="17"/>
      <w:r/>
      <w:bookmarkStart w:id="18" w:name="_Hlt26671374"/>
      <w:r/>
      <w:bookmarkEnd w:id="18"/>
      <w:r/>
      <w:bookmarkStart w:id="19" w:name="_格式2__法定代表人授权书"/>
      <w:r/>
      <w:bookmarkEnd w:id="19"/>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850"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985"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30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rPr>
          <w:rFonts w:ascii="宋体" w:hAnsi="宋体" w:eastAsia="宋体" w:cs="Times New Roman"/>
          <w:bCs/>
          <w:color w:val="auto"/>
          <w:sz w:val="24"/>
          <w:szCs w:val="24"/>
          <w:highlight w:val="none"/>
        </w:rPr>
        <w:t xml:space="preserve"> </w:t>
      </w:r>
      <w:r/>
    </w:p>
    <w:tbl>
      <w:tblPr>
        <w:tblStyle w:val="88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根据项目需求、评分办法确定一览表格式</w:t>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446"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2239"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134"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c>
          <w:tcPr>
            <w:tcW w:w="1601" w:type="dxa"/>
            <w:vAlign w:val="center"/>
            <w:textDirection w:val="lrTb"/>
            <w:noWrap w:val="false"/>
          </w:tcPr>
          <w:p>
            <w:pPr>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tc>
      </w:tr>
    </w:tbl>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color w:val="auto"/>
          <w:sz w:val="36"/>
          <w:highlight w:val="none"/>
          <w:u w:val="single"/>
        </w:rPr>
        <w:outlineLvl w:val="1"/>
      </w:pPr>
      <w:r>
        <w:rPr>
          <w:rFonts w:hint="eastAsia" w:ascii="Arial" w:hAnsi="Arial" w:eastAsia="宋体" w:cs="Arial"/>
          <w:i/>
          <w:color w:val="auto"/>
          <w:sz w:val="36"/>
          <w:highlight w:val="none"/>
          <w:u w:val="single"/>
        </w:rPr>
        <w:t xml:space="preserve">十九、开标一览表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项目编号：      分包号：</w:t>
      </w:r>
      <w:r>
        <w:rPr>
          <w:rFonts w:ascii="宋体" w:hAnsi="宋体" w:eastAsia="宋体" w:cs="Times New Roman"/>
          <w:bCs/>
          <w:color w:val="auto"/>
          <w:sz w:val="24"/>
          <w:szCs w:val="24"/>
          <w:highlight w:val="none"/>
        </w:rPr>
        <w:t xml:space="preserve"> </w:t>
      </w:r>
      <w:r/>
    </w:p>
    <w:p>
      <w:pPr>
        <w:ind w:firstLine="480"/>
        <w:jc w:val="righ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货币单位：人民币元</w:t>
      </w:r>
      <w:r/>
    </w:p>
    <w:tbl>
      <w:tblPr>
        <w:tblStyle w:val="9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1843"/>
        <w:gridCol w:w="4955"/>
      </w:tblGrid>
      <w:tr>
        <w:trPr/>
        <w:tc>
          <w:tcPr>
            <w:tcW w:w="169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项目名称</w:t>
            </w:r>
            <w:r/>
          </w:p>
        </w:tc>
        <w:tc>
          <w:tcPr>
            <w:tcW w:w="1843"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项目内容</w:t>
            </w:r>
            <w:r/>
          </w:p>
        </w:tc>
        <w:tc>
          <w:tcPr>
            <w:tcW w:w="495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w:t>
            </w:r>
            <w:r>
              <w:rPr>
                <w:rFonts w:ascii="Times New Roman" w:hAnsi="Times New Roman" w:eastAsia="宋体" w:cs="Times New Roman"/>
                <w:color w:val="auto"/>
                <w:sz w:val="24"/>
                <w:szCs w:val="24"/>
                <w:highlight w:val="none"/>
              </w:rPr>
              <w:t xml:space="preserve">价</w:t>
            </w:r>
            <w:r>
              <w:rPr>
                <w:rFonts w:hint="eastAsia" w:ascii="Times New Roman" w:hAnsi="Times New Roman" w:eastAsia="宋体" w:cs="Times New Roman"/>
                <w:color w:val="auto"/>
                <w:sz w:val="24"/>
                <w:szCs w:val="24"/>
                <w:highlight w:val="none"/>
              </w:rPr>
              <w:t xml:space="preserve">（小写）</w:t>
            </w:r>
            <w:r/>
          </w:p>
        </w:tc>
      </w:tr>
      <w:tr>
        <w:trPr/>
        <w:tc>
          <w:tcPr>
            <w:tcW w:w="169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843"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详见投标文件</w:t>
            </w:r>
            <w:r/>
          </w:p>
        </w:tc>
        <w:tc>
          <w:tcPr>
            <w:tcW w:w="4955"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元/吨（</w:t>
            </w:r>
            <w:r>
              <w:rPr>
                <w:rFonts w:hint="eastAsia" w:ascii="宋体" w:hAnsi="宋体" w:eastAsia="宋体" w:cs="宋体"/>
                <w:color w:val="auto"/>
                <w:sz w:val="24"/>
                <w:szCs w:val="24"/>
                <w:highlight w:val="none"/>
              </w:rPr>
              <w:t xml:space="preserve">含水率80%</w:t>
            </w:r>
            <w:r>
              <w:rPr>
                <w:rFonts w:hint="eastAsia" w:ascii="Times New Roman" w:hAnsi="Times New Roman" w:eastAsia="宋体" w:cs="Times New Roman"/>
                <w:color w:val="auto"/>
                <w:sz w:val="24"/>
                <w:szCs w:val="24"/>
                <w:highlight w:val="none"/>
              </w:rPr>
              <w:t xml:space="preserve">）</w:t>
            </w:r>
            <w:r/>
          </w:p>
        </w:tc>
      </w:tr>
      <w:tr>
        <w:trPr/>
        <w:tc>
          <w:tcPr>
            <w:tcW w:w="169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总价（大写）</w:t>
            </w:r>
            <w:r/>
          </w:p>
        </w:tc>
        <w:tc>
          <w:tcPr>
            <w:gridSpan w:val="2"/>
            <w:tcW w:w="6798"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tc>
          <w:tcPr>
            <w:tcW w:w="1696" w:type="dxa"/>
            <w:textDirection w:val="lrTb"/>
            <w:noWrap w:val="false"/>
          </w:tcPr>
          <w:p>
            <w:pPr>
              <w:jc w:val="cente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备注</w:t>
            </w:r>
            <w:r/>
          </w:p>
        </w:tc>
        <w:tc>
          <w:tcPr>
            <w:gridSpan w:val="2"/>
            <w:tcW w:w="6798" w:type="dxa"/>
            <w:textDirection w:val="lrTb"/>
            <w:noWrap w:val="false"/>
          </w:tcPr>
          <w:p>
            <w:pPr>
              <w:jc w:val="both"/>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含水率40%、60%污泥</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报价</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含水率80%污泥</w:t>
            </w:r>
            <w:r>
              <w:rPr>
                <w:rFonts w:hint="eastAsia" w:ascii="Times New Roman" w:hAnsi="Times New Roman" w:eastAsia="宋体" w:cs="Times New Roman"/>
                <w:color w:val="auto"/>
                <w:sz w:val="24"/>
                <w:szCs w:val="24"/>
                <w:highlight w:val="none"/>
                <w:lang w:val="en-US" w:eastAsia="zh-CN"/>
              </w:rPr>
              <w:t xml:space="preserve">投标</w:t>
            </w:r>
            <w:r>
              <w:rPr>
                <w:rFonts w:hint="eastAsia" w:ascii="Times New Roman" w:hAnsi="Times New Roman" w:eastAsia="宋体" w:cs="Times New Roman"/>
                <w:color w:val="auto"/>
                <w:sz w:val="24"/>
                <w:szCs w:val="24"/>
                <w:highlight w:val="none"/>
              </w:rPr>
              <w:t xml:space="preserve">报价</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28%</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rPr>
              <w:t xml:space="preserve">，投标时不单独报价。</w:t>
            </w:r>
            <w:r/>
          </w:p>
        </w:tc>
      </w:tr>
    </w:tbl>
    <w:p>
      <w:pPr>
        <w:spacing w:line="500" w:lineRule="exact"/>
        <w:rPr>
          <w:rFonts w:hint="eastAsia" w:ascii="宋体" w:hAnsi="宋体" w:eastAsia="宋体" w:cs="Times New Roman"/>
          <w:bCs/>
          <w:color w:val="auto"/>
          <w:sz w:val="24"/>
          <w:szCs w:val="21"/>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公章：</w:t>
      </w:r>
      <w:r>
        <w:rPr>
          <w:rFonts w:hint="eastAsia" w:ascii="Times New Roman" w:hAnsi="Times New Roman" w:eastAsia="宋体" w:cs="Times New Roman"/>
          <w:color w:val="auto"/>
          <w:sz w:val="24"/>
          <w:szCs w:val="24"/>
          <w:highlight w:val="none"/>
        </w:rPr>
        <w:t xml:space="preserve">             （电子签章）</w:t>
      </w:r>
      <w:r/>
    </w:p>
    <w:p>
      <w:pPr>
        <w:jc w:val="left"/>
        <w:widowControl/>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r>
      <w:r/>
    </w:p>
    <w:p>
      <w:pPr>
        <w:jc w:val="left"/>
        <w:keepLines/>
        <w:keepNext/>
        <w:spacing w:before="360" w:after="200" w:line="360" w:lineRule="auto"/>
        <w:rPr>
          <w:rFonts w:hint="eastAsia" w:ascii="宋体" w:hAnsi="宋体" w:eastAsia="宋体" w:cs="Times New Roman"/>
          <w:b/>
          <w:bCs/>
          <w:color w:val="auto"/>
          <w:sz w:val="44"/>
          <w:szCs w:val="44"/>
          <w:highlight w:val="none"/>
        </w:rPr>
        <w:outlineLvl w:val="1"/>
      </w:pPr>
      <w:r>
        <w:rPr>
          <w:rFonts w:hint="eastAsia" w:ascii="Arial" w:hAnsi="Arial" w:eastAsia="宋体" w:cs="Arial"/>
          <w:iCs/>
          <w:color w:val="auto"/>
          <w:sz w:val="36"/>
          <w:highlight w:val="none"/>
        </w:rPr>
        <w:t xml:space="preserve">二十、投标人承诺书</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我单位郑重承诺：中标后立即进入江苏企业“环保脸谱”（一企一档）管理信息系统。如因我单位未进入管理信息系统或进入不及时导致采购人无法开展工作的，我单位无</w:t>
      </w:r>
      <w:r>
        <w:rPr>
          <w:rFonts w:hint="eastAsia" w:ascii="宋体" w:hAnsi="宋体" w:eastAsia="宋体" w:cs="宋体"/>
          <w:color w:val="auto"/>
          <w:sz w:val="24"/>
          <w:szCs w:val="24"/>
          <w:highlight w:val="none"/>
        </w:rPr>
        <w:t xml:space="preserve">条件接受被取消投标或中标资格、合同解除及清除出场，一切损失由我单位自行承担，同时愿意接受相关处罚与因此造成的采购人全部损失，特此承诺！</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rFonts w:hint="eastAsia" w:ascii="宋体" w:hAnsi="宋体"/>
          <w:color w:val="auto"/>
          <w:sz w:val="36"/>
          <w:szCs w:val="36"/>
          <w:lang w:val="en-US" w:eastAsia="zh-CN"/>
        </w:rPr>
      </w:pPr>
      <w:r>
        <w:rPr>
          <w:rFonts w:hint="eastAsia" w:ascii="宋体" w:hAnsi="宋体"/>
          <w:color w:val="auto"/>
          <w:sz w:val="36"/>
          <w:szCs w:val="36"/>
          <w:lang w:val="en-US" w:eastAsia="zh-CN"/>
        </w:rPr>
        <w:br w:type="page" w:clear="all"/>
      </w:r>
      <w:r/>
    </w:p>
    <w:p>
      <w:pPr>
        <w:jc w:val="left"/>
        <w:spacing w:line="500" w:lineRule="exact"/>
        <w:rPr>
          <w:rFonts w:hint="eastAsia" w:ascii="宋体" w:hAnsi="宋体"/>
          <w:color w:val="auto"/>
          <w:sz w:val="36"/>
          <w:szCs w:val="36"/>
        </w:rPr>
      </w:pPr>
      <w:r>
        <w:rPr>
          <w:rFonts w:hint="eastAsia" w:ascii="宋体" w:hAnsi="宋体"/>
          <w:color w:val="auto"/>
          <w:sz w:val="36"/>
          <w:szCs w:val="36"/>
          <w:lang w:val="en-US" w:eastAsia="zh-CN"/>
        </w:rPr>
        <w:t xml:space="preserve">二十一</w:t>
      </w:r>
      <w:r>
        <w:rPr>
          <w:rFonts w:hint="eastAsia" w:ascii="宋体" w:hAnsi="宋体"/>
          <w:color w:val="auto"/>
          <w:sz w:val="36"/>
          <w:szCs w:val="36"/>
        </w:rPr>
        <w:t xml:space="preserve">、关于符合本国产品标准的声明函</w:t>
      </w:r>
      <w:r/>
    </w:p>
    <w:p>
      <w:pPr>
        <w:jc w:val="left"/>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color w:val="auto"/>
          <w:sz w:val="24"/>
          <w:szCs w:val="24"/>
        </w:rPr>
      </w:pPr>
      <w:r>
        <w:rPr>
          <w:rFonts w:hint="eastAsia" w:ascii="宋体" w:hAnsi="宋体"/>
          <w:b/>
          <w:bCs/>
          <w:color w:val="auto"/>
          <w:sz w:val="24"/>
          <w:szCs w:val="24"/>
        </w:rPr>
        <w:t xml:space="preserve">关于符合本国产品标准的声明函</w:t>
      </w:r>
      <w:r/>
    </w:p>
    <w:p>
      <w:pPr>
        <w:jc w:val="left"/>
        <w:rPr>
          <w:rFonts w:hint="eastAsia" w:ascii="宋体" w:hAnsi="宋体"/>
          <w:color w:val="auto"/>
          <w:sz w:val="24"/>
          <w:szCs w:val="24"/>
        </w:rPr>
      </w:pPr>
      <w:r>
        <w:rPr>
          <w:rFonts w:hint="eastAsia" w:ascii="宋体" w:hAnsi="宋体"/>
          <w:color w:val="auto"/>
          <w:sz w:val="24"/>
          <w:szCs w:val="24"/>
        </w:rPr>
      </w:r>
      <w:r/>
    </w:p>
    <w:p>
      <w:pPr>
        <w:ind w:firstLine="480"/>
        <w:jc w:val="left"/>
        <w:rPr>
          <w:rFonts w:hint="eastAsia" w:ascii="宋体" w:hAnsi="宋体"/>
          <w:color w:val="auto"/>
          <w:sz w:val="24"/>
          <w:szCs w:val="24"/>
        </w:rPr>
      </w:pPr>
      <w:r>
        <w:rPr>
          <w:rFonts w:hint="eastAsia" w:ascii="宋体" w:hAnsi="宋体"/>
          <w:color w:val="auto"/>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hint="eastAsia" w:ascii="宋体" w:hAnsi="宋体"/>
          <w:color w:val="auto"/>
          <w:sz w:val="24"/>
          <w:szCs w:val="24"/>
        </w:rPr>
      </w:pPr>
      <w:r>
        <w:rPr>
          <w:rFonts w:hint="eastAsia" w:ascii="宋体" w:hAnsi="宋体"/>
          <w:color w:val="auto"/>
          <w:sz w:val="24"/>
          <w:szCs w:val="24"/>
        </w:rPr>
      </w:r>
      <w:r/>
    </w:p>
    <w:p>
      <w:pPr>
        <w:ind w:firstLine="480"/>
        <w:jc w:val="left"/>
        <w:rPr>
          <w:rFonts w:hint="eastAsia"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u w:val="single"/>
        </w:rPr>
        <w:t xml:space="preserve">（产品名称1）</w:t>
      </w:r>
      <w:r>
        <w:rPr>
          <w:rFonts w:hint="eastAsia" w:ascii="宋体" w:hAnsi="宋体"/>
          <w:color w:val="auto"/>
          <w:sz w:val="24"/>
          <w:szCs w:val="24"/>
        </w:rPr>
        <w:t xml:space="preserve">1，生产厂为</w:t>
      </w:r>
      <w:r>
        <w:rPr>
          <w:rFonts w:hint="eastAsia" w:ascii="宋体" w:hAnsi="宋体"/>
          <w:color w:val="auto"/>
          <w:sz w:val="24"/>
          <w:szCs w:val="24"/>
          <w:u w:val="single"/>
        </w:rPr>
        <w:t xml:space="preserve">（厂名）</w:t>
      </w:r>
      <w:r>
        <w:rPr>
          <w:rFonts w:hint="eastAsia" w:ascii="宋体" w:hAnsi="宋体"/>
          <w:color w:val="auto"/>
          <w:sz w:val="24"/>
          <w:szCs w:val="24"/>
        </w:rPr>
        <w:t xml:space="preserve">2，厂址为</w:t>
      </w:r>
      <w:r>
        <w:rPr>
          <w:rFonts w:hint="eastAsia" w:ascii="宋体" w:hAnsi="宋体"/>
          <w:color w:val="auto"/>
          <w:sz w:val="24"/>
          <w:szCs w:val="24"/>
          <w:u w:val="single"/>
        </w:rPr>
        <w:t xml:space="preserve">（生产厂址）</w:t>
      </w:r>
      <w:r>
        <w:rPr>
          <w:rFonts w:hint="eastAsia" w:ascii="宋体" w:hAnsi="宋体"/>
          <w:color w:val="auto"/>
          <w:sz w:val="24"/>
          <w:szCs w:val="24"/>
        </w:rPr>
        <w:t xml:space="preserve">。</w:t>
      </w:r>
      <w:r>
        <w:rPr>
          <w:rFonts w:hint="eastAsia" w:ascii="宋体" w:hAnsi="宋体"/>
          <w:strike/>
          <w:color w:val="auto"/>
          <w:sz w:val="24"/>
          <w:szCs w:val="24"/>
          <w:u w:val="single"/>
        </w:rPr>
        <w:t xml:space="preserve">（产品名称1）</w:t>
      </w:r>
      <w:r>
        <w:rPr>
          <w:rFonts w:hint="eastAsia" w:ascii="宋体" w:hAnsi="宋体"/>
          <w:color w:val="auto"/>
          <w:sz w:val="24"/>
          <w:szCs w:val="24"/>
        </w:rPr>
        <w:t xml:space="preserve">的中国境内生产的组件成本占比≥</w:t>
      </w:r>
      <w:r>
        <w:rPr>
          <w:rFonts w:hint="eastAsia" w:ascii="宋体" w:hAnsi="宋体"/>
          <w:strike/>
          <w:color w:val="auto"/>
          <w:sz w:val="24"/>
          <w:szCs w:val="24"/>
          <w:u w:val="single"/>
        </w:rPr>
        <w:t xml:space="preserve">（规定比例）</w:t>
      </w:r>
      <w:r>
        <w:rPr>
          <w:rFonts w:hint="eastAsia" w:ascii="宋体" w:hAnsi="宋体"/>
          <w:color w:val="auto"/>
          <w:sz w:val="24"/>
          <w:szCs w:val="24"/>
        </w:rPr>
        <w:t xml:space="preserve">3。</w:t>
      </w:r>
      <w:r>
        <w:rPr>
          <w:rFonts w:hint="eastAsia" w:ascii="宋体" w:hAnsi="宋体"/>
          <w:strike/>
          <w:color w:val="auto"/>
          <w:sz w:val="24"/>
          <w:szCs w:val="24"/>
          <w:u w:val="single"/>
        </w:rPr>
        <w:t xml:space="preserve">（产品名称1）</w:t>
      </w:r>
      <w:r>
        <w:rPr>
          <w:rFonts w:hint="eastAsia" w:ascii="宋体" w:hAnsi="宋体"/>
          <w:color w:val="auto"/>
          <w:sz w:val="24"/>
          <w:szCs w:val="24"/>
        </w:rPr>
        <w:t xml:space="preserve">的</w:t>
      </w:r>
      <w:r>
        <w:rPr>
          <w:rFonts w:hint="eastAsia" w:ascii="宋体" w:hAnsi="宋体"/>
          <w:strike/>
          <w:color w:val="auto"/>
          <w:sz w:val="24"/>
          <w:szCs w:val="24"/>
          <w:u w:val="single"/>
        </w:rPr>
        <w:t xml:space="preserve">（关键组件）</w:t>
      </w:r>
      <w:r>
        <w:rPr>
          <w:rFonts w:hint="eastAsia" w:ascii="宋体" w:hAnsi="宋体"/>
          <w:color w:val="auto"/>
          <w:sz w:val="24"/>
          <w:szCs w:val="24"/>
        </w:rPr>
        <w:t xml:space="preserve">4在中国境内生产。</w:t>
      </w:r>
      <w:r>
        <w:rPr>
          <w:rFonts w:hint="eastAsia" w:ascii="宋体" w:hAnsi="宋体"/>
          <w:strike/>
          <w:color w:val="auto"/>
          <w:sz w:val="24"/>
          <w:szCs w:val="24"/>
          <w:u w:val="single"/>
        </w:rPr>
        <w:t xml:space="preserve">（产品名称1）</w:t>
      </w:r>
      <w:r>
        <w:rPr>
          <w:rFonts w:hint="eastAsia" w:ascii="宋体" w:hAnsi="宋体"/>
          <w:color w:val="auto"/>
          <w:sz w:val="24"/>
          <w:szCs w:val="24"/>
        </w:rPr>
        <w:t xml:space="preserve">的</w:t>
      </w:r>
      <w:r>
        <w:rPr>
          <w:rFonts w:hint="eastAsia" w:ascii="宋体" w:hAnsi="宋体"/>
          <w:strike/>
          <w:color w:val="auto"/>
          <w:sz w:val="24"/>
          <w:szCs w:val="24"/>
          <w:u w:val="single"/>
        </w:rPr>
        <w:t xml:space="preserve">（关键工序）</w:t>
      </w:r>
      <w:r>
        <w:rPr>
          <w:rFonts w:hint="eastAsia" w:ascii="宋体" w:hAnsi="宋体"/>
          <w:color w:val="auto"/>
          <w:sz w:val="24"/>
          <w:szCs w:val="24"/>
        </w:rPr>
        <w:t xml:space="preserve">5在中国境内完成。</w:t>
      </w:r>
      <w:r/>
    </w:p>
    <w:p>
      <w:pPr>
        <w:jc w:val="left"/>
        <w:rPr>
          <w:rFonts w:hint="eastAsia" w:ascii="宋体" w:hAnsi="宋体"/>
          <w:color w:val="auto"/>
          <w:sz w:val="24"/>
          <w:szCs w:val="24"/>
        </w:rPr>
      </w:pPr>
      <w:r>
        <w:rPr>
          <w:rFonts w:hint="eastAsia" w:ascii="宋体" w:hAnsi="宋体"/>
          <w:color w:val="auto"/>
          <w:sz w:val="24"/>
          <w:szCs w:val="24"/>
        </w:rPr>
      </w:r>
      <w:r/>
    </w:p>
    <w:p>
      <w:pPr>
        <w:ind w:firstLine="480"/>
        <w:jc w:val="left"/>
        <w:rPr>
          <w:rFonts w:hint="eastAsia"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u w:val="single"/>
        </w:rPr>
        <w:t xml:space="preserve">（产品名称2）</w:t>
      </w:r>
      <w:r>
        <w:rPr>
          <w:rFonts w:hint="eastAsia" w:ascii="宋体" w:hAnsi="宋体"/>
          <w:color w:val="auto"/>
          <w:sz w:val="24"/>
          <w:szCs w:val="24"/>
        </w:rPr>
        <w:t xml:space="preserve">，生产厂为</w:t>
      </w:r>
      <w:r>
        <w:rPr>
          <w:rFonts w:hint="eastAsia" w:ascii="宋体" w:hAnsi="宋体"/>
          <w:color w:val="auto"/>
          <w:sz w:val="24"/>
          <w:szCs w:val="24"/>
          <w:u w:val="single"/>
        </w:rPr>
        <w:t xml:space="preserve">（厂名）</w:t>
      </w:r>
      <w:r>
        <w:rPr>
          <w:rFonts w:hint="eastAsia" w:ascii="宋体" w:hAnsi="宋体"/>
          <w:color w:val="auto"/>
          <w:sz w:val="24"/>
          <w:szCs w:val="24"/>
        </w:rPr>
        <w:t xml:space="preserve">，厂址为</w:t>
      </w:r>
      <w:r>
        <w:rPr>
          <w:rFonts w:hint="eastAsia" w:ascii="宋体" w:hAnsi="宋体"/>
          <w:color w:val="auto"/>
          <w:sz w:val="24"/>
          <w:szCs w:val="24"/>
          <w:u w:val="single"/>
        </w:rPr>
        <w:t xml:space="preserve">（生产厂址）</w:t>
      </w:r>
      <w:r>
        <w:rPr>
          <w:rFonts w:hint="eastAsia" w:ascii="宋体" w:hAnsi="宋体"/>
          <w:color w:val="auto"/>
          <w:sz w:val="24"/>
          <w:szCs w:val="24"/>
        </w:rPr>
        <w:t xml:space="preserve">。</w:t>
      </w:r>
      <w:r>
        <w:rPr>
          <w:rFonts w:hint="eastAsia" w:ascii="宋体" w:hAnsi="宋体"/>
          <w:strike/>
          <w:color w:val="auto"/>
          <w:sz w:val="24"/>
          <w:szCs w:val="24"/>
          <w:u w:val="single"/>
        </w:rPr>
        <w:t xml:space="preserve">（产品名称2）</w:t>
      </w:r>
      <w:r>
        <w:rPr>
          <w:rFonts w:hint="eastAsia" w:ascii="宋体" w:hAnsi="宋体"/>
          <w:color w:val="auto"/>
          <w:sz w:val="24"/>
          <w:szCs w:val="24"/>
        </w:rPr>
        <w:t xml:space="preserve">的中国境内生产的组件成本占比≥</w:t>
      </w:r>
      <w:r>
        <w:rPr>
          <w:rFonts w:hint="eastAsia" w:ascii="宋体" w:hAnsi="宋体"/>
          <w:strike/>
          <w:color w:val="auto"/>
          <w:sz w:val="24"/>
          <w:szCs w:val="24"/>
          <w:u w:val="single"/>
        </w:rPr>
        <w:t xml:space="preserve">（规定比例）</w:t>
      </w:r>
      <w:r>
        <w:rPr>
          <w:rFonts w:hint="eastAsia" w:ascii="宋体" w:hAnsi="宋体"/>
          <w:color w:val="auto"/>
          <w:sz w:val="24"/>
          <w:szCs w:val="24"/>
        </w:rPr>
        <w:t xml:space="preserve">。</w:t>
      </w:r>
      <w:r>
        <w:rPr>
          <w:rFonts w:hint="eastAsia" w:ascii="宋体" w:hAnsi="宋体"/>
          <w:color w:val="auto"/>
          <w:sz w:val="24"/>
          <w:szCs w:val="24"/>
          <w:u w:val="single"/>
        </w:rPr>
        <w:t xml:space="preserve">（</w:t>
      </w:r>
      <w:r>
        <w:rPr>
          <w:rFonts w:hint="eastAsia" w:ascii="宋体" w:hAnsi="宋体"/>
          <w:strike/>
          <w:color w:val="auto"/>
          <w:sz w:val="24"/>
          <w:szCs w:val="24"/>
          <w:u w:val="single"/>
        </w:rPr>
        <w:t xml:space="preserve">产品名称2）</w:t>
      </w:r>
      <w:r>
        <w:rPr>
          <w:rFonts w:hint="eastAsia" w:ascii="宋体" w:hAnsi="宋体"/>
          <w:color w:val="auto"/>
          <w:sz w:val="24"/>
          <w:szCs w:val="24"/>
        </w:rPr>
        <w:t xml:space="preserve">的</w:t>
      </w:r>
      <w:r>
        <w:rPr>
          <w:rFonts w:hint="eastAsia" w:ascii="宋体" w:hAnsi="宋体"/>
          <w:strike/>
          <w:color w:val="auto"/>
          <w:sz w:val="24"/>
          <w:szCs w:val="24"/>
          <w:u w:val="single"/>
        </w:rPr>
        <w:t xml:space="preserve">（关键组件）</w:t>
      </w:r>
      <w:r>
        <w:rPr>
          <w:rFonts w:hint="eastAsia" w:ascii="宋体" w:hAnsi="宋体"/>
          <w:color w:val="auto"/>
          <w:sz w:val="24"/>
          <w:szCs w:val="24"/>
        </w:rPr>
        <w:t xml:space="preserve">在中国境内生产。</w:t>
      </w:r>
      <w:r>
        <w:rPr>
          <w:rFonts w:hint="eastAsia" w:ascii="宋体" w:hAnsi="宋体"/>
          <w:strike/>
          <w:color w:val="auto"/>
          <w:sz w:val="24"/>
          <w:szCs w:val="24"/>
          <w:u w:val="single"/>
        </w:rPr>
        <w:t xml:space="preserve">（产品名称2）</w:t>
      </w:r>
      <w:r>
        <w:rPr>
          <w:rFonts w:hint="eastAsia" w:ascii="宋体" w:hAnsi="宋体"/>
          <w:color w:val="auto"/>
          <w:sz w:val="24"/>
          <w:szCs w:val="24"/>
        </w:rPr>
        <w:t xml:space="preserve">的</w:t>
      </w:r>
      <w:r>
        <w:rPr>
          <w:rFonts w:hint="eastAsia" w:ascii="宋体" w:hAnsi="宋体"/>
          <w:strike/>
          <w:color w:val="auto"/>
          <w:sz w:val="24"/>
          <w:szCs w:val="24"/>
          <w:u w:val="single"/>
        </w:rPr>
        <w:t xml:space="preserve">（关键工序）</w:t>
      </w:r>
      <w:r>
        <w:rPr>
          <w:rFonts w:hint="eastAsia" w:ascii="宋体" w:hAnsi="宋体"/>
          <w:color w:val="auto"/>
          <w:sz w:val="24"/>
          <w:szCs w:val="24"/>
        </w:rPr>
        <w:t xml:space="preserve">在中国境内完成。</w:t>
      </w:r>
      <w:r/>
    </w:p>
    <w:p>
      <w:pPr>
        <w:jc w:val="left"/>
        <w:rPr>
          <w:rFonts w:hint="eastAsia" w:ascii="宋体" w:hAnsi="宋体"/>
          <w:color w:val="auto"/>
          <w:sz w:val="24"/>
          <w:szCs w:val="24"/>
        </w:rPr>
      </w:pPr>
      <w:r>
        <w:rPr>
          <w:rFonts w:hint="eastAsia" w:ascii="宋体" w:hAnsi="宋体"/>
          <w:color w:val="auto"/>
          <w:sz w:val="24"/>
          <w:szCs w:val="24"/>
        </w:rPr>
      </w:r>
      <w:r/>
    </w:p>
    <w:p>
      <w:pPr>
        <w:ind w:firstLine="480"/>
        <w:jc w:val="left"/>
        <w:rPr>
          <w:rFonts w:hint="eastAsia" w:ascii="宋体" w:hAnsi="宋体"/>
          <w:color w:val="auto"/>
          <w:sz w:val="24"/>
          <w:szCs w:val="24"/>
        </w:rPr>
      </w:pPr>
      <w:r>
        <w:rPr>
          <w:rFonts w:hint="eastAsia" w:ascii="宋体" w:hAnsi="宋体"/>
          <w:color w:val="auto"/>
          <w:sz w:val="24"/>
          <w:szCs w:val="24"/>
        </w:rPr>
        <w:t xml:space="preserve">……</w:t>
      </w:r>
      <w:r/>
    </w:p>
    <w:p>
      <w:pPr>
        <w:jc w:val="left"/>
        <w:rPr>
          <w:rFonts w:hint="eastAsia" w:ascii="宋体" w:hAnsi="宋体"/>
          <w:color w:val="auto"/>
          <w:sz w:val="24"/>
          <w:szCs w:val="24"/>
        </w:rPr>
      </w:pPr>
      <w:r>
        <w:rPr>
          <w:rFonts w:hint="eastAsia" w:ascii="宋体" w:hAnsi="宋体"/>
          <w:color w:val="auto"/>
          <w:sz w:val="24"/>
          <w:szCs w:val="24"/>
        </w:rPr>
      </w:r>
      <w:r/>
    </w:p>
    <w:p>
      <w:pPr>
        <w:ind w:firstLine="480"/>
        <w:jc w:val="left"/>
        <w:rPr>
          <w:rFonts w:hint="eastAsia" w:ascii="宋体" w:hAnsi="宋体"/>
          <w:color w:val="auto"/>
          <w:sz w:val="24"/>
          <w:szCs w:val="24"/>
        </w:rPr>
      </w:pPr>
      <w:r>
        <w:rPr>
          <w:rFonts w:hint="eastAsia" w:ascii="宋体" w:hAnsi="宋体"/>
          <w:color w:val="auto"/>
          <w:sz w:val="24"/>
          <w:szCs w:val="24"/>
        </w:rPr>
        <w:t xml:space="preserve">本公司（单位）对上述声明内容的真实性负责。如有虚假，愿承担相应法律责任。</w:t>
      </w:r>
      <w:r/>
    </w:p>
    <w:p>
      <w:pPr>
        <w:jc w:val="left"/>
        <w:rPr>
          <w:rFonts w:hint="eastAsia" w:ascii="宋体" w:hAnsi="宋体"/>
          <w:color w:val="auto"/>
          <w:sz w:val="24"/>
          <w:szCs w:val="24"/>
        </w:rPr>
      </w:pPr>
      <w:r>
        <w:rPr>
          <w:rFonts w:hint="eastAsia" w:ascii="宋体" w:hAnsi="宋体"/>
          <w:color w:val="auto"/>
          <w:sz w:val="24"/>
          <w:szCs w:val="24"/>
        </w:rPr>
      </w:r>
      <w:r/>
    </w:p>
    <w:p>
      <w:pPr>
        <w:jc w:val="left"/>
        <w:rPr>
          <w:rFonts w:hint="eastAsia" w:ascii="宋体" w:hAnsi="宋体"/>
          <w:color w:val="auto"/>
          <w:sz w:val="24"/>
          <w:szCs w:val="24"/>
        </w:rPr>
      </w:pPr>
      <w:r>
        <w:rPr>
          <w:rFonts w:hint="eastAsia" w:ascii="宋体" w:hAnsi="宋体"/>
          <w:color w:val="auto"/>
          <w:sz w:val="24"/>
          <w:szCs w:val="24"/>
        </w:rPr>
        <w:t xml:space="preserve"> </w:t>
      </w:r>
      <w:r/>
    </w:p>
    <w:p>
      <w:pPr>
        <w:jc w:val="left"/>
        <w:rPr>
          <w:rFonts w:hint="eastAsia" w:ascii="宋体" w:hAnsi="宋体"/>
          <w:color w:val="auto"/>
          <w:sz w:val="24"/>
          <w:szCs w:val="24"/>
        </w:rPr>
      </w:pPr>
      <w:r>
        <w:rPr>
          <w:rFonts w:hint="eastAsia" w:ascii="宋体" w:hAnsi="宋体"/>
          <w:color w:val="auto"/>
          <w:sz w:val="24"/>
          <w:szCs w:val="24"/>
        </w:rPr>
      </w:r>
      <w:r/>
    </w:p>
    <w:p>
      <w:pPr>
        <w:ind w:firstLine="5040"/>
        <w:jc w:val="left"/>
        <w:rPr>
          <w:rFonts w:hint="eastAsia" w:ascii="宋体" w:hAnsi="宋体"/>
          <w:color w:val="auto"/>
          <w:sz w:val="24"/>
          <w:szCs w:val="24"/>
        </w:rPr>
      </w:pPr>
      <w:r>
        <w:rPr>
          <w:rFonts w:hint="eastAsia" w:ascii="宋体" w:hAnsi="宋体"/>
          <w:color w:val="auto"/>
          <w:sz w:val="24"/>
          <w:szCs w:val="24"/>
        </w:rPr>
        <w:t xml:space="preserve">公司（单位）名称（盖章）：　        </w:t>
      </w:r>
      <w:r/>
    </w:p>
    <w:p>
      <w:pPr>
        <w:jc w:val="left"/>
        <w:rPr>
          <w:rFonts w:hint="eastAsia" w:ascii="宋体" w:hAnsi="宋体"/>
          <w:color w:val="auto"/>
          <w:sz w:val="24"/>
          <w:szCs w:val="24"/>
        </w:rPr>
      </w:pPr>
      <w:r>
        <w:rPr>
          <w:rFonts w:hint="eastAsia" w:ascii="宋体" w:hAnsi="宋体"/>
          <w:color w:val="auto"/>
          <w:sz w:val="24"/>
          <w:szCs w:val="24"/>
        </w:rPr>
      </w:r>
      <w:r/>
    </w:p>
    <w:p>
      <w:pPr>
        <w:ind w:firstLine="5040"/>
        <w:jc w:val="left"/>
        <w:rPr>
          <w:rFonts w:hint="eastAsia" w:ascii="宋体" w:hAnsi="宋体"/>
          <w:color w:val="auto"/>
          <w:sz w:val="24"/>
          <w:szCs w:val="24"/>
        </w:rPr>
      </w:pPr>
      <w:r>
        <w:rPr>
          <w:rFonts w:hint="eastAsia" w:ascii="宋体" w:hAnsi="宋体"/>
          <w:color w:val="auto"/>
          <w:sz w:val="24"/>
          <w:szCs w:val="24"/>
        </w:rPr>
        <w:t xml:space="preserve">日期：　     年　  月　  日</w:t>
      </w:r>
      <w:r/>
    </w:p>
    <w:p>
      <w:pPr>
        <w:jc w:val="left"/>
        <w:rPr>
          <w:rFonts w:hint="eastAsia" w:ascii="宋体" w:hAnsi="宋体"/>
          <w:color w:val="auto"/>
          <w:sz w:val="24"/>
          <w:szCs w:val="24"/>
        </w:rPr>
      </w:pPr>
      <w:r>
        <w:rPr>
          <w:rFonts w:hint="eastAsia" w:ascii="宋体" w:hAnsi="宋体"/>
          <w:color w:val="auto"/>
          <w:sz w:val="24"/>
          <w:szCs w:val="24"/>
        </w:rPr>
      </w:r>
      <w:r/>
    </w:p>
    <w:p>
      <w:pPr>
        <w:jc w:val="left"/>
        <w:rPr>
          <w:rFonts w:hint="eastAsia" w:ascii="宋体" w:hAnsi="宋体"/>
          <w:color w:val="auto"/>
          <w:sz w:val="24"/>
          <w:szCs w:val="24"/>
        </w:rPr>
      </w:pPr>
      <w:r>
        <w:rPr>
          <w:rFonts w:hint="eastAsia" w:ascii="宋体" w:hAnsi="宋体"/>
          <w:color w:val="auto"/>
          <w:sz w:val="24"/>
          <w:szCs w:val="24"/>
        </w:rPr>
      </w:r>
      <w:r/>
    </w:p>
    <w:p>
      <w:pPr>
        <w:jc w:val="left"/>
        <w:rPr>
          <w:rFonts w:hint="eastAsia" w:ascii="宋体" w:hAnsi="宋体"/>
          <w:color w:val="auto"/>
          <w:sz w:val="24"/>
          <w:szCs w:val="24"/>
        </w:rPr>
      </w:pPr>
      <w:r>
        <w:rPr>
          <w:rFonts w:hint="eastAsia" w:ascii="宋体" w:hAnsi="宋体"/>
          <w:color w:val="auto"/>
          <w:sz w:val="24"/>
          <w:szCs w:val="24"/>
        </w:rPr>
        <w:t xml:space="preserve">1、产品如有型号，请在“产品名称”栏一并填写。</w:t>
      </w:r>
      <w:r/>
    </w:p>
    <w:p>
      <w:pPr>
        <w:jc w:val="left"/>
        <w:rPr>
          <w:rFonts w:hint="eastAsia" w:ascii="宋体" w:hAnsi="宋体"/>
          <w:color w:val="auto"/>
          <w:sz w:val="24"/>
          <w:szCs w:val="24"/>
        </w:rPr>
      </w:pPr>
      <w:r>
        <w:rPr>
          <w:rFonts w:hint="eastAsia" w:ascii="宋体" w:hAnsi="宋体"/>
          <w:color w:val="auto"/>
          <w:sz w:val="24"/>
          <w:szCs w:val="24"/>
        </w:rPr>
        <w:t xml:space="preserve">2、生产厂名与厂址应与生产厂营业执照载明的相关信息保持一致。</w:t>
      </w:r>
      <w:r/>
    </w:p>
    <w:p>
      <w:pPr>
        <w:jc w:val="left"/>
        <w:rPr>
          <w:rFonts w:hint="eastAsia" w:ascii="宋体" w:hAnsi="宋体"/>
          <w:color w:val="auto"/>
          <w:sz w:val="24"/>
          <w:szCs w:val="24"/>
        </w:rPr>
      </w:pPr>
      <w:r>
        <w:rPr>
          <w:rFonts w:hint="eastAsia" w:ascii="宋体" w:hAnsi="宋体"/>
          <w:color w:val="auto"/>
          <w:sz w:val="24"/>
          <w:szCs w:val="24"/>
        </w:rPr>
        <w:t xml:space="preserve">3、该产品的中国境内生产的组件成本占比相关要求实施前，“规定比例”栏可不填，下同。</w:t>
      </w:r>
      <w:r/>
    </w:p>
    <w:p>
      <w:pPr>
        <w:jc w:val="left"/>
        <w:rPr>
          <w:rFonts w:hint="eastAsia" w:ascii="宋体" w:hAnsi="宋体"/>
          <w:color w:val="auto"/>
          <w:sz w:val="24"/>
          <w:szCs w:val="24"/>
        </w:rPr>
      </w:pPr>
      <w:r>
        <w:rPr>
          <w:rFonts w:hint="eastAsia" w:ascii="宋体" w:hAnsi="宋体"/>
          <w:color w:val="auto"/>
          <w:sz w:val="24"/>
          <w:szCs w:val="24"/>
        </w:rPr>
        <w:t xml:space="preserve">4、该产品的关键组件要求实施前，“关键组件”栏可不填。</w:t>
      </w:r>
      <w:r/>
    </w:p>
    <w:p>
      <w:pPr>
        <w:jc w:val="left"/>
        <w:rPr>
          <w:rFonts w:hint="eastAsia" w:ascii="宋体" w:hAnsi="宋体"/>
          <w:color w:val="auto"/>
          <w:sz w:val="24"/>
          <w:szCs w:val="24"/>
        </w:rPr>
      </w:pPr>
      <w:r>
        <w:rPr>
          <w:rFonts w:hint="eastAsia" w:ascii="宋体" w:hAnsi="宋体"/>
          <w:color w:val="auto"/>
          <w:sz w:val="24"/>
          <w:szCs w:val="24"/>
        </w:rPr>
        <w:t xml:space="preserve">5、该产品的关键工序要求实施前，“关键工序”栏可不填。</w:t>
      </w:r>
      <w:r/>
    </w:p>
    <w:p>
      <w:pPr>
        <w:jc w:val="left"/>
        <w:rPr>
          <w:rFonts w:hint="eastAsia" w:ascii="宋体" w:hAnsi="宋体"/>
          <w:color w:val="auto"/>
          <w:sz w:val="24"/>
          <w:szCs w:val="24"/>
        </w:rPr>
      </w:pPr>
      <w:r>
        <w:rPr>
          <w:rFonts w:hint="eastAsia" w:ascii="宋体" w:hAnsi="宋体"/>
          <w:color w:val="auto"/>
          <w:sz w:val="24"/>
          <w:szCs w:val="24"/>
        </w:rPr>
        <w:t xml:space="preserve">6、划除栏无需填写。</w:t>
      </w:r>
      <w:r/>
    </w:p>
    <w:p>
      <w:pP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br w:type="page" w:clear="all"/>
      </w:r>
      <w:r/>
    </w:p>
    <w:p>
      <w:pPr>
        <w:jc w:val="center"/>
        <w:rPr>
          <w:rFonts w:hint="eastAsia"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hint="eastAsia"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致：</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w:t>
      </w:r>
      <w:r>
        <w:rPr>
          <w:rFonts w:ascii="宋体" w:hAnsi="宋体" w:eastAsia="宋体" w:cs="仿宋"/>
          <w:color w:val="auto"/>
          <w:sz w:val="24"/>
          <w:szCs w:val="24"/>
          <w:highlight w:val="none"/>
        </w:rPr>
        <w:t xml:space="preserve"> </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邮编：</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w:t>
      </w:r>
      <w:r>
        <w:rPr>
          <w:rFonts w:hint="eastAsia" w:ascii="宋体" w:hAnsi="宋体" w:eastAsia="宋体" w:cs="仿宋"/>
          <w:color w:val="auto"/>
          <w:sz w:val="24"/>
          <w:szCs w:val="24"/>
          <w:highlight w:val="none"/>
          <w:u w:val="single"/>
        </w:rPr>
        <w:t xml:space="preserve">                         </w:t>
      </w:r>
      <w:r>
        <w:rPr>
          <w:rFonts w:hint="eastAsia" w:ascii="宋体" w:hAnsi="宋体" w:eastAsia="宋体" w:cs="仿宋"/>
          <w:color w:val="auto"/>
          <w:sz w:val="24"/>
          <w:szCs w:val="24"/>
          <w:highlight w:val="none"/>
        </w:rPr>
        <w:t xml:space="preserve">包号：</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招标文件获取日期：</w:t>
      </w:r>
      <w:r>
        <w:rPr>
          <w:rFonts w:hint="eastAsia" w:ascii="宋体" w:hAnsi="宋体" w:eastAsia="宋体" w:cs="仿宋"/>
          <w:color w:val="auto"/>
          <w:sz w:val="24"/>
          <w:szCs w:val="24"/>
          <w:highlight w:val="none"/>
          <w:u w:val="single"/>
        </w:rPr>
        <w:t xml:space="preserve">                                                   </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hint="eastAsia"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hint="eastAsia"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hint="eastAsia"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rPr>
          <w:rFonts w:hint="eastAsia" w:ascii="宋体" w:hAnsi="宋体" w:eastAsia="宋体" w:cs="仿宋"/>
          <w:color w:val="auto"/>
          <w:sz w:val="24"/>
          <w:szCs w:val="24"/>
          <w:highlight w:val="none"/>
          <w:u w:val="single"/>
        </w:rPr>
        <w:t xml:space="preserve">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bookmarkEnd w:id="20"/>
      <w:r/>
      <w:r/>
    </w:p>
    <w:sectPr>
      <w:footerReference w:type="default" r:id="rId14"/>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alibri">
    <w:panose1 w:val="020F0502020204030204"/>
  </w:font>
  <w:font w:name="MS Mincho">
    <w:panose1 w:val="02020603050405090304"/>
  </w:font>
  <w:font w:name="楷体_GB2312">
    <w:panose1 w:val="02010609060101010101"/>
  </w:font>
  <w:font w:name="Courier New">
    <w:panose1 w:val="020703090202050204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
  </w:p>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62585" cy="1524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362585" cy="152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8.5pt;height:12.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0976" cy="224115"/>
              <wp:effectExtent l="3175" t="3175" r="3175" b="3175"/>
              <wp:wrapNone/>
              <wp:docPr id="3" name="文本框 6"/>
              <wp:cNvGraphicFramePr/>
              <a:graphic xmlns:a="http://schemas.openxmlformats.org/drawingml/2006/main">
                <a:graphicData uri="http://schemas.microsoft.com/office/word/2010/wordprocessingShape">
                  <wps:wsp>
                    <wps:cNvPr id="0" name=""/>
                    <wps:cNvSpPr txBox="1"/>
                    <wps:spPr bwMode="auto">
                      <a:xfrm flipH="0" flipV="0">
                        <a:off x="0" y="0"/>
                        <a:ext cx="280976" cy="2241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22.1pt;height:17.6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9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57555" cy="189479"/>
              <wp:effectExtent l="3175" t="3175" r="3175" b="3175"/>
              <wp:wrapNone/>
              <wp:docPr id="5" name="文本框 7"/>
              <wp:cNvGraphicFramePr/>
              <a:graphic xmlns:a="http://schemas.openxmlformats.org/drawingml/2006/main">
                <a:graphicData uri="http://schemas.microsoft.com/office/word/2010/wordprocessingShape">
                  <wps:wsp>
                    <wps:cNvPr id="0" name=""/>
                    <wps:cNvSpPr txBox="1"/>
                    <wps:spPr bwMode="auto">
                      <a:xfrm flipH="0" flipV="0">
                        <a:off x="0" y="0"/>
                        <a:ext cx="157555" cy="18947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2.4pt;height:14.9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421"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7">
    <w:name w:val="Heading 4 Char"/>
    <w:basedOn w:val="879"/>
    <w:link w:val="873"/>
    <w:uiPriority w:val="9"/>
    <w:rPr>
      <w:rFonts w:ascii="Arial" w:hAnsi="Arial" w:eastAsia="Arial" w:cs="Arial"/>
      <w:b/>
      <w:bCs/>
      <w:sz w:val="26"/>
      <w:szCs w:val="26"/>
    </w:rPr>
  </w:style>
  <w:style w:type="character" w:styleId="838">
    <w:name w:val="Heading 5 Char"/>
    <w:basedOn w:val="879"/>
    <w:link w:val="874"/>
    <w:uiPriority w:val="9"/>
    <w:rPr>
      <w:rFonts w:ascii="Arial" w:hAnsi="Arial" w:eastAsia="Arial" w:cs="Arial"/>
      <w:b/>
      <w:bCs/>
      <w:sz w:val="24"/>
      <w:szCs w:val="24"/>
    </w:rPr>
  </w:style>
  <w:style w:type="character" w:styleId="839">
    <w:name w:val="Heading 6 Char"/>
    <w:basedOn w:val="879"/>
    <w:link w:val="875"/>
    <w:uiPriority w:val="9"/>
    <w:rPr>
      <w:rFonts w:ascii="Arial" w:hAnsi="Arial" w:eastAsia="Arial" w:cs="Arial"/>
      <w:b/>
      <w:bCs/>
      <w:sz w:val="22"/>
      <w:szCs w:val="22"/>
    </w:rPr>
  </w:style>
  <w:style w:type="character" w:styleId="840">
    <w:name w:val="Heading 7 Char"/>
    <w:basedOn w:val="879"/>
    <w:link w:val="876"/>
    <w:uiPriority w:val="9"/>
    <w:rPr>
      <w:rFonts w:ascii="Arial" w:hAnsi="Arial" w:eastAsia="Arial" w:cs="Arial"/>
      <w:b/>
      <w:bCs/>
      <w:i/>
      <w:iCs/>
      <w:sz w:val="22"/>
      <w:szCs w:val="22"/>
    </w:rPr>
  </w:style>
  <w:style w:type="character" w:styleId="841">
    <w:name w:val="Heading 8 Char"/>
    <w:basedOn w:val="879"/>
    <w:link w:val="877"/>
    <w:uiPriority w:val="9"/>
    <w:rPr>
      <w:rFonts w:ascii="Arial" w:hAnsi="Arial" w:eastAsia="Arial" w:cs="Arial"/>
      <w:i/>
      <w:iCs/>
      <w:sz w:val="22"/>
      <w:szCs w:val="22"/>
    </w:rPr>
  </w:style>
  <w:style w:type="character" w:styleId="842">
    <w:name w:val="Heading 9 Char"/>
    <w:basedOn w:val="879"/>
    <w:link w:val="878"/>
    <w:uiPriority w:val="9"/>
    <w:rPr>
      <w:rFonts w:ascii="Arial" w:hAnsi="Arial" w:eastAsia="Arial" w:cs="Arial"/>
      <w:i/>
      <w:iCs/>
      <w:sz w:val="21"/>
      <w:szCs w:val="21"/>
    </w:rPr>
  </w:style>
  <w:style w:type="character" w:styleId="843">
    <w:name w:val="Title Char"/>
    <w:basedOn w:val="879"/>
    <w:link w:val="905"/>
    <w:uiPriority w:val="10"/>
    <w:rPr>
      <w:sz w:val="48"/>
      <w:szCs w:val="48"/>
    </w:rPr>
  </w:style>
  <w:style w:type="character" w:styleId="844">
    <w:name w:val="Subtitle Char"/>
    <w:basedOn w:val="879"/>
    <w:link w:val="899"/>
    <w:uiPriority w:val="11"/>
    <w:rPr>
      <w:sz w:val="24"/>
      <w:szCs w:val="24"/>
    </w:rPr>
  </w:style>
  <w:style w:type="character" w:styleId="845">
    <w:name w:val="Quote Char"/>
    <w:link w:val="928"/>
    <w:uiPriority w:val="29"/>
    <w:rPr>
      <w:i/>
    </w:rPr>
  </w:style>
  <w:style w:type="character" w:styleId="846">
    <w:name w:val="Intense Quote Char"/>
    <w:link w:val="930"/>
    <w:uiPriority w:val="30"/>
    <w:rPr>
      <w:i/>
    </w:rPr>
  </w:style>
  <w:style w:type="table" w:styleId="847">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6">
    <w:name w:val="Footnote Text Char"/>
    <w:link w:val="900"/>
    <w:uiPriority w:val="99"/>
    <w:rPr>
      <w:sz w:val="18"/>
    </w:rPr>
  </w:style>
  <w:style w:type="character" w:styleId="867">
    <w:name w:val="Endnote Text Char"/>
    <w:link w:val="893"/>
    <w:uiPriority w:val="99"/>
    <w:rPr>
      <w:sz w:val="20"/>
    </w:rPr>
  </w:style>
  <w:style w:type="paragraph" w:styleId="868">
    <w:name w:val="TOC Heading"/>
    <w:uiPriority w:val="39"/>
    <w:unhideWhenUsed/>
  </w:style>
  <w:style w:type="paragraph" w:styleId="869" w:default="1">
    <w:name w:val="Normal"/>
    <w:next w:val="872"/>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0">
    <w:name w:val="Heading 1"/>
    <w:basedOn w:val="869"/>
    <w:next w:val="869"/>
    <w:link w:val="1065"/>
    <w:uiPriority w:val="9"/>
    <w:qFormat/>
    <w:pPr>
      <w:keepLines/>
      <w:keepNext/>
      <w:spacing w:before="340" w:after="330" w:line="578" w:lineRule="auto"/>
      <w:outlineLvl w:val="0"/>
    </w:pPr>
    <w:rPr>
      <w:b/>
      <w:bCs/>
      <w:sz w:val="44"/>
      <w:szCs w:val="44"/>
    </w:rPr>
  </w:style>
  <w:style w:type="paragraph" w:styleId="871">
    <w:name w:val="Heading 2"/>
    <w:basedOn w:val="869"/>
    <w:next w:val="869"/>
    <w:link w:val="106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2">
    <w:name w:val="Heading 3"/>
    <w:basedOn w:val="869"/>
    <w:next w:val="881"/>
    <w:link w:val="1068"/>
    <w:uiPriority w:val="9"/>
    <w:unhideWhenUsed/>
    <w:qFormat/>
    <w:pPr>
      <w:keepLines/>
      <w:keepNext/>
      <w:spacing w:before="260" w:after="260" w:line="416" w:lineRule="auto"/>
      <w:outlineLvl w:val="2"/>
    </w:pPr>
    <w:rPr>
      <w:b/>
      <w:bCs/>
      <w:sz w:val="32"/>
      <w:szCs w:val="32"/>
    </w:rPr>
  </w:style>
  <w:style w:type="paragraph" w:styleId="873">
    <w:name w:val="Heading 4"/>
    <w:basedOn w:val="869"/>
    <w:next w:val="869"/>
    <w:link w:val="918"/>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9"/>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20"/>
    <w:uiPriority w:val="9"/>
    <w:unhideWhenUsed/>
    <w:qFormat/>
    <w:pPr>
      <w:keepLines/>
      <w:keepNext/>
      <w:spacing w:before="320" w:after="200"/>
      <w:outlineLvl w:val="5"/>
    </w:pPr>
    <w:rPr>
      <w:rFonts w:ascii="Arial" w:hAnsi="Arial" w:eastAsia="Arial" w:cs="Arial"/>
      <w:b/>
      <w:bCs/>
      <w:sz w:val="22"/>
    </w:rPr>
  </w:style>
  <w:style w:type="paragraph" w:styleId="876">
    <w:name w:val="Heading 7"/>
    <w:basedOn w:val="869"/>
    <w:next w:val="869"/>
    <w:link w:val="921"/>
    <w:uiPriority w:val="9"/>
    <w:unhideWhenUsed/>
    <w:qFormat/>
    <w:pPr>
      <w:keepLines/>
      <w:keepNext/>
      <w:spacing w:before="320" w:after="200"/>
      <w:outlineLvl w:val="6"/>
    </w:pPr>
    <w:rPr>
      <w:rFonts w:ascii="Arial" w:hAnsi="Arial" w:eastAsia="Arial" w:cs="Arial"/>
      <w:b/>
      <w:bCs/>
      <w:i/>
      <w:iCs/>
      <w:sz w:val="22"/>
    </w:rPr>
  </w:style>
  <w:style w:type="paragraph" w:styleId="877">
    <w:name w:val="Heading 8"/>
    <w:basedOn w:val="869"/>
    <w:next w:val="869"/>
    <w:link w:val="922"/>
    <w:uiPriority w:val="9"/>
    <w:unhideWhenUsed/>
    <w:qFormat/>
    <w:pPr>
      <w:keepLines/>
      <w:keepNext/>
      <w:spacing w:before="320" w:after="200"/>
      <w:outlineLvl w:val="7"/>
    </w:pPr>
    <w:rPr>
      <w:rFonts w:ascii="Arial" w:hAnsi="Arial" w:eastAsia="Arial" w:cs="Arial"/>
      <w:i/>
      <w:iCs/>
      <w:sz w:val="22"/>
    </w:rPr>
  </w:style>
  <w:style w:type="paragraph" w:styleId="878">
    <w:name w:val="Heading 9"/>
    <w:basedOn w:val="869"/>
    <w:next w:val="869"/>
    <w:link w:val="923"/>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Normal Indent"/>
    <w:basedOn w:val="869"/>
    <w:uiPriority w:val="99"/>
    <w:qFormat/>
    <w:pPr>
      <w:ind w:firstLine="420"/>
    </w:pPr>
    <w:rPr>
      <w:sz w:val="24"/>
      <w:szCs w:val="20"/>
    </w:rPr>
  </w:style>
  <w:style w:type="paragraph" w:styleId="882">
    <w:name w:val="toc 7"/>
    <w:basedOn w:val="869"/>
    <w:next w:val="869"/>
    <w:uiPriority w:val="39"/>
    <w:unhideWhenUsed/>
    <w:qFormat/>
    <w:pPr>
      <w:ind w:left="1701"/>
      <w:spacing w:after="57"/>
    </w:pPr>
  </w:style>
  <w:style w:type="paragraph" w:styleId="883">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4">
    <w:name w:val="Document Map"/>
    <w:basedOn w:val="869"/>
    <w:link w:val="1066"/>
    <w:uiPriority w:val="99"/>
    <w:semiHidden/>
    <w:unhideWhenUsed/>
    <w:qFormat/>
    <w:rPr>
      <w:rFonts w:ascii="宋体" w:eastAsia="宋体"/>
      <w:sz w:val="18"/>
      <w:szCs w:val="18"/>
    </w:rPr>
  </w:style>
  <w:style w:type="paragraph" w:styleId="885">
    <w:name w:val="annotation text"/>
    <w:basedOn w:val="869"/>
    <w:link w:val="1070"/>
    <w:uiPriority w:val="0"/>
    <w:qFormat/>
    <w:pPr>
      <w:ind w:firstLine="922"/>
      <w:jc w:val="left"/>
      <w:spacing w:line="360" w:lineRule="auto"/>
    </w:pPr>
    <w:rPr>
      <w:rFonts w:ascii="Times New Roman" w:hAnsi="Times New Roman" w:eastAsia="宋体" w:cs="Times New Roman"/>
      <w:szCs w:val="24"/>
    </w:rPr>
  </w:style>
  <w:style w:type="paragraph" w:styleId="886">
    <w:name w:val="Body Text"/>
    <w:uiPriority w:val="99"/>
    <w:qFormat/>
    <w:pPr>
      <w:ind w:firstLine="630"/>
      <w:jc w:val="both"/>
      <w:spacing w:line="560" w:lineRule="exact"/>
    </w:pPr>
    <w:rPr>
      <w:rFonts w:ascii="仿宋_GB2312" w:hAnsi="仿宋_GB2312" w:eastAsia="仿宋_GB2312" w:cs="Times New Roman"/>
      <w:spacing w:val="-6"/>
      <w:sz w:val="32"/>
      <w:lang w:val="en-US" w:eastAsia="zh-CN" w:bidi="ar-SA"/>
    </w:rPr>
  </w:style>
  <w:style w:type="paragraph" w:styleId="887">
    <w:name w:val="index 4"/>
    <w:basedOn w:val="869"/>
    <w:next w:val="869"/>
    <w:uiPriority w:val="99"/>
    <w:qFormat/>
    <w:pPr>
      <w:ind w:left="600"/>
    </w:pPr>
  </w:style>
  <w:style w:type="paragraph" w:styleId="888">
    <w:name w:val="toc 5"/>
    <w:basedOn w:val="869"/>
    <w:next w:val="869"/>
    <w:uiPriority w:val="39"/>
    <w:unhideWhenUsed/>
    <w:qFormat/>
    <w:pPr>
      <w:ind w:left="1134"/>
      <w:spacing w:after="57"/>
    </w:pPr>
  </w:style>
  <w:style w:type="paragraph" w:styleId="889">
    <w:name w:val="toc 3"/>
    <w:basedOn w:val="869"/>
    <w:next w:val="869"/>
    <w:uiPriority w:val="39"/>
    <w:unhideWhenUsed/>
    <w:qFormat/>
    <w:pPr>
      <w:ind w:left="567"/>
      <w:spacing w:after="57"/>
    </w:pPr>
  </w:style>
  <w:style w:type="paragraph" w:styleId="890">
    <w:name w:val="Plain Text"/>
    <w:basedOn w:val="869"/>
    <w:link w:val="1074"/>
    <w:uiPriority w:val="0"/>
    <w:qFormat/>
    <w:rPr>
      <w:rFonts w:ascii="宋体" w:hAnsi="Courier New" w:eastAsia="宋体" w:cs="Times New Roman"/>
      <w:szCs w:val="20"/>
    </w:rPr>
  </w:style>
  <w:style w:type="paragraph" w:styleId="891">
    <w:name w:val="toc 8"/>
    <w:basedOn w:val="869"/>
    <w:next w:val="869"/>
    <w:uiPriority w:val="39"/>
    <w:unhideWhenUsed/>
    <w:qFormat/>
    <w:pPr>
      <w:ind w:left="1984"/>
      <w:spacing w:after="57"/>
    </w:pPr>
  </w:style>
  <w:style w:type="paragraph" w:styleId="892">
    <w:name w:val="Date"/>
    <w:basedOn w:val="869"/>
    <w:next w:val="869"/>
    <w:link w:val="1069"/>
    <w:uiPriority w:val="99"/>
    <w:semiHidden/>
    <w:unhideWhenUsed/>
    <w:qFormat/>
    <w:pPr>
      <w:ind w:left="100"/>
    </w:pPr>
  </w:style>
  <w:style w:type="paragraph" w:styleId="893">
    <w:name w:val="endnote text"/>
    <w:basedOn w:val="869"/>
    <w:link w:val="1061"/>
    <w:uiPriority w:val="99"/>
    <w:semiHidden/>
    <w:unhideWhenUsed/>
    <w:qFormat/>
    <w:rPr>
      <w:sz w:val="20"/>
    </w:rPr>
  </w:style>
  <w:style w:type="paragraph" w:styleId="894">
    <w:name w:val="Balloon Text"/>
    <w:basedOn w:val="869"/>
    <w:link w:val="1071"/>
    <w:uiPriority w:val="99"/>
    <w:semiHidden/>
    <w:unhideWhenUsed/>
    <w:qFormat/>
    <w:rPr>
      <w:sz w:val="18"/>
      <w:szCs w:val="18"/>
    </w:rPr>
  </w:style>
  <w:style w:type="paragraph" w:styleId="895">
    <w:name w:val="Footer"/>
    <w:basedOn w:val="869"/>
    <w:link w:val="1064"/>
    <w:uiPriority w:val="99"/>
    <w:unhideWhenUsed/>
    <w:qFormat/>
    <w:pPr>
      <w:jc w:val="left"/>
      <w:tabs>
        <w:tab w:val="center" w:pos="4153" w:leader="none"/>
        <w:tab w:val="right" w:pos="8306" w:leader="none"/>
      </w:tabs>
    </w:pPr>
    <w:rPr>
      <w:sz w:val="18"/>
      <w:szCs w:val="18"/>
    </w:rPr>
  </w:style>
  <w:style w:type="paragraph" w:styleId="896">
    <w:name w:val="Header"/>
    <w:basedOn w:val="869"/>
    <w:link w:val="106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7">
    <w:name w:val="toc 1"/>
    <w:basedOn w:val="869"/>
    <w:next w:val="869"/>
    <w:uiPriority w:val="39"/>
    <w:unhideWhenUsed/>
    <w:qFormat/>
  </w:style>
  <w:style w:type="paragraph" w:styleId="898">
    <w:name w:val="toc 4"/>
    <w:basedOn w:val="869"/>
    <w:next w:val="869"/>
    <w:uiPriority w:val="39"/>
    <w:unhideWhenUsed/>
    <w:qFormat/>
    <w:pPr>
      <w:ind w:left="850"/>
      <w:spacing w:after="57"/>
    </w:pPr>
  </w:style>
  <w:style w:type="paragraph" w:styleId="899">
    <w:name w:val="Subtitle"/>
    <w:basedOn w:val="869"/>
    <w:next w:val="869"/>
    <w:link w:val="927"/>
    <w:uiPriority w:val="11"/>
    <w:qFormat/>
    <w:pPr>
      <w:spacing w:before="200" w:after="200"/>
    </w:pPr>
    <w:rPr>
      <w:sz w:val="24"/>
      <w:szCs w:val="24"/>
    </w:rPr>
  </w:style>
  <w:style w:type="paragraph" w:styleId="900">
    <w:name w:val="footnote text"/>
    <w:basedOn w:val="869"/>
    <w:link w:val="1060"/>
    <w:uiPriority w:val="99"/>
    <w:semiHidden/>
    <w:unhideWhenUsed/>
    <w:qFormat/>
    <w:pPr>
      <w:spacing w:after="40"/>
    </w:pPr>
    <w:rPr>
      <w:sz w:val="18"/>
    </w:rPr>
  </w:style>
  <w:style w:type="paragraph" w:styleId="901">
    <w:name w:val="toc 6"/>
    <w:basedOn w:val="869"/>
    <w:next w:val="869"/>
    <w:uiPriority w:val="39"/>
    <w:unhideWhenUsed/>
    <w:qFormat/>
    <w:pPr>
      <w:ind w:left="1417"/>
      <w:spacing w:after="57"/>
    </w:pPr>
  </w:style>
  <w:style w:type="paragraph" w:styleId="902">
    <w:name w:val="table of figures"/>
    <w:basedOn w:val="869"/>
    <w:next w:val="869"/>
    <w:uiPriority w:val="99"/>
    <w:unhideWhenUsed/>
    <w:qFormat/>
  </w:style>
  <w:style w:type="paragraph" w:styleId="903">
    <w:name w:val="toc 2"/>
    <w:basedOn w:val="869"/>
    <w:next w:val="869"/>
    <w:uiPriority w:val="39"/>
    <w:unhideWhenUsed/>
    <w:qFormat/>
    <w:pPr>
      <w:ind w:left="283"/>
      <w:spacing w:after="57"/>
    </w:pPr>
  </w:style>
  <w:style w:type="paragraph" w:styleId="904">
    <w:name w:val="toc 9"/>
    <w:basedOn w:val="869"/>
    <w:next w:val="869"/>
    <w:uiPriority w:val="39"/>
    <w:unhideWhenUsed/>
    <w:qFormat/>
    <w:pPr>
      <w:ind w:left="2268"/>
      <w:spacing w:after="57"/>
    </w:pPr>
  </w:style>
  <w:style w:type="paragraph" w:styleId="905">
    <w:name w:val="Title"/>
    <w:basedOn w:val="869"/>
    <w:next w:val="869"/>
    <w:link w:val="926"/>
    <w:uiPriority w:val="10"/>
    <w:qFormat/>
    <w:pPr>
      <w:contextualSpacing/>
      <w:spacing w:before="300" w:after="200"/>
    </w:pPr>
    <w:rPr>
      <w:sz w:val="48"/>
      <w:szCs w:val="48"/>
    </w:rPr>
  </w:style>
  <w:style w:type="paragraph" w:styleId="906">
    <w:name w:val="annotation subject"/>
    <w:basedOn w:val="885"/>
    <w:next w:val="885"/>
    <w:link w:val="1075"/>
    <w:uiPriority w:val="99"/>
    <w:semiHidden/>
    <w:unhideWhenUsed/>
    <w:qFormat/>
    <w:pPr>
      <w:ind w:firstLine="0"/>
      <w:spacing w:line="240" w:lineRule="auto"/>
    </w:pPr>
    <w:rPr>
      <w:rFonts w:asciiTheme="minorHAnsi" w:hAnsiTheme="minorHAnsi" w:eastAsiaTheme="minorEastAsia" w:cstheme="minorBidi"/>
      <w:b/>
      <w:bCs/>
      <w:szCs w:val="22"/>
    </w:rPr>
  </w:style>
  <w:style w:type="table" w:styleId="907">
    <w:name w:val="Table Grid"/>
    <w:basedOn w:val="88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basedOn w:val="879"/>
    <w:uiPriority w:val="22"/>
    <w:qFormat/>
    <w:rPr>
      <w:b/>
    </w:rPr>
  </w:style>
  <w:style w:type="character" w:styleId="909">
    <w:name w:val="endnote reference"/>
    <w:basedOn w:val="879"/>
    <w:uiPriority w:val="99"/>
    <w:semiHidden/>
    <w:unhideWhenUsed/>
    <w:qFormat/>
    <w:rPr>
      <w:vertAlign w:val="superscript"/>
    </w:rPr>
  </w:style>
  <w:style w:type="character" w:styleId="910">
    <w:name w:val="page number"/>
    <w:basedOn w:val="879"/>
    <w:uiPriority w:val="0"/>
    <w:qFormat/>
  </w:style>
  <w:style w:type="character" w:styleId="911">
    <w:name w:val="Hyperlink"/>
    <w:uiPriority w:val="99"/>
    <w:qFormat/>
    <w:rPr>
      <w:color w:val="0000ff"/>
      <w:u w:val="none"/>
    </w:rPr>
  </w:style>
  <w:style w:type="character" w:styleId="912">
    <w:name w:val="annotation reference"/>
    <w:uiPriority w:val="0"/>
    <w:qFormat/>
    <w:rPr>
      <w:sz w:val="21"/>
      <w:szCs w:val="21"/>
    </w:rPr>
  </w:style>
  <w:style w:type="character" w:styleId="913">
    <w:name w:val="footnote reference"/>
    <w:basedOn w:val="879"/>
    <w:uiPriority w:val="99"/>
    <w:unhideWhenUsed/>
    <w:qFormat/>
    <w:rPr>
      <w:vertAlign w:val="superscript"/>
    </w:rPr>
  </w:style>
  <w:style w:type="paragraph" w:styleId="914" w:customStyle="1">
    <w:name w:val="正文文本1"/>
    <w:basedOn w:val="869"/>
    <w:uiPriority w:val="0"/>
    <w:unhideWhenUsed/>
    <w:qFormat/>
    <w:rPr>
      <w:rFonts w:ascii="楷体_GB2312"/>
      <w:b/>
      <w:bCs/>
      <w:sz w:val="28"/>
    </w:rPr>
  </w:style>
  <w:style w:type="character" w:styleId="915" w:customStyle="1">
    <w:name w:val="Heading 1 Char"/>
    <w:basedOn w:val="879"/>
    <w:uiPriority w:val="9"/>
    <w:qFormat/>
    <w:rPr>
      <w:rFonts w:ascii="Arial" w:hAnsi="Arial" w:eastAsia="Arial" w:cs="Arial"/>
      <w:sz w:val="40"/>
      <w:szCs w:val="40"/>
    </w:rPr>
  </w:style>
  <w:style w:type="character" w:styleId="916" w:customStyle="1">
    <w:name w:val="Heading 2 Char"/>
    <w:basedOn w:val="879"/>
    <w:uiPriority w:val="9"/>
    <w:qFormat/>
    <w:rPr>
      <w:rFonts w:ascii="Arial" w:hAnsi="Arial" w:eastAsia="Arial" w:cs="Arial"/>
      <w:sz w:val="34"/>
    </w:rPr>
  </w:style>
  <w:style w:type="character" w:styleId="917" w:customStyle="1">
    <w:name w:val="Heading 3 Char"/>
    <w:basedOn w:val="879"/>
    <w:uiPriority w:val="9"/>
    <w:qFormat/>
    <w:rPr>
      <w:rFonts w:ascii="Arial" w:hAnsi="Arial" w:eastAsia="Arial" w:cs="Arial"/>
      <w:sz w:val="30"/>
      <w:szCs w:val="30"/>
    </w:rPr>
  </w:style>
  <w:style w:type="character" w:styleId="918" w:customStyle="1">
    <w:name w:val="标题 4 字符"/>
    <w:basedOn w:val="879"/>
    <w:link w:val="873"/>
    <w:uiPriority w:val="9"/>
    <w:qFormat/>
    <w:rPr>
      <w:rFonts w:ascii="Arial" w:hAnsi="Arial" w:eastAsia="Arial" w:cs="Arial"/>
      <w:b/>
      <w:bCs/>
      <w:sz w:val="26"/>
      <w:szCs w:val="26"/>
    </w:rPr>
  </w:style>
  <w:style w:type="character" w:styleId="919" w:customStyle="1">
    <w:name w:val="标题 5 字符"/>
    <w:basedOn w:val="879"/>
    <w:link w:val="874"/>
    <w:uiPriority w:val="9"/>
    <w:qFormat/>
    <w:rPr>
      <w:rFonts w:ascii="Arial" w:hAnsi="Arial" w:eastAsia="Arial" w:cs="Arial"/>
      <w:b/>
      <w:bCs/>
      <w:sz w:val="24"/>
      <w:szCs w:val="24"/>
    </w:rPr>
  </w:style>
  <w:style w:type="character" w:styleId="920" w:customStyle="1">
    <w:name w:val="标题 6 字符"/>
    <w:basedOn w:val="879"/>
    <w:link w:val="875"/>
    <w:uiPriority w:val="9"/>
    <w:qFormat/>
    <w:rPr>
      <w:rFonts w:ascii="Arial" w:hAnsi="Arial" w:eastAsia="Arial" w:cs="Arial"/>
      <w:b/>
      <w:bCs/>
      <w:sz w:val="22"/>
      <w:szCs w:val="22"/>
    </w:rPr>
  </w:style>
  <w:style w:type="character" w:styleId="921" w:customStyle="1">
    <w:name w:val="标题 7 字符"/>
    <w:basedOn w:val="879"/>
    <w:link w:val="876"/>
    <w:uiPriority w:val="9"/>
    <w:qFormat/>
    <w:rPr>
      <w:rFonts w:ascii="Arial" w:hAnsi="Arial" w:eastAsia="Arial" w:cs="Arial"/>
      <w:b/>
      <w:bCs/>
      <w:i/>
      <w:iCs/>
      <w:sz w:val="22"/>
      <w:szCs w:val="22"/>
    </w:rPr>
  </w:style>
  <w:style w:type="character" w:styleId="922" w:customStyle="1">
    <w:name w:val="标题 8 字符"/>
    <w:basedOn w:val="879"/>
    <w:link w:val="877"/>
    <w:uiPriority w:val="9"/>
    <w:qFormat/>
    <w:rPr>
      <w:rFonts w:ascii="Arial" w:hAnsi="Arial" w:eastAsia="Arial" w:cs="Arial"/>
      <w:i/>
      <w:iCs/>
      <w:sz w:val="22"/>
      <w:szCs w:val="22"/>
    </w:rPr>
  </w:style>
  <w:style w:type="character" w:styleId="923" w:customStyle="1">
    <w:name w:val="标题 9 字符"/>
    <w:basedOn w:val="879"/>
    <w:link w:val="878"/>
    <w:uiPriority w:val="9"/>
    <w:qFormat/>
    <w:rPr>
      <w:rFonts w:ascii="Arial" w:hAnsi="Arial" w:eastAsia="Arial" w:cs="Arial"/>
      <w:i/>
      <w:iCs/>
      <w:sz w:val="21"/>
      <w:szCs w:val="21"/>
    </w:rPr>
  </w:style>
  <w:style w:type="paragraph" w:styleId="924">
    <w:name w:val="List Paragraph"/>
    <w:basedOn w:val="869"/>
    <w:uiPriority w:val="34"/>
    <w:qFormat/>
    <w:pPr>
      <w:contextualSpacing/>
      <w:ind w:left="720"/>
    </w:pPr>
  </w:style>
  <w:style w:type="paragraph" w:styleId="925">
    <w:name w:val="No Spacing"/>
    <w:uiPriority w:val="1"/>
    <w:qFormat/>
    <w:rPr>
      <w:rFonts w:ascii="Times New Roman" w:hAnsi="Times New Roman" w:eastAsia="宋体" w:cs="Times New Roman"/>
      <w:lang w:val="en-US" w:eastAsia="zh-CN" w:bidi="ar-SA"/>
    </w:rPr>
  </w:style>
  <w:style w:type="character" w:styleId="926" w:customStyle="1">
    <w:name w:val="标题 字符"/>
    <w:basedOn w:val="879"/>
    <w:link w:val="905"/>
    <w:uiPriority w:val="10"/>
    <w:qFormat/>
    <w:rPr>
      <w:sz w:val="48"/>
      <w:szCs w:val="48"/>
    </w:rPr>
  </w:style>
  <w:style w:type="character" w:styleId="927" w:customStyle="1">
    <w:name w:val="副标题 字符"/>
    <w:basedOn w:val="879"/>
    <w:link w:val="899"/>
    <w:uiPriority w:val="11"/>
    <w:qFormat/>
    <w:rPr>
      <w:sz w:val="24"/>
      <w:szCs w:val="24"/>
    </w:rPr>
  </w:style>
  <w:style w:type="paragraph" w:styleId="928">
    <w:name w:val="Quote"/>
    <w:basedOn w:val="869"/>
    <w:next w:val="869"/>
    <w:link w:val="929"/>
    <w:uiPriority w:val="29"/>
    <w:qFormat/>
    <w:pPr>
      <w:ind w:left="720" w:right="720"/>
    </w:pPr>
    <w:rPr>
      <w:i/>
    </w:rPr>
  </w:style>
  <w:style w:type="character" w:styleId="929" w:customStyle="1">
    <w:name w:val="引用 字符"/>
    <w:link w:val="928"/>
    <w:uiPriority w:val="29"/>
    <w:qFormat/>
    <w:rPr>
      <w:i/>
    </w:rPr>
  </w:style>
  <w:style w:type="paragraph" w:styleId="930">
    <w:name w:val="Intense Quote"/>
    <w:basedOn w:val="869"/>
    <w:next w:val="869"/>
    <w:link w:val="9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1" w:customStyle="1">
    <w:name w:val="明显引用 字符"/>
    <w:link w:val="930"/>
    <w:uiPriority w:val="30"/>
    <w:qFormat/>
    <w:rPr>
      <w:i/>
    </w:rPr>
  </w:style>
  <w:style w:type="character" w:styleId="932" w:customStyle="1">
    <w:name w:val="Header Char"/>
    <w:basedOn w:val="879"/>
    <w:uiPriority w:val="99"/>
    <w:qFormat/>
  </w:style>
  <w:style w:type="character" w:styleId="933" w:customStyle="1">
    <w:name w:val="Footer Char"/>
    <w:basedOn w:val="879"/>
    <w:uiPriority w:val="99"/>
    <w:qFormat/>
  </w:style>
  <w:style w:type="character" w:styleId="934" w:customStyle="1">
    <w:name w:val="Caption Char"/>
    <w:uiPriority w:val="99"/>
    <w:qFormat/>
  </w:style>
  <w:style w:type="table" w:styleId="935" w:customStyle="1">
    <w:name w:val="Table Grid Light"/>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6"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8" w:customStyle="1">
    <w:name w:val="无格式表格 3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9" w:customStyle="1">
    <w:name w:val="无格式表格 4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0" w:customStyle="1">
    <w:name w:val="无格式表格 5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1"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1"/>
    <w:basedOn w:val="8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2"/>
    <w:basedOn w:val="8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4"/>
    <w:basedOn w:val="8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5"/>
    <w:basedOn w:val="8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6"/>
    <w:basedOn w:val="8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Grid Table 2 - Accent 1"/>
    <w:basedOn w:val="8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basedOn w:val="8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basedOn w:val="8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1"/>
    <w:basedOn w:val="880"/>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2"/>
    <w:basedOn w:val="880"/>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3"/>
    <w:basedOn w:val="880"/>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4"/>
    <w:basedOn w:val="88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5"/>
    <w:basedOn w:val="88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3 - Accent 6"/>
    <w:basedOn w:val="88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3" w:customStyle="1">
    <w:name w:val="Grid Table 4 - Accent 1"/>
    <w:basedOn w:val="88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4" w:customStyle="1">
    <w:name w:val="Grid Table 4 - Accent 2"/>
    <w:basedOn w:val="880"/>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5" w:customStyle="1">
    <w:name w:val="Grid Table 4 - Accent 3"/>
    <w:basedOn w:val="88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6" w:customStyle="1">
    <w:name w:val="Grid Table 4 - Accent 4"/>
    <w:basedOn w:val="88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7" w:customStyle="1">
    <w:name w:val="Grid Table 4 - Accent 5"/>
    <w:basedOn w:val="88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8" w:customStyle="1">
    <w:name w:val="Grid Table 4 - Accent 6"/>
    <w:basedOn w:val="88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9"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0" w:customStyle="1">
    <w:name w:val="Grid Table 5 Dark- Accent 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1" w:customStyle="1">
    <w:name w:val="Grid Table 5 Dark - Accent 2"/>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2" w:customStyle="1">
    <w:name w:val="Grid Table 5 Dark - Accent 3"/>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3" w:customStyle="1">
    <w:name w:val="Grid Table 5 Dark- Accent 4"/>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4" w:customStyle="1">
    <w:name w:val="Grid Table 5 Dark - Accent 5"/>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5" w:customStyle="1">
    <w:name w:val="Grid Table 5 Dark - Accent 6"/>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6"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7" w:customStyle="1">
    <w:name w:val="Grid Table 6 Colorful - Accent 1"/>
    <w:basedOn w:val="88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8" w:customStyle="1">
    <w:name w:val="Grid Table 6 Colorful - Accent 2"/>
    <w:basedOn w:val="8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9" w:customStyle="1">
    <w:name w:val="Grid Table 6 Colorful - Accent 3"/>
    <w:basedOn w:val="880"/>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0" w:customStyle="1">
    <w:name w:val="Grid Table 6 Colorful - Accent 4"/>
    <w:basedOn w:val="8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1" w:customStyle="1">
    <w:name w:val="Grid Table 6 Colorful - Accent 5"/>
    <w:basedOn w:val="88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6 Colorful - Accent 6"/>
    <w:basedOn w:val="88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3"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Grid Table 7 Colorful - Accent 1"/>
    <w:basedOn w:val="88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5" w:customStyle="1">
    <w:name w:val="Grid Table 7 Colorful - Accent 2"/>
    <w:basedOn w:val="880"/>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Grid Table 7 Colorful - Accent 3"/>
    <w:basedOn w:val="880"/>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7" w:customStyle="1">
    <w:name w:val="Grid Table 7 Colorful - Accent 4"/>
    <w:basedOn w:val="88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Grid Table 7 Colorful - Accent 5"/>
    <w:basedOn w:val="88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9" w:customStyle="1">
    <w:name w:val="Grid Table 7 Colorful - Accent 6"/>
    <w:basedOn w:val="88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0" w:customStyle="1">
    <w:name w:val="清单表 1 浅色1"/>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1" w:customStyle="1">
    <w:name w:val="List Table 1 Light - Accent 1"/>
    <w:basedOn w:val="88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1 Light - Accent 2"/>
    <w:basedOn w:val="880"/>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3" w:customStyle="1">
    <w:name w:val="List Table 1 Light - Accent 3"/>
    <w:basedOn w:val="880"/>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4" w:customStyle="1">
    <w:name w:val="List Table 1 Light - Accent 4"/>
    <w:basedOn w:val="88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5" w:customStyle="1">
    <w:name w:val="List Table 1 Light - Accent 5"/>
    <w:basedOn w:val="88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6" w:customStyle="1">
    <w:name w:val="List Table 1 Light - Accent 6"/>
    <w:basedOn w:val="880"/>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7"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8" w:customStyle="1">
    <w:name w:val="List Table 2 - Accent 1"/>
    <w:basedOn w:val="88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basedOn w:val="880"/>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basedOn w:val="88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basedOn w:val="88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basedOn w:val="88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basedOn w:val="88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5" w:customStyle="1">
    <w:name w:val="List Table 3 - Accent 1"/>
    <w:basedOn w:val="88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6" w:customStyle="1">
    <w:name w:val="List Table 3 - Accent 2"/>
    <w:basedOn w:val="880"/>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7" w:customStyle="1">
    <w:name w:val="List Table 3 - Accent 3"/>
    <w:basedOn w:val="880"/>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8" w:customStyle="1">
    <w:name w:val="List Table 3 - Accent 4"/>
    <w:basedOn w:val="88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9" w:customStyle="1">
    <w:name w:val="List Table 3 - Accent 5"/>
    <w:basedOn w:val="88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0" w:customStyle="1">
    <w:name w:val="List Table 3 - Accent 6"/>
    <w:basedOn w:val="88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1"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2" w:customStyle="1">
    <w:name w:val="List Table 4 - Accent 1"/>
    <w:basedOn w:val="88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3" w:customStyle="1">
    <w:name w:val="List Table 4 - Accent 2"/>
    <w:basedOn w:val="880"/>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4" w:customStyle="1">
    <w:name w:val="List Table 4 - Accent 3"/>
    <w:basedOn w:val="88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5" w:customStyle="1">
    <w:name w:val="List Table 4 - Accent 4"/>
    <w:basedOn w:val="88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6" w:customStyle="1">
    <w:name w:val="List Table 4 - Accent 5"/>
    <w:basedOn w:val="88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7" w:customStyle="1">
    <w:name w:val="List Table 4 - Accent 6"/>
    <w:basedOn w:val="88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8"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1"/>
    <w:basedOn w:val="88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2"/>
    <w:basedOn w:val="880"/>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3"/>
    <w:basedOn w:val="880"/>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4"/>
    <w:basedOn w:val="88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5"/>
    <w:basedOn w:val="88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5 Dark - Accent 6"/>
    <w:basedOn w:val="88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清单表 6 彩色1"/>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6" w:customStyle="1">
    <w:name w:val="List Table 6 Colorful - Accent 1"/>
    <w:basedOn w:val="880"/>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7" w:customStyle="1">
    <w:name w:val="List Table 6 Colorful - Accent 2"/>
    <w:basedOn w:val="880"/>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8" w:customStyle="1">
    <w:name w:val="List Table 6 Colorful - Accent 3"/>
    <w:basedOn w:val="880"/>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9" w:customStyle="1">
    <w:name w:val="List Table 6 Colorful - Accent 4"/>
    <w:basedOn w:val="88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0" w:customStyle="1">
    <w:name w:val="List Table 6 Colorful - Accent 5"/>
    <w:basedOn w:val="88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1" w:customStyle="1">
    <w:name w:val="List Table 6 Colorful - Accent 6"/>
    <w:basedOn w:val="88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2" w:customStyle="1">
    <w:name w:val="清单表 7 彩色1"/>
    <w:basedOn w:val="8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List Table 7 Colorful - Accent 1"/>
    <w:basedOn w:val="880"/>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4" w:customStyle="1">
    <w:name w:val="List Table 7 Colorful - Accent 2"/>
    <w:basedOn w:val="880"/>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List Table 7 Colorful - Accent 3"/>
    <w:basedOn w:val="880"/>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6" w:customStyle="1">
    <w:name w:val="List Table 7 Colorful - Accent 4"/>
    <w:basedOn w:val="880"/>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List Table 7 Colorful - Accent 5"/>
    <w:basedOn w:val="880"/>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8" w:customStyle="1">
    <w:name w:val="List Table 7 Colorful - Accent 6"/>
    <w:basedOn w:val="880"/>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9" w:customStyle="1">
    <w:name w:val="Lined - Accent"/>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0" w:customStyle="1">
    <w:name w:val="Lined - Accent 1"/>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1" w:customStyle="1">
    <w:name w:val="Lined - Accent 2"/>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2" w:customStyle="1">
    <w:name w:val="Lined - Accent 3"/>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3" w:customStyle="1">
    <w:name w:val="Lined - Accent 4"/>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4" w:customStyle="1">
    <w:name w:val="Lined - Accent 5"/>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5" w:customStyle="1">
    <w:name w:val="Lined - Accent 6"/>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6" w:customStyle="1">
    <w:name w:val="Bordered &amp; Lined - Accent"/>
    <w:basedOn w:val="8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7" w:customStyle="1">
    <w:name w:val="Bordered &amp; Lined - Accent 1"/>
    <w:basedOn w:val="880"/>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8" w:customStyle="1">
    <w:name w:val="Bordered &amp; Lined - Accent 2"/>
    <w:basedOn w:val="880"/>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9" w:customStyle="1">
    <w:name w:val="Bordered &amp; Lined - Accent 3"/>
    <w:basedOn w:val="880"/>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0" w:customStyle="1">
    <w:name w:val="Bordered &amp; Lined - Accent 4"/>
    <w:basedOn w:val="88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1" w:customStyle="1">
    <w:name w:val="Bordered &amp; Lined - Accent 5"/>
    <w:basedOn w:val="88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2" w:customStyle="1">
    <w:name w:val="Bordered &amp; Lined - Accent 6"/>
    <w:basedOn w:val="88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3" w:customStyle="1">
    <w:name w:val="Bordered"/>
    <w:basedOn w:val="8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4" w:customStyle="1">
    <w:name w:val="Bordered - Accent 1"/>
    <w:basedOn w:val="880"/>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5" w:customStyle="1">
    <w:name w:val="Bordered - Accent 2"/>
    <w:basedOn w:val="880"/>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6" w:customStyle="1">
    <w:name w:val="Bordered - Accent 3"/>
    <w:basedOn w:val="88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7" w:customStyle="1">
    <w:name w:val="Bordered - Accent 4"/>
    <w:basedOn w:val="88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8" w:customStyle="1">
    <w:name w:val="Bordered - Accent 5"/>
    <w:basedOn w:val="880"/>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9" w:customStyle="1">
    <w:name w:val="Bordered - Accent 6"/>
    <w:basedOn w:val="88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0" w:customStyle="1">
    <w:name w:val="脚注文本 字符"/>
    <w:link w:val="900"/>
    <w:uiPriority w:val="99"/>
    <w:qFormat/>
    <w:rPr>
      <w:sz w:val="18"/>
    </w:rPr>
  </w:style>
  <w:style w:type="character" w:styleId="1061" w:customStyle="1">
    <w:name w:val="尾注文本 字符"/>
    <w:link w:val="893"/>
    <w:uiPriority w:val="99"/>
    <w:qFormat/>
    <w:rPr>
      <w:sz w:val="20"/>
    </w:rPr>
  </w:style>
  <w:style w:type="paragraph" w:styleId="1062" w:customStyle="1">
    <w:name w:val="TOC 标题1"/>
    <w:uiPriority w:val="39"/>
    <w:unhideWhenUsed/>
    <w:qFormat/>
    <w:rPr>
      <w:rFonts w:ascii="Times New Roman" w:hAnsi="Times New Roman" w:eastAsia="宋体" w:cs="Times New Roman"/>
      <w:lang w:val="en-US" w:eastAsia="zh-CN" w:bidi="ar-SA"/>
    </w:rPr>
  </w:style>
  <w:style w:type="character" w:styleId="1063" w:customStyle="1">
    <w:name w:val="页眉 字符"/>
    <w:basedOn w:val="879"/>
    <w:link w:val="896"/>
    <w:uiPriority w:val="99"/>
    <w:qFormat/>
    <w:rPr>
      <w:sz w:val="18"/>
      <w:szCs w:val="18"/>
    </w:rPr>
  </w:style>
  <w:style w:type="character" w:styleId="1064" w:customStyle="1">
    <w:name w:val="页脚 字符"/>
    <w:basedOn w:val="879"/>
    <w:link w:val="895"/>
    <w:uiPriority w:val="99"/>
    <w:qFormat/>
    <w:rPr>
      <w:sz w:val="18"/>
      <w:szCs w:val="18"/>
    </w:rPr>
  </w:style>
  <w:style w:type="character" w:styleId="1065" w:customStyle="1">
    <w:name w:val="标题 1 字符"/>
    <w:basedOn w:val="879"/>
    <w:link w:val="870"/>
    <w:uiPriority w:val="9"/>
    <w:qFormat/>
    <w:rPr>
      <w:b/>
      <w:bCs/>
      <w:sz w:val="44"/>
      <w:szCs w:val="44"/>
    </w:rPr>
  </w:style>
  <w:style w:type="character" w:styleId="1066" w:customStyle="1">
    <w:name w:val="文档结构图 字符"/>
    <w:basedOn w:val="879"/>
    <w:link w:val="884"/>
    <w:uiPriority w:val="99"/>
    <w:semiHidden/>
    <w:qFormat/>
    <w:rPr>
      <w:rFonts w:ascii="宋体" w:eastAsia="宋体"/>
      <w:sz w:val="18"/>
      <w:szCs w:val="18"/>
    </w:rPr>
  </w:style>
  <w:style w:type="character" w:styleId="1067" w:customStyle="1">
    <w:name w:val="标题 2 字符"/>
    <w:basedOn w:val="879"/>
    <w:link w:val="871"/>
    <w:uiPriority w:val="9"/>
    <w:qFormat/>
    <w:rPr>
      <w:rFonts w:asciiTheme="majorHAnsi" w:hAnsiTheme="majorHAnsi" w:eastAsiaTheme="majorEastAsia" w:cstheme="majorBidi"/>
      <w:b/>
      <w:bCs/>
      <w:sz w:val="32"/>
      <w:szCs w:val="32"/>
    </w:rPr>
  </w:style>
  <w:style w:type="character" w:styleId="1068" w:customStyle="1">
    <w:name w:val="标题 3 字符"/>
    <w:basedOn w:val="879"/>
    <w:link w:val="872"/>
    <w:uiPriority w:val="9"/>
    <w:qFormat/>
    <w:rPr>
      <w:b/>
      <w:bCs/>
      <w:sz w:val="32"/>
      <w:szCs w:val="32"/>
    </w:rPr>
  </w:style>
  <w:style w:type="character" w:styleId="1069" w:customStyle="1">
    <w:name w:val="日期 字符"/>
    <w:basedOn w:val="879"/>
    <w:link w:val="892"/>
    <w:uiPriority w:val="99"/>
    <w:semiHidden/>
    <w:qFormat/>
  </w:style>
  <w:style w:type="character" w:styleId="1070" w:customStyle="1">
    <w:name w:val="批注文字 字符"/>
    <w:basedOn w:val="879"/>
    <w:link w:val="885"/>
    <w:uiPriority w:val="0"/>
    <w:qFormat/>
    <w:rPr>
      <w:rFonts w:ascii="Times New Roman" w:hAnsi="Times New Roman" w:eastAsia="宋体" w:cs="Times New Roman"/>
      <w:szCs w:val="24"/>
    </w:rPr>
  </w:style>
  <w:style w:type="character" w:styleId="1071" w:customStyle="1">
    <w:name w:val="批注框文本 字符"/>
    <w:basedOn w:val="879"/>
    <w:link w:val="894"/>
    <w:uiPriority w:val="99"/>
    <w:semiHidden/>
    <w:qFormat/>
    <w:rPr>
      <w:sz w:val="18"/>
      <w:szCs w:val="18"/>
    </w:rPr>
  </w:style>
  <w:style w:type="paragraph" w:styleId="1072" w:customStyle="1">
    <w:name w:val="Default"/>
    <w:link w:val="1073"/>
    <w:uiPriority w:val="99"/>
    <w:qFormat/>
    <w:pPr>
      <w:widowControl w:val="off"/>
    </w:pPr>
    <w:rPr>
      <w:rFonts w:ascii="MS Mincho" w:hAnsi="Calibri" w:eastAsia="宋体" w:cs="Times New Roman"/>
      <w:color w:val="000000"/>
      <w:sz w:val="21"/>
      <w:szCs w:val="24"/>
      <w:lang w:val="en-US" w:eastAsia="zh-CN" w:bidi="ar-SA"/>
    </w:rPr>
  </w:style>
  <w:style w:type="character" w:styleId="1073" w:customStyle="1">
    <w:name w:val="Default Char"/>
    <w:link w:val="1072"/>
    <w:uiPriority w:val="99"/>
    <w:qFormat/>
    <w:rPr>
      <w:rFonts w:ascii="MS Mincho" w:hAnsi="Calibri" w:eastAsia="宋体" w:cs="Times New Roman"/>
      <w:color w:val="000000"/>
      <w:szCs w:val="24"/>
    </w:rPr>
  </w:style>
  <w:style w:type="character" w:styleId="1074" w:customStyle="1">
    <w:name w:val="纯文本 字符"/>
    <w:basedOn w:val="879"/>
    <w:link w:val="890"/>
    <w:uiPriority w:val="0"/>
    <w:qFormat/>
    <w:rPr>
      <w:rFonts w:ascii="宋体" w:hAnsi="Courier New" w:eastAsia="宋体" w:cs="Times New Roman"/>
      <w:szCs w:val="20"/>
    </w:rPr>
  </w:style>
  <w:style w:type="character" w:styleId="1075" w:customStyle="1">
    <w:name w:val="批注主题 字符"/>
    <w:basedOn w:val="1070"/>
    <w:link w:val="906"/>
    <w:uiPriority w:val="99"/>
    <w:semiHidden/>
    <w:qFormat/>
    <w:rPr>
      <w:rFonts w:asciiTheme="minorHAnsi" w:hAnsiTheme="minorHAnsi" w:eastAsiaTheme="minorEastAsia" w:cstheme="minorBidi"/>
      <w:b/>
      <w:bCs/>
      <w:sz w:val="21"/>
      <w:szCs w:val="22"/>
    </w:rPr>
  </w:style>
  <w:style w:type="paragraph" w:styleId="1076" w:customStyle="1">
    <w:name w:val="标题 31"/>
    <w:basedOn w:val="869"/>
    <w:next w:val="869"/>
    <w:uiPriority w:val="0"/>
    <w:qFormat/>
    <w:pPr>
      <w:keepLines/>
      <w:keepNext/>
      <w:spacing w:before="260" w:after="260" w:line="416" w:lineRule="auto"/>
      <w:outlineLvl w:val="2"/>
    </w:pPr>
    <w:rPr>
      <w:rFonts w:ascii="Times New Roman" w:hAnsi="Times New Roman"/>
      <w:b/>
      <w:bCs/>
      <w:sz w:val="32"/>
      <w:szCs w:val="32"/>
    </w:r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陈岩</cp:lastModifiedBy>
  <cp:revision>20</cp:revision>
  <dcterms:created xsi:type="dcterms:W3CDTF">2025-09-25T10:20:00Z</dcterms:created>
  <dcterms:modified xsi:type="dcterms:W3CDTF">2026-04-08T08:05:25Z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FD2EB6F21EC9473BA4A16E05ABEF4897_13</vt:lpwstr>
  </property>
  <property fmtid="{D5CDD505-2E9C-101B-9397-08002B2CF9AE}" pid="4" name="KSOTemplateDocerSaveRecord">
    <vt:lpwstr>eyJoZGlkIjoiYWYyNWYzZTMyZjU5YmU5MzY0MjRkYmM3ZTUzMGM1NjkiLCJ1c2VySWQiOiI5MjU1NTA0NDYifQ==</vt:lpwstr>
  </property>
</Properties>
</file>