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08D76F">
      <w:pPr>
        <w:spacing w:line="360" w:lineRule="auto"/>
        <w:ind w:firstLine="160"/>
        <w:rPr>
          <w:rFonts w:hint="eastAsia" w:ascii="宋体" w:hAnsi="宋体" w:eastAsia="宋体" w:cs="宋体"/>
          <w:color w:val="auto"/>
          <w:sz w:val="32"/>
          <w:szCs w:val="32"/>
          <w:highlight w:val="none"/>
        </w:rPr>
      </w:pPr>
    </w:p>
    <w:p w14:paraId="7C983E45">
      <w:pPr>
        <w:spacing w:line="360" w:lineRule="auto"/>
        <w:ind w:firstLine="300"/>
        <w:rPr>
          <w:rFonts w:hint="eastAsia" w:ascii="宋体" w:hAnsi="宋体" w:eastAsia="宋体" w:cs="宋体"/>
          <w:color w:val="auto"/>
          <w:sz w:val="60"/>
          <w:szCs w:val="60"/>
          <w:highlight w:val="none"/>
        </w:rPr>
      </w:pPr>
    </w:p>
    <w:p w14:paraId="465EEE92">
      <w:pPr>
        <w:spacing w:line="480" w:lineRule="auto"/>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常州市政府采购项目</w:t>
      </w:r>
    </w:p>
    <w:p w14:paraId="34424DD4">
      <w:pPr>
        <w:spacing w:line="480" w:lineRule="auto"/>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公开招标文件</w:t>
      </w:r>
    </w:p>
    <w:p w14:paraId="464D6E90">
      <w:pPr>
        <w:jc w:val="center"/>
        <w:rPr>
          <w:rFonts w:hint="eastAsia" w:ascii="宋体" w:hAnsi="宋体" w:eastAsia="宋体" w:cs="宋体"/>
          <w:b/>
          <w:bCs/>
          <w:color w:val="auto"/>
          <w:sz w:val="60"/>
          <w:szCs w:val="60"/>
          <w:highlight w:val="none"/>
        </w:rPr>
      </w:pPr>
    </w:p>
    <w:p w14:paraId="40A498E1">
      <w:pPr>
        <w:spacing w:line="360" w:lineRule="auto"/>
        <w:jc w:val="center"/>
        <w:rPr>
          <w:rFonts w:hint="eastAsia" w:ascii="宋体" w:hAnsi="宋体" w:eastAsia="宋体" w:cs="宋体"/>
          <w:color w:val="auto"/>
          <w:sz w:val="60"/>
          <w:szCs w:val="60"/>
          <w:highlight w:val="none"/>
        </w:rPr>
      </w:pPr>
    </w:p>
    <w:p w14:paraId="261376DD">
      <w:pPr>
        <w:tabs>
          <w:tab w:val="left" w:pos="5609"/>
        </w:tabs>
        <w:spacing w:line="360" w:lineRule="auto"/>
        <w:ind w:left="2832" w:hanging="1900"/>
        <w:jc w:val="left"/>
        <w:rPr>
          <w:rFonts w:hint="eastAsia" w:ascii="Times New Roman" w:hAnsi="Times New Roman" w:eastAsia="宋体" w:cs="Times New Roman"/>
          <w:bCs/>
          <w:color w:val="auto"/>
          <w:sz w:val="36"/>
          <w:szCs w:val="36"/>
          <w:highlight w:val="none"/>
          <w:lang w:eastAsia="zh-CN"/>
        </w:rPr>
      </w:pPr>
      <w:bookmarkStart w:id="0" w:name="_Hlk107438019"/>
      <w:r>
        <w:rPr>
          <w:rFonts w:ascii="Times New Roman" w:hAnsi="Times New Roman" w:cs="Times New Roman"/>
          <w:bCs/>
          <w:color w:val="auto"/>
          <w:sz w:val="36"/>
          <w:szCs w:val="36"/>
          <w:highlight w:val="none"/>
        </w:rPr>
        <w:t>项目名称：</w:t>
      </w:r>
      <w:r>
        <w:rPr>
          <w:rFonts w:hint="eastAsia" w:cs="Times New Roman"/>
          <w:bCs/>
          <w:color w:val="auto"/>
          <w:sz w:val="36"/>
          <w:szCs w:val="36"/>
          <w:highlight w:val="none"/>
          <w:lang w:eastAsia="zh-CN"/>
        </w:rPr>
        <w:t>2026年魏村街道农村生活垃圾清运项目</w:t>
      </w:r>
    </w:p>
    <w:p w14:paraId="17C9DBC0">
      <w:pPr>
        <w:tabs>
          <w:tab w:val="left" w:pos="3240"/>
          <w:tab w:val="left" w:pos="3420"/>
        </w:tabs>
        <w:spacing w:line="360" w:lineRule="auto"/>
        <w:ind w:left="2832" w:hanging="1900"/>
        <w:jc w:val="left"/>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项目编号：</w:t>
      </w:r>
      <w:r>
        <w:rPr>
          <w:rFonts w:hint="eastAsia" w:cs="Times New Roman"/>
          <w:bCs/>
          <w:color w:val="auto"/>
          <w:sz w:val="36"/>
          <w:szCs w:val="36"/>
          <w:highlight w:val="none"/>
          <w:lang w:eastAsia="zh-CN"/>
        </w:rPr>
        <w:t>JSZC-320411001-ZHWF-G2026-0003</w:t>
      </w:r>
      <w:r>
        <w:rPr>
          <w:rFonts w:hint="eastAsia" w:ascii="Times New Roman" w:hAnsi="Times New Roman" w:cs="Times New Roman"/>
          <w:bCs/>
          <w:color w:val="auto"/>
          <w:sz w:val="36"/>
          <w:szCs w:val="36"/>
          <w:highlight w:val="none"/>
          <w:lang w:eastAsia="zh-CN"/>
        </w:rPr>
        <w:t xml:space="preserve"> </w:t>
      </w:r>
    </w:p>
    <w:p w14:paraId="094DD614">
      <w:pPr>
        <w:tabs>
          <w:tab w:val="left" w:pos="3240"/>
          <w:tab w:val="left" w:pos="3420"/>
        </w:tabs>
        <w:spacing w:line="360" w:lineRule="auto"/>
        <w:ind w:left="2832" w:hanging="1900"/>
        <w:jc w:val="left"/>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采 购 人：</w:t>
      </w:r>
      <w:r>
        <w:rPr>
          <w:rFonts w:hint="eastAsia" w:cs="Times New Roman"/>
          <w:bCs/>
          <w:color w:val="auto"/>
          <w:sz w:val="36"/>
          <w:szCs w:val="36"/>
          <w:highlight w:val="none"/>
          <w:lang w:eastAsia="zh-CN"/>
        </w:rPr>
        <w:t>常州市新北区魏村街道办事处</w:t>
      </w:r>
    </w:p>
    <w:p w14:paraId="3364454B">
      <w:pPr>
        <w:tabs>
          <w:tab w:val="left" w:pos="3240"/>
          <w:tab w:val="left" w:pos="3420"/>
        </w:tabs>
        <w:spacing w:line="360" w:lineRule="auto"/>
        <w:ind w:left="2832" w:hanging="1900"/>
        <w:jc w:val="left"/>
        <w:rPr>
          <w:rFonts w:hint="eastAsia" w:ascii="Times New Roman" w:hAnsi="Times New Roman" w:eastAsia="宋体" w:cs="Times New Roman"/>
          <w:bCs/>
          <w:color w:val="auto"/>
          <w:sz w:val="36"/>
          <w:szCs w:val="36"/>
          <w:highlight w:val="none"/>
          <w:lang w:eastAsia="zh-CN"/>
        </w:rPr>
      </w:pPr>
      <w:r>
        <w:rPr>
          <w:rFonts w:hint="eastAsia" w:ascii="Times New Roman" w:hAnsi="Times New Roman" w:cs="Times New Roman"/>
          <w:bCs/>
          <w:color w:val="auto"/>
          <w:sz w:val="36"/>
          <w:szCs w:val="36"/>
          <w:highlight w:val="none"/>
        </w:rPr>
        <w:t>采购</w:t>
      </w:r>
      <w:r>
        <w:rPr>
          <w:rFonts w:ascii="Times New Roman" w:hAnsi="Times New Roman" w:cs="Times New Roman"/>
          <w:bCs/>
          <w:color w:val="auto"/>
          <w:sz w:val="36"/>
          <w:szCs w:val="36"/>
          <w:highlight w:val="none"/>
        </w:rPr>
        <w:t>代理机构：</w:t>
      </w:r>
      <w:r>
        <w:rPr>
          <w:rFonts w:hint="eastAsia" w:ascii="Times New Roman" w:hAnsi="Times New Roman" w:cs="Times New Roman"/>
          <w:bCs/>
          <w:color w:val="auto"/>
          <w:sz w:val="36"/>
          <w:szCs w:val="36"/>
          <w:highlight w:val="none"/>
          <w:lang w:eastAsia="zh-CN"/>
        </w:rPr>
        <w:t>江苏正誉项目管理有限公司</w:t>
      </w:r>
    </w:p>
    <w:p w14:paraId="04532090">
      <w:pPr>
        <w:spacing w:line="720" w:lineRule="auto"/>
        <w:jc w:val="center"/>
        <w:rPr>
          <w:rFonts w:hint="eastAsia" w:ascii="宋体" w:hAnsi="宋体" w:eastAsia="宋体" w:cs="宋体"/>
          <w:b/>
          <w:color w:val="auto"/>
          <w:sz w:val="32"/>
          <w:szCs w:val="32"/>
          <w:highlight w:val="none"/>
        </w:rPr>
      </w:pPr>
    </w:p>
    <w:bookmarkEnd w:id="0"/>
    <w:p w14:paraId="0126F908">
      <w:pPr>
        <w:widowControl/>
        <w:jc w:val="left"/>
        <w:rPr>
          <w:rFonts w:hint="eastAsia" w:ascii="宋体" w:hAnsi="宋体" w:eastAsia="宋体" w:cs="宋体"/>
          <w:b/>
          <w:bCs/>
          <w:color w:val="auto"/>
          <w:sz w:val="4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cols w:space="1701" w:num="1"/>
          <w:titlePg/>
          <w:docGrid w:linePitch="360" w:charSpace="0"/>
        </w:sectPr>
      </w:pPr>
      <w:r>
        <w:rPr>
          <w:rFonts w:hint="eastAsia" w:ascii="宋体" w:hAnsi="宋体" w:eastAsia="宋体" w:cs="宋体"/>
          <w:b/>
          <w:bCs/>
          <w:color w:val="auto"/>
          <w:sz w:val="44"/>
          <w:highlight w:val="none"/>
        </w:rPr>
        <w:br w:type="page" w:clear="all"/>
      </w:r>
    </w:p>
    <w:p w14:paraId="11428630">
      <w:pPr>
        <w:widowControl/>
        <w:jc w:val="left"/>
        <w:rPr>
          <w:rFonts w:hint="eastAsia" w:ascii="宋体" w:hAnsi="宋体" w:eastAsia="宋体" w:cs="宋体"/>
          <w:b/>
          <w:bCs/>
          <w:color w:val="auto"/>
          <w:sz w:val="44"/>
          <w:highlight w:val="none"/>
        </w:rPr>
      </w:pPr>
    </w:p>
    <w:p w14:paraId="054A760F">
      <w:pPr>
        <w:spacing w:line="360" w:lineRule="auto"/>
        <w:jc w:val="center"/>
        <w:outlineLvl w:val="0"/>
        <w:rPr>
          <w:rFonts w:hint="eastAsia" w:ascii="宋体" w:hAnsi="宋体" w:eastAsia="宋体" w:cs="宋体"/>
          <w:b/>
          <w:color w:val="auto"/>
          <w:sz w:val="44"/>
          <w:szCs w:val="44"/>
          <w:highlight w:val="none"/>
        </w:rPr>
      </w:pPr>
      <w:bookmarkStart w:id="1" w:name="_Toc99301418"/>
      <w:r>
        <w:rPr>
          <w:rFonts w:hint="eastAsia" w:ascii="宋体" w:hAnsi="宋体" w:eastAsia="宋体" w:cs="宋体"/>
          <w:b/>
          <w:color w:val="auto"/>
          <w:sz w:val="44"/>
          <w:szCs w:val="44"/>
          <w:highlight w:val="none"/>
        </w:rPr>
        <w:t>目      录</w:t>
      </w:r>
      <w:bookmarkEnd w:id="1"/>
    </w:p>
    <w:p w14:paraId="7FDB0A34">
      <w:pPr>
        <w:rPr>
          <w:rFonts w:hint="eastAsia" w:ascii="宋体" w:hAnsi="宋体" w:eastAsia="宋体" w:cs="宋体"/>
          <w:color w:val="auto"/>
          <w:highlight w:val="none"/>
        </w:rPr>
      </w:pPr>
    </w:p>
    <w:p w14:paraId="1E2C76E0">
      <w:pPr>
        <w:rPr>
          <w:rFonts w:hint="eastAsia" w:ascii="宋体" w:hAnsi="宋体" w:eastAsia="宋体" w:cs="宋体"/>
          <w:color w:val="auto"/>
          <w:highlight w:val="none"/>
        </w:rPr>
      </w:pPr>
    </w:p>
    <w:p w14:paraId="12B3E065">
      <w:pPr>
        <w:pStyle w:val="236"/>
        <w:rPr>
          <w:rFonts w:hint="eastAsia" w:ascii="宋体" w:hAnsi="宋体" w:eastAsia="宋体" w:cs="宋体"/>
          <w:b w:val="0"/>
          <w:color w:val="auto"/>
          <w:sz w:val="21"/>
          <w:szCs w:val="22"/>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p>
    <w:p w14:paraId="6321730B">
      <w:pPr>
        <w:pStyle w:val="23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"_Toc99301419" </w:instrText>
      </w:r>
      <w:r>
        <w:rPr>
          <w:rFonts w:hint="eastAsia" w:ascii="宋体" w:hAnsi="宋体" w:eastAsia="宋体" w:cs="宋体"/>
          <w:color w:val="auto"/>
          <w:sz w:val="28"/>
          <w:szCs w:val="28"/>
          <w:highlight w:val="none"/>
        </w:rPr>
        <w:fldChar w:fldCharType="separate"/>
      </w:r>
      <w:r>
        <w:rPr>
          <w:rStyle w:val="263"/>
          <w:rFonts w:hint="eastAsia" w:ascii="宋体" w:hAnsi="宋体" w:eastAsia="宋体" w:cs="宋体"/>
          <w:color w:val="auto"/>
          <w:sz w:val="28"/>
          <w:szCs w:val="28"/>
          <w:highlight w:val="none"/>
        </w:rPr>
        <w:t>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01B084D">
      <w:pPr>
        <w:pStyle w:val="23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"_Toc99301420" </w:instrText>
      </w:r>
      <w:r>
        <w:rPr>
          <w:rFonts w:hint="eastAsia" w:ascii="宋体" w:hAnsi="宋体" w:eastAsia="宋体" w:cs="宋体"/>
          <w:color w:val="auto"/>
          <w:sz w:val="28"/>
          <w:szCs w:val="28"/>
          <w:highlight w:val="none"/>
        </w:rPr>
        <w:fldChar w:fldCharType="separate"/>
      </w:r>
      <w:r>
        <w:rPr>
          <w:rStyle w:val="263"/>
          <w:rFonts w:hint="eastAsia" w:ascii="宋体" w:hAnsi="宋体" w:eastAsia="宋体" w:cs="宋体"/>
          <w:color w:val="auto"/>
          <w:sz w:val="28"/>
          <w:szCs w:val="28"/>
          <w:highlight w:val="none"/>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EA6F428">
      <w:pPr>
        <w:pStyle w:val="23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"_Toc99301421" </w:instrText>
      </w:r>
      <w:r>
        <w:rPr>
          <w:rFonts w:hint="eastAsia" w:ascii="宋体" w:hAnsi="宋体" w:eastAsia="宋体" w:cs="宋体"/>
          <w:color w:val="auto"/>
          <w:sz w:val="28"/>
          <w:szCs w:val="28"/>
          <w:highlight w:val="none"/>
        </w:rPr>
        <w:fldChar w:fldCharType="separate"/>
      </w:r>
      <w:r>
        <w:rPr>
          <w:rStyle w:val="263"/>
          <w:rFonts w:hint="eastAsia" w:ascii="宋体" w:hAnsi="宋体" w:eastAsia="宋体" w:cs="宋体"/>
          <w:color w:val="auto"/>
          <w:sz w:val="28"/>
          <w:szCs w:val="28"/>
          <w:highlight w:val="none"/>
        </w:rPr>
        <w:t>第三章   资</w:t>
      </w:r>
      <w:bookmarkStart w:id="2" w:name="_Hlt100754117"/>
      <w:r>
        <w:rPr>
          <w:rStyle w:val="263"/>
          <w:rFonts w:hint="eastAsia" w:ascii="宋体" w:hAnsi="宋体" w:eastAsia="宋体" w:cs="宋体"/>
          <w:color w:val="auto"/>
          <w:sz w:val="28"/>
          <w:szCs w:val="28"/>
          <w:highlight w:val="none"/>
        </w:rPr>
        <w:t>格</w:t>
      </w:r>
      <w:bookmarkEnd w:id="2"/>
      <w:r>
        <w:rPr>
          <w:rStyle w:val="263"/>
          <w:rFonts w:hint="eastAsia" w:ascii="宋体" w:hAnsi="宋体" w:eastAsia="宋体" w:cs="宋体"/>
          <w:color w:val="auto"/>
          <w:sz w:val="28"/>
          <w:szCs w:val="28"/>
          <w:highlight w:val="none"/>
        </w:rPr>
        <w:t>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3E06EE">
      <w:pPr>
        <w:pStyle w:val="23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"_Toc99301423" </w:instrText>
      </w:r>
      <w:r>
        <w:rPr>
          <w:rFonts w:hint="eastAsia" w:ascii="宋体" w:hAnsi="宋体" w:eastAsia="宋体" w:cs="宋体"/>
          <w:color w:val="auto"/>
          <w:sz w:val="28"/>
          <w:szCs w:val="28"/>
          <w:highlight w:val="none"/>
        </w:rPr>
        <w:fldChar w:fldCharType="separate"/>
      </w:r>
      <w:r>
        <w:rPr>
          <w:rStyle w:val="263"/>
          <w:rFonts w:hint="eastAsia" w:ascii="宋体" w:hAnsi="宋体" w:eastAsia="宋体" w:cs="宋体"/>
          <w:color w:val="auto"/>
          <w:sz w:val="28"/>
          <w:szCs w:val="28"/>
          <w:highlight w:val="none"/>
        </w:rPr>
        <w:t>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FCB54B3">
      <w:pPr>
        <w:pStyle w:val="23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"_Toc99301424" </w:instrText>
      </w:r>
      <w:r>
        <w:rPr>
          <w:rFonts w:hint="eastAsia" w:ascii="宋体" w:hAnsi="宋体" w:eastAsia="宋体" w:cs="宋体"/>
          <w:color w:val="auto"/>
          <w:sz w:val="28"/>
          <w:szCs w:val="28"/>
          <w:highlight w:val="none"/>
        </w:rPr>
        <w:fldChar w:fldCharType="separate"/>
      </w:r>
      <w:r>
        <w:rPr>
          <w:rStyle w:val="263"/>
          <w:rFonts w:hint="eastAsia" w:ascii="宋体" w:hAnsi="宋体" w:eastAsia="宋体" w:cs="宋体"/>
          <w:color w:val="auto"/>
          <w:sz w:val="28"/>
          <w:szCs w:val="28"/>
          <w:highlight w:val="none"/>
        </w:rPr>
        <w:t>第五章   采购</w:t>
      </w:r>
      <w:bookmarkStart w:id="3" w:name="_Hlt100754103"/>
      <w:bookmarkStart w:id="4" w:name="_Hlt100754102"/>
      <w:r>
        <w:rPr>
          <w:rStyle w:val="263"/>
          <w:rFonts w:hint="eastAsia" w:ascii="宋体" w:hAnsi="宋体" w:eastAsia="宋体" w:cs="宋体"/>
          <w:color w:val="auto"/>
          <w:sz w:val="28"/>
          <w:szCs w:val="28"/>
          <w:highlight w:val="none"/>
        </w:rPr>
        <w:t>需</w:t>
      </w:r>
      <w:bookmarkEnd w:id="3"/>
      <w:bookmarkEnd w:id="4"/>
      <w:r>
        <w:rPr>
          <w:rStyle w:val="263"/>
          <w:rFonts w:hint="eastAsia" w:ascii="宋体" w:hAnsi="宋体" w:eastAsia="宋体" w:cs="宋体"/>
          <w:color w:val="auto"/>
          <w:sz w:val="28"/>
          <w:szCs w:val="28"/>
          <w:highlight w:val="none"/>
        </w:rPr>
        <w:t>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B5725BF">
      <w:pPr>
        <w:pStyle w:val="23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"_Toc99301425" </w:instrText>
      </w:r>
      <w:r>
        <w:rPr>
          <w:rFonts w:hint="eastAsia" w:ascii="宋体" w:hAnsi="宋体" w:eastAsia="宋体" w:cs="宋体"/>
          <w:color w:val="auto"/>
          <w:sz w:val="28"/>
          <w:szCs w:val="28"/>
          <w:highlight w:val="none"/>
        </w:rPr>
        <w:fldChar w:fldCharType="separate"/>
      </w:r>
      <w:r>
        <w:rPr>
          <w:rStyle w:val="263"/>
          <w:rFonts w:hint="eastAsia" w:ascii="宋体" w:hAnsi="宋体" w:eastAsia="宋体" w:cs="宋体"/>
          <w:color w:val="auto"/>
          <w:sz w:val="28"/>
          <w:szCs w:val="28"/>
          <w:highlight w:val="none"/>
        </w:rPr>
        <w:t>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001A987">
      <w:pPr>
        <w:pStyle w:val="236"/>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"_Toc99301426" </w:instrText>
      </w:r>
      <w:r>
        <w:rPr>
          <w:rFonts w:hint="eastAsia" w:ascii="宋体" w:hAnsi="宋体" w:eastAsia="宋体" w:cs="宋体"/>
          <w:color w:val="auto"/>
          <w:sz w:val="28"/>
          <w:szCs w:val="28"/>
          <w:highlight w:val="none"/>
        </w:rPr>
        <w:fldChar w:fldCharType="separate"/>
      </w:r>
      <w:r>
        <w:rPr>
          <w:rStyle w:val="263"/>
          <w:rFonts w:hint="eastAsia" w:ascii="宋体" w:hAnsi="宋体" w:eastAsia="宋体" w:cs="宋体"/>
          <w:color w:val="auto"/>
          <w:sz w:val="28"/>
          <w:szCs w:val="28"/>
          <w:highlight w:val="none"/>
        </w:rPr>
        <w:t>第七章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5CA00F2">
      <w:pPr>
        <w:pStyle w:val="236"/>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fldChar w:fldCharType="end"/>
      </w:r>
    </w:p>
    <w:p w14:paraId="00F36A4D">
      <w:pPr>
        <w:spacing w:line="360" w:lineRule="auto"/>
        <w:jc w:val="center"/>
        <w:outlineLvl w:val="0"/>
        <w:rPr>
          <w:rFonts w:hint="eastAsia" w:ascii="宋体" w:hAnsi="宋体" w:eastAsia="宋体" w:cs="宋体"/>
          <w:b/>
          <w:color w:val="auto"/>
          <w:sz w:val="36"/>
          <w:szCs w:val="36"/>
          <w:highlight w:val="none"/>
        </w:rPr>
        <w:sectPr>
          <w:footerReference r:id="rId8" w:type="first"/>
          <w:footerReference r:id="rId7" w:type="default"/>
          <w:pgSz w:w="11907" w:h="16840"/>
          <w:pgMar w:top="1418" w:right="1134" w:bottom="1418" w:left="1701" w:header="851" w:footer="851" w:gutter="0"/>
          <w:pgNumType w:start="1"/>
          <w:cols w:space="1701" w:num="1"/>
          <w:titlePg/>
          <w:docGrid w:linePitch="360" w:charSpace="0"/>
        </w:sectPr>
      </w:pPr>
      <w:bookmarkStart w:id="5" w:name="_Toc99301419"/>
    </w:p>
    <w:p w14:paraId="5D4B7007">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第一章   投标邀请</w:t>
      </w:r>
      <w:bookmarkEnd w:id="5"/>
    </w:p>
    <w:p w14:paraId="630C2C05">
      <w:pPr>
        <w:spacing w:line="360" w:lineRule="auto"/>
        <w:ind w:firstLine="420"/>
        <w:rPr>
          <w:rFonts w:hint="eastAsia" w:ascii="宋体" w:hAnsi="宋体" w:eastAsia="宋体" w:cs="宋体"/>
          <w:color w:val="auto"/>
          <w:szCs w:val="21"/>
          <w:highlight w:val="none"/>
        </w:rPr>
      </w:pPr>
    </w:p>
    <w:p w14:paraId="7699FA01">
      <w:pPr>
        <w:pStyle w:val="186"/>
        <w:spacing w:before="0" w:line="360" w:lineRule="auto"/>
        <w:jc w:val="left"/>
        <w:rPr>
          <w:rFonts w:hint="eastAsia" w:ascii="宋体" w:hAnsi="宋体" w:eastAsia="宋体" w:cs="宋体"/>
          <w:color w:val="auto"/>
          <w:sz w:val="24"/>
          <w:szCs w:val="24"/>
          <w:highlight w:val="none"/>
        </w:rPr>
      </w:pPr>
      <w:bookmarkStart w:id="6" w:name="_Toc35393621"/>
      <w:bookmarkStart w:id="7" w:name="_Toc35393790"/>
      <w:bookmarkStart w:id="8" w:name="_Toc28359002"/>
      <w:bookmarkStart w:id="9" w:name="_Toc28359079"/>
      <w:bookmarkStart w:id="10" w:name="_Hlk24379207"/>
      <w:r>
        <w:rPr>
          <w:rFonts w:hint="eastAsia" w:ascii="宋体" w:hAnsi="宋体" w:eastAsia="宋体" w:cs="宋体"/>
          <w:color w:val="auto"/>
          <w:sz w:val="24"/>
          <w:szCs w:val="24"/>
          <w:highlight w:val="none"/>
        </w:rPr>
        <w:t>一、项目基本情况</w:t>
      </w:r>
      <w:bookmarkEnd w:id="6"/>
      <w:bookmarkEnd w:id="7"/>
      <w:bookmarkEnd w:id="8"/>
      <w:bookmarkEnd w:id="9"/>
    </w:p>
    <w:p w14:paraId="733E4C8C">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1.项目编号/包号：</w:t>
      </w:r>
      <w:r>
        <w:rPr>
          <w:rFonts w:hint="eastAsia" w:ascii="宋体" w:hAnsi="宋体" w:cs="宋体"/>
          <w:color w:val="auto"/>
          <w:sz w:val="24"/>
          <w:highlight w:val="none"/>
          <w:u w:val="single"/>
          <w:lang w:eastAsia="zh-CN"/>
        </w:rPr>
        <w:t>JSZC-320411001-ZHWF-G2026-0003</w:t>
      </w:r>
    </w:p>
    <w:p w14:paraId="749D0E17">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r>
        <w:rPr>
          <w:rFonts w:hint="eastAsia" w:ascii="宋体" w:hAnsi="宋体" w:cs="宋体"/>
          <w:color w:val="auto"/>
          <w:sz w:val="24"/>
          <w:highlight w:val="none"/>
          <w:u w:val="single"/>
          <w:lang w:eastAsia="zh-CN"/>
        </w:rPr>
        <w:t>2026年魏村街道农村生活垃圾清运项目</w:t>
      </w:r>
    </w:p>
    <w:bookmarkEnd w:id="10"/>
    <w:p w14:paraId="51EE51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3.采购方式：</w:t>
      </w:r>
      <w:r>
        <w:rPr>
          <w:rFonts w:hint="eastAsia" w:ascii="宋体" w:hAnsi="宋体" w:eastAsia="宋体" w:cs="宋体"/>
          <w:color w:val="auto"/>
          <w:sz w:val="24"/>
          <w:highlight w:val="none"/>
          <w:u w:val="single"/>
        </w:rPr>
        <w:t>公开招标</w:t>
      </w:r>
    </w:p>
    <w:p w14:paraId="3466C71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4.项目预算金额：</w:t>
      </w:r>
      <w:r>
        <w:rPr>
          <w:rFonts w:hint="eastAsia" w:ascii="宋体" w:hAnsi="宋体" w:cs="宋体"/>
          <w:color w:val="auto"/>
          <w:sz w:val="24"/>
          <w:highlight w:val="none"/>
          <w:lang w:val="en-US" w:eastAsia="zh-CN"/>
        </w:rPr>
        <w:t>112</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项目最高限价：</w:t>
      </w:r>
      <w:r>
        <w:rPr>
          <w:rFonts w:hint="eastAsia" w:ascii="宋体" w:hAnsi="宋体" w:cs="宋体"/>
          <w:color w:val="auto"/>
          <w:sz w:val="24"/>
          <w:highlight w:val="none"/>
          <w:lang w:val="en-US" w:eastAsia="zh-CN"/>
        </w:rPr>
        <w:t>112</w:t>
      </w:r>
      <w:r>
        <w:rPr>
          <w:rFonts w:hint="eastAsia" w:ascii="宋体" w:hAnsi="宋体" w:eastAsia="宋体" w:cs="宋体"/>
          <w:color w:val="auto"/>
          <w:sz w:val="24"/>
          <w:highlight w:val="none"/>
        </w:rPr>
        <w:t>万元</w:t>
      </w:r>
    </w:p>
    <w:p w14:paraId="28697A7C">
      <w:pPr>
        <w:numPr>
          <w:ilvl w:val="0"/>
          <w:numId w:val="8"/>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采购需求：</w:t>
      </w:r>
      <w:bookmarkStart w:id="11" w:name="OLE_LINK3"/>
      <w:r>
        <w:rPr>
          <w:rFonts w:hint="eastAsia"/>
          <w:color w:val="auto"/>
          <w:sz w:val="24"/>
          <w:highlight w:val="none"/>
        </w:rPr>
        <w:t>本项目为</w:t>
      </w:r>
      <w:r>
        <w:rPr>
          <w:rFonts w:hint="eastAsia" w:eastAsia="宋体"/>
          <w:color w:val="auto"/>
          <w:sz w:val="24"/>
          <w:highlight w:val="none"/>
          <w:lang w:eastAsia="zh-CN"/>
        </w:rPr>
        <w:t>常州市新北区魏村街道办事处2026年魏村街道农村生活垃圾清运项目</w:t>
      </w:r>
      <w:r>
        <w:rPr>
          <w:rFonts w:hint="eastAsia"/>
          <w:color w:val="auto"/>
          <w:sz w:val="24"/>
          <w:highlight w:val="none"/>
        </w:rPr>
        <w:t>。具体要求详见</w:t>
      </w:r>
      <w:bookmarkEnd w:id="11"/>
      <w:r>
        <w:rPr>
          <w:rFonts w:hint="eastAsia"/>
          <w:color w:val="auto"/>
          <w:sz w:val="24"/>
          <w:highlight w:val="none"/>
          <w:lang w:val="en-US" w:eastAsia="zh-CN"/>
        </w:rPr>
        <w:t>第五章采购需求</w:t>
      </w:r>
      <w:r>
        <w:rPr>
          <w:rFonts w:hint="eastAsia" w:ascii="宋体" w:hAnsi="宋体" w:eastAsia="宋体" w:cs="宋体"/>
          <w:color w:val="auto"/>
          <w:sz w:val="24"/>
          <w:highlight w:val="none"/>
        </w:rPr>
        <w:t>。</w:t>
      </w:r>
    </w:p>
    <w:p w14:paraId="1389E845">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6.合同履行期限：</w:t>
      </w:r>
      <w:r>
        <w:rPr>
          <w:rFonts w:hint="eastAsia" w:ascii="宋体" w:hAnsi="宋体" w:cs="宋体"/>
          <w:color w:val="auto"/>
          <w:sz w:val="24"/>
          <w:highlight w:val="none"/>
          <w:lang w:val="en-US" w:eastAsia="zh-CN"/>
        </w:rPr>
        <w:t>2026年5月1日至2026年12月31日</w:t>
      </w:r>
      <w:r>
        <w:rPr>
          <w:rFonts w:hint="eastAsia" w:ascii="宋体" w:hAnsi="宋体" w:eastAsia="宋体" w:cs="宋体"/>
          <w:color w:val="auto"/>
          <w:sz w:val="24"/>
          <w:highlight w:val="none"/>
        </w:rPr>
        <w:t>。</w:t>
      </w:r>
    </w:p>
    <w:p w14:paraId="019327F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7.本项目是否接受联合体投标：□是  ■否。</w:t>
      </w:r>
    </w:p>
    <w:p w14:paraId="4DE26137">
      <w:pPr>
        <w:pStyle w:val="186"/>
        <w:spacing w:before="0" w:line="360" w:lineRule="auto"/>
        <w:jc w:val="left"/>
        <w:rPr>
          <w:rFonts w:hint="eastAsia" w:ascii="宋体" w:hAnsi="宋体" w:eastAsia="宋体" w:cs="宋体"/>
          <w:color w:val="auto"/>
          <w:sz w:val="24"/>
          <w:szCs w:val="24"/>
          <w:highlight w:val="none"/>
        </w:rPr>
      </w:pPr>
      <w:bookmarkStart w:id="12" w:name="_Toc35393791"/>
      <w:bookmarkStart w:id="13" w:name="_Toc35393622"/>
      <w:bookmarkStart w:id="14" w:name="_Toc28359080"/>
      <w:bookmarkStart w:id="15" w:name="_Toc28359003"/>
      <w:r>
        <w:rPr>
          <w:rFonts w:hint="eastAsia" w:ascii="宋体" w:hAnsi="宋体" w:eastAsia="宋体" w:cs="宋体"/>
          <w:color w:val="auto"/>
          <w:sz w:val="24"/>
          <w:szCs w:val="24"/>
          <w:highlight w:val="none"/>
        </w:rPr>
        <w:t>二、申请人的资格要求（须同时满足）</w:t>
      </w:r>
      <w:bookmarkEnd w:id="12"/>
      <w:bookmarkEnd w:id="13"/>
      <w:bookmarkEnd w:id="14"/>
      <w:bookmarkEnd w:id="15"/>
    </w:p>
    <w:p w14:paraId="598CFEE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1.满足《中华人民共和国政府采购法》第二十二条规定以及下列情形：</w:t>
      </w:r>
    </w:p>
    <w:p w14:paraId="19100A8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1.1未被“信用中国”网站（</w:t>
      </w:r>
      <w:r>
        <w:rPr>
          <w:rFonts w:hint="eastAsia" w:ascii="宋体" w:hAnsi="宋体" w:eastAsia="宋体" w:cs="宋体"/>
          <w:color w:val="auto"/>
          <w:sz w:val="24"/>
          <w:highlight w:val="none"/>
          <w:lang w:val="en-US" w:eastAsia="zh-CN"/>
        </w:rPr>
        <w:t>www</w:t>
      </w:r>
      <w:r>
        <w:rPr>
          <w:rFonts w:hint="eastAsia" w:ascii="宋体" w:hAnsi="宋体" w:eastAsia="宋体" w:cs="宋体"/>
          <w:color w:val="auto"/>
          <w:sz w:val="24"/>
          <w:highlight w:val="none"/>
        </w:rPr>
        <w:t>.creditchina.gov.cn）或“中国政府采购网”网站（www.ccgp.gov.cn）列入失信被执行人、重大税收违法案件当事人名单、政府采购严重失信行为记录名单；</w:t>
      </w:r>
    </w:p>
    <w:p w14:paraId="43D2651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A252D73">
      <w:pPr>
        <w:spacing w:line="360" w:lineRule="auto"/>
        <w:ind w:firstLine="480"/>
        <w:rPr>
          <w:rFonts w:hint="eastAsia" w:ascii="宋体" w:hAnsi="宋体" w:eastAsia="宋体" w:cs="宋体"/>
          <w:color w:val="auto"/>
          <w:sz w:val="24"/>
          <w:highlight w:val="none"/>
        </w:rPr>
      </w:pPr>
      <w:bookmarkStart w:id="16" w:name="_Toc28359081"/>
      <w:bookmarkStart w:id="17" w:name="_Toc28359004"/>
      <w:r>
        <w:rPr>
          <w:rFonts w:hint="eastAsia" w:ascii="宋体" w:hAnsi="宋体" w:eastAsia="宋体" w:cs="宋体"/>
          <w:color w:val="auto"/>
          <w:sz w:val="24"/>
          <w:highlight w:val="none"/>
        </w:rPr>
        <w:t>2.落实政府采购政策需满足的资格要求：</w:t>
      </w:r>
    </w:p>
    <w:p w14:paraId="76E2D1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2.1中小企业政策（说明：中小企业包含中型、小型、微型企业，小微企业包含小型、微型企业）</w:t>
      </w:r>
    </w:p>
    <w:p w14:paraId="2DB076FD">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□本项目不专门面向中小企业预留采购份额。</w:t>
      </w:r>
    </w:p>
    <w:p w14:paraId="09AAB4B9">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■本项目专门面向 ■中小 □小微企业采购。即：提供的货物全部由符合政策要求的中小/小微企业制造、服务全部由符合政策要求的中小/小微企业承接。</w:t>
      </w:r>
    </w:p>
    <w:p w14:paraId="6ED8F71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其它落实政府采购政策的资格要求：无。</w:t>
      </w:r>
    </w:p>
    <w:p w14:paraId="41A68E3C">
      <w:pPr>
        <w:spacing w:line="360" w:lineRule="auto"/>
        <w:ind w:firstLine="48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14:paraId="6F69CBC5">
      <w:pPr>
        <w:tabs>
          <w:tab w:val="left" w:pos="900"/>
          <w:tab w:val="left" w:pos="1134"/>
          <w:tab w:val="left" w:pos="1589"/>
          <w:tab w:val="left" w:pos="5521"/>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3.1本项目是否接受分支机构参与投标：否；</w:t>
      </w:r>
    </w:p>
    <w:p w14:paraId="6A57B969">
      <w:pPr>
        <w:tabs>
          <w:tab w:val="left" w:pos="900"/>
          <w:tab w:val="left" w:pos="1134"/>
          <w:tab w:val="left" w:pos="1589"/>
          <w:tab w:val="left" w:pos="5521"/>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3.2本项目是否属于政府购买服务：</w:t>
      </w:r>
    </w:p>
    <w:p w14:paraId="03C73B4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■是，公益一类事业单位、使用事业编制且由财政拨款保障的群团组织，不得作为承接主体；</w:t>
      </w:r>
    </w:p>
    <w:p w14:paraId="1505329C">
      <w:pPr>
        <w:tabs>
          <w:tab w:val="left" w:pos="900"/>
          <w:tab w:val="left" w:pos="1134"/>
          <w:tab w:val="left" w:pos="1589"/>
          <w:tab w:val="left" w:pos="5521"/>
        </w:tabs>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3.3其他特定资格要求：</w:t>
      </w:r>
      <w:r>
        <w:rPr>
          <w:rFonts w:hint="eastAsia" w:ascii="宋体" w:hAnsi="宋体" w:cs="宋体"/>
          <w:b/>
          <w:bCs/>
          <w:color w:val="auto"/>
          <w:sz w:val="24"/>
          <w:highlight w:val="none"/>
          <w:lang w:val="en-US" w:eastAsia="zh-CN"/>
        </w:rPr>
        <w:t>无</w:t>
      </w:r>
    </w:p>
    <w:bookmarkEnd w:id="16"/>
    <w:bookmarkEnd w:id="17"/>
    <w:p w14:paraId="7F72C568">
      <w:pPr>
        <w:pStyle w:val="186"/>
        <w:widowControl/>
        <w:spacing w:before="0" w:line="360" w:lineRule="auto"/>
        <w:jc w:val="left"/>
        <w:rPr>
          <w:rFonts w:hint="eastAsia" w:ascii="宋体" w:hAnsi="宋体" w:eastAsia="宋体" w:cs="宋体"/>
          <w:color w:val="auto"/>
          <w:sz w:val="24"/>
          <w:szCs w:val="24"/>
          <w:highlight w:val="none"/>
        </w:rPr>
      </w:pPr>
      <w:bookmarkStart w:id="18" w:name="_Toc35393623"/>
      <w:bookmarkStart w:id="19" w:name="_Toc35393792"/>
      <w:r>
        <w:rPr>
          <w:rFonts w:hint="eastAsia" w:ascii="宋体" w:hAnsi="宋体" w:eastAsia="宋体" w:cs="宋体"/>
          <w:color w:val="auto"/>
          <w:sz w:val="24"/>
          <w:szCs w:val="24"/>
          <w:highlight w:val="none"/>
        </w:rPr>
        <w:t>三、获取招标文件</w:t>
      </w:r>
      <w:bookmarkEnd w:id="18"/>
      <w:bookmarkEnd w:id="19"/>
    </w:p>
    <w:p w14:paraId="271DBA7F">
      <w:pPr>
        <w:tabs>
          <w:tab w:val="left" w:pos="900"/>
          <w:tab w:val="left" w:pos="19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1.时间：自</w:t>
      </w:r>
      <w:r>
        <w:rPr>
          <w:rFonts w:hint="eastAsia" w:ascii="宋体" w:hAnsi="宋体" w:cs="宋体"/>
          <w:color w:val="auto"/>
          <w:sz w:val="24"/>
          <w:highlight w:val="none"/>
          <w:lang w:eastAsia="zh-CN"/>
        </w:rPr>
        <w:t>招标</w:t>
      </w:r>
      <w:r>
        <w:rPr>
          <w:rFonts w:hint="eastAsia" w:ascii="宋体" w:hAnsi="宋体" w:eastAsia="宋体" w:cs="宋体"/>
          <w:color w:val="auto"/>
          <w:sz w:val="24"/>
          <w:highlight w:val="none"/>
        </w:rPr>
        <w:t>文件公告发布之日起5个工作日</w:t>
      </w:r>
    </w:p>
    <w:p w14:paraId="502647F4">
      <w:pPr>
        <w:tabs>
          <w:tab w:val="left" w:pos="900"/>
          <w:tab w:val="left" w:pos="19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2.地点：“苏采云”政府采购一体化平台。</w:t>
      </w:r>
    </w:p>
    <w:p w14:paraId="2DBD1A3C">
      <w:pPr>
        <w:tabs>
          <w:tab w:val="left" w:pos="900"/>
          <w:tab w:val="left" w:pos="19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3.方式：供应商持CA数字认证证书登录政府采购一体化平台“苏采云”（http://jszfcg.jscz.gov.cn/jszc/login）获取电子版</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rPr>
        <w:t>文件。</w:t>
      </w:r>
    </w:p>
    <w:p w14:paraId="28AB29E4">
      <w:pPr>
        <w:tabs>
          <w:tab w:val="left" w:pos="900"/>
          <w:tab w:val="left" w:pos="19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29BC9A13">
      <w:pPr>
        <w:pStyle w:val="186"/>
        <w:widowControl/>
        <w:spacing w:before="0" w:line="360" w:lineRule="auto"/>
        <w:jc w:val="left"/>
        <w:rPr>
          <w:rFonts w:hint="eastAsia" w:ascii="宋体" w:hAnsi="宋体" w:eastAsia="宋体" w:cs="宋体"/>
          <w:color w:val="auto"/>
          <w:sz w:val="24"/>
          <w:szCs w:val="24"/>
          <w:highlight w:val="none"/>
        </w:rPr>
      </w:pPr>
      <w:bookmarkStart w:id="20" w:name="_Toc28359082"/>
      <w:bookmarkStart w:id="21" w:name="_Toc28359005"/>
      <w:bookmarkStart w:id="22" w:name="_Toc35393793"/>
      <w:bookmarkStart w:id="23" w:name="_Toc35393624"/>
      <w:r>
        <w:rPr>
          <w:rFonts w:hint="eastAsia" w:ascii="宋体" w:hAnsi="宋体" w:eastAsia="宋体" w:cs="宋体"/>
          <w:color w:val="auto"/>
          <w:sz w:val="24"/>
          <w:szCs w:val="24"/>
          <w:highlight w:val="none"/>
        </w:rPr>
        <w:t>四、提交投标文件</w:t>
      </w:r>
      <w:bookmarkEnd w:id="20"/>
      <w:bookmarkEnd w:id="21"/>
      <w:r>
        <w:rPr>
          <w:rFonts w:hint="eastAsia" w:ascii="宋体" w:hAnsi="宋体" w:eastAsia="宋体" w:cs="宋体"/>
          <w:color w:val="auto"/>
          <w:sz w:val="24"/>
          <w:szCs w:val="24"/>
          <w:highlight w:val="none"/>
        </w:rPr>
        <w:t>截止时间、开标时间和地点</w:t>
      </w:r>
      <w:bookmarkEnd w:id="22"/>
      <w:bookmarkEnd w:id="23"/>
    </w:p>
    <w:p w14:paraId="3890237A">
      <w:pPr>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投标截止时间、开标时间：</w:t>
      </w:r>
      <w:r>
        <w:rPr>
          <w:rFonts w:hint="eastAsia" w:ascii="宋体" w:hAnsi="宋体" w:eastAsia="宋体" w:cs="宋体"/>
          <w:color w:val="auto"/>
          <w:sz w:val="24"/>
          <w:highlight w:val="none"/>
          <w:lang w:bidi="ar"/>
        </w:rPr>
        <w:t>202</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4</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27</w:t>
      </w:r>
      <w:r>
        <w:rPr>
          <w:rFonts w:hint="eastAsia" w:ascii="宋体" w:hAnsi="宋体" w:eastAsia="宋体" w:cs="宋体"/>
          <w:color w:val="auto"/>
          <w:sz w:val="24"/>
          <w:highlight w:val="none"/>
          <w:lang w:bidi="ar"/>
        </w:rPr>
        <w:t>日</w:t>
      </w:r>
      <w:r>
        <w:rPr>
          <w:rFonts w:hint="eastAsia" w:ascii="宋体" w:hAnsi="宋体" w:cs="宋体"/>
          <w:color w:val="auto"/>
          <w:sz w:val="24"/>
          <w:highlight w:val="none"/>
          <w:lang w:val="en-US" w:eastAsia="zh-CN" w:bidi="ar"/>
        </w:rPr>
        <w:t>上</w:t>
      </w:r>
      <w:r>
        <w:rPr>
          <w:rFonts w:hint="eastAsia" w:ascii="宋体" w:hAnsi="宋体" w:eastAsia="宋体" w:cs="宋体"/>
          <w:color w:val="auto"/>
          <w:sz w:val="24"/>
          <w:highlight w:val="none"/>
          <w:lang w:val="en-US" w:eastAsia="zh-CN" w:bidi="ar"/>
        </w:rPr>
        <w:t>午</w:t>
      </w:r>
      <w:r>
        <w:rPr>
          <w:rFonts w:hint="eastAsia" w:ascii="宋体" w:hAnsi="宋体" w:cs="宋体"/>
          <w:color w:val="auto"/>
          <w:sz w:val="24"/>
          <w:highlight w:val="none"/>
          <w:lang w:val="en-US" w:eastAsia="zh-CN" w:bidi="ar"/>
        </w:rPr>
        <w:t>9</w:t>
      </w:r>
      <w:r>
        <w:rPr>
          <w:rFonts w:hint="eastAsia" w:ascii="宋体" w:hAnsi="宋体" w:eastAsia="宋体" w:cs="宋体"/>
          <w:color w:val="auto"/>
          <w:sz w:val="24"/>
          <w:highlight w:val="none"/>
          <w:lang w:bidi="ar"/>
        </w:rPr>
        <w:t>点</w:t>
      </w:r>
      <w:r>
        <w:rPr>
          <w:rFonts w:hint="eastAsia" w:ascii="宋体" w:hAnsi="宋体" w:cs="宋体"/>
          <w:color w:val="auto"/>
          <w:sz w:val="24"/>
          <w:highlight w:val="none"/>
          <w:lang w:val="en-US" w:eastAsia="zh-CN" w:bidi="ar"/>
        </w:rPr>
        <w:t>0</w:t>
      </w:r>
      <w:r>
        <w:rPr>
          <w:rFonts w:hint="eastAsia" w:ascii="宋体" w:hAnsi="宋体" w:eastAsia="宋体" w:cs="宋体"/>
          <w:color w:val="auto"/>
          <w:sz w:val="24"/>
          <w:highlight w:val="none"/>
          <w:lang w:bidi="ar"/>
        </w:rPr>
        <w:t>0分</w:t>
      </w:r>
      <w:r>
        <w:rPr>
          <w:rFonts w:hint="eastAsia" w:ascii="宋体" w:hAnsi="宋体" w:eastAsia="宋体" w:cs="宋体"/>
          <w:color w:val="auto"/>
          <w:sz w:val="24"/>
          <w:highlight w:val="none"/>
          <w:lang w:bidi="ar"/>
        </w:rPr>
        <w:t>（北京时间）</w:t>
      </w:r>
      <w:r>
        <w:rPr>
          <w:rFonts w:hint="eastAsia" w:ascii="宋体" w:hAnsi="宋体" w:eastAsia="宋体" w:cs="宋体"/>
          <w:iCs/>
          <w:color w:val="auto"/>
          <w:sz w:val="24"/>
          <w:highlight w:val="none"/>
          <w:lang w:bidi="ar"/>
        </w:rPr>
        <w:t>。</w:t>
      </w:r>
    </w:p>
    <w:p w14:paraId="4648F616">
      <w:pPr>
        <w:spacing w:line="360" w:lineRule="auto"/>
        <w:ind w:firstLine="480"/>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地点：本项目采用不见面交易方式，无需到现场提交，供应商登录”苏采云”系统供应商端，通过系统在线提交电子响应文件</w:t>
      </w:r>
      <w:r>
        <w:rPr>
          <w:rFonts w:hint="eastAsia" w:ascii="宋体" w:hAnsi="宋体" w:eastAsia="宋体" w:cs="宋体"/>
          <w:color w:val="auto"/>
          <w:sz w:val="24"/>
          <w:highlight w:val="none"/>
          <w:lang w:val="zh-TW" w:bidi="ar"/>
        </w:rPr>
        <w:t>。</w:t>
      </w:r>
    </w:p>
    <w:p w14:paraId="493A6C75">
      <w:pPr>
        <w:pStyle w:val="186"/>
        <w:spacing w:before="0" w:line="360" w:lineRule="auto"/>
        <w:jc w:val="left"/>
        <w:rPr>
          <w:rFonts w:hint="eastAsia" w:ascii="宋体" w:hAnsi="宋体" w:eastAsia="宋体" w:cs="宋体"/>
          <w:color w:val="auto"/>
          <w:sz w:val="24"/>
          <w:szCs w:val="24"/>
          <w:highlight w:val="none"/>
        </w:rPr>
      </w:pPr>
      <w:bookmarkStart w:id="24" w:name="_Toc35393625"/>
      <w:bookmarkStart w:id="25" w:name="_Toc35393794"/>
      <w:bookmarkStart w:id="26" w:name="_Toc28359007"/>
      <w:bookmarkStart w:id="27" w:name="_Toc28359084"/>
      <w:r>
        <w:rPr>
          <w:rFonts w:hint="eastAsia" w:ascii="宋体" w:hAnsi="宋体" w:eastAsia="宋体" w:cs="宋体"/>
          <w:color w:val="auto"/>
          <w:sz w:val="24"/>
          <w:szCs w:val="24"/>
          <w:highlight w:val="none"/>
        </w:rPr>
        <w:t>五、公告期限</w:t>
      </w:r>
      <w:bookmarkEnd w:id="24"/>
      <w:bookmarkEnd w:id="25"/>
      <w:bookmarkEnd w:id="26"/>
      <w:bookmarkEnd w:id="27"/>
    </w:p>
    <w:p w14:paraId="7AFBEA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14:paraId="4562C48A">
      <w:pPr>
        <w:pStyle w:val="186"/>
        <w:spacing w:before="0" w:line="360" w:lineRule="auto"/>
        <w:jc w:val="left"/>
        <w:rPr>
          <w:rFonts w:hint="eastAsia" w:ascii="宋体" w:hAnsi="宋体" w:eastAsia="宋体" w:cs="宋体"/>
          <w:color w:val="auto"/>
          <w:sz w:val="24"/>
          <w:szCs w:val="24"/>
          <w:highlight w:val="none"/>
        </w:rPr>
      </w:pPr>
      <w:bookmarkStart w:id="28" w:name="_Toc35393795"/>
      <w:bookmarkStart w:id="29" w:name="_Toc35393626"/>
      <w:r>
        <w:rPr>
          <w:rFonts w:hint="eastAsia" w:ascii="宋体" w:hAnsi="宋体" w:eastAsia="宋体" w:cs="宋体"/>
          <w:color w:val="auto"/>
          <w:sz w:val="24"/>
          <w:szCs w:val="24"/>
          <w:highlight w:val="none"/>
        </w:rPr>
        <w:t>六、其他补充事宜</w:t>
      </w:r>
      <w:bookmarkEnd w:id="28"/>
      <w:bookmarkEnd w:id="29"/>
    </w:p>
    <w:p w14:paraId="0AF708C9">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bookmarkStart w:id="30" w:name="_Toc140670320"/>
      <w:bookmarkStart w:id="31" w:name="_Toc35393796"/>
      <w:bookmarkStart w:id="32" w:name="_Toc128435092"/>
      <w:bookmarkStart w:id="33" w:name="_Toc140670456"/>
      <w:bookmarkStart w:id="34" w:name="_Toc35393627"/>
      <w:bookmarkStart w:id="35" w:name="_Toc28359085"/>
      <w:bookmarkStart w:id="36" w:name="_Toc28359008"/>
      <w:r>
        <w:rPr>
          <w:rFonts w:hint="eastAsia" w:ascii="宋体" w:hAnsi="宋体" w:eastAsia="宋体" w:cs="宋体"/>
          <w:color w:val="auto"/>
          <w:sz w:val="24"/>
          <w:highlight w:val="none"/>
        </w:rPr>
        <w:t>1.本项目需要落实的政府采购政策：无</w:t>
      </w:r>
    </w:p>
    <w:p w14:paraId="7E72C0D4">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p>
    <w:p w14:paraId="694DABB5">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技术支持服务热线    0519-8558 8210</w:t>
      </w:r>
    </w:p>
    <w:p w14:paraId="799BCA0C">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CA认证证书办理（现场办理）联系电话   0519-8558 8120</w:t>
      </w:r>
    </w:p>
    <w:p w14:paraId="3CCFCACB">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2.1办理CA认证证书</w:t>
      </w:r>
    </w:p>
    <w:p w14:paraId="77868000">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供应商登录政府采购一体化平台“苏采云”“新CA办理指南”，按照程序要求办理。</w:t>
      </w:r>
    </w:p>
    <w:p w14:paraId="19AAED36">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2.2注册</w:t>
      </w:r>
    </w:p>
    <w:p w14:paraId="3E0C9467">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供应商登录政府采购一体化平台“苏采云” 下载“ 用户注册”查阅后进行自助注册。</w:t>
      </w:r>
    </w:p>
    <w:p w14:paraId="56E815D0">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2.3控件、客户端下载</w:t>
      </w:r>
    </w:p>
    <w:p w14:paraId="163769A1">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供应商登录政府采购一体化平台“苏采云” 下载“驱动下载”，安装驱动。</w:t>
      </w:r>
    </w:p>
    <w:p w14:paraId="52ED65B0">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2.4 获取电子</w:t>
      </w:r>
      <w:r>
        <w:rPr>
          <w:rFonts w:hint="eastAsia" w:hAnsi="宋体" w:cs="宋体"/>
          <w:color w:val="auto"/>
          <w:sz w:val="24"/>
          <w:highlight w:val="none"/>
          <w:lang w:eastAsia="zh-CN"/>
        </w:rPr>
        <w:t>招标</w:t>
      </w:r>
      <w:r>
        <w:rPr>
          <w:rFonts w:hint="eastAsia" w:ascii="宋体" w:hAnsi="宋体" w:eastAsia="宋体" w:cs="宋体"/>
          <w:color w:val="auto"/>
          <w:sz w:val="24"/>
          <w:highlight w:val="none"/>
        </w:rPr>
        <w:t>文件</w:t>
      </w:r>
    </w:p>
    <w:p w14:paraId="5FCBE8F1">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供应商持CA数字认证证书登录政府采购一体化平台“苏采云”获取电子</w:t>
      </w:r>
      <w:r>
        <w:rPr>
          <w:rFonts w:hint="eastAsia" w:hAnsi="宋体" w:cs="宋体"/>
          <w:color w:val="auto"/>
          <w:sz w:val="24"/>
          <w:highlight w:val="none"/>
          <w:lang w:eastAsia="zh-CN"/>
        </w:rPr>
        <w:t>招标</w:t>
      </w:r>
      <w:r>
        <w:rPr>
          <w:rFonts w:hint="eastAsia" w:ascii="宋体" w:hAnsi="宋体" w:eastAsia="宋体" w:cs="宋体"/>
          <w:color w:val="auto"/>
          <w:sz w:val="24"/>
          <w:highlight w:val="none"/>
        </w:rPr>
        <w:t>文件。未在规定期限内通过政府采购一体化平台“苏采云”获取</w:t>
      </w:r>
      <w:r>
        <w:rPr>
          <w:rFonts w:hint="eastAsia" w:hAnsi="宋体" w:cs="宋体"/>
          <w:color w:val="auto"/>
          <w:sz w:val="24"/>
          <w:highlight w:val="none"/>
          <w:lang w:eastAsia="zh-CN"/>
        </w:rPr>
        <w:t>招标</w:t>
      </w:r>
      <w:r>
        <w:rPr>
          <w:rFonts w:hint="eastAsia" w:ascii="宋体" w:hAnsi="宋体" w:eastAsia="宋体" w:cs="宋体"/>
          <w:color w:val="auto"/>
          <w:sz w:val="24"/>
          <w:highlight w:val="none"/>
        </w:rPr>
        <w:t>文件的响应无效。</w:t>
      </w:r>
    </w:p>
    <w:p w14:paraId="259E4FDF">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2.5编制电子响应文件</w:t>
      </w:r>
    </w:p>
    <w:p w14:paraId="6282EF48">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59E0D616">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2.6提交电子响应文件</w:t>
      </w:r>
    </w:p>
    <w:p w14:paraId="1EDDCCE4">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供应商应于响应截止时间前在政府采购一体化平台“苏采云”提交电子响应文件，上传电子响应文件过程中请保持与互联网的连接畅通。</w:t>
      </w:r>
    </w:p>
    <w:p w14:paraId="402684EA">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2.7电子开标</w:t>
      </w:r>
    </w:p>
    <w:p w14:paraId="2758B898">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供应商使用CA认证证书登录政府采购一体化平台“苏采云”进行电子化不见面开标。</w:t>
      </w:r>
    </w:p>
    <w:p w14:paraId="6ECF2DDA">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2.8注意事项</w:t>
      </w:r>
    </w:p>
    <w:p w14:paraId="34C689FB">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3E2FA7B9">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3.关于常州市中小企业政府采购信用融资：</w:t>
      </w:r>
    </w:p>
    <w:p w14:paraId="41E89337">
      <w:pPr>
        <w:pStyle w:val="4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通知书或成交合同，为成交中小企业供应商提供相应额度贷款的融资模式。申请条件及操作流程等事项详见该文件相关内容或者常州市政府采购网--政采融资平台栏目。</w:t>
      </w:r>
    </w:p>
    <w:p w14:paraId="479934FD">
      <w:pPr>
        <w:pStyle w:val="441"/>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七、对本项目提出询问，请按以下方式联系。</w:t>
      </w:r>
      <w:bookmarkEnd w:id="30"/>
      <w:bookmarkEnd w:id="31"/>
      <w:bookmarkEnd w:id="32"/>
      <w:bookmarkEnd w:id="33"/>
      <w:bookmarkEnd w:id="34"/>
      <w:bookmarkEnd w:id="35"/>
      <w:bookmarkEnd w:id="36"/>
    </w:p>
    <w:p w14:paraId="64EBEA22">
      <w:pPr>
        <w:pStyle w:val="441"/>
        <w:spacing w:line="360" w:lineRule="auto"/>
        <w:rPr>
          <w:rFonts w:hint="eastAsia" w:ascii="宋体" w:hAnsi="宋体" w:eastAsia="宋体" w:cs="宋体"/>
          <w:bCs/>
          <w:color w:val="auto"/>
          <w:highlight w:val="none"/>
        </w:rPr>
      </w:pPr>
      <w:bookmarkStart w:id="37" w:name="_Hlk118382401"/>
      <w:bookmarkStart w:id="38" w:name="_Toc63761584"/>
      <w:bookmarkStart w:id="39" w:name="_Toc35393807"/>
      <w:bookmarkStart w:id="40" w:name="_Toc28359020"/>
      <w:bookmarkStart w:id="41" w:name="_Toc45235155"/>
      <w:bookmarkStart w:id="42" w:name="_Toc45235309"/>
      <w:bookmarkStart w:id="43" w:name="_Toc63761645"/>
      <w:bookmarkStart w:id="44" w:name="_Toc35393638"/>
      <w:bookmarkStart w:id="45" w:name="_Toc28359097"/>
      <w:r>
        <w:rPr>
          <w:rFonts w:hint="eastAsia" w:ascii="宋体" w:hAnsi="宋体" w:eastAsia="宋体" w:cs="宋体"/>
          <w:bCs/>
          <w:color w:val="auto"/>
          <w:highlight w:val="none"/>
        </w:rPr>
        <w:t>1.采购人信息</w:t>
      </w:r>
    </w:p>
    <w:bookmarkEnd w:id="37"/>
    <w:p w14:paraId="2DF96E1D">
      <w:pPr>
        <w:pStyle w:val="44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名    称：</w:t>
      </w:r>
      <w:r>
        <w:rPr>
          <w:rFonts w:hint="eastAsia" w:hAnsi="宋体" w:cs="宋体"/>
          <w:bCs/>
          <w:color w:val="auto"/>
          <w:highlight w:val="none"/>
          <w:lang w:eastAsia="zh-CN"/>
        </w:rPr>
        <w:t>常州市新北区魏村街道办事处</w:t>
      </w:r>
    </w:p>
    <w:p w14:paraId="1F3127B0">
      <w:pPr>
        <w:pStyle w:val="44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地    址：</w:t>
      </w:r>
      <w:r>
        <w:rPr>
          <w:rFonts w:hint="eastAsia" w:eastAsia="宋体"/>
          <w:color w:val="auto"/>
          <w:sz w:val="24"/>
          <w:highlight w:val="none"/>
          <w:lang w:eastAsia="zh-CN"/>
        </w:rPr>
        <w:t>常州市新北区</w:t>
      </w:r>
      <w:r>
        <w:rPr>
          <w:rFonts w:hint="eastAsia" w:eastAsia="宋体"/>
          <w:color w:val="auto"/>
          <w:sz w:val="24"/>
          <w:highlight w:val="none"/>
          <w:lang w:val="en-US" w:eastAsia="zh-CN"/>
        </w:rPr>
        <w:t>魏安路199号</w:t>
      </w:r>
    </w:p>
    <w:p w14:paraId="6E742A7D">
      <w:pPr>
        <w:pStyle w:val="441"/>
        <w:spacing w:line="36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rPr>
        <w:t>联 系 人：</w:t>
      </w:r>
      <w:r>
        <w:rPr>
          <w:rFonts w:hint="eastAsia" w:hAnsi="宋体" w:cs="宋体"/>
          <w:bCs/>
          <w:color w:val="auto"/>
          <w:highlight w:val="none"/>
          <w:lang w:val="en-US" w:eastAsia="zh-CN"/>
        </w:rPr>
        <w:t>徐先生</w:t>
      </w:r>
    </w:p>
    <w:p w14:paraId="42E3B6CC">
      <w:pPr>
        <w:pStyle w:val="44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联系方式：</w:t>
      </w:r>
      <w:r>
        <w:rPr>
          <w:rFonts w:hint="eastAsia" w:hAnsi="宋体" w:cs="宋体"/>
          <w:bCs/>
          <w:color w:val="auto"/>
          <w:highlight w:val="none"/>
          <w:lang w:val="en-US" w:eastAsia="zh-CN"/>
        </w:rPr>
        <w:t xml:space="preserve">0519-81591577 </w:t>
      </w:r>
    </w:p>
    <w:p w14:paraId="2C387243">
      <w:pPr>
        <w:pStyle w:val="44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2.采购代理机构信息</w:t>
      </w:r>
      <w:bookmarkEnd w:id="38"/>
      <w:bookmarkEnd w:id="39"/>
      <w:bookmarkEnd w:id="40"/>
      <w:bookmarkEnd w:id="41"/>
      <w:bookmarkEnd w:id="42"/>
      <w:bookmarkEnd w:id="43"/>
      <w:bookmarkEnd w:id="44"/>
      <w:bookmarkEnd w:id="45"/>
    </w:p>
    <w:p w14:paraId="79846DBE">
      <w:pPr>
        <w:pStyle w:val="44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名   称：</w:t>
      </w:r>
      <w:r>
        <w:rPr>
          <w:rFonts w:hint="eastAsia" w:hAnsi="宋体" w:cs="宋体"/>
          <w:bCs/>
          <w:color w:val="auto"/>
          <w:highlight w:val="none"/>
          <w:lang w:eastAsia="zh-CN"/>
        </w:rPr>
        <w:t>江苏正誉项目管理有限公司</w:t>
      </w:r>
    </w:p>
    <w:p w14:paraId="1C9DF81C">
      <w:pPr>
        <w:pStyle w:val="44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地　 址：</w:t>
      </w:r>
      <w:r>
        <w:rPr>
          <w:rFonts w:hint="eastAsia" w:hAnsi="宋体" w:cs="宋体"/>
          <w:bCs/>
          <w:color w:val="auto"/>
          <w:highlight w:val="none"/>
          <w:lang w:eastAsia="zh-CN"/>
        </w:rPr>
        <w:t>常州市新北区顺园路15号4楼</w:t>
      </w:r>
    </w:p>
    <w:p w14:paraId="21454DD1">
      <w:pPr>
        <w:pStyle w:val="44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联系方式：</w:t>
      </w:r>
      <w:r>
        <w:rPr>
          <w:rFonts w:hint="eastAsia" w:hAnsi="宋体" w:cs="宋体"/>
          <w:bCs/>
          <w:color w:val="auto"/>
          <w:highlight w:val="none"/>
          <w:lang w:eastAsia="zh-CN"/>
        </w:rPr>
        <w:t>15861135830</w:t>
      </w:r>
    </w:p>
    <w:p w14:paraId="4E4672E8">
      <w:pPr>
        <w:pStyle w:val="44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邮   箱：</w:t>
      </w:r>
      <w:r>
        <w:rPr>
          <w:rFonts w:hint="eastAsia" w:hAnsi="宋体" w:cs="宋体"/>
          <w:bCs/>
          <w:color w:val="auto"/>
          <w:highlight w:val="none"/>
          <w:lang w:eastAsia="zh-CN"/>
        </w:rPr>
        <w:t>252541026@qq.com</w:t>
      </w:r>
      <w:r>
        <w:rPr>
          <w:rFonts w:hint="eastAsia" w:ascii="宋体" w:hAnsi="宋体" w:eastAsia="宋体" w:cs="宋体"/>
          <w:bCs/>
          <w:color w:val="auto"/>
          <w:highlight w:val="none"/>
        </w:rPr>
        <w:t xml:space="preserve">  　</w:t>
      </w:r>
    </w:p>
    <w:p w14:paraId="43164BAF">
      <w:pPr>
        <w:pStyle w:val="441"/>
        <w:spacing w:line="360" w:lineRule="auto"/>
        <w:rPr>
          <w:rFonts w:hint="eastAsia" w:ascii="宋体" w:hAnsi="宋体" w:eastAsia="宋体" w:cs="宋体"/>
          <w:bCs/>
          <w:color w:val="auto"/>
          <w:highlight w:val="none"/>
        </w:rPr>
      </w:pPr>
      <w:bookmarkStart w:id="46" w:name="_Toc35393808"/>
      <w:bookmarkStart w:id="47" w:name="_Toc63761585"/>
      <w:bookmarkStart w:id="48" w:name="_Toc45235156"/>
      <w:bookmarkStart w:id="49" w:name="_Toc45235310"/>
      <w:bookmarkStart w:id="50" w:name="_Toc28359021"/>
      <w:bookmarkStart w:id="51" w:name="_Toc35393639"/>
      <w:bookmarkStart w:id="52" w:name="_Toc28359098"/>
      <w:bookmarkStart w:id="53" w:name="_Toc63761646"/>
      <w:r>
        <w:rPr>
          <w:rFonts w:hint="eastAsia" w:ascii="宋体" w:hAnsi="宋体" w:eastAsia="宋体" w:cs="宋体"/>
          <w:bCs/>
          <w:color w:val="auto"/>
          <w:highlight w:val="none"/>
        </w:rPr>
        <w:t>3.项目联系方式</w:t>
      </w:r>
      <w:bookmarkEnd w:id="46"/>
      <w:bookmarkEnd w:id="47"/>
      <w:bookmarkEnd w:id="48"/>
      <w:bookmarkEnd w:id="49"/>
      <w:bookmarkEnd w:id="50"/>
      <w:bookmarkEnd w:id="51"/>
      <w:bookmarkEnd w:id="52"/>
      <w:bookmarkEnd w:id="53"/>
    </w:p>
    <w:p w14:paraId="09AD59BD">
      <w:pPr>
        <w:pStyle w:val="44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项目联系人：</w:t>
      </w:r>
      <w:r>
        <w:rPr>
          <w:rFonts w:hint="eastAsia" w:hAnsi="宋体" w:cs="宋体"/>
          <w:bCs/>
          <w:color w:val="auto"/>
          <w:highlight w:val="none"/>
          <w:lang w:eastAsia="zh-CN"/>
        </w:rPr>
        <w:t>赵工</w:t>
      </w:r>
    </w:p>
    <w:p w14:paraId="698F8A1E">
      <w:pPr>
        <w:pStyle w:val="441"/>
        <w:spacing w:line="360" w:lineRule="auto"/>
        <w:rPr>
          <w:rFonts w:hint="eastAsia" w:hAnsi="宋体" w:cs="宋体"/>
          <w:bCs/>
          <w:color w:val="auto"/>
          <w:highlight w:val="none"/>
          <w:lang w:eastAsia="zh-CN"/>
        </w:rPr>
      </w:pPr>
      <w:r>
        <w:rPr>
          <w:rFonts w:hint="eastAsia" w:ascii="宋体" w:hAnsi="宋体" w:eastAsia="宋体" w:cs="宋体"/>
          <w:bCs/>
          <w:color w:val="auto"/>
          <w:highlight w:val="none"/>
        </w:rPr>
        <w:t>电　 话：</w:t>
      </w:r>
      <w:r>
        <w:rPr>
          <w:rFonts w:hint="eastAsia" w:hAnsi="宋体" w:cs="宋体"/>
          <w:bCs/>
          <w:color w:val="auto"/>
          <w:highlight w:val="none"/>
          <w:lang w:eastAsia="zh-CN"/>
        </w:rPr>
        <w:t>15861135830</w:t>
      </w:r>
    </w:p>
    <w:p w14:paraId="5DCE251D">
      <w:pPr>
        <w:pStyle w:val="441"/>
        <w:spacing w:line="360" w:lineRule="auto"/>
        <w:rPr>
          <w:rFonts w:hint="eastAsia" w:hAnsi="宋体" w:cs="宋体"/>
          <w:bCs/>
          <w:color w:val="auto"/>
          <w:highlight w:val="none"/>
          <w:lang w:eastAsia="zh-CN"/>
        </w:rPr>
      </w:pPr>
      <w:r>
        <w:rPr>
          <w:rFonts w:hint="eastAsia" w:hAnsi="宋体" w:cs="宋体"/>
          <w:bCs/>
          <w:color w:val="auto"/>
          <w:highlight w:val="none"/>
          <w:lang w:eastAsia="zh-CN"/>
        </w:rPr>
        <w:t>注:上述个人信息由于工作需要经机构或本人同意对外公布。</w:t>
      </w:r>
    </w:p>
    <w:p w14:paraId="21ACE038">
      <w:pPr>
        <w:spacing w:line="360" w:lineRule="auto"/>
        <w:ind w:firstLine="5880"/>
        <w:jc w:val="right"/>
        <w:rPr>
          <w:rFonts w:hint="eastAsia" w:ascii="宋体" w:hAnsi="宋体" w:eastAsia="宋体" w:cs="宋体"/>
          <w:color w:val="auto"/>
          <w:sz w:val="24"/>
          <w:highlight w:val="none"/>
        </w:rPr>
      </w:pPr>
    </w:p>
    <w:p w14:paraId="267BB16E">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bookmarkStart w:id="54" w:name="_Toc195842950"/>
      <w:bookmarkStart w:id="55" w:name="_Toc305158854"/>
      <w:bookmarkStart w:id="56" w:name="_Toc512937850"/>
      <w:bookmarkStart w:id="57" w:name="_Toc264969275"/>
      <w:bookmarkStart w:id="58" w:name="_Toc127151777"/>
      <w:bookmarkStart w:id="59" w:name="_Toc265228423"/>
      <w:bookmarkStart w:id="60" w:name="_Toc127161488"/>
      <w:bookmarkStart w:id="61" w:name="_Toc353825548"/>
      <w:bookmarkStart w:id="62" w:name="_Toc226965856"/>
      <w:bookmarkStart w:id="63" w:name="_Toc99301420"/>
      <w:bookmarkStart w:id="64" w:name="_Toc150774783"/>
      <w:bookmarkStart w:id="65" w:name="_Toc305158928"/>
      <w:bookmarkStart w:id="66" w:name="_Toc353873938"/>
      <w:r>
        <w:rPr>
          <w:rFonts w:hint="eastAsia" w:ascii="宋体" w:hAnsi="宋体" w:eastAsia="宋体" w:cs="宋体"/>
          <w:b/>
          <w:color w:val="auto"/>
          <w:sz w:val="36"/>
          <w:szCs w:val="36"/>
          <w:highlight w:val="none"/>
        </w:rPr>
        <w:t>第二章   投标人须知</w:t>
      </w:r>
      <w:bookmarkEnd w:id="54"/>
      <w:bookmarkEnd w:id="55"/>
      <w:bookmarkEnd w:id="56"/>
      <w:bookmarkEnd w:id="57"/>
      <w:bookmarkEnd w:id="58"/>
      <w:bookmarkEnd w:id="59"/>
      <w:bookmarkEnd w:id="60"/>
      <w:bookmarkEnd w:id="61"/>
      <w:bookmarkEnd w:id="62"/>
      <w:bookmarkEnd w:id="63"/>
      <w:bookmarkEnd w:id="64"/>
      <w:bookmarkEnd w:id="65"/>
      <w:bookmarkEnd w:id="66"/>
    </w:p>
    <w:p w14:paraId="6E75E8EE">
      <w:pPr>
        <w:pStyle w:val="186"/>
        <w:tabs>
          <w:tab w:val="center" w:pos="4592"/>
          <w:tab w:val="left" w:pos="7860"/>
        </w:tabs>
        <w:spacing w:before="0" w:line="240" w:lineRule="auto"/>
        <w:rPr>
          <w:rFonts w:hint="eastAsia" w:ascii="宋体" w:hAnsi="宋体" w:eastAsia="宋体" w:cs="宋体"/>
          <w:color w:val="auto"/>
          <w:sz w:val="28"/>
          <w:highlight w:val="none"/>
        </w:rPr>
      </w:pPr>
      <w:bookmarkStart w:id="67" w:name="_Toc151190146"/>
      <w:bookmarkStart w:id="68" w:name="_Toc151193617"/>
      <w:bookmarkStart w:id="69" w:name="_Toc151193907"/>
      <w:bookmarkStart w:id="70" w:name="_Toc151193761"/>
      <w:bookmarkStart w:id="71" w:name="_Toc150509270"/>
      <w:bookmarkStart w:id="72" w:name="_Toc226965709"/>
      <w:bookmarkStart w:id="73" w:name="_Toc195842884"/>
      <w:bookmarkStart w:id="74" w:name="_Toc149720812"/>
      <w:bookmarkStart w:id="75" w:name="_Toc226309763"/>
      <w:bookmarkStart w:id="76" w:name="_Toc151193689"/>
      <w:bookmarkStart w:id="77" w:name="_Toc226337215"/>
      <w:bookmarkStart w:id="78" w:name="_Toc142311021"/>
      <w:bookmarkStart w:id="79" w:name="_Toc151193833"/>
      <w:bookmarkStart w:id="80" w:name="_Toc164351613"/>
      <w:bookmarkStart w:id="81" w:name="_Toc226965792"/>
      <w:bookmarkStart w:id="82" w:name="_Toc150480757"/>
      <w:bookmarkStart w:id="83" w:name="_Toc164608788"/>
      <w:bookmarkStart w:id="84" w:name="_Toc127151720"/>
      <w:bookmarkStart w:id="85" w:name="_Toc127161433"/>
      <w:bookmarkStart w:id="86" w:name="_Toc150774619"/>
      <w:bookmarkStart w:id="87" w:name="_Toc164229214"/>
      <w:bookmarkStart w:id="88" w:name="_Toc164229360"/>
      <w:bookmarkStart w:id="89" w:name="_Toc164608633"/>
      <w:bookmarkStart w:id="90" w:name="_Toc520356144"/>
      <w:bookmarkStart w:id="91" w:name="_Toc150774724"/>
      <w:bookmarkStart w:id="92" w:name="_Toc127151519"/>
      <w:r>
        <w:rPr>
          <w:rFonts w:hint="eastAsia" w:ascii="宋体" w:hAnsi="宋体" w:eastAsia="宋体" w:cs="宋体"/>
          <w:color w:val="auto"/>
          <w:sz w:val="28"/>
          <w:highlight w:val="none"/>
        </w:rPr>
        <w:t>投标人须知资料表</w:t>
      </w:r>
    </w:p>
    <w:p w14:paraId="0C19F874">
      <w:pPr>
        <w:jc w:val="center"/>
        <w:rPr>
          <w:rFonts w:hint="eastAsia" w:ascii="宋体" w:hAnsi="宋体" w:eastAsia="宋体" w:cs="宋体"/>
          <w:b/>
          <w:color w:val="auto"/>
          <w:sz w:val="28"/>
          <w:szCs w:val="28"/>
          <w:highlight w:val="none"/>
        </w:rPr>
      </w:pPr>
    </w:p>
    <w:p w14:paraId="5FF9250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本表是对投标人须知的具体补充和修改，如有矛盾，均以本资料表为准。</w:t>
      </w:r>
    </w:p>
    <w:tbl>
      <w:tblPr>
        <w:tblStyle w:val="30"/>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179"/>
      </w:tblGrid>
      <w:tr w14:paraId="11B81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052DDBCC">
            <w:pPr>
              <w:jc w:val="center"/>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条款号</w:t>
            </w:r>
          </w:p>
        </w:tc>
        <w:tc>
          <w:tcPr>
            <w:tcW w:w="1701" w:type="dxa"/>
            <w:noWrap w:val="0"/>
            <w:vAlign w:val="center"/>
          </w:tcPr>
          <w:p w14:paraId="101C5DD9">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条目</w:t>
            </w:r>
          </w:p>
        </w:tc>
        <w:tc>
          <w:tcPr>
            <w:tcW w:w="7179" w:type="dxa"/>
            <w:noWrap w:val="0"/>
            <w:vAlign w:val="center"/>
          </w:tcPr>
          <w:p w14:paraId="535BED3E">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内容</w:t>
            </w:r>
          </w:p>
        </w:tc>
      </w:tr>
      <w:tr w14:paraId="1DACE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712C9CD6">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1</w:t>
            </w:r>
          </w:p>
        </w:tc>
        <w:tc>
          <w:tcPr>
            <w:tcW w:w="1701" w:type="dxa"/>
            <w:noWrap w:val="0"/>
            <w:vAlign w:val="center"/>
          </w:tcPr>
          <w:p w14:paraId="7DA195A6">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项目属性</w:t>
            </w:r>
          </w:p>
        </w:tc>
        <w:tc>
          <w:tcPr>
            <w:tcW w:w="7179" w:type="dxa"/>
            <w:noWrap w:val="0"/>
            <w:vAlign w:val="center"/>
          </w:tcPr>
          <w:p w14:paraId="74694E4E">
            <w:pPr>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项目属性：服务</w:t>
            </w:r>
          </w:p>
        </w:tc>
      </w:tr>
      <w:tr w14:paraId="3DDB2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3D88D37B">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2</w:t>
            </w:r>
          </w:p>
        </w:tc>
        <w:tc>
          <w:tcPr>
            <w:tcW w:w="1701" w:type="dxa"/>
            <w:noWrap w:val="0"/>
            <w:vAlign w:val="center"/>
          </w:tcPr>
          <w:p w14:paraId="27AFD9A5">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科研仪器设备</w:t>
            </w:r>
          </w:p>
        </w:tc>
        <w:tc>
          <w:tcPr>
            <w:tcW w:w="7179" w:type="dxa"/>
            <w:noWrap w:val="0"/>
            <w:vAlign w:val="center"/>
          </w:tcPr>
          <w:p w14:paraId="72A6E028">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是否属于科研仪器设备采购项目：否</w:t>
            </w:r>
          </w:p>
        </w:tc>
      </w:tr>
      <w:tr w14:paraId="7D527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701F8F45">
            <w:pPr>
              <w:pStyle w:val="223"/>
              <w:jc w:val="center"/>
              <w:rPr>
                <w:rFonts w:hint="eastAsia" w:ascii="宋体" w:hAnsi="宋体" w:eastAsia="宋体" w:cs="宋体"/>
                <w:color w:val="auto"/>
                <w:szCs w:val="21"/>
                <w:highlight w:val="none"/>
                <w:lang w:eastAsia="zh-CN"/>
              </w:rPr>
            </w:pPr>
            <w:r>
              <w:rPr>
                <w:rFonts w:hint="eastAsia" w:hAnsi="宋体" w:cs="宋体"/>
                <w:color w:val="auto"/>
                <w:szCs w:val="21"/>
                <w:highlight w:val="none"/>
                <w:lang w:val="en-US" w:eastAsia="zh-CN"/>
              </w:rPr>
              <w:t>3</w:t>
            </w:r>
          </w:p>
        </w:tc>
        <w:tc>
          <w:tcPr>
            <w:tcW w:w="1701" w:type="dxa"/>
            <w:noWrap w:val="0"/>
            <w:vAlign w:val="center"/>
          </w:tcPr>
          <w:p w14:paraId="7E65C8BD">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核心产品</w:t>
            </w:r>
          </w:p>
        </w:tc>
        <w:tc>
          <w:tcPr>
            <w:tcW w:w="7179" w:type="dxa"/>
            <w:noWrap w:val="0"/>
            <w:vAlign w:val="center"/>
          </w:tcPr>
          <w:p w14:paraId="1C3A3DF4">
            <w:pPr>
              <w:pStyle w:val="223"/>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39B7E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vMerge w:val="restart"/>
            <w:noWrap w:val="0"/>
            <w:vAlign w:val="center"/>
          </w:tcPr>
          <w:p w14:paraId="3B0B2015">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4</w:t>
            </w:r>
          </w:p>
        </w:tc>
        <w:tc>
          <w:tcPr>
            <w:tcW w:w="1701" w:type="dxa"/>
            <w:noWrap w:val="0"/>
            <w:vAlign w:val="center"/>
          </w:tcPr>
          <w:p w14:paraId="4A6E5539">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现场考察</w:t>
            </w:r>
          </w:p>
        </w:tc>
        <w:tc>
          <w:tcPr>
            <w:tcW w:w="7179" w:type="dxa"/>
            <w:noWrap w:val="0"/>
            <w:vAlign w:val="center"/>
          </w:tcPr>
          <w:p w14:paraId="3E1EF114">
            <w:pPr>
              <w:jc w:val="left"/>
              <w:rPr>
                <w:rFonts w:hint="eastAsia" w:ascii="宋体" w:hAnsi="宋体" w:eastAsia="宋体" w:cs="宋体"/>
                <w:color w:val="auto"/>
                <w:sz w:val="22"/>
                <w:szCs w:val="22"/>
                <w:highlight w:val="none"/>
              </w:rPr>
            </w:pPr>
            <w:r>
              <w:rPr>
                <w:rFonts w:hint="eastAsia" w:ascii="Times New Roman" w:hAnsi="Times New Roman" w:eastAsia="宋体" w:cs="Times New Roman"/>
                <w:color w:val="auto"/>
                <w:kern w:val="2"/>
                <w:sz w:val="24"/>
                <w:szCs w:val="22"/>
                <w:highlight w:val="none"/>
              </w:rPr>
              <w:t>■</w:t>
            </w:r>
            <w:r>
              <w:rPr>
                <w:rFonts w:ascii="Times New Roman" w:hAnsi="Times New Roman" w:eastAsia="宋体" w:cs="Times New Roman"/>
                <w:color w:val="auto"/>
                <w:kern w:val="2"/>
                <w:sz w:val="24"/>
                <w:szCs w:val="22"/>
                <w:highlight w:val="none"/>
              </w:rPr>
              <w:t>组织</w:t>
            </w:r>
            <w:r>
              <w:rPr>
                <w:rFonts w:hint="eastAsia" w:ascii="Times New Roman" w:hAnsi="Times New Roman" w:eastAsia="宋体" w:cs="Times New Roman"/>
                <w:color w:val="auto"/>
                <w:kern w:val="2"/>
                <w:sz w:val="24"/>
                <w:szCs w:val="22"/>
                <w:highlight w:val="none"/>
              </w:rPr>
              <w:t>（</w:t>
            </w:r>
            <w:r>
              <w:rPr>
                <w:rFonts w:ascii="Times New Roman" w:hAnsi="Times New Roman" w:eastAsia="宋体" w:cs="Times New Roman"/>
                <w:color w:val="auto"/>
                <w:kern w:val="2"/>
                <w:sz w:val="24"/>
                <w:szCs w:val="22"/>
                <w:highlight w:val="none"/>
              </w:rPr>
              <w:t>考察时间：</w:t>
            </w:r>
            <w:r>
              <w:rPr>
                <w:rFonts w:hint="eastAsia" w:cs="Times New Roman"/>
                <w:color w:val="auto"/>
                <w:kern w:val="2"/>
                <w:sz w:val="24"/>
                <w:szCs w:val="22"/>
                <w:highlight w:val="none"/>
                <w:lang w:val="en-US" w:eastAsia="zh-CN"/>
              </w:rPr>
              <w:t>2026</w:t>
            </w:r>
            <w:r>
              <w:rPr>
                <w:rFonts w:ascii="Times New Roman" w:hAnsi="Times New Roman" w:eastAsia="宋体" w:cs="Times New Roman"/>
                <w:color w:val="auto"/>
                <w:kern w:val="2"/>
                <w:sz w:val="24"/>
                <w:szCs w:val="22"/>
                <w:highlight w:val="none"/>
              </w:rPr>
              <w:t>年</w:t>
            </w:r>
            <w:r>
              <w:rPr>
                <w:rFonts w:hint="eastAsia" w:cs="Times New Roman"/>
                <w:color w:val="auto"/>
                <w:kern w:val="2"/>
                <w:sz w:val="24"/>
                <w:szCs w:val="22"/>
                <w:highlight w:val="none"/>
                <w:lang w:val="en-US" w:eastAsia="zh-CN"/>
              </w:rPr>
              <w:t>4</w:t>
            </w:r>
            <w:r>
              <w:rPr>
                <w:rFonts w:ascii="Times New Roman" w:hAnsi="Times New Roman" w:eastAsia="宋体" w:cs="Times New Roman"/>
                <w:color w:val="auto"/>
                <w:kern w:val="2"/>
                <w:sz w:val="24"/>
                <w:szCs w:val="22"/>
                <w:highlight w:val="none"/>
              </w:rPr>
              <w:t>月</w:t>
            </w:r>
            <w:r>
              <w:rPr>
                <w:rFonts w:hint="eastAsia" w:cs="Times New Roman"/>
                <w:color w:val="auto"/>
                <w:kern w:val="2"/>
                <w:sz w:val="24"/>
                <w:szCs w:val="22"/>
                <w:highlight w:val="none"/>
                <w:lang w:val="en-US" w:eastAsia="zh-CN"/>
              </w:rPr>
              <w:t>14</w:t>
            </w:r>
            <w:r>
              <w:rPr>
                <w:rFonts w:ascii="Times New Roman" w:hAnsi="Times New Roman" w:eastAsia="宋体" w:cs="Times New Roman"/>
                <w:color w:val="auto"/>
                <w:kern w:val="2"/>
                <w:sz w:val="24"/>
                <w:szCs w:val="22"/>
                <w:highlight w:val="none"/>
              </w:rPr>
              <w:t>日</w:t>
            </w:r>
            <w:r>
              <w:rPr>
                <w:rFonts w:hint="eastAsia" w:cs="Times New Roman"/>
                <w:color w:val="auto"/>
                <w:kern w:val="2"/>
                <w:sz w:val="24"/>
                <w:szCs w:val="22"/>
                <w:highlight w:val="none"/>
                <w:lang w:val="en-US" w:eastAsia="zh-CN"/>
              </w:rPr>
              <w:t>14</w:t>
            </w:r>
            <w:r>
              <w:rPr>
                <w:rFonts w:hint="eastAsia" w:ascii="Times New Roman" w:hAnsi="Times New Roman" w:eastAsia="宋体" w:cs="Times New Roman"/>
                <w:color w:val="auto"/>
                <w:kern w:val="2"/>
                <w:sz w:val="24"/>
                <w:szCs w:val="22"/>
                <w:highlight w:val="none"/>
              </w:rPr>
              <w:t>时</w:t>
            </w:r>
            <w:r>
              <w:rPr>
                <w:rFonts w:hint="eastAsia" w:cs="Times New Roman"/>
                <w:color w:val="auto"/>
                <w:kern w:val="2"/>
                <w:sz w:val="24"/>
                <w:szCs w:val="22"/>
                <w:highlight w:val="none"/>
                <w:lang w:val="en-US" w:eastAsia="zh-CN"/>
              </w:rPr>
              <w:t>00</w:t>
            </w:r>
            <w:r>
              <w:rPr>
                <w:rFonts w:ascii="Times New Roman" w:hAnsi="Times New Roman" w:eastAsia="宋体" w:cs="Times New Roman"/>
                <w:bCs/>
                <w:color w:val="auto"/>
                <w:kern w:val="2"/>
                <w:sz w:val="24"/>
                <w:szCs w:val="22"/>
                <w:highlight w:val="none"/>
              </w:rPr>
              <w:t>分</w:t>
            </w:r>
            <w:r>
              <w:rPr>
                <w:rFonts w:hint="eastAsia" w:ascii="Times New Roman" w:hAnsi="Times New Roman" w:eastAsia="宋体" w:cs="Times New Roman"/>
                <w:bCs/>
                <w:color w:val="auto"/>
                <w:kern w:val="2"/>
                <w:sz w:val="24"/>
                <w:szCs w:val="22"/>
                <w:highlight w:val="none"/>
              </w:rPr>
              <w:t>，</w:t>
            </w:r>
            <w:r>
              <w:rPr>
                <w:rFonts w:ascii="Times New Roman" w:hAnsi="Times New Roman" w:eastAsia="宋体" w:cs="Times New Roman"/>
                <w:color w:val="auto"/>
                <w:kern w:val="2"/>
                <w:sz w:val="24"/>
                <w:szCs w:val="22"/>
                <w:highlight w:val="none"/>
              </w:rPr>
              <w:t>考察地点：</w:t>
            </w:r>
            <w:r>
              <w:rPr>
                <w:rFonts w:hint="eastAsia" w:ascii="Times New Roman" w:hAnsi="Times New Roman" w:eastAsia="宋体" w:cs="Times New Roman"/>
                <w:color w:val="auto"/>
                <w:kern w:val="2"/>
                <w:sz w:val="24"/>
                <w:szCs w:val="22"/>
                <w:highlight w:val="none"/>
                <w:u w:val="single"/>
              </w:rPr>
              <w:t>常州市新北区魏村街道办事处</w:t>
            </w:r>
            <w:r>
              <w:rPr>
                <w:rFonts w:ascii="Times New Roman" w:hAnsi="Times New Roman" w:eastAsia="宋体" w:cs="Times New Roman"/>
                <w:color w:val="auto"/>
                <w:kern w:val="2"/>
                <w:sz w:val="24"/>
                <w:szCs w:val="22"/>
                <w:highlight w:val="none"/>
                <w:u w:val="single"/>
              </w:rPr>
              <w:t>。</w:t>
            </w:r>
            <w:r>
              <w:rPr>
                <w:rFonts w:hint="eastAsia" w:ascii="Times New Roman" w:hAnsi="Times New Roman" w:eastAsia="宋体" w:cs="Times New Roman"/>
                <w:color w:val="auto"/>
                <w:kern w:val="2"/>
                <w:sz w:val="24"/>
                <w:szCs w:val="22"/>
                <w:highlight w:val="none"/>
              </w:rPr>
              <w:t>）</w:t>
            </w:r>
          </w:p>
        </w:tc>
      </w:tr>
      <w:tr w14:paraId="780D7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vMerge w:val="continue"/>
            <w:noWrap w:val="0"/>
            <w:vAlign w:val="center"/>
          </w:tcPr>
          <w:p w14:paraId="40827303">
            <w:pPr>
              <w:pStyle w:val="223"/>
              <w:jc w:val="center"/>
              <w:rPr>
                <w:rFonts w:hint="eastAsia" w:ascii="宋体" w:hAnsi="宋体" w:eastAsia="宋体" w:cs="宋体"/>
                <w:color w:val="auto"/>
                <w:sz w:val="22"/>
                <w:szCs w:val="22"/>
                <w:highlight w:val="none"/>
              </w:rPr>
            </w:pPr>
          </w:p>
        </w:tc>
        <w:tc>
          <w:tcPr>
            <w:tcW w:w="1701" w:type="dxa"/>
            <w:noWrap w:val="0"/>
            <w:vAlign w:val="center"/>
          </w:tcPr>
          <w:p w14:paraId="2D6672B7">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开标前答疑会</w:t>
            </w:r>
          </w:p>
        </w:tc>
        <w:tc>
          <w:tcPr>
            <w:tcW w:w="7179" w:type="dxa"/>
            <w:noWrap w:val="0"/>
            <w:vAlign w:val="center"/>
          </w:tcPr>
          <w:p w14:paraId="766A8988">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不召开</w:t>
            </w:r>
          </w:p>
        </w:tc>
      </w:tr>
      <w:tr w14:paraId="14953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776CA6EC">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5</w:t>
            </w:r>
          </w:p>
        </w:tc>
        <w:tc>
          <w:tcPr>
            <w:tcW w:w="1701" w:type="dxa"/>
            <w:noWrap w:val="0"/>
            <w:vAlign w:val="center"/>
          </w:tcPr>
          <w:p w14:paraId="50366886">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标的所属行业</w:t>
            </w:r>
          </w:p>
        </w:tc>
        <w:tc>
          <w:tcPr>
            <w:tcW w:w="7179" w:type="dxa"/>
            <w:noWrap w:val="0"/>
            <w:vAlign w:val="center"/>
          </w:tcPr>
          <w:p w14:paraId="79523910">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本项目采购标的对应的中小企业划分标准所属行业：</w:t>
            </w:r>
            <w:r>
              <w:rPr>
                <w:rFonts w:hint="eastAsia" w:ascii="宋体" w:hAnsi="宋体" w:eastAsia="宋体" w:cs="宋体"/>
                <w:b/>
                <w:bCs/>
                <w:color w:val="auto"/>
                <w:sz w:val="22"/>
                <w:szCs w:val="22"/>
                <w:highlight w:val="none"/>
                <w:u w:val="single"/>
              </w:rPr>
              <w:t>其他未列明行业</w:t>
            </w:r>
            <w:r>
              <w:rPr>
                <w:rFonts w:hint="eastAsia" w:ascii="宋体" w:hAnsi="宋体" w:eastAsia="宋体" w:cs="宋体"/>
                <w:b/>
                <w:bCs/>
                <w:color w:val="auto"/>
                <w:sz w:val="22"/>
                <w:szCs w:val="22"/>
                <w:highlight w:val="none"/>
              </w:rPr>
              <w:t>。</w:t>
            </w:r>
          </w:p>
        </w:tc>
      </w:tr>
      <w:tr w14:paraId="6EFBE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08735B4C">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6</w:t>
            </w:r>
          </w:p>
        </w:tc>
        <w:tc>
          <w:tcPr>
            <w:tcW w:w="1701" w:type="dxa"/>
            <w:noWrap w:val="0"/>
            <w:vAlign w:val="center"/>
          </w:tcPr>
          <w:p w14:paraId="05143E40">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w:t>
            </w:r>
          </w:p>
        </w:tc>
        <w:tc>
          <w:tcPr>
            <w:tcW w:w="7179" w:type="dxa"/>
            <w:noWrap w:val="0"/>
            <w:vAlign w:val="center"/>
          </w:tcPr>
          <w:p w14:paraId="6121A62D">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投标报价的特殊规定：无</w:t>
            </w:r>
          </w:p>
        </w:tc>
      </w:tr>
      <w:tr w14:paraId="01A0A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0568C4AA">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7</w:t>
            </w:r>
          </w:p>
        </w:tc>
        <w:tc>
          <w:tcPr>
            <w:tcW w:w="1701" w:type="dxa"/>
            <w:noWrap w:val="0"/>
            <w:vAlign w:val="center"/>
          </w:tcPr>
          <w:p w14:paraId="798E4008">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投标保证金</w:t>
            </w:r>
          </w:p>
        </w:tc>
        <w:tc>
          <w:tcPr>
            <w:tcW w:w="7179" w:type="dxa"/>
            <w:noWrap w:val="0"/>
            <w:vAlign w:val="center"/>
          </w:tcPr>
          <w:p w14:paraId="3D7BDAE0">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免收</w:t>
            </w:r>
          </w:p>
        </w:tc>
      </w:tr>
      <w:tr w14:paraId="42D45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4BA09AC6">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8</w:t>
            </w:r>
          </w:p>
        </w:tc>
        <w:tc>
          <w:tcPr>
            <w:tcW w:w="1701" w:type="dxa"/>
            <w:noWrap w:val="0"/>
            <w:vAlign w:val="center"/>
          </w:tcPr>
          <w:p w14:paraId="6AC310B8">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投标有效期</w:t>
            </w:r>
          </w:p>
        </w:tc>
        <w:tc>
          <w:tcPr>
            <w:tcW w:w="7179" w:type="dxa"/>
            <w:noWrap w:val="0"/>
            <w:vAlign w:val="center"/>
          </w:tcPr>
          <w:p w14:paraId="3264C2CD">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自提交投标文件的截止之日起算</w:t>
            </w:r>
            <w:r>
              <w:rPr>
                <w:rFonts w:hint="eastAsia" w:ascii="宋体" w:hAnsi="宋体" w:cs="宋体"/>
                <w:color w:val="auto"/>
                <w:sz w:val="22"/>
                <w:szCs w:val="22"/>
                <w:highlight w:val="none"/>
                <w:u w:val="single"/>
                <w:lang w:val="en-US" w:eastAsia="zh-CN"/>
              </w:rPr>
              <w:t>60</w:t>
            </w:r>
            <w:r>
              <w:rPr>
                <w:rFonts w:hint="eastAsia" w:ascii="宋体" w:hAnsi="宋体" w:eastAsia="宋体" w:cs="宋体"/>
                <w:color w:val="auto"/>
                <w:sz w:val="22"/>
                <w:szCs w:val="22"/>
                <w:highlight w:val="none"/>
              </w:rPr>
              <w:t>日历天。</w:t>
            </w:r>
          </w:p>
        </w:tc>
      </w:tr>
      <w:tr w14:paraId="199E2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88" w:type="dxa"/>
            <w:noWrap w:val="0"/>
            <w:vAlign w:val="center"/>
          </w:tcPr>
          <w:p w14:paraId="1775E285">
            <w:pPr>
              <w:pStyle w:val="223"/>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9</w:t>
            </w:r>
          </w:p>
        </w:tc>
        <w:tc>
          <w:tcPr>
            <w:tcW w:w="1701" w:type="dxa"/>
            <w:noWrap w:val="0"/>
            <w:vAlign w:val="center"/>
          </w:tcPr>
          <w:p w14:paraId="6E479CCA">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分包</w:t>
            </w:r>
          </w:p>
        </w:tc>
        <w:tc>
          <w:tcPr>
            <w:tcW w:w="7179" w:type="dxa"/>
            <w:noWrap w:val="0"/>
            <w:vAlign w:val="center"/>
          </w:tcPr>
          <w:p w14:paraId="02610527">
            <w:pPr>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本项目的非主体、非关键性工作是否允许分包： 不允许</w:t>
            </w:r>
          </w:p>
        </w:tc>
      </w:tr>
      <w:tr w14:paraId="5A216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jc w:val="center"/>
        </w:trPr>
        <w:tc>
          <w:tcPr>
            <w:tcW w:w="988" w:type="dxa"/>
            <w:noWrap w:val="0"/>
            <w:vAlign w:val="center"/>
          </w:tcPr>
          <w:p w14:paraId="0C4EFC1E">
            <w:pPr>
              <w:pStyle w:val="223"/>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10</w:t>
            </w:r>
          </w:p>
        </w:tc>
        <w:tc>
          <w:tcPr>
            <w:tcW w:w="1701" w:type="dxa"/>
            <w:noWrap w:val="0"/>
            <w:vAlign w:val="center"/>
          </w:tcPr>
          <w:p w14:paraId="26E3E74C">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询问</w:t>
            </w:r>
          </w:p>
        </w:tc>
        <w:tc>
          <w:tcPr>
            <w:tcW w:w="7179" w:type="dxa"/>
            <w:noWrap w:val="0"/>
            <w:vAlign w:val="center"/>
          </w:tcPr>
          <w:p w14:paraId="209450D5">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询问送达形式：</w:t>
            </w:r>
            <w:r>
              <w:rPr>
                <w:rFonts w:hint="eastAsia" w:ascii="宋体" w:hAnsi="宋体" w:eastAsia="宋体" w:cs="宋体"/>
                <w:color w:val="auto"/>
                <w:sz w:val="22"/>
                <w:szCs w:val="22"/>
                <w:highlight w:val="none"/>
              </w:rPr>
              <w:t>于202</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rPr>
              <w:t>年</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月</w:t>
            </w:r>
            <w:r>
              <w:rPr>
                <w:rFonts w:hint="eastAsia" w:ascii="宋体" w:hAnsi="宋体" w:cs="宋体"/>
                <w:color w:val="auto"/>
                <w:sz w:val="22"/>
                <w:szCs w:val="22"/>
                <w:highlight w:val="none"/>
                <w:lang w:val="en-US" w:eastAsia="zh-CN"/>
              </w:rPr>
              <w:t>13</w:t>
            </w:r>
            <w:r>
              <w:rPr>
                <w:rFonts w:hint="eastAsia" w:ascii="宋体" w:hAnsi="宋体" w:eastAsia="宋体" w:cs="宋体"/>
                <w:color w:val="auto"/>
                <w:sz w:val="22"/>
                <w:szCs w:val="22"/>
                <w:highlight w:val="none"/>
              </w:rPr>
              <w:t>日1</w:t>
            </w: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rPr>
              <w:t>:00（北京时间）前</w:t>
            </w:r>
            <w:r>
              <w:rPr>
                <w:rFonts w:hint="eastAsia" w:ascii="宋体" w:hAnsi="宋体" w:eastAsia="宋体" w:cs="宋体"/>
                <w:color w:val="auto"/>
                <w:sz w:val="22"/>
                <w:szCs w:val="22"/>
                <w:highlight w:val="none"/>
              </w:rPr>
              <w:t>以书面形式递交至</w:t>
            </w:r>
            <w:r>
              <w:rPr>
                <w:rFonts w:hint="eastAsia" w:ascii="宋体" w:hAnsi="宋体" w:cs="宋体"/>
                <w:color w:val="auto"/>
                <w:sz w:val="22"/>
                <w:szCs w:val="22"/>
                <w:highlight w:val="none"/>
                <w:lang w:val="en-US" w:eastAsia="zh-CN"/>
              </w:rPr>
              <w:t>江苏正誉项目管理有限公司</w:t>
            </w:r>
            <w:r>
              <w:rPr>
                <w:rFonts w:hint="eastAsia" w:ascii="宋体" w:hAnsi="宋体" w:eastAsia="宋体" w:cs="宋体"/>
                <w:color w:val="auto"/>
                <w:sz w:val="22"/>
                <w:szCs w:val="22"/>
                <w:highlight w:val="none"/>
              </w:rPr>
              <w:t>。（注：① 质疑文件须由投标单位法定代表人亲自签署并加盖投标单位公章。</w:t>
            </w:r>
          </w:p>
        </w:tc>
      </w:tr>
      <w:tr w14:paraId="40876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jc w:val="center"/>
        </w:trPr>
        <w:tc>
          <w:tcPr>
            <w:tcW w:w="988" w:type="dxa"/>
            <w:noWrap w:val="0"/>
            <w:vAlign w:val="center"/>
          </w:tcPr>
          <w:p w14:paraId="36A47CBE">
            <w:pPr>
              <w:pStyle w:val="223"/>
              <w:spacing w:line="276" w:lineRule="auto"/>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11</w:t>
            </w:r>
          </w:p>
        </w:tc>
        <w:tc>
          <w:tcPr>
            <w:tcW w:w="1701" w:type="dxa"/>
            <w:noWrap w:val="0"/>
            <w:vAlign w:val="center"/>
          </w:tcPr>
          <w:p w14:paraId="6C7D3FB5">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质疑</w:t>
            </w:r>
          </w:p>
        </w:tc>
        <w:tc>
          <w:tcPr>
            <w:tcW w:w="7179" w:type="dxa"/>
            <w:noWrap w:val="0"/>
            <w:vAlign w:val="center"/>
          </w:tcPr>
          <w:p w14:paraId="595B2009">
            <w:pPr>
              <w:spacing w:line="276"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质疑送达形式：</w:t>
            </w:r>
          </w:p>
          <w:p w14:paraId="1779B84C">
            <w:pPr>
              <w:spacing w:line="276"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一、供应商认为自己的权益受到损害的，可以在知道或者应知其权益受到损害之日起七个工作日内，向采购代理机构提出质疑。</w:t>
            </w:r>
          </w:p>
          <w:p w14:paraId="22D5B8C0">
            <w:pPr>
              <w:spacing w:line="276"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1.接收质疑函的方式：接收加盖单位公章的书面质疑函</w:t>
            </w:r>
          </w:p>
          <w:p w14:paraId="7701E693">
            <w:pPr>
              <w:spacing w:line="276"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2.质疑函的内容、格式：应符合《政府采购质疑和投诉办法》相关规定和财政部门制定的《政府采购质疑函范本》格式。</w:t>
            </w:r>
          </w:p>
          <w:p w14:paraId="794B8A62">
            <w:pPr>
              <w:spacing w:line="276"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二、供应商应在法定质疑期内一次性针对同一采购程序环节提出质疑，否则针对再次提出的质疑将不予接收。（采购程序环节分为：采购公告、招标文件、采购过程、成交结果）</w:t>
            </w:r>
          </w:p>
        </w:tc>
      </w:tr>
      <w:tr w14:paraId="557F1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6" w:hRule="atLeast"/>
          <w:jc w:val="center"/>
        </w:trPr>
        <w:tc>
          <w:tcPr>
            <w:tcW w:w="988" w:type="dxa"/>
            <w:noWrap w:val="0"/>
            <w:vAlign w:val="center"/>
          </w:tcPr>
          <w:p w14:paraId="2F991B84">
            <w:pPr>
              <w:pStyle w:val="223"/>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12</w:t>
            </w:r>
          </w:p>
        </w:tc>
        <w:tc>
          <w:tcPr>
            <w:tcW w:w="1701" w:type="dxa"/>
            <w:noWrap w:val="0"/>
            <w:vAlign w:val="center"/>
          </w:tcPr>
          <w:p w14:paraId="1267948B">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联系方式</w:t>
            </w:r>
          </w:p>
        </w:tc>
        <w:tc>
          <w:tcPr>
            <w:tcW w:w="7179" w:type="dxa"/>
            <w:noWrap w:val="0"/>
            <w:vAlign w:val="center"/>
          </w:tcPr>
          <w:p w14:paraId="5318BA37">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接收询问和质疑的联系方式</w:t>
            </w:r>
          </w:p>
          <w:p w14:paraId="2EA00DEF">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联系单位：</w:t>
            </w:r>
            <w:r>
              <w:rPr>
                <w:rFonts w:hint="eastAsia" w:ascii="宋体" w:hAnsi="宋体" w:cs="宋体"/>
                <w:color w:val="auto"/>
                <w:sz w:val="22"/>
                <w:szCs w:val="22"/>
                <w:highlight w:val="none"/>
                <w:lang w:eastAsia="zh-CN"/>
              </w:rPr>
              <w:t>江苏正誉项目管理有限公司</w:t>
            </w:r>
          </w:p>
          <w:p w14:paraId="3E01BECF">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联 系 人：</w:t>
            </w:r>
            <w:r>
              <w:rPr>
                <w:rFonts w:hint="eastAsia" w:ascii="宋体" w:hAnsi="宋体" w:cs="宋体"/>
                <w:color w:val="auto"/>
                <w:sz w:val="22"/>
                <w:szCs w:val="22"/>
                <w:highlight w:val="none"/>
                <w:lang w:eastAsia="zh-CN"/>
              </w:rPr>
              <w:t>赵工</w:t>
            </w:r>
          </w:p>
          <w:p w14:paraId="7969A386">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联系电话：</w:t>
            </w:r>
            <w:r>
              <w:rPr>
                <w:rFonts w:hint="eastAsia" w:ascii="宋体" w:hAnsi="宋体" w:cs="宋体"/>
                <w:color w:val="auto"/>
                <w:sz w:val="22"/>
                <w:szCs w:val="22"/>
                <w:highlight w:val="none"/>
                <w:lang w:eastAsia="zh-CN"/>
              </w:rPr>
              <w:t>15861135830</w:t>
            </w:r>
          </w:p>
          <w:p w14:paraId="401551D2">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通讯地址：常州市新北区顺园路15号办公楼4楼</w:t>
            </w:r>
          </w:p>
        </w:tc>
      </w:tr>
      <w:tr w14:paraId="23EC5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988" w:type="dxa"/>
            <w:noWrap w:val="0"/>
            <w:vAlign w:val="center"/>
          </w:tcPr>
          <w:p w14:paraId="6B328F55">
            <w:pPr>
              <w:pStyle w:val="223"/>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13</w:t>
            </w:r>
          </w:p>
        </w:tc>
        <w:tc>
          <w:tcPr>
            <w:tcW w:w="1701" w:type="dxa"/>
            <w:noWrap w:val="0"/>
            <w:vAlign w:val="center"/>
          </w:tcPr>
          <w:p w14:paraId="093AAA0F">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代理费</w:t>
            </w:r>
          </w:p>
        </w:tc>
        <w:tc>
          <w:tcPr>
            <w:tcW w:w="7179" w:type="dxa"/>
            <w:noWrap w:val="0"/>
            <w:vAlign w:val="center"/>
          </w:tcPr>
          <w:p w14:paraId="01CFACBE">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收费对象：</w:t>
            </w:r>
          </w:p>
          <w:p w14:paraId="4E0C2744">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□采购人</w:t>
            </w:r>
          </w:p>
          <w:p w14:paraId="0BA4B33E">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■成交供应商</w:t>
            </w:r>
          </w:p>
          <w:p w14:paraId="338603F8">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收费标准：以中标（成交）金额为基数，收费比例按差额定率累进法计算：100万元以下1.5%，</w:t>
            </w:r>
            <w:r>
              <w:rPr>
                <w:rFonts w:hint="eastAsia" w:ascii="宋体" w:hAnsi="宋体" w:eastAsia="宋体" w:cs="宋体"/>
                <w:color w:val="auto"/>
                <w:sz w:val="22"/>
                <w:szCs w:val="22"/>
                <w:highlight w:val="none"/>
                <w:lang w:val="en-US" w:eastAsia="zh-CN"/>
              </w:rPr>
              <w:t>100-500万元按0.8%，</w:t>
            </w:r>
            <w:r>
              <w:rPr>
                <w:rFonts w:hint="eastAsia" w:ascii="宋体" w:hAnsi="宋体" w:eastAsia="宋体" w:cs="宋体"/>
                <w:color w:val="auto"/>
                <w:sz w:val="22"/>
                <w:szCs w:val="22"/>
                <w:highlight w:val="none"/>
              </w:rPr>
              <w:t>低于叁仟按叁仟计取</w:t>
            </w:r>
            <w:r>
              <w:rPr>
                <w:rFonts w:hint="eastAsia" w:ascii="宋体" w:hAnsi="宋体" w:eastAsia="宋体" w:cs="宋体"/>
                <w:color w:val="auto"/>
                <w:sz w:val="22"/>
                <w:szCs w:val="22"/>
                <w:highlight w:val="none"/>
                <w:lang w:eastAsia="zh-CN"/>
              </w:rPr>
              <w:t>。</w:t>
            </w:r>
          </w:p>
          <w:p w14:paraId="3218055D">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缴纳时间：成交供应商在中标（成交）通知书发出之日起五个工作日内向采购代理机构缴纳。</w:t>
            </w:r>
          </w:p>
          <w:p w14:paraId="3A817472">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户名：江苏正誉项目管理有限公司</w:t>
            </w:r>
          </w:p>
          <w:p w14:paraId="5D974129">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开户银行：江苏江南农村商业银行常州市钟楼支行</w:t>
            </w:r>
          </w:p>
          <w:p w14:paraId="0C5DF373">
            <w:pPr>
              <w:jc w:val="left"/>
              <w:rPr>
                <w:rFonts w:hint="eastAsia" w:ascii="宋体" w:hAnsi="宋体" w:eastAsia="宋体" w:cs="宋体"/>
                <w:color w:val="auto"/>
                <w:szCs w:val="21"/>
                <w:highlight w:val="none"/>
              </w:rPr>
            </w:pPr>
            <w:r>
              <w:rPr>
                <w:rFonts w:hint="eastAsia" w:ascii="宋体" w:hAnsi="宋体" w:eastAsia="宋体" w:cs="宋体"/>
                <w:color w:val="auto"/>
                <w:sz w:val="22"/>
                <w:szCs w:val="22"/>
                <w:highlight w:val="none"/>
              </w:rPr>
              <w:t>银行账号：1142 9000 0000 5520</w:t>
            </w:r>
          </w:p>
        </w:tc>
      </w:tr>
    </w:tbl>
    <w:p w14:paraId="154B459C">
      <w:pPr>
        <w:tabs>
          <w:tab w:val="left" w:pos="5580"/>
        </w:tabs>
        <w:spacing w:line="360" w:lineRule="auto"/>
        <w:jc w:val="both"/>
        <w:rPr>
          <w:rFonts w:hint="eastAsia" w:ascii="宋体" w:hAnsi="宋体" w:eastAsia="宋体" w:cs="宋体"/>
          <w:color w:val="auto"/>
          <w:sz w:val="24"/>
          <w:highlight w:val="none"/>
        </w:rPr>
        <w:sectPr>
          <w:footerReference r:id="rId10" w:type="first"/>
          <w:footerReference r:id="rId9" w:type="default"/>
          <w:pgSz w:w="11907" w:h="16840"/>
          <w:pgMar w:top="1440" w:right="1083" w:bottom="1440" w:left="1083" w:header="851" w:footer="851" w:gutter="0"/>
          <w:pgNumType w:start="1"/>
          <w:cols w:space="1701" w:num="1"/>
          <w:titlePg/>
          <w:docGrid w:linePitch="360" w:charSpace="0"/>
        </w:sectPr>
      </w:pPr>
    </w:p>
    <w:p w14:paraId="7263F2B2">
      <w:pPr>
        <w:keepNext/>
        <w:keepLines/>
        <w:widowControl w:val="0"/>
        <w:tabs>
          <w:tab w:val="center" w:pos="4592"/>
          <w:tab w:val="left" w:pos="7860"/>
        </w:tabs>
        <w:spacing w:before="0" w:line="360" w:lineRule="auto"/>
        <w:jc w:val="center"/>
        <w:outlineLvl w:val="1"/>
        <w:rPr>
          <w:rFonts w:hint="default" w:ascii="Times New Roman" w:hAnsi="Times New Roman" w:eastAsia="宋体" w:cs="Times New Roman"/>
          <w:b/>
          <w:color w:val="auto"/>
          <w:sz w:val="28"/>
          <w:szCs w:val="20"/>
          <w:highlight w:val="none"/>
          <w:lang w:val="en-US" w:eastAsia="zh-CN" w:bidi="ar-SA"/>
        </w:rPr>
      </w:pPr>
      <w:bookmarkStart w:id="93" w:name="_Toc265228355"/>
      <w:bookmarkStart w:id="94" w:name="_Toc305158785"/>
      <w:bookmarkStart w:id="95" w:name="_Toc150480755"/>
      <w:bookmarkStart w:id="96" w:name="_Toc353825542"/>
      <w:bookmarkStart w:id="97" w:name="_Toc353873932"/>
      <w:bookmarkStart w:id="98" w:name="_Toc305158859"/>
      <w:bookmarkStart w:id="99" w:name="_Toc195842882"/>
      <w:bookmarkStart w:id="100" w:name="_Toc150774722"/>
      <w:bookmarkStart w:id="101" w:name="_Toc353873662"/>
      <w:bookmarkStart w:id="102" w:name="_Toc127151517"/>
      <w:bookmarkStart w:id="103" w:name="_Toc226337213"/>
      <w:bookmarkStart w:id="104" w:name="_Toc226965790"/>
      <w:bookmarkStart w:id="105" w:name="_Toc142311019"/>
      <w:bookmarkStart w:id="106" w:name="_Toc264969207"/>
      <w:r>
        <w:rPr>
          <w:rFonts w:hint="default" w:ascii="Times New Roman" w:hAnsi="Times New Roman" w:eastAsia="宋体" w:cs="Times New Roman"/>
          <w:b/>
          <w:color w:val="auto"/>
          <w:sz w:val="28"/>
          <w:szCs w:val="20"/>
          <w:highlight w:val="none"/>
          <w:lang w:val="en-US" w:eastAsia="zh-CN" w:bidi="ar-SA"/>
        </w:rPr>
        <w:t>投标人须知</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53347D9A">
      <w:pPr>
        <w:keepNext/>
        <w:keepLines/>
        <w:widowControl w:val="0"/>
        <w:tabs>
          <w:tab w:val="center" w:pos="4592"/>
          <w:tab w:val="left" w:pos="7860"/>
        </w:tabs>
        <w:spacing w:before="0" w:line="360" w:lineRule="auto"/>
        <w:jc w:val="left"/>
        <w:outlineLvl w:val="1"/>
        <w:rPr>
          <w:rFonts w:hint="default" w:ascii="Times New Roman" w:hAnsi="Times New Roman" w:eastAsia="宋体" w:cs="Times New Roman"/>
          <w:b/>
          <w:color w:val="auto"/>
          <w:sz w:val="28"/>
          <w:szCs w:val="20"/>
          <w:highlight w:val="none"/>
          <w:lang w:val="en-US" w:eastAsia="zh-CN" w:bidi="ar-SA"/>
        </w:rPr>
      </w:pPr>
      <w:bookmarkStart w:id="107" w:name="_Toc520356143"/>
      <w:bookmarkStart w:id="108" w:name="_Toc127151518"/>
      <w:r>
        <w:rPr>
          <w:rFonts w:hint="default" w:ascii="Times New Roman" w:hAnsi="Times New Roman" w:eastAsia="宋体" w:cs="Times New Roman"/>
          <w:b/>
          <w:color w:val="auto"/>
          <w:sz w:val="28"/>
          <w:szCs w:val="20"/>
          <w:highlight w:val="none"/>
          <w:lang w:val="en-US" w:eastAsia="zh-CN" w:bidi="ar-SA"/>
        </w:rPr>
        <w:tab/>
      </w:r>
      <w:bookmarkStart w:id="109" w:name="_Toc151190145"/>
      <w:bookmarkStart w:id="110" w:name="_Toc150509269"/>
      <w:bookmarkStart w:id="111" w:name="_Toc226965791"/>
      <w:bookmarkStart w:id="112" w:name="_Toc265228356"/>
      <w:bookmarkStart w:id="113" w:name="_Toc151193906"/>
      <w:bookmarkStart w:id="114" w:name="_Toc226309762"/>
      <w:bookmarkStart w:id="115" w:name="_Toc151193760"/>
      <w:bookmarkStart w:id="116" w:name="_Toc150774618"/>
      <w:bookmarkStart w:id="117" w:name="_Toc226965708"/>
      <w:bookmarkStart w:id="118" w:name="_Toc151193688"/>
      <w:bookmarkStart w:id="119" w:name="_Toc151193832"/>
      <w:bookmarkStart w:id="120" w:name="_Toc150774723"/>
      <w:bookmarkStart w:id="121" w:name="_Toc151193616"/>
      <w:bookmarkStart w:id="122" w:name="_Toc264969208"/>
      <w:bookmarkStart w:id="123" w:name="_Toc305158786"/>
      <w:bookmarkStart w:id="124" w:name="_Toc150480756"/>
      <w:bookmarkStart w:id="125" w:name="_Toc142311020"/>
      <w:bookmarkStart w:id="126" w:name="_Toc195842883"/>
      <w:bookmarkStart w:id="127" w:name="_Toc305158860"/>
      <w:bookmarkStart w:id="128" w:name="_Toc226337214"/>
      <w:r>
        <w:rPr>
          <w:rFonts w:hint="default" w:ascii="Times New Roman" w:hAnsi="Times New Roman" w:eastAsia="宋体" w:cs="Times New Roman"/>
          <w:b/>
          <w:color w:val="auto"/>
          <w:sz w:val="28"/>
          <w:szCs w:val="20"/>
          <w:highlight w:val="none"/>
          <w:lang w:val="en-US" w:eastAsia="zh-CN" w:bidi="ar-SA"/>
        </w:rPr>
        <w:t>一   说  明</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default" w:ascii="Times New Roman" w:hAnsi="Times New Roman" w:eastAsia="宋体" w:cs="Times New Roman"/>
          <w:b/>
          <w:color w:val="auto"/>
          <w:sz w:val="28"/>
          <w:szCs w:val="20"/>
          <w:highlight w:val="none"/>
          <w:lang w:val="en-US" w:eastAsia="zh-CN" w:bidi="ar-SA"/>
        </w:rPr>
        <w:tab/>
      </w:r>
    </w:p>
    <w:p w14:paraId="7C9ED87F">
      <w:pPr>
        <w:tabs>
          <w:tab w:val="left" w:pos="360"/>
        </w:tabs>
        <w:spacing w:line="360" w:lineRule="auto"/>
        <w:outlineLvl w:val="1"/>
        <w:rPr>
          <w:rFonts w:hint="eastAsia" w:ascii="宋体" w:hAnsi="宋体" w:eastAsia="宋体" w:cs="宋体"/>
          <w:b/>
          <w:bCs/>
          <w:color w:val="auto"/>
          <w:szCs w:val="21"/>
          <w:highlight w:val="none"/>
        </w:rPr>
      </w:pPr>
      <w:bookmarkStart w:id="129" w:name="_Toc305158787"/>
      <w:bookmarkStart w:id="130" w:name="_Toc265228357"/>
      <w:bookmarkStart w:id="131" w:name="_Toc264969209"/>
      <w:bookmarkStart w:id="132" w:name="_Toc305158861"/>
      <w:r>
        <w:rPr>
          <w:rFonts w:hint="eastAsia" w:ascii="宋体" w:hAnsi="宋体" w:eastAsia="宋体" w:cs="宋体"/>
          <w:b/>
          <w:bCs/>
          <w:color w:val="auto"/>
          <w:szCs w:val="21"/>
          <w:highlight w:val="none"/>
        </w:rPr>
        <w:t>1.采购人、采购代理机构、投标人</w:t>
      </w:r>
      <w:bookmarkEnd w:id="129"/>
      <w:bookmarkEnd w:id="130"/>
      <w:bookmarkEnd w:id="131"/>
      <w:bookmarkEnd w:id="132"/>
      <w:r>
        <w:rPr>
          <w:rFonts w:hint="eastAsia" w:ascii="宋体" w:hAnsi="宋体" w:eastAsia="宋体" w:cs="宋体"/>
          <w:b/>
          <w:bCs/>
          <w:color w:val="auto"/>
          <w:szCs w:val="21"/>
          <w:highlight w:val="none"/>
        </w:rPr>
        <w:t>、联合体</w:t>
      </w:r>
    </w:p>
    <w:p w14:paraId="57F1E070">
      <w:pPr>
        <w:tabs>
          <w:tab w:val="left" w:pos="1080"/>
          <w:tab w:val="left" w:pos="2014"/>
          <w:tab w:val="left" w:pos="5521"/>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1.1采购人、采购代理机构：指依法进行政府采购的国家机关、事业单位、团体组织，及其委托的采购代理机构。本项目采购人、采购代理机构见第一章《投标邀请》。</w:t>
      </w:r>
    </w:p>
    <w:p w14:paraId="31636621">
      <w:pPr>
        <w:tabs>
          <w:tab w:val="left" w:pos="1080"/>
          <w:tab w:val="left" w:pos="2014"/>
          <w:tab w:val="left" w:pos="5521"/>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1.2投标人（也称“供应商”、“申请人”）：指向采购人提供货物、工程或者服务的法人、其他组织或者自然人。</w:t>
      </w:r>
    </w:p>
    <w:p w14:paraId="58FFD16C">
      <w:pPr>
        <w:tabs>
          <w:tab w:val="left" w:pos="1080"/>
          <w:tab w:val="left" w:pos="2014"/>
          <w:tab w:val="left" w:pos="5521"/>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1.3联合体：指两个以上的自然人、法人或者其他组织组成一个联合体，以一个供应商的身份共同参加政府采购。</w:t>
      </w:r>
    </w:p>
    <w:p w14:paraId="2D838436">
      <w:pPr>
        <w:tabs>
          <w:tab w:val="left" w:pos="360"/>
        </w:tabs>
        <w:spacing w:line="360" w:lineRule="auto"/>
        <w:outlineLvl w:val="1"/>
        <w:rPr>
          <w:rFonts w:hint="eastAsia" w:ascii="宋体" w:hAnsi="宋体" w:eastAsia="宋体" w:cs="宋体"/>
          <w:b/>
          <w:bCs/>
          <w:color w:val="auto"/>
          <w:szCs w:val="21"/>
          <w:highlight w:val="none"/>
        </w:rPr>
      </w:pPr>
      <w:bookmarkStart w:id="133" w:name="_Toc150509271"/>
      <w:bookmarkStart w:id="134" w:name="_Toc127151520"/>
      <w:bookmarkStart w:id="135" w:name="_Toc164608789"/>
      <w:bookmarkStart w:id="136" w:name="_Toc305158788"/>
      <w:bookmarkStart w:id="137" w:name="_Toc151193618"/>
      <w:bookmarkStart w:id="138" w:name="_Toc151193762"/>
      <w:bookmarkStart w:id="139" w:name="_Toc151193834"/>
      <w:bookmarkStart w:id="140" w:name="_Toc150774725"/>
      <w:bookmarkStart w:id="141" w:name="_Toc150480758"/>
      <w:bookmarkStart w:id="142" w:name="_Toc151193908"/>
      <w:bookmarkStart w:id="143" w:name="_Toc164229361"/>
      <w:bookmarkStart w:id="144" w:name="_Toc226965710"/>
      <w:bookmarkStart w:id="145" w:name="_Toc127161434"/>
      <w:bookmarkStart w:id="146" w:name="_Toc127151721"/>
      <w:bookmarkStart w:id="147" w:name="_Toc195842885"/>
      <w:bookmarkStart w:id="148" w:name="_Toc150774620"/>
      <w:bookmarkStart w:id="149" w:name="_Toc164608634"/>
      <w:bookmarkStart w:id="150" w:name="_Toc142311022"/>
      <w:bookmarkStart w:id="151" w:name="_Toc265228358"/>
      <w:bookmarkStart w:id="152" w:name="_Toc164351614"/>
      <w:bookmarkStart w:id="153" w:name="_Toc226309764"/>
      <w:bookmarkStart w:id="154" w:name="_Toc151190147"/>
      <w:bookmarkStart w:id="155" w:name="_Toc264969210"/>
      <w:bookmarkStart w:id="156" w:name="_Toc164229215"/>
      <w:bookmarkStart w:id="157" w:name="_Toc226965793"/>
      <w:bookmarkStart w:id="158" w:name="_Toc151193690"/>
      <w:bookmarkStart w:id="159" w:name="_Toc305158862"/>
      <w:bookmarkStart w:id="160" w:name="_Toc149720813"/>
      <w:bookmarkStart w:id="161" w:name="_Toc226337216"/>
      <w:r>
        <w:rPr>
          <w:rFonts w:hint="eastAsia" w:ascii="宋体" w:hAnsi="宋体" w:eastAsia="宋体" w:cs="宋体"/>
          <w:b/>
          <w:bCs/>
          <w:color w:val="auto"/>
          <w:szCs w:val="21"/>
          <w:highlight w:val="none"/>
        </w:rPr>
        <w:t>2.资金来源</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eastAsia" w:ascii="宋体" w:hAnsi="宋体" w:eastAsia="宋体" w:cs="宋体"/>
          <w:b/>
          <w:bCs/>
          <w:color w:val="auto"/>
          <w:szCs w:val="21"/>
          <w:highlight w:val="none"/>
        </w:rPr>
        <w:t>、项目属性、科研仪器设备采购、核心产品</w:t>
      </w:r>
    </w:p>
    <w:p w14:paraId="2759F4C0">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2.1资金来源为财政性资金和/或本项目采购中无法与财政性资金分割的非财政性资金。</w:t>
      </w:r>
    </w:p>
    <w:p w14:paraId="03406248">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2.2项目属性见《投标人须知资料表》。</w:t>
      </w:r>
    </w:p>
    <w:p w14:paraId="62FA0A80">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2.3是否属于科研仪器设备采购见《投标人须知资料表》。</w:t>
      </w:r>
    </w:p>
    <w:p w14:paraId="32050703">
      <w:pPr>
        <w:tabs>
          <w:tab w:val="left" w:pos="1080"/>
          <w:tab w:val="left" w:pos="2014"/>
          <w:tab w:val="left" w:pos="5521"/>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2.4核心产品见《投标人须知资料表》。</w:t>
      </w:r>
    </w:p>
    <w:p w14:paraId="42A0ABCF">
      <w:pPr>
        <w:tabs>
          <w:tab w:val="left" w:pos="360"/>
        </w:tabs>
        <w:spacing w:line="360" w:lineRule="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3.现场考察、开标前答疑会</w:t>
      </w:r>
    </w:p>
    <w:p w14:paraId="6D3B2B4B">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3.1若《投标人须知资料表》中规定了组织现场考察、召开开标前答疑会，则投标人应按要求在规定的时间和地点参加。</w:t>
      </w:r>
      <w:bookmarkStart w:id="162" w:name="_Toc226309766"/>
      <w:bookmarkStart w:id="163" w:name="_Toc226965795"/>
      <w:bookmarkStart w:id="164" w:name="_Toc265228360"/>
      <w:bookmarkStart w:id="165" w:name="_Toc226965712"/>
      <w:bookmarkStart w:id="166" w:name="_Toc305158790"/>
      <w:bookmarkStart w:id="167" w:name="_Toc305158864"/>
      <w:bookmarkStart w:id="168" w:name="_Toc151193692"/>
      <w:bookmarkStart w:id="169" w:name="_Toc226337218"/>
      <w:bookmarkStart w:id="170" w:name="_Toc195842887"/>
      <w:bookmarkStart w:id="171" w:name="_Toc150509273"/>
      <w:bookmarkStart w:id="172" w:name="_Toc151193910"/>
      <w:bookmarkStart w:id="173" w:name="_Toc151193836"/>
      <w:bookmarkStart w:id="174" w:name="_Toc151190149"/>
      <w:bookmarkStart w:id="175" w:name="_Toc127151522"/>
      <w:bookmarkStart w:id="176" w:name="_Toc264969212"/>
      <w:bookmarkStart w:id="177" w:name="_Toc142311024"/>
      <w:bookmarkStart w:id="178" w:name="_Toc520356146"/>
      <w:bookmarkStart w:id="179" w:name="_Toc151193764"/>
      <w:bookmarkStart w:id="180" w:name="_Toc150774622"/>
      <w:bookmarkStart w:id="181" w:name="_Toc150480760"/>
      <w:bookmarkStart w:id="182" w:name="_Toc150774727"/>
      <w:bookmarkStart w:id="183" w:name="_Toc151193620"/>
    </w:p>
    <w:p w14:paraId="42062EB9">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3.2由于未参加现场考察或开标前答疑会而导致对项目实际情况不了解，影响投标文件编制、投标报价准确性、综合因素响应不全面等问题的，由投标人自行承担不利评审后果。</w:t>
      </w:r>
    </w:p>
    <w:p w14:paraId="1587C80F">
      <w:pPr>
        <w:tabs>
          <w:tab w:val="left" w:pos="360"/>
        </w:tabs>
        <w:spacing w:line="360" w:lineRule="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4.样品</w:t>
      </w:r>
    </w:p>
    <w:p w14:paraId="1F5A6F3B">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4.1本项目是否要求投标人提供样品，以及样品制作的标准和要求、是否需要随样品提交相关检测报告、样品的递交与退还等要求见《投标人须知资料表》。</w:t>
      </w:r>
    </w:p>
    <w:p w14:paraId="77A2863D">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4.2样品的评审方法以及评审标准等内容见第四章《评标方法和评标标准》。</w:t>
      </w:r>
    </w:p>
    <w:p w14:paraId="287A15C1">
      <w:pPr>
        <w:tabs>
          <w:tab w:val="left" w:pos="360"/>
        </w:tabs>
        <w:spacing w:line="360" w:lineRule="auto"/>
        <w:outlineLvl w:val="1"/>
        <w:rPr>
          <w:rFonts w:hint="eastAsia" w:ascii="Times New Roman" w:hAnsi="Times New Roman" w:eastAsia="宋体" w:cs="Times New Roman"/>
          <w:color w:val="auto"/>
          <w:highlight w:val="none"/>
        </w:rPr>
      </w:pPr>
      <w:r>
        <w:rPr>
          <w:rFonts w:hint="eastAsia" w:ascii="宋体" w:hAnsi="宋体" w:eastAsia="宋体" w:cs="宋体"/>
          <w:b/>
          <w:bCs/>
          <w:color w:val="auto"/>
          <w:szCs w:val="21"/>
          <w:highlight w:val="none"/>
        </w:rPr>
        <w:t>5.政府采购政策（包括但不限于下列具体政策要求）</w:t>
      </w:r>
    </w:p>
    <w:p w14:paraId="38C69AE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5.1进口产品</w:t>
      </w:r>
    </w:p>
    <w:p w14:paraId="21B97D1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AB251E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5.2中小企业、监狱企业及残疾人福利性单位</w:t>
      </w:r>
    </w:p>
    <w:p w14:paraId="08AA181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5.2.1中小企业定义：</w:t>
      </w:r>
    </w:p>
    <w:p w14:paraId="52E0DFC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5B77677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5.2.1.2供应商提供的货物、工程或者服务符合下列情形的，享受中小企业扶持政策：</w:t>
      </w:r>
    </w:p>
    <w:p w14:paraId="1EF16B0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（1）在货物采购项目中，货物由中小企业制造，即货物由中小企业生产且使用该中小企业商号或者注册商标；</w:t>
      </w:r>
    </w:p>
    <w:p w14:paraId="4B559E4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（2）在工程采购项目中，工程由中小企业承建，即工程施工单位为中小企业；</w:t>
      </w:r>
    </w:p>
    <w:p w14:paraId="48A8628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（3）在服务采购项目中，服务由中小企业承接，即提供服务的人员为中小企业依照《中华人民共和国劳动合同法》订立劳动合同的从业人员。</w:t>
      </w:r>
    </w:p>
    <w:p w14:paraId="49BFF34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5.2.1.3在货物采购项目中，供应商提供的货物既有中小企业制造货物，也有大型企业制造货物的，不享受中小企业扶持政策。</w:t>
      </w:r>
    </w:p>
    <w:p w14:paraId="42E9480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5.2.1.4以联合体形式参加政府采购活动，联合体各方均为中小企业的，联合体视同中小企业。其中，联合体各方均为小微企业的，联合体视同小微企业。</w:t>
      </w:r>
    </w:p>
    <w:p w14:paraId="5ED93BD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99A770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5.2.3残疾人福利单位定义：享受政府采购支持政策的残疾人福利性单位应当同时满足以下条件：</w:t>
      </w:r>
    </w:p>
    <w:p w14:paraId="20762EF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5.2.3.1安置的残疾人占本单位在职职工人数的比例不低于25%（含25%），并且安置的残疾人人数不少于10人（含10人）；</w:t>
      </w:r>
    </w:p>
    <w:p w14:paraId="0005DEB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5.2.3.2依法与安置的每位残疾人签订了一年以上（含一年）的劳动合同或服务协议；</w:t>
      </w:r>
    </w:p>
    <w:p w14:paraId="0EEAD36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5.2.3.3为安置的每位残疾人按月足额缴纳了基本养老保险、基本医疗保险、失业保险、工伤保险和生育保险等社会保险费；</w:t>
      </w:r>
    </w:p>
    <w:p w14:paraId="02A50E4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5.2.3.4通过银行等金融机构向安置的每位残疾人，按月支付了不低于单位所在区县适用的经省级人民政府批准的月最低工资标准的工资；</w:t>
      </w:r>
    </w:p>
    <w:p w14:paraId="21AEA58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5.2.3.5提供本单位制造的货物、承担的工程或者服务（以下简称产品），或者提供其他残疾人福利性单位制造的货物（不包括使用非残疾人福利性单位注册商标的货物）；</w:t>
      </w:r>
    </w:p>
    <w:p w14:paraId="13A8C5C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541681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5.2.4本项目是否专门面向中小企业预留采购份额见第一章《投标邀请》。</w:t>
      </w:r>
    </w:p>
    <w:p w14:paraId="3413D90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5.2.5采购标的对应的中小企业划分标准所属行业见《投标人须知资料表》。</w:t>
      </w:r>
    </w:p>
    <w:p w14:paraId="282E558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5.2.6小微企业价格评审优惠的政策调整：见第四章《评标方法和评标标准》。</w:t>
      </w:r>
    </w:p>
    <w:p w14:paraId="79ABA0D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5.3政府采购节能产品、环境标志产品</w:t>
      </w:r>
    </w:p>
    <w:p w14:paraId="7FDD96A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EDA266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6784B6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Cs w:val="21"/>
          <w:highlight w:val="none"/>
        </w:rPr>
        <w:t>投标无效</w:t>
      </w:r>
      <w:r>
        <w:rPr>
          <w:rFonts w:hint="eastAsia" w:ascii="宋体" w:hAnsi="宋体" w:eastAsia="宋体" w:cs="宋体"/>
          <w:color w:val="auto"/>
          <w:szCs w:val="21"/>
          <w:highlight w:val="none"/>
        </w:rPr>
        <w:t>；</w:t>
      </w:r>
    </w:p>
    <w:p w14:paraId="693BE5C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5.3.4非政府强制采购的节能产品或环境标志产品，依据品目清单和认证证书实施政府优先采购。优先采购的具体规定见第四章《评标方法和评标标准》（如涉及）。</w:t>
      </w:r>
    </w:p>
    <w:p w14:paraId="1D27089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78B704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5.4支持乡村产业振兴管理</w:t>
      </w:r>
    </w:p>
    <w:p w14:paraId="694D006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5.4.1为落实《关于运用政府采购政策支持乡村产业振兴的通知》（财库〔2021〕19号）有关要求，做好支持脱贫攻坚工作，本项目采购活动中对于支持乡村振兴管理的相关要求见第五章《采购需求》（如涉及）。</w:t>
      </w:r>
    </w:p>
    <w:p w14:paraId="2D68A03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5.5正版软件</w:t>
      </w:r>
    </w:p>
    <w:p w14:paraId="4A4C4F8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Cs w:val="21"/>
          <w:highlight w:val="none"/>
        </w:rPr>
        <w:t>投标无效</w:t>
      </w:r>
      <w:r>
        <w:rPr>
          <w:rFonts w:hint="eastAsia" w:ascii="宋体" w:hAnsi="宋体" w:eastAsia="宋体" w:cs="宋体"/>
          <w:color w:val="auto"/>
          <w:szCs w:val="21"/>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39C3BB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870F86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5.6信息安全产品</w:t>
      </w:r>
    </w:p>
    <w:p w14:paraId="56BD0DB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5.6.1所投产品属于《关于调整信息安全产品强制性认证实施要求的公告》（2009年第33号）范围的，采购经国家认证的信息安全产品，否则</w:t>
      </w:r>
      <w:r>
        <w:rPr>
          <w:rFonts w:hint="eastAsia" w:ascii="宋体" w:hAnsi="宋体" w:eastAsia="宋体" w:cs="宋体"/>
          <w:b/>
          <w:bCs/>
          <w:color w:val="auto"/>
          <w:szCs w:val="21"/>
          <w:highlight w:val="none"/>
        </w:rPr>
        <w:t>投标无效</w:t>
      </w:r>
      <w:r>
        <w:rPr>
          <w:rFonts w:hint="eastAsia" w:ascii="宋体" w:hAnsi="宋体" w:eastAsia="宋体" w:cs="宋体"/>
          <w:color w:val="auto"/>
          <w:szCs w:val="21"/>
          <w:highlight w:val="none"/>
        </w:rPr>
        <w:t>。关于信息安全相关规定依据《关于信息安全产品实施政府采购的通知》（财库〔2010〕48号）。</w:t>
      </w:r>
    </w:p>
    <w:p w14:paraId="78703DC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5.7政府采购创新产品政策</w:t>
      </w:r>
    </w:p>
    <w:p w14:paraId="5C02D77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4F82DA4">
      <w:pPr>
        <w:tabs>
          <w:tab w:val="left" w:pos="360"/>
        </w:tabs>
        <w:spacing w:line="360" w:lineRule="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6.投标费用</w:t>
      </w:r>
    </w:p>
    <w:p w14:paraId="5F8E6249">
      <w:pPr>
        <w:tabs>
          <w:tab w:val="left" w:pos="1080"/>
          <w:tab w:val="left" w:pos="2014"/>
        </w:tabs>
        <w:spacing w:line="360" w:lineRule="auto"/>
        <w:ind w:firstLine="420"/>
        <w:rPr>
          <w:rFonts w:ascii="Times New Roman" w:hAnsi="Times New Roman" w:eastAsia="宋体" w:cs="Times New Roman"/>
          <w:color w:val="auto"/>
          <w:sz w:val="28"/>
          <w:highlight w:val="none"/>
        </w:rPr>
      </w:pPr>
      <w:r>
        <w:rPr>
          <w:rFonts w:hint="eastAsia" w:ascii="宋体" w:hAnsi="宋体" w:eastAsia="宋体" w:cs="宋体"/>
          <w:color w:val="auto"/>
          <w:szCs w:val="21"/>
          <w:highlight w:val="none"/>
        </w:rPr>
        <w:t>6.1投标人应自行承担所有与准备和参加投标有关的费用，无论投标的结果如何，采购人或采购代理机构在任何情况下均无承担这些费用的义务和责任。</w:t>
      </w:r>
      <w:bookmarkStart w:id="184" w:name="_1.8_计量单位"/>
      <w:bookmarkEnd w:id="184"/>
    </w:p>
    <w:p w14:paraId="1780CBB5">
      <w:pPr>
        <w:keepNext/>
        <w:keepLines/>
        <w:widowControl w:val="0"/>
        <w:spacing w:before="0" w:line="360" w:lineRule="auto"/>
        <w:jc w:val="center"/>
        <w:outlineLvl w:val="1"/>
        <w:rPr>
          <w:rFonts w:hint="default" w:ascii="Times New Roman" w:hAnsi="Times New Roman" w:eastAsia="宋体" w:cs="Times New Roman"/>
          <w:b/>
          <w:color w:val="auto"/>
          <w:sz w:val="28"/>
          <w:szCs w:val="20"/>
          <w:highlight w:val="none"/>
          <w:lang w:val="en-US" w:eastAsia="zh-CN" w:bidi="ar-SA"/>
        </w:rPr>
      </w:pPr>
      <w:r>
        <w:rPr>
          <w:rFonts w:hint="default" w:ascii="Times New Roman" w:hAnsi="Times New Roman" w:eastAsia="宋体" w:cs="Times New Roman"/>
          <w:b/>
          <w:color w:val="auto"/>
          <w:sz w:val="28"/>
          <w:szCs w:val="20"/>
          <w:highlight w:val="none"/>
          <w:lang w:val="en-US" w:eastAsia="zh-CN" w:bidi="ar-SA"/>
        </w:rPr>
        <w:t>二   招标文件</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338FE0B5">
      <w:pPr>
        <w:tabs>
          <w:tab w:val="left" w:pos="360"/>
        </w:tabs>
        <w:spacing w:line="360" w:lineRule="auto"/>
        <w:outlineLvl w:val="1"/>
        <w:rPr>
          <w:rFonts w:hint="eastAsia" w:ascii="宋体" w:hAnsi="宋体" w:eastAsia="宋体" w:cs="宋体"/>
          <w:b/>
          <w:bCs/>
          <w:color w:val="auto"/>
          <w:szCs w:val="21"/>
          <w:highlight w:val="none"/>
        </w:rPr>
      </w:pPr>
      <w:bookmarkStart w:id="185" w:name="_Toc127151523"/>
      <w:bookmarkStart w:id="186" w:name="_Toc164608792"/>
      <w:bookmarkStart w:id="187" w:name="_Toc142311025"/>
      <w:bookmarkStart w:id="188" w:name="_Toc265228361"/>
      <w:bookmarkStart w:id="189" w:name="_Toc149720816"/>
      <w:bookmarkStart w:id="190" w:name="_Toc164351617"/>
      <w:bookmarkStart w:id="191" w:name="_Toc151193837"/>
      <w:bookmarkStart w:id="192" w:name="_Toc164229364"/>
      <w:bookmarkStart w:id="193" w:name="_Toc151190150"/>
      <w:bookmarkStart w:id="194" w:name="_Toc150480761"/>
      <w:bookmarkStart w:id="195" w:name="_Toc195842888"/>
      <w:bookmarkStart w:id="196" w:name="_Toc127151724"/>
      <w:bookmarkStart w:id="197" w:name="_Toc151193911"/>
      <w:bookmarkStart w:id="198" w:name="_Toc226309767"/>
      <w:bookmarkStart w:id="199" w:name="_Toc164229218"/>
      <w:bookmarkStart w:id="200" w:name="_Toc520356147"/>
      <w:bookmarkStart w:id="201" w:name="_Toc226965713"/>
      <w:bookmarkStart w:id="202" w:name="_Toc127161437"/>
      <w:bookmarkStart w:id="203" w:name="_Toc164608637"/>
      <w:bookmarkStart w:id="204" w:name="_Toc151193765"/>
      <w:bookmarkStart w:id="205" w:name="_Toc226965796"/>
      <w:bookmarkStart w:id="206" w:name="_Toc226337219"/>
      <w:bookmarkStart w:id="207" w:name="_Toc305158865"/>
      <w:bookmarkStart w:id="208" w:name="_Toc151193693"/>
      <w:bookmarkStart w:id="209" w:name="_Toc305158791"/>
      <w:bookmarkStart w:id="210" w:name="_Toc151193621"/>
      <w:bookmarkStart w:id="211" w:name="_Toc150774623"/>
      <w:bookmarkStart w:id="212" w:name="_Toc150774728"/>
      <w:bookmarkStart w:id="213" w:name="_Toc264969213"/>
      <w:bookmarkStart w:id="214" w:name="_Toc150509274"/>
      <w:r>
        <w:rPr>
          <w:rFonts w:hint="eastAsia" w:ascii="宋体" w:hAnsi="宋体" w:eastAsia="宋体" w:cs="宋体"/>
          <w:b/>
          <w:bCs/>
          <w:color w:val="auto"/>
          <w:szCs w:val="21"/>
          <w:highlight w:val="none"/>
        </w:rPr>
        <w:t>7.招标文件构</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Pr>
          <w:rFonts w:hint="eastAsia" w:ascii="宋体" w:hAnsi="宋体" w:eastAsia="宋体" w:cs="宋体"/>
          <w:b/>
          <w:bCs/>
          <w:color w:val="auto"/>
          <w:szCs w:val="21"/>
          <w:highlight w:val="none"/>
        </w:rPr>
        <w:t>成</w:t>
      </w:r>
    </w:p>
    <w:p w14:paraId="324E2EC4">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7.1招标文件包括以下部分：</w:t>
      </w:r>
    </w:p>
    <w:p w14:paraId="33D904D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投标邀请</w:t>
      </w:r>
    </w:p>
    <w:p w14:paraId="5CC63BB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投标人须知</w:t>
      </w:r>
    </w:p>
    <w:p w14:paraId="581EB65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资格审查</w:t>
      </w:r>
    </w:p>
    <w:p w14:paraId="4CC6356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评标程序、评标方法和评标标准</w:t>
      </w:r>
    </w:p>
    <w:p w14:paraId="55AAC07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采购需求</w:t>
      </w:r>
    </w:p>
    <w:p w14:paraId="3B84544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拟签订的合同文本</w:t>
      </w:r>
    </w:p>
    <w:p w14:paraId="187D352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第七章 投标文件格式</w:t>
      </w:r>
    </w:p>
    <w:p w14:paraId="6DA60D43">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5463FFBC">
      <w:pPr>
        <w:tabs>
          <w:tab w:val="left" w:pos="360"/>
        </w:tabs>
        <w:spacing w:line="360" w:lineRule="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8.对招标文件的澄清或修改</w:t>
      </w:r>
    </w:p>
    <w:p w14:paraId="1B8BA223">
      <w:pPr>
        <w:tabs>
          <w:tab w:val="left" w:pos="1080"/>
          <w:tab w:val="left" w:pos="1561"/>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8.1采购人或采购代理机构对已发出的招标文件进行必要澄清或者修改的，将在原公告发布媒体上以发布更正公告的形式通知所有获取招标文件的潜在投标人。</w:t>
      </w:r>
    </w:p>
    <w:p w14:paraId="333C23A4">
      <w:pPr>
        <w:tabs>
          <w:tab w:val="left" w:pos="1080"/>
          <w:tab w:val="left" w:pos="1561"/>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73452D82">
      <w:pPr>
        <w:tabs>
          <w:tab w:val="left" w:pos="1080"/>
          <w:tab w:val="left" w:pos="1561"/>
        </w:tabs>
        <w:spacing w:line="360" w:lineRule="auto"/>
        <w:ind w:left="1080"/>
        <w:rPr>
          <w:rFonts w:ascii="Times New Roman" w:hAnsi="Times New Roman" w:eastAsia="宋体" w:cs="Times New Roman"/>
          <w:color w:val="auto"/>
          <w:sz w:val="28"/>
          <w:highlight w:val="none"/>
        </w:rPr>
      </w:pPr>
      <w:bookmarkStart w:id="215" w:name="_Toc516367020"/>
      <w:bookmarkStart w:id="216" w:name="_Toc226965716"/>
      <w:bookmarkStart w:id="217" w:name="_Toc305158868"/>
      <w:bookmarkStart w:id="218" w:name="_Toc520356150"/>
      <w:bookmarkStart w:id="219" w:name="_Toc195842891"/>
      <w:bookmarkStart w:id="220" w:name="_Toc305158794"/>
      <w:bookmarkStart w:id="221" w:name="_Toc151193768"/>
      <w:bookmarkStart w:id="222" w:name="_Toc264969216"/>
      <w:bookmarkStart w:id="223" w:name="_Toc150480764"/>
      <w:bookmarkStart w:id="224" w:name="_Toc265228364"/>
      <w:bookmarkStart w:id="225" w:name="_Toc226309770"/>
      <w:bookmarkStart w:id="226" w:name="_Toc151190153"/>
      <w:bookmarkStart w:id="227" w:name="_Toc226337222"/>
      <w:bookmarkStart w:id="228" w:name="_Toc150774626"/>
      <w:bookmarkStart w:id="229" w:name="_Toc150774731"/>
      <w:bookmarkStart w:id="230" w:name="_Toc127151526"/>
      <w:bookmarkStart w:id="231" w:name="_Toc151193840"/>
      <w:bookmarkStart w:id="232" w:name="_Toc151193696"/>
      <w:bookmarkStart w:id="233" w:name="_Toc142311028"/>
      <w:bookmarkStart w:id="234" w:name="_Toc151193624"/>
      <w:bookmarkStart w:id="235" w:name="_Toc226965799"/>
      <w:bookmarkStart w:id="236" w:name="_Toc151193914"/>
      <w:bookmarkStart w:id="237" w:name="_Toc150509277"/>
    </w:p>
    <w:p w14:paraId="028BF10B">
      <w:pPr>
        <w:keepNext/>
        <w:keepLines/>
        <w:widowControl w:val="0"/>
        <w:spacing w:before="0" w:line="360" w:lineRule="auto"/>
        <w:jc w:val="center"/>
        <w:outlineLvl w:val="1"/>
        <w:rPr>
          <w:rFonts w:hint="default" w:ascii="Times New Roman" w:hAnsi="Times New Roman" w:eastAsia="宋体" w:cs="Times New Roman"/>
          <w:b/>
          <w:color w:val="auto"/>
          <w:sz w:val="28"/>
          <w:szCs w:val="20"/>
          <w:highlight w:val="none"/>
          <w:lang w:val="en-US" w:eastAsia="zh-CN" w:bidi="ar-SA"/>
        </w:rPr>
      </w:pPr>
      <w:r>
        <w:rPr>
          <w:rFonts w:hint="default" w:ascii="Times New Roman" w:hAnsi="Times New Roman" w:eastAsia="宋体" w:cs="Times New Roman"/>
          <w:b/>
          <w:color w:val="auto"/>
          <w:sz w:val="28"/>
          <w:szCs w:val="20"/>
          <w:highlight w:val="none"/>
          <w:lang w:val="en-US" w:eastAsia="zh-CN" w:bidi="ar-SA"/>
        </w:rPr>
        <w:t>三   投标文件</w:t>
      </w:r>
      <w:bookmarkEnd w:id="215"/>
      <w:r>
        <w:rPr>
          <w:rFonts w:hint="default" w:ascii="Times New Roman" w:hAnsi="Times New Roman" w:eastAsia="宋体" w:cs="Times New Roman"/>
          <w:b/>
          <w:color w:val="auto"/>
          <w:sz w:val="28"/>
          <w:szCs w:val="20"/>
          <w:highlight w:val="none"/>
          <w:lang w:val="en-US" w:eastAsia="zh-CN" w:bidi="ar-SA"/>
        </w:rPr>
        <w:t>的编制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641C2907">
      <w:pPr>
        <w:tabs>
          <w:tab w:val="left" w:pos="360"/>
        </w:tabs>
        <w:spacing w:line="360" w:lineRule="auto"/>
        <w:outlineLvl w:val="1"/>
        <w:rPr>
          <w:rFonts w:hint="eastAsia" w:ascii="宋体" w:hAnsi="宋体" w:eastAsia="宋体" w:cs="宋体"/>
          <w:b/>
          <w:bCs/>
          <w:color w:val="auto"/>
          <w:szCs w:val="21"/>
          <w:highlight w:val="none"/>
        </w:rPr>
      </w:pPr>
      <w:bookmarkStart w:id="238" w:name="_Toc150774732"/>
      <w:bookmarkStart w:id="239" w:name="_Toc265228365"/>
      <w:bookmarkStart w:id="240" w:name="_Toc151193841"/>
      <w:bookmarkStart w:id="241" w:name="_Toc164229368"/>
      <w:bookmarkStart w:id="242" w:name="_Toc164608641"/>
      <w:bookmarkStart w:id="243" w:name="_Toc226965800"/>
      <w:bookmarkStart w:id="244" w:name="_Toc226965717"/>
      <w:bookmarkStart w:id="245" w:name="_Toc151193625"/>
      <w:bookmarkStart w:id="246" w:name="_Toc150480765"/>
      <w:bookmarkStart w:id="247" w:name="_Toc516367021"/>
      <w:bookmarkStart w:id="248" w:name="_Toc305158795"/>
      <w:bookmarkStart w:id="249" w:name="_Toc127151527"/>
      <w:bookmarkStart w:id="250" w:name="_Toc149720820"/>
      <w:bookmarkStart w:id="251" w:name="_Toc150509278"/>
      <w:bookmarkStart w:id="252" w:name="_Toc226309771"/>
      <w:bookmarkStart w:id="253" w:name="_Toc151193697"/>
      <w:bookmarkStart w:id="254" w:name="_Toc151190154"/>
      <w:bookmarkStart w:id="255" w:name="_Toc150774627"/>
      <w:bookmarkStart w:id="256" w:name="_Toc264969217"/>
      <w:bookmarkStart w:id="257" w:name="_Toc164608796"/>
      <w:bookmarkStart w:id="258" w:name="_Toc142311029"/>
      <w:bookmarkStart w:id="259" w:name="_Toc164351621"/>
      <w:bookmarkStart w:id="260" w:name="_Toc127151728"/>
      <w:bookmarkStart w:id="261" w:name="_Toc127161441"/>
      <w:bookmarkStart w:id="262" w:name="_Toc195842892"/>
      <w:bookmarkStart w:id="263" w:name="_Toc226337223"/>
      <w:bookmarkStart w:id="264" w:name="_Toc305158869"/>
      <w:bookmarkStart w:id="265" w:name="_Toc151193915"/>
      <w:bookmarkStart w:id="266" w:name="_Toc164229222"/>
      <w:bookmarkStart w:id="267" w:name="_Toc520356151"/>
      <w:bookmarkStart w:id="268" w:name="_Toc151193769"/>
      <w:r>
        <w:rPr>
          <w:rFonts w:hint="eastAsia" w:ascii="宋体" w:hAnsi="宋体" w:eastAsia="宋体" w:cs="宋体"/>
          <w:b/>
          <w:bCs/>
          <w:color w:val="auto"/>
          <w:szCs w:val="21"/>
          <w:highlight w:val="none"/>
        </w:rPr>
        <w:t>9.投标范围、投标文件中计量单位的使用</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r>
        <w:rPr>
          <w:rFonts w:hint="eastAsia" w:ascii="宋体" w:hAnsi="宋体" w:eastAsia="宋体" w:cs="宋体"/>
          <w:b/>
          <w:bCs/>
          <w:color w:val="auto"/>
          <w:szCs w:val="21"/>
          <w:highlight w:val="none"/>
        </w:rPr>
        <w:t>及投标语言</w:t>
      </w:r>
    </w:p>
    <w:p w14:paraId="11A9F118">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Cs w:val="21"/>
          <w:highlight w:val="none"/>
        </w:rPr>
        <w:t>无效投标</w:t>
      </w:r>
      <w:r>
        <w:rPr>
          <w:rFonts w:hint="eastAsia" w:ascii="宋体" w:hAnsi="宋体" w:eastAsia="宋体" w:cs="宋体"/>
          <w:color w:val="auto"/>
          <w:szCs w:val="21"/>
          <w:highlight w:val="none"/>
        </w:rPr>
        <w:t>。</w:t>
      </w:r>
    </w:p>
    <w:p w14:paraId="461C41A9">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9.2除招标文件有特殊要求外，本项目投标所使用的计量单位，应采用中华人民共和国法定计量单位。</w:t>
      </w:r>
    </w:p>
    <w:p w14:paraId="554CA9A2">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59EE419">
      <w:pPr>
        <w:tabs>
          <w:tab w:val="left" w:pos="360"/>
        </w:tabs>
        <w:spacing w:line="360" w:lineRule="auto"/>
        <w:outlineLvl w:val="1"/>
        <w:rPr>
          <w:rFonts w:hint="eastAsia" w:ascii="宋体" w:hAnsi="宋体" w:eastAsia="宋体" w:cs="宋体"/>
          <w:b/>
          <w:bCs/>
          <w:color w:val="auto"/>
          <w:szCs w:val="21"/>
          <w:highlight w:val="none"/>
        </w:rPr>
      </w:pPr>
      <w:bookmarkStart w:id="269" w:name="_Ref467306676"/>
      <w:bookmarkStart w:id="270" w:name="_Ref467306195"/>
      <w:bookmarkStart w:id="271" w:name="_Toc516367022"/>
      <w:bookmarkStart w:id="272" w:name="_Toc164608642"/>
      <w:bookmarkStart w:id="273" w:name="_Toc150480766"/>
      <w:bookmarkStart w:id="274" w:name="_Toc305158796"/>
      <w:bookmarkStart w:id="275" w:name="_Toc164229223"/>
      <w:bookmarkStart w:id="276" w:name="_Toc164608797"/>
      <w:bookmarkStart w:id="277" w:name="_Toc150509279"/>
      <w:bookmarkStart w:id="278" w:name="_Toc127151729"/>
      <w:bookmarkStart w:id="279" w:name="_Toc264969218"/>
      <w:bookmarkStart w:id="280" w:name="_Toc151193626"/>
      <w:bookmarkStart w:id="281" w:name="_Toc151193916"/>
      <w:bookmarkStart w:id="282" w:name="_Toc265228366"/>
      <w:bookmarkStart w:id="283" w:name="_Toc226309772"/>
      <w:bookmarkStart w:id="284" w:name="_Toc226965718"/>
      <w:bookmarkStart w:id="285" w:name="_Toc127151528"/>
      <w:bookmarkStart w:id="286" w:name="_Toc150774628"/>
      <w:bookmarkStart w:id="287" w:name="_Toc127161442"/>
      <w:bookmarkStart w:id="288" w:name="_Toc520356152"/>
      <w:bookmarkStart w:id="289" w:name="_Toc151193842"/>
      <w:bookmarkStart w:id="290" w:name="_Toc150774733"/>
      <w:bookmarkStart w:id="291" w:name="_Toc142311030"/>
      <w:bookmarkStart w:id="292" w:name="_Toc151193770"/>
      <w:bookmarkStart w:id="293" w:name="_Toc195842893"/>
      <w:bookmarkStart w:id="294" w:name="_Toc226965801"/>
      <w:bookmarkStart w:id="295" w:name="_Toc151190155"/>
      <w:bookmarkStart w:id="296" w:name="_Toc226337224"/>
      <w:bookmarkStart w:id="297" w:name="_Toc305158870"/>
      <w:bookmarkStart w:id="298" w:name="_Toc149720821"/>
      <w:bookmarkStart w:id="299" w:name="_Toc151193698"/>
      <w:bookmarkStart w:id="300" w:name="_Toc164351622"/>
      <w:bookmarkStart w:id="301" w:name="_Toc164229369"/>
      <w:r>
        <w:rPr>
          <w:rFonts w:hint="eastAsia" w:ascii="宋体" w:hAnsi="宋体" w:eastAsia="宋体" w:cs="宋体"/>
          <w:b/>
          <w:bCs/>
          <w:color w:val="auto"/>
          <w:szCs w:val="21"/>
          <w:highlight w:val="none"/>
        </w:rPr>
        <w:t>10.投标文件</w:t>
      </w:r>
      <w:bookmarkEnd w:id="269"/>
      <w:bookmarkEnd w:id="270"/>
      <w:bookmarkEnd w:id="271"/>
      <w:r>
        <w:rPr>
          <w:rFonts w:hint="eastAsia" w:ascii="宋体" w:hAnsi="宋体" w:eastAsia="宋体" w:cs="宋体"/>
          <w:b/>
          <w:bCs/>
          <w:color w:val="auto"/>
          <w:szCs w:val="21"/>
          <w:highlight w:val="none"/>
        </w:rPr>
        <w:t>构成</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1DA38F3A">
      <w:pPr>
        <w:tabs>
          <w:tab w:val="left" w:pos="1080"/>
          <w:tab w:val="left" w:pos="2014"/>
        </w:tabs>
        <w:spacing w:line="360" w:lineRule="auto"/>
        <w:ind w:firstLine="420"/>
        <w:rPr>
          <w:rFonts w:hint="eastAsia" w:ascii="宋体" w:hAnsi="宋体" w:eastAsia="宋体" w:cs="宋体"/>
          <w:color w:val="auto"/>
          <w:szCs w:val="21"/>
          <w:highlight w:val="none"/>
        </w:rPr>
      </w:pPr>
      <w:bookmarkStart w:id="302" w:name="_Ref467052588"/>
      <w:r>
        <w:rPr>
          <w:rFonts w:hint="eastAsia" w:ascii="宋体" w:hAnsi="宋体" w:eastAsia="宋体" w:cs="宋体"/>
          <w:color w:val="auto"/>
          <w:szCs w:val="21"/>
          <w:highlight w:val="none"/>
        </w:rPr>
        <w:t>10.1投标人应当按照招标文件的要求编制投标文件。投标文件应由《资格证明文件》、《商务技术文件》两部分构成。投标文件的部分格式要求，见第七章《投标文件格式》。</w:t>
      </w:r>
    </w:p>
    <w:p w14:paraId="4B0C973C">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。未标记“实质性格式”的文件和招标文件未提供格式的内容，可由投标人自行编写。</w:t>
      </w:r>
    </w:p>
    <w:p w14:paraId="41CE515A">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10.3第四章《评标程序、评标方法和评标标准》中涉及的证明文件。</w:t>
      </w:r>
    </w:p>
    <w:p w14:paraId="30953698">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1EEAD8FF">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10.5投标人认为应附的其他材料。</w:t>
      </w:r>
      <w:bookmarkEnd w:id="302"/>
    </w:p>
    <w:p w14:paraId="30C59B2B">
      <w:pPr>
        <w:tabs>
          <w:tab w:val="left" w:pos="360"/>
        </w:tabs>
        <w:spacing w:line="360" w:lineRule="auto"/>
        <w:outlineLvl w:val="1"/>
        <w:rPr>
          <w:rFonts w:hint="eastAsia" w:ascii="宋体" w:hAnsi="宋体" w:eastAsia="宋体" w:cs="宋体"/>
          <w:b/>
          <w:bCs/>
          <w:color w:val="auto"/>
          <w:szCs w:val="21"/>
          <w:highlight w:val="none"/>
        </w:rPr>
      </w:pPr>
      <w:bookmarkStart w:id="303" w:name="_Toc127161444"/>
      <w:bookmarkStart w:id="304" w:name="_Toc151193844"/>
      <w:bookmarkStart w:id="305" w:name="_Toc164608644"/>
      <w:bookmarkStart w:id="306" w:name="_Toc164351624"/>
      <w:bookmarkStart w:id="307" w:name="_Toc164229225"/>
      <w:bookmarkStart w:id="308" w:name="_Toc127151731"/>
      <w:bookmarkStart w:id="309" w:name="_Toc149720823"/>
      <w:bookmarkStart w:id="310" w:name="_Toc150774630"/>
      <w:bookmarkStart w:id="311" w:name="_Toc150509281"/>
      <w:bookmarkStart w:id="312" w:name="_Toc164608799"/>
      <w:bookmarkStart w:id="313" w:name="_Toc127151530"/>
      <w:bookmarkStart w:id="314" w:name="_Toc151193772"/>
      <w:bookmarkStart w:id="315" w:name="_Toc151190157"/>
      <w:bookmarkStart w:id="316" w:name="_Toc150480768"/>
      <w:bookmarkStart w:id="317" w:name="_Toc195842895"/>
      <w:bookmarkStart w:id="318" w:name="_Toc142311032"/>
      <w:bookmarkStart w:id="319" w:name="_Toc151193918"/>
      <w:bookmarkStart w:id="320" w:name="_Toc151193700"/>
      <w:bookmarkStart w:id="321" w:name="_Toc150774735"/>
      <w:bookmarkStart w:id="322" w:name="_Toc520356155"/>
      <w:bookmarkStart w:id="323" w:name="_Toc151193628"/>
      <w:bookmarkStart w:id="324" w:name="_Toc164229371"/>
      <w:r>
        <w:rPr>
          <w:rFonts w:hint="eastAsia" w:ascii="宋体" w:hAnsi="宋体" w:eastAsia="宋体" w:cs="宋体"/>
          <w:b/>
          <w:bCs/>
          <w:color w:val="auto"/>
          <w:szCs w:val="21"/>
          <w:highlight w:val="none"/>
        </w:rPr>
        <w:t>11.投标报价</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6DC3FC76">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11.1所有投标均以人民币报价。</w:t>
      </w:r>
    </w:p>
    <w:p w14:paraId="08412019">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11.2投标人的报价应包括为完成本项目所发生的一切费用和税费，招标人将不再支付报价以外的任何费用。投标人的报价应包括但不限于下列内容，《投标人须知资料表》中有特殊规定的，从其规定。</w:t>
      </w:r>
    </w:p>
    <w:p w14:paraId="498DA35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E0257C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11.2.2按照招标文件要求完成本项目的全部相关服务费用。 </w:t>
      </w:r>
    </w:p>
    <w:p w14:paraId="672E42F9">
      <w:pPr>
        <w:spacing w:line="360" w:lineRule="exact"/>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11.2.3本项目采用</w:t>
      </w:r>
      <w:r>
        <w:rPr>
          <w:rFonts w:hint="eastAsia" w:ascii="宋体" w:hAnsi="宋体" w:eastAsia="宋体" w:cs="宋体"/>
          <w:b/>
          <w:bCs/>
          <w:color w:val="auto"/>
          <w:szCs w:val="21"/>
          <w:highlight w:val="none"/>
          <w:u w:val="single"/>
        </w:rPr>
        <w:t>固定总价</w:t>
      </w:r>
      <w:r>
        <w:rPr>
          <w:rFonts w:hint="eastAsia" w:ascii="宋体" w:hAnsi="宋体" w:eastAsia="宋体" w:cs="宋体"/>
          <w:b/>
          <w:bCs/>
          <w:color w:val="auto"/>
          <w:szCs w:val="21"/>
          <w:highlight w:val="none"/>
        </w:rPr>
        <w:t>报价，投标报价不得超过最高限价，否则视作未实质性响应招标文件。</w:t>
      </w:r>
    </w:p>
    <w:p w14:paraId="1606C33F">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11.3采购人不得向供应商索要或者接受其给予的赠品、回扣或者与采购无关的其他商品、服务。</w:t>
      </w:r>
    </w:p>
    <w:p w14:paraId="6202A630">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11.4投标人不能提供任何有选择性或可调整的报价，否则其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2F721875">
      <w:pPr>
        <w:tabs>
          <w:tab w:val="left" w:pos="360"/>
        </w:tabs>
        <w:spacing w:line="360" w:lineRule="auto"/>
        <w:outlineLvl w:val="1"/>
        <w:rPr>
          <w:rFonts w:hint="eastAsia" w:ascii="宋体" w:hAnsi="宋体" w:eastAsia="宋体" w:cs="宋体"/>
          <w:b/>
          <w:bCs/>
          <w:color w:val="auto"/>
          <w:szCs w:val="21"/>
          <w:highlight w:val="none"/>
        </w:rPr>
      </w:pPr>
      <w:bookmarkStart w:id="325" w:name="_Toc127161445"/>
      <w:bookmarkStart w:id="326" w:name="_Toc150509282"/>
      <w:bookmarkStart w:id="327" w:name="_Toc127151531"/>
      <w:bookmarkStart w:id="328" w:name="_Toc127151732"/>
      <w:bookmarkStart w:id="329" w:name="_Toc226309775"/>
      <w:bookmarkStart w:id="330" w:name="_Toc164229372"/>
      <w:bookmarkStart w:id="331" w:name="_Toc164351625"/>
      <w:bookmarkStart w:id="332" w:name="_Toc164229226"/>
      <w:bookmarkStart w:id="333" w:name="_Ref467306513"/>
      <w:bookmarkStart w:id="334" w:name="_Toc226965804"/>
      <w:bookmarkStart w:id="335" w:name="_Toc164608800"/>
      <w:bookmarkStart w:id="336" w:name="_Toc305158873"/>
      <w:bookmarkStart w:id="337" w:name="_Toc151190158"/>
      <w:bookmarkStart w:id="338" w:name="_Toc150774631"/>
      <w:bookmarkStart w:id="339" w:name="_Toc264969221"/>
      <w:bookmarkStart w:id="340" w:name="_Toc195842896"/>
      <w:bookmarkStart w:id="341" w:name="_Toc150480769"/>
      <w:bookmarkStart w:id="342" w:name="_Toc164608645"/>
      <w:bookmarkStart w:id="343" w:name="_Toc142311033"/>
      <w:bookmarkStart w:id="344" w:name="_Toc151193701"/>
      <w:bookmarkStart w:id="345" w:name="_Toc151193629"/>
      <w:bookmarkStart w:id="346" w:name="_Toc151193845"/>
      <w:bookmarkStart w:id="347" w:name="_Toc226965721"/>
      <w:bookmarkStart w:id="348" w:name="_Toc265228369"/>
      <w:bookmarkStart w:id="349" w:name="_Toc149720824"/>
      <w:bookmarkStart w:id="350" w:name="_Toc305158799"/>
      <w:bookmarkStart w:id="351" w:name="_Toc520356156"/>
      <w:bookmarkStart w:id="352" w:name="_Toc150774736"/>
      <w:bookmarkStart w:id="353" w:name="_Toc151193919"/>
      <w:bookmarkStart w:id="354" w:name="_Toc151193773"/>
      <w:bookmarkStart w:id="355" w:name="_Toc226337227"/>
      <w:r>
        <w:rPr>
          <w:rFonts w:hint="eastAsia" w:ascii="宋体" w:hAnsi="宋体" w:eastAsia="宋体" w:cs="宋体"/>
          <w:b/>
          <w:bCs/>
          <w:color w:val="auto"/>
          <w:szCs w:val="21"/>
          <w:highlight w:val="none"/>
        </w:rPr>
        <w:t>12.投标保证金</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Pr>
          <w:rFonts w:hint="eastAsia" w:ascii="宋体" w:hAnsi="宋体" w:eastAsia="宋体" w:cs="宋体"/>
          <w:b/>
          <w:bCs/>
          <w:color w:val="auto"/>
          <w:szCs w:val="21"/>
          <w:highlight w:val="none"/>
        </w:rPr>
        <w:t>及履约保证金</w:t>
      </w:r>
    </w:p>
    <w:p w14:paraId="75AD7FCA">
      <w:pPr>
        <w:tabs>
          <w:tab w:val="left" w:pos="360"/>
        </w:tabs>
        <w:spacing w:line="360" w:lineRule="auto"/>
        <w:ind w:left="357"/>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12.1根据江苏省和常州市的相关文件规定，免收投标保证金。</w:t>
      </w:r>
    </w:p>
    <w:p w14:paraId="6DC826C2">
      <w:pPr>
        <w:tabs>
          <w:tab w:val="left" w:pos="360"/>
        </w:tabs>
        <w:spacing w:line="360" w:lineRule="auto"/>
        <w:ind w:left="357"/>
        <w:outlineLvl w:val="1"/>
        <w:rPr>
          <w:rFonts w:hint="eastAsia" w:ascii="宋体" w:hAnsi="宋体" w:eastAsia="宋体" w:cs="宋体"/>
          <w:color w:val="auto"/>
          <w:highlight w:val="none"/>
        </w:rPr>
      </w:pPr>
      <w:r>
        <w:rPr>
          <w:rFonts w:hint="eastAsia" w:ascii="宋体" w:hAnsi="宋体" w:eastAsia="宋体" w:cs="宋体"/>
          <w:color w:val="auto"/>
          <w:szCs w:val="21"/>
          <w:highlight w:val="none"/>
        </w:rPr>
        <w:t>12.2</w:t>
      </w:r>
      <w:r>
        <w:rPr>
          <w:rFonts w:hint="eastAsia" w:ascii="宋体" w:hAnsi="宋体" w:eastAsia="宋体" w:cs="宋体"/>
          <w:color w:val="auto"/>
          <w:highlight w:val="none"/>
        </w:rPr>
        <w:t>中标人须在合同签订之日起5日内向采购人提供金额为</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的履约保证金或保函。</w:t>
      </w:r>
    </w:p>
    <w:p w14:paraId="5410206E">
      <w:pPr>
        <w:tabs>
          <w:tab w:val="left" w:pos="360"/>
        </w:tabs>
        <w:spacing w:line="360" w:lineRule="auto"/>
        <w:ind w:left="357"/>
        <w:outlineLvl w:val="1"/>
        <w:rPr>
          <w:rFonts w:hint="eastAsia" w:ascii="Times New Roman" w:hAnsi="Times New Roman" w:eastAsia="宋体" w:cs="Times New Roman"/>
          <w:color w:val="auto"/>
          <w:highlight w:val="none"/>
        </w:rPr>
      </w:pPr>
      <w:r>
        <w:rPr>
          <w:rFonts w:hint="eastAsia" w:ascii="宋体" w:hAnsi="宋体" w:eastAsia="宋体" w:cs="宋体"/>
          <w:color w:val="auto"/>
          <w:highlight w:val="none"/>
        </w:rPr>
        <w:t>12.3履约保证金将项目结束后30日内无息退返中标人。</w:t>
      </w:r>
    </w:p>
    <w:p w14:paraId="01C61167">
      <w:pPr>
        <w:tabs>
          <w:tab w:val="left" w:pos="360"/>
        </w:tabs>
        <w:spacing w:line="360" w:lineRule="auto"/>
        <w:outlineLvl w:val="1"/>
        <w:rPr>
          <w:rFonts w:hint="eastAsia" w:ascii="宋体" w:hAnsi="宋体" w:eastAsia="宋体" w:cs="宋体"/>
          <w:b/>
          <w:bCs/>
          <w:color w:val="auto"/>
          <w:szCs w:val="21"/>
          <w:highlight w:val="none"/>
        </w:rPr>
      </w:pPr>
      <w:bookmarkStart w:id="356" w:name="_Toc151190159"/>
      <w:bookmarkStart w:id="357" w:name="_Toc151193702"/>
      <w:bookmarkStart w:id="358" w:name="_Toc150774632"/>
      <w:bookmarkStart w:id="359" w:name="_Toc142311034"/>
      <w:bookmarkStart w:id="360" w:name="_Toc164608646"/>
      <w:bookmarkStart w:id="361" w:name="_Toc150774737"/>
      <w:bookmarkStart w:id="362" w:name="_Toc149720825"/>
      <w:bookmarkStart w:id="363" w:name="_Toc305158874"/>
      <w:bookmarkStart w:id="364" w:name="_Toc305158800"/>
      <w:bookmarkStart w:id="365" w:name="_Toc127151532"/>
      <w:bookmarkStart w:id="366" w:name="_Toc151193630"/>
      <w:bookmarkStart w:id="367" w:name="_Toc151193920"/>
      <w:bookmarkStart w:id="368" w:name="_Toc164229227"/>
      <w:bookmarkStart w:id="369" w:name="_Toc520356157"/>
      <w:bookmarkStart w:id="370" w:name="_Toc226309776"/>
      <w:bookmarkStart w:id="371" w:name="_Toc127161446"/>
      <w:bookmarkStart w:id="372" w:name="_Toc151193774"/>
      <w:bookmarkStart w:id="373" w:name="_Toc150480770"/>
      <w:bookmarkStart w:id="374" w:name="_Toc164229373"/>
      <w:bookmarkStart w:id="375" w:name="_Toc151193846"/>
      <w:bookmarkStart w:id="376" w:name="_Toc195842897"/>
      <w:bookmarkStart w:id="377" w:name="_Toc226965722"/>
      <w:bookmarkStart w:id="378" w:name="_Toc127151733"/>
      <w:bookmarkStart w:id="379" w:name="_Toc164351626"/>
      <w:bookmarkStart w:id="380" w:name="_Toc264969222"/>
      <w:bookmarkStart w:id="381" w:name="_Toc265228370"/>
      <w:bookmarkStart w:id="382" w:name="_Toc226965805"/>
      <w:bookmarkStart w:id="383" w:name="_Toc226337228"/>
      <w:bookmarkStart w:id="384" w:name="_Toc150509283"/>
      <w:bookmarkStart w:id="385" w:name="_Toc164608801"/>
      <w:r>
        <w:rPr>
          <w:rFonts w:hint="eastAsia" w:ascii="宋体" w:hAnsi="宋体" w:eastAsia="宋体" w:cs="宋体"/>
          <w:b/>
          <w:bCs/>
          <w:color w:val="auto"/>
          <w:szCs w:val="21"/>
          <w:highlight w:val="none"/>
        </w:rPr>
        <w:t>13.投标有效期</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6046B58C">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13.1投标文件应在本招标文件《投标人须知资料表》中规定的投标有效期内保持有效，投标有效期少于招标文件规定期限的，其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64DE41BC">
      <w:pPr>
        <w:tabs>
          <w:tab w:val="left" w:pos="360"/>
        </w:tabs>
        <w:spacing w:line="360" w:lineRule="auto"/>
        <w:outlineLvl w:val="1"/>
        <w:rPr>
          <w:rFonts w:hint="eastAsia" w:ascii="宋体" w:hAnsi="宋体" w:eastAsia="宋体" w:cs="宋体"/>
          <w:b/>
          <w:bCs/>
          <w:color w:val="auto"/>
          <w:szCs w:val="21"/>
          <w:highlight w:val="none"/>
        </w:rPr>
      </w:pPr>
      <w:bookmarkStart w:id="386" w:name="_Toc226965806"/>
      <w:bookmarkStart w:id="387" w:name="_Toc305158801"/>
      <w:bookmarkStart w:id="388" w:name="_Toc142311035"/>
      <w:bookmarkStart w:id="389" w:name="_Toc149720826"/>
      <w:bookmarkStart w:id="390" w:name="_Toc150774738"/>
      <w:bookmarkStart w:id="391" w:name="_Toc226965723"/>
      <w:bookmarkStart w:id="392" w:name="_Toc226337229"/>
      <w:bookmarkStart w:id="393" w:name="_Toc151193847"/>
      <w:bookmarkStart w:id="394" w:name="_Toc264969223"/>
      <w:bookmarkStart w:id="395" w:name="_Toc164608647"/>
      <w:bookmarkStart w:id="396" w:name="_Toc164229228"/>
      <w:bookmarkStart w:id="397" w:name="_Toc164608802"/>
      <w:bookmarkStart w:id="398" w:name="_Toc151193631"/>
      <w:bookmarkStart w:id="399" w:name="_Toc151193921"/>
      <w:bookmarkStart w:id="400" w:name="_Toc151193775"/>
      <w:bookmarkStart w:id="401" w:name="_Toc150480771"/>
      <w:bookmarkStart w:id="402" w:name="_Toc164351627"/>
      <w:bookmarkStart w:id="403" w:name="_Toc164229374"/>
      <w:bookmarkStart w:id="404" w:name="_Toc520356158"/>
      <w:bookmarkStart w:id="405" w:name="_Toc150509284"/>
      <w:bookmarkStart w:id="406" w:name="_Toc150774633"/>
      <w:bookmarkStart w:id="407" w:name="_Toc127161447"/>
      <w:bookmarkStart w:id="408" w:name="_Toc195842898"/>
      <w:bookmarkStart w:id="409" w:name="_Toc226309777"/>
      <w:bookmarkStart w:id="410" w:name="_Toc127151533"/>
      <w:bookmarkStart w:id="411" w:name="_Toc265228371"/>
      <w:bookmarkStart w:id="412" w:name="_Toc151190160"/>
      <w:bookmarkStart w:id="413" w:name="_Toc127151734"/>
      <w:bookmarkStart w:id="414" w:name="_Toc305158875"/>
      <w:bookmarkStart w:id="415" w:name="_Toc151193703"/>
      <w:r>
        <w:rPr>
          <w:rFonts w:hint="eastAsia" w:ascii="宋体" w:hAnsi="宋体" w:eastAsia="宋体" w:cs="宋体"/>
          <w:b/>
          <w:bCs/>
          <w:color w:val="auto"/>
          <w:szCs w:val="21"/>
          <w:highlight w:val="none"/>
        </w:rPr>
        <w:t>14.投标文件的签署</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rFonts w:hint="eastAsia" w:ascii="宋体" w:hAnsi="宋体" w:eastAsia="宋体" w:cs="宋体"/>
          <w:b/>
          <w:bCs/>
          <w:color w:val="auto"/>
          <w:szCs w:val="21"/>
          <w:highlight w:val="none"/>
        </w:rPr>
        <w:t>、加盖公章</w:t>
      </w:r>
    </w:p>
    <w:p w14:paraId="57332451">
      <w:pPr>
        <w:spacing w:line="360" w:lineRule="auto"/>
        <w:ind w:firstLine="420"/>
        <w:rPr>
          <w:rFonts w:hint="eastAsia" w:ascii="宋体" w:hAnsi="宋体" w:eastAsia="宋体" w:cs="宋体"/>
          <w:color w:val="auto"/>
          <w:szCs w:val="21"/>
          <w:highlight w:val="none"/>
        </w:rPr>
      </w:pPr>
      <w:bookmarkStart w:id="416" w:name="_Toc226965807"/>
      <w:bookmarkStart w:id="417" w:name="_Toc305158802"/>
      <w:bookmarkStart w:id="418" w:name="_Toc150774634"/>
      <w:bookmarkStart w:id="419" w:name="_Toc226965724"/>
      <w:bookmarkStart w:id="420" w:name="_Toc151190161"/>
      <w:bookmarkStart w:id="421" w:name="_Toc264969224"/>
      <w:bookmarkStart w:id="422" w:name="_Toc150509285"/>
      <w:bookmarkStart w:id="423" w:name="_Toc226337230"/>
      <w:bookmarkStart w:id="424" w:name="_Toc151193632"/>
      <w:bookmarkStart w:id="425" w:name="_Toc151193848"/>
      <w:bookmarkStart w:id="426" w:name="_Toc520356159"/>
      <w:bookmarkStart w:id="427" w:name="_Toc265228372"/>
      <w:bookmarkStart w:id="428" w:name="_Toc151193704"/>
      <w:bookmarkStart w:id="429" w:name="_Toc127151534"/>
      <w:bookmarkStart w:id="430" w:name="_Toc150774739"/>
      <w:bookmarkStart w:id="431" w:name="_Toc151193922"/>
      <w:bookmarkStart w:id="432" w:name="_Toc195842899"/>
      <w:bookmarkStart w:id="433" w:name="_Toc150480772"/>
      <w:bookmarkStart w:id="434" w:name="_Toc142311036"/>
      <w:bookmarkStart w:id="435" w:name="_Toc305158876"/>
      <w:bookmarkStart w:id="436" w:name="_Toc151193776"/>
      <w:bookmarkStart w:id="437" w:name="_Toc226309778"/>
      <w:r>
        <w:rPr>
          <w:rFonts w:hint="eastAsia" w:ascii="宋体" w:hAnsi="宋体" w:eastAsia="宋体" w:cs="宋体"/>
          <w:color w:val="auto"/>
          <w:szCs w:val="21"/>
          <w:highlight w:val="none"/>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0E506434">
      <w:pPr>
        <w:spacing w:line="360" w:lineRule="auto"/>
        <w:ind w:firstLine="422"/>
        <w:rPr>
          <w:rFonts w:ascii="Times New Roman" w:hAnsi="Times New Roman" w:eastAsia="宋体" w:cs="Times New Roman"/>
          <w:color w:val="auto"/>
          <w:highlight w:val="none"/>
        </w:rPr>
      </w:pPr>
      <w:r>
        <w:rPr>
          <w:rFonts w:hint="eastAsia" w:ascii="宋体" w:hAnsi="宋体" w:eastAsia="宋体" w:cs="宋体"/>
          <w:b/>
          <w:bCs/>
          <w:color w:val="auto"/>
          <w:szCs w:val="21"/>
          <w:highlight w:val="none"/>
        </w:rPr>
        <w:t>14.2招标文件要求加盖公章的内容，一般通过投标文件编制工具加盖电子签章。</w:t>
      </w:r>
    </w:p>
    <w:p w14:paraId="65643EF3">
      <w:pPr>
        <w:keepNext/>
        <w:keepLines/>
        <w:widowControl w:val="0"/>
        <w:spacing w:before="0" w:line="360" w:lineRule="auto"/>
        <w:jc w:val="center"/>
        <w:outlineLvl w:val="1"/>
        <w:rPr>
          <w:rFonts w:hint="default" w:ascii="Times New Roman" w:hAnsi="Times New Roman" w:eastAsia="宋体" w:cs="Times New Roman"/>
          <w:b/>
          <w:color w:val="auto"/>
          <w:sz w:val="28"/>
          <w:szCs w:val="20"/>
          <w:highlight w:val="none"/>
          <w:lang w:val="en-US" w:eastAsia="zh-CN" w:bidi="ar-SA"/>
        </w:rPr>
      </w:pPr>
      <w:r>
        <w:rPr>
          <w:rFonts w:hint="default" w:ascii="Times New Roman" w:hAnsi="Times New Roman" w:eastAsia="宋体" w:cs="Times New Roman"/>
          <w:b/>
          <w:color w:val="auto"/>
          <w:sz w:val="28"/>
          <w:szCs w:val="20"/>
          <w:highlight w:val="none"/>
          <w:lang w:val="en-US" w:eastAsia="zh-CN" w:bidi="ar-SA"/>
        </w:rPr>
        <w:t>四   投标文件的提交</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04EB2D52">
      <w:pPr>
        <w:tabs>
          <w:tab w:val="left" w:pos="360"/>
        </w:tabs>
        <w:spacing w:line="360" w:lineRule="auto"/>
        <w:outlineLvl w:val="1"/>
        <w:rPr>
          <w:rFonts w:hint="eastAsia" w:ascii="宋体" w:hAnsi="宋体" w:eastAsia="宋体" w:cs="宋体"/>
          <w:b/>
          <w:bCs/>
          <w:color w:val="auto"/>
          <w:szCs w:val="21"/>
          <w:highlight w:val="none"/>
        </w:rPr>
      </w:pPr>
      <w:bookmarkStart w:id="438" w:name="_Toc127151736"/>
      <w:bookmarkStart w:id="439" w:name="_Toc164351629"/>
      <w:bookmarkStart w:id="440" w:name="_Toc150774740"/>
      <w:bookmarkStart w:id="441" w:name="_Toc520356160"/>
      <w:bookmarkStart w:id="442" w:name="_Toc164608804"/>
      <w:bookmarkStart w:id="443" w:name="_Toc149720828"/>
      <w:bookmarkStart w:id="444" w:name="_Toc305158803"/>
      <w:bookmarkStart w:id="445" w:name="_Toc164229230"/>
      <w:bookmarkStart w:id="446" w:name="_Toc150509286"/>
      <w:bookmarkStart w:id="447" w:name="_Toc150480773"/>
      <w:bookmarkStart w:id="448" w:name="_Toc226337231"/>
      <w:bookmarkStart w:id="449" w:name="_Toc127151535"/>
      <w:bookmarkStart w:id="450" w:name="_Toc305158877"/>
      <w:bookmarkStart w:id="451" w:name="_Toc151193633"/>
      <w:bookmarkStart w:id="452" w:name="_Toc226309779"/>
      <w:bookmarkStart w:id="453" w:name="_Toc226965725"/>
      <w:bookmarkStart w:id="454" w:name="_Toc151193705"/>
      <w:bookmarkStart w:id="455" w:name="_Toc150774635"/>
      <w:bookmarkStart w:id="456" w:name="_Toc142311037"/>
      <w:bookmarkStart w:id="457" w:name="_Toc226965808"/>
      <w:bookmarkStart w:id="458" w:name="_Toc151190162"/>
      <w:bookmarkStart w:id="459" w:name="_Toc195842900"/>
      <w:bookmarkStart w:id="460" w:name="_Toc164229376"/>
      <w:bookmarkStart w:id="461" w:name="_Toc151193923"/>
      <w:bookmarkStart w:id="462" w:name="_Toc164608649"/>
      <w:bookmarkStart w:id="463" w:name="_Toc127161449"/>
      <w:bookmarkStart w:id="464" w:name="_Toc151193849"/>
      <w:bookmarkStart w:id="465" w:name="_Toc265228373"/>
      <w:bookmarkStart w:id="466" w:name="_Toc264969225"/>
      <w:bookmarkStart w:id="467" w:name="_Toc151193777"/>
      <w:r>
        <w:rPr>
          <w:rFonts w:hint="eastAsia" w:ascii="宋体" w:hAnsi="宋体" w:eastAsia="宋体" w:cs="宋体"/>
          <w:b/>
          <w:bCs/>
          <w:color w:val="auto"/>
          <w:szCs w:val="21"/>
          <w:highlight w:val="none"/>
        </w:rPr>
        <w:t>15.投标文件的</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hint="eastAsia" w:ascii="宋体" w:hAnsi="宋体" w:eastAsia="宋体" w:cs="宋体"/>
          <w:b/>
          <w:bCs/>
          <w:color w:val="auto"/>
          <w:szCs w:val="21"/>
          <w:highlight w:val="none"/>
        </w:rPr>
        <w:t>提交</w:t>
      </w:r>
    </w:p>
    <w:p w14:paraId="00136DDE">
      <w:pPr>
        <w:tabs>
          <w:tab w:val="left" w:pos="360"/>
        </w:tabs>
        <w:spacing w:line="360" w:lineRule="auto"/>
        <w:ind w:firstLine="420"/>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15.1本项目使用“苏采云”政府采购一体化平台。投标人根据招标文件及“苏采云”政府采购一体化平台供应商操作手册要求编制、生成并提交电子投标文件。 </w:t>
      </w:r>
    </w:p>
    <w:p w14:paraId="090988C1">
      <w:pPr>
        <w:tabs>
          <w:tab w:val="left" w:pos="1080"/>
          <w:tab w:val="left" w:pos="2014"/>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15.2采购人及采购代理机构拒绝接受通过“苏采云”政府采购一体化平台以外任何形式提交的投标文件。</w:t>
      </w:r>
    </w:p>
    <w:p w14:paraId="4D872EC7">
      <w:pPr>
        <w:tabs>
          <w:tab w:val="left" w:pos="360"/>
        </w:tabs>
        <w:spacing w:line="360" w:lineRule="auto"/>
        <w:outlineLvl w:val="1"/>
        <w:rPr>
          <w:rFonts w:ascii="Times New Roman" w:hAnsi="Times New Roman" w:eastAsia="宋体" w:cs="Times New Roman"/>
          <w:b/>
          <w:bCs/>
          <w:color w:val="auto"/>
          <w:szCs w:val="21"/>
          <w:highlight w:val="none"/>
        </w:rPr>
      </w:pPr>
      <w:bookmarkStart w:id="468" w:name="_Toc520356161"/>
      <w:bookmarkStart w:id="469" w:name="_Toc264969226"/>
      <w:bookmarkStart w:id="470" w:name="_Toc151193634"/>
      <w:bookmarkStart w:id="471" w:name="_Toc151193778"/>
      <w:bookmarkStart w:id="472" w:name="_Toc151190163"/>
      <w:bookmarkStart w:id="473" w:name="_Toc226337232"/>
      <w:bookmarkStart w:id="474" w:name="_Toc226965726"/>
      <w:bookmarkStart w:id="475" w:name="_Toc164351630"/>
      <w:bookmarkStart w:id="476" w:name="_Toc149720829"/>
      <w:bookmarkStart w:id="477" w:name="_Toc195842901"/>
      <w:bookmarkStart w:id="478" w:name="_Toc226965809"/>
      <w:bookmarkStart w:id="479" w:name="_Toc150509287"/>
      <w:bookmarkStart w:id="480" w:name="_Toc150774636"/>
      <w:bookmarkStart w:id="481" w:name="_Toc164229231"/>
      <w:bookmarkStart w:id="482" w:name="_Toc127151536"/>
      <w:bookmarkStart w:id="483" w:name="_Toc151193924"/>
      <w:bookmarkStart w:id="484" w:name="_Toc305158878"/>
      <w:bookmarkStart w:id="485" w:name="_Toc150480774"/>
      <w:bookmarkStart w:id="486" w:name="_Toc127151737"/>
      <w:bookmarkStart w:id="487" w:name="_Toc164608805"/>
      <w:bookmarkStart w:id="488" w:name="_Toc164229377"/>
      <w:bookmarkStart w:id="489" w:name="_Toc226309780"/>
      <w:bookmarkStart w:id="490" w:name="_Toc142311038"/>
      <w:bookmarkStart w:id="491" w:name="_Toc265228374"/>
      <w:bookmarkStart w:id="492" w:name="_Toc150774741"/>
      <w:bookmarkStart w:id="493" w:name="_Toc164608650"/>
      <w:bookmarkStart w:id="494" w:name="_Toc151193706"/>
      <w:bookmarkStart w:id="495" w:name="_Toc305158804"/>
      <w:bookmarkStart w:id="496" w:name="_Toc127161450"/>
      <w:bookmarkStart w:id="497" w:name="_Toc151193850"/>
      <w:r>
        <w:rPr>
          <w:rFonts w:hint="eastAsia" w:ascii="Times New Roman" w:hAnsi="Times New Roman" w:eastAsia="宋体" w:cs="Times New Roman"/>
          <w:b/>
          <w:bCs/>
          <w:color w:val="auto"/>
          <w:szCs w:val="21"/>
          <w:highlight w:val="none"/>
        </w:rPr>
        <w:t>16.</w:t>
      </w:r>
      <w:r>
        <w:rPr>
          <w:rFonts w:ascii="Times New Roman" w:hAnsi="Times New Roman" w:eastAsia="宋体" w:cs="Times New Roman"/>
          <w:b/>
          <w:bCs/>
          <w:color w:val="auto"/>
          <w:szCs w:val="21"/>
          <w:highlight w:val="none"/>
        </w:rPr>
        <w:t>投标截止</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Times New Roman" w:hAnsi="Times New Roman" w:eastAsia="宋体" w:cs="Times New Roman"/>
          <w:b/>
          <w:bCs/>
          <w:color w:val="auto"/>
          <w:szCs w:val="21"/>
          <w:highlight w:val="none"/>
        </w:rPr>
        <w:t>时间</w:t>
      </w:r>
    </w:p>
    <w:p w14:paraId="77CC40DD">
      <w:pPr>
        <w:tabs>
          <w:tab w:val="left" w:pos="360"/>
        </w:tabs>
        <w:spacing w:line="360" w:lineRule="auto"/>
        <w:ind w:firstLine="420"/>
        <w:outlineLvl w:val="1"/>
        <w:rPr>
          <w:rFonts w:hint="eastAsia" w:ascii="宋体" w:hAnsi="宋体" w:eastAsia="宋体" w:cs="宋体"/>
          <w:color w:val="auto"/>
          <w:szCs w:val="21"/>
          <w:highlight w:val="none"/>
        </w:rPr>
      </w:pPr>
      <w:bookmarkStart w:id="498" w:name="_Toc226965727"/>
      <w:bookmarkStart w:id="499" w:name="_Toc150774742"/>
      <w:bookmarkStart w:id="500" w:name="_Toc164229378"/>
      <w:bookmarkStart w:id="501" w:name="_Toc164608651"/>
      <w:bookmarkStart w:id="502" w:name="_Toc151193925"/>
      <w:bookmarkStart w:id="503" w:name="_Toc164229232"/>
      <w:bookmarkStart w:id="504" w:name="_Toc226309781"/>
      <w:bookmarkStart w:id="505" w:name="_Toc164608806"/>
      <w:bookmarkStart w:id="506" w:name="_Toc305158805"/>
      <w:bookmarkStart w:id="507" w:name="_Toc264969227"/>
      <w:bookmarkStart w:id="508" w:name="_Toc520356162"/>
      <w:bookmarkStart w:id="509" w:name="_Toc151190164"/>
      <w:bookmarkStart w:id="510" w:name="_Toc142311039"/>
      <w:bookmarkStart w:id="511" w:name="_Toc127151738"/>
      <w:bookmarkStart w:id="512" w:name="_Toc195842902"/>
      <w:bookmarkStart w:id="513" w:name="_Toc151193851"/>
      <w:bookmarkStart w:id="514" w:name="_Toc226965810"/>
      <w:bookmarkStart w:id="515" w:name="_Toc149720830"/>
      <w:bookmarkStart w:id="516" w:name="_Toc151193635"/>
      <w:bookmarkStart w:id="517" w:name="_Toc150480775"/>
      <w:bookmarkStart w:id="518" w:name="_Toc265228375"/>
      <w:bookmarkStart w:id="519" w:name="_Toc150774637"/>
      <w:bookmarkStart w:id="520" w:name="_Toc305158879"/>
      <w:bookmarkStart w:id="521" w:name="_Toc226337233"/>
      <w:bookmarkStart w:id="522" w:name="_Toc127151537"/>
      <w:bookmarkStart w:id="523" w:name="_Toc127161451"/>
      <w:bookmarkStart w:id="524" w:name="_Toc150509288"/>
      <w:bookmarkStart w:id="525" w:name="_Toc164351631"/>
      <w:bookmarkStart w:id="526" w:name="_Toc151193707"/>
      <w:bookmarkStart w:id="527" w:name="_Toc151193779"/>
      <w:r>
        <w:rPr>
          <w:rFonts w:hint="eastAsia" w:ascii="宋体" w:hAnsi="宋体" w:eastAsia="宋体" w:cs="宋体"/>
          <w:color w:val="auto"/>
          <w:szCs w:val="21"/>
          <w:highlight w:val="none"/>
        </w:rPr>
        <w:t>16.1投标人应在招标文件要求提交投标文件截止时间前，将电子投标文件提交至“苏采云”政府采购一体化平台。</w:t>
      </w:r>
    </w:p>
    <w:p w14:paraId="248147C7">
      <w:pPr>
        <w:tabs>
          <w:tab w:val="left" w:pos="360"/>
        </w:tabs>
        <w:spacing w:line="360" w:lineRule="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17.投标文件的修改与撤回</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51820A5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17.1投标截止时间前，投标人可以通过“苏采云”政府采购一体化平台对所提交的投标文件进行补充、修改或者撤回。</w:t>
      </w:r>
    </w:p>
    <w:p w14:paraId="4B0170C2">
      <w:pPr>
        <w:spacing w:line="360" w:lineRule="auto"/>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17.2投标人对投标文件的补充、修改的内容应当按照招标文件要求签署、加盖公章，作为投标文件的组成部分。</w:t>
      </w:r>
    </w:p>
    <w:p w14:paraId="452C1192">
      <w:pPr>
        <w:keepNext/>
        <w:keepLines/>
        <w:widowControl w:val="0"/>
        <w:spacing w:before="0" w:line="360" w:lineRule="auto"/>
        <w:jc w:val="center"/>
        <w:outlineLvl w:val="1"/>
        <w:rPr>
          <w:rFonts w:hint="default" w:ascii="Times New Roman" w:hAnsi="Times New Roman" w:eastAsia="宋体" w:cs="Times New Roman"/>
          <w:b/>
          <w:color w:val="auto"/>
          <w:sz w:val="28"/>
          <w:szCs w:val="20"/>
          <w:highlight w:val="none"/>
          <w:lang w:val="en-US" w:eastAsia="zh-CN" w:bidi="ar-SA"/>
        </w:rPr>
      </w:pPr>
      <w:bookmarkStart w:id="528" w:name="_Toc520356163"/>
      <w:bookmarkStart w:id="529" w:name="_Toc226965728"/>
      <w:bookmarkStart w:id="530" w:name="_Toc305158806"/>
      <w:bookmarkStart w:id="531" w:name="_Toc151193926"/>
      <w:bookmarkStart w:id="532" w:name="_Toc151190165"/>
      <w:bookmarkStart w:id="533" w:name="_Toc151193708"/>
      <w:bookmarkStart w:id="534" w:name="_Toc142311040"/>
      <w:bookmarkStart w:id="535" w:name="_Toc150480776"/>
      <w:bookmarkStart w:id="536" w:name="_Toc226337234"/>
      <w:bookmarkStart w:id="537" w:name="_Toc195842903"/>
      <w:bookmarkStart w:id="538" w:name="_Toc226309782"/>
      <w:bookmarkStart w:id="539" w:name="_Toc150509289"/>
      <w:bookmarkStart w:id="540" w:name="_Toc151193780"/>
      <w:bookmarkStart w:id="541" w:name="_Toc127151538"/>
      <w:bookmarkStart w:id="542" w:name="_Toc226965811"/>
      <w:bookmarkStart w:id="543" w:name="_Toc150774743"/>
      <w:bookmarkStart w:id="544" w:name="_Toc305158880"/>
      <w:bookmarkStart w:id="545" w:name="_Toc151193636"/>
      <w:bookmarkStart w:id="546" w:name="_Toc151193852"/>
      <w:bookmarkStart w:id="547" w:name="_Toc265228376"/>
      <w:bookmarkStart w:id="548" w:name="_Toc264969228"/>
      <w:bookmarkStart w:id="549" w:name="_Toc150774638"/>
      <w:r>
        <w:rPr>
          <w:rFonts w:hint="default" w:ascii="Times New Roman" w:hAnsi="Times New Roman" w:eastAsia="宋体" w:cs="Times New Roman"/>
          <w:b/>
          <w:color w:val="auto"/>
          <w:sz w:val="28"/>
          <w:szCs w:val="20"/>
          <w:highlight w:val="none"/>
          <w:lang w:val="en-US" w:eastAsia="zh-CN" w:bidi="ar-SA"/>
        </w:rPr>
        <w:t>五   开标、资格审查及评标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5885CD4C">
      <w:pPr>
        <w:spacing w:line="360" w:lineRule="auto"/>
        <w:rPr>
          <w:rFonts w:hint="eastAsia" w:ascii="宋体" w:hAnsi="宋体" w:eastAsia="宋体" w:cs="宋体"/>
          <w:b/>
          <w:bCs/>
          <w:color w:val="auto"/>
          <w:szCs w:val="21"/>
          <w:highlight w:val="none"/>
        </w:rPr>
      </w:pPr>
      <w:bookmarkStart w:id="550" w:name="_Toc520356169"/>
      <w:r>
        <w:rPr>
          <w:rFonts w:hint="eastAsia" w:ascii="宋体" w:hAnsi="宋体" w:eastAsia="宋体" w:cs="宋体"/>
          <w:b/>
          <w:bCs/>
          <w:color w:val="auto"/>
          <w:szCs w:val="21"/>
          <w:highlight w:val="none"/>
        </w:rPr>
        <w:t>18.开标</w:t>
      </w:r>
    </w:p>
    <w:p w14:paraId="23BCD86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18.1采购人或采购代理机构将按招标文件的规定，在投标截止时间的同一时间和招标文件预先确定的地点组织开标。</w:t>
      </w:r>
    </w:p>
    <w:p w14:paraId="5F45F64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bCs/>
          <w:color w:val="auto"/>
          <w:szCs w:val="21"/>
          <w:highlight w:val="none"/>
        </w:rPr>
        <w:t>投标无效</w:t>
      </w:r>
      <w:r>
        <w:rPr>
          <w:rFonts w:hint="eastAsia" w:ascii="宋体" w:hAnsi="宋体" w:eastAsia="宋体" w:cs="宋体"/>
          <w:color w:val="auto"/>
          <w:szCs w:val="21"/>
          <w:highlight w:val="none"/>
        </w:rPr>
        <w:t>。</w:t>
      </w:r>
    </w:p>
    <w:p w14:paraId="2159643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p>
    <w:p w14:paraId="64695BB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6616A70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18.5投标人不足3家的，不予开标。</w:t>
      </w:r>
    </w:p>
    <w:p w14:paraId="4C4898D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5E2C8D9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39B30369">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    1)平台系统发生故障而无法登录访问的；</w:t>
      </w:r>
    </w:p>
    <w:p w14:paraId="2E1C895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2)平台系统应用或数据库出现错误，不能进行正常操作的；</w:t>
      </w:r>
    </w:p>
    <w:p w14:paraId="32B1ABD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3)平台系统发现严重安全漏洞，有潜在泄密危险的；</w:t>
      </w:r>
    </w:p>
    <w:p w14:paraId="3CAAC52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4)病毒发作导致平台系统不能进行正常操作的；</w:t>
      </w:r>
    </w:p>
    <w:p w14:paraId="6D8C6BA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5)其他无法保证本次采购活动的公平、公正和安全的情况。</w:t>
      </w:r>
    </w:p>
    <w:p w14:paraId="56C0D75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1FB2CE1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19.资格审查</w:t>
      </w:r>
    </w:p>
    <w:p w14:paraId="42F8569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19.1见第三章《资格审查》。</w:t>
      </w:r>
    </w:p>
    <w:p w14:paraId="6C06E14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20.评标委员会</w:t>
      </w:r>
    </w:p>
    <w:p w14:paraId="6DAA08E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20.1评标委员会根据政府采购有关规定和本次招标采购项目的特点进行组建，并负责具体评标事务，独立履行职责。</w:t>
      </w:r>
    </w:p>
    <w:p w14:paraId="2FF79A9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20.2评审专家须符合相关规定。依法自行选定评审专家的，采购人和采购代理机构将查询有关信用记录，对具有行贿、受贿、欺诈等不良信用记录的人员，拒绝其参与政府采购活动。</w:t>
      </w:r>
    </w:p>
    <w:p w14:paraId="2C7F4EE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21.评标程序、评标方法和评标标准</w:t>
      </w:r>
    </w:p>
    <w:p w14:paraId="2EC15259">
      <w:pPr>
        <w:spacing w:line="360" w:lineRule="auto"/>
        <w:ind w:firstLine="420"/>
        <w:rPr>
          <w:rFonts w:ascii="Times New Roman" w:hAnsi="Times New Roman" w:eastAsia="宋体" w:cs="Times New Roman"/>
          <w:color w:val="auto"/>
          <w:sz w:val="24"/>
          <w:highlight w:val="none"/>
        </w:rPr>
      </w:pPr>
      <w:r>
        <w:rPr>
          <w:rFonts w:hint="eastAsia" w:ascii="宋体" w:hAnsi="宋体" w:eastAsia="宋体" w:cs="宋体"/>
          <w:color w:val="auto"/>
          <w:szCs w:val="21"/>
          <w:highlight w:val="none"/>
        </w:rPr>
        <w:t>21.1见第四章《评标程序、评标方法和评标标准》。</w:t>
      </w:r>
    </w:p>
    <w:p w14:paraId="24230868">
      <w:pPr>
        <w:keepNext/>
        <w:keepLines/>
        <w:widowControl w:val="0"/>
        <w:spacing w:before="0" w:line="360" w:lineRule="auto"/>
        <w:jc w:val="center"/>
        <w:outlineLvl w:val="1"/>
        <w:rPr>
          <w:rFonts w:hint="default" w:ascii="Times New Roman" w:hAnsi="Times New Roman" w:eastAsia="宋体" w:cs="Times New Roman"/>
          <w:b/>
          <w:color w:val="auto"/>
          <w:sz w:val="28"/>
          <w:szCs w:val="20"/>
          <w:highlight w:val="none"/>
          <w:lang w:val="en-US" w:eastAsia="zh-CN" w:bidi="ar-SA"/>
        </w:rPr>
      </w:pPr>
      <w:bookmarkStart w:id="551" w:name="_Toc142311047"/>
      <w:bookmarkStart w:id="552" w:name="_Toc151190172"/>
      <w:bookmarkStart w:id="553" w:name="_Toc150774750"/>
      <w:bookmarkStart w:id="554" w:name="_Toc305158887"/>
      <w:bookmarkStart w:id="555" w:name="_Toc151193787"/>
      <w:bookmarkStart w:id="556" w:name="_Toc265228383"/>
      <w:bookmarkStart w:id="557" w:name="_Toc226965818"/>
      <w:bookmarkStart w:id="558" w:name="_Toc226309789"/>
      <w:bookmarkStart w:id="559" w:name="_Toc150480783"/>
      <w:bookmarkStart w:id="560" w:name="_Toc151193933"/>
      <w:bookmarkStart w:id="561" w:name="_Toc226965735"/>
      <w:bookmarkStart w:id="562" w:name="_Toc151193859"/>
      <w:bookmarkStart w:id="563" w:name="_Toc264969235"/>
      <w:bookmarkStart w:id="564" w:name="_Toc150509296"/>
      <w:bookmarkStart w:id="565" w:name="_Toc151193643"/>
      <w:bookmarkStart w:id="566" w:name="_Toc195842910"/>
      <w:bookmarkStart w:id="567" w:name="_Toc151193715"/>
      <w:bookmarkStart w:id="568" w:name="_Toc305158813"/>
      <w:bookmarkStart w:id="569" w:name="_Toc127151545"/>
      <w:bookmarkStart w:id="570" w:name="_Toc150774645"/>
      <w:bookmarkStart w:id="571" w:name="_Toc226337241"/>
      <w:r>
        <w:rPr>
          <w:rFonts w:hint="default" w:ascii="Times New Roman" w:hAnsi="Times New Roman" w:eastAsia="宋体" w:cs="Times New Roman"/>
          <w:b/>
          <w:color w:val="auto"/>
          <w:sz w:val="28"/>
          <w:szCs w:val="20"/>
          <w:highlight w:val="none"/>
          <w:lang w:val="en-US" w:eastAsia="zh-CN" w:bidi="ar-SA"/>
        </w:rPr>
        <w:t xml:space="preserve">六   </w:t>
      </w:r>
      <w:bookmarkEnd w:id="550"/>
      <w:r>
        <w:rPr>
          <w:rFonts w:hint="default" w:ascii="Times New Roman" w:hAnsi="Times New Roman" w:eastAsia="宋体" w:cs="Times New Roman"/>
          <w:b/>
          <w:color w:val="auto"/>
          <w:sz w:val="28"/>
          <w:szCs w:val="20"/>
          <w:highlight w:val="none"/>
          <w:lang w:val="en-US" w:eastAsia="zh-CN" w:bidi="ar-SA"/>
        </w:rPr>
        <w:t>确定中标</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Start w:id="572" w:name="_Toc127151547"/>
      <w:bookmarkStart w:id="573" w:name="_Toc265228385"/>
      <w:bookmarkStart w:id="574" w:name="_Toc150509298"/>
      <w:bookmarkStart w:id="575" w:name="_Toc151193645"/>
      <w:bookmarkStart w:id="576" w:name="_Toc226337243"/>
      <w:bookmarkStart w:id="577" w:name="_Toc164608661"/>
      <w:bookmarkStart w:id="578" w:name="_Toc305158815"/>
      <w:bookmarkStart w:id="579" w:name="_Toc151193935"/>
      <w:bookmarkStart w:id="580" w:name="_Toc127151748"/>
      <w:bookmarkStart w:id="581" w:name="_Toc164229388"/>
      <w:bookmarkStart w:id="582" w:name="_Toc164229242"/>
      <w:bookmarkStart w:id="583" w:name="_Toc226965737"/>
      <w:bookmarkStart w:id="584" w:name="_Toc150480785"/>
      <w:bookmarkStart w:id="585" w:name="_Toc127161461"/>
      <w:bookmarkStart w:id="586" w:name="_Toc151193789"/>
      <w:bookmarkStart w:id="587" w:name="_Toc164608816"/>
      <w:bookmarkStart w:id="588" w:name="_Toc195842912"/>
      <w:bookmarkStart w:id="589" w:name="_Toc149720840"/>
      <w:bookmarkStart w:id="590" w:name="_Toc142311049"/>
      <w:bookmarkStart w:id="591" w:name="_Toc150774647"/>
      <w:bookmarkStart w:id="592" w:name="_Toc151193717"/>
      <w:bookmarkStart w:id="593" w:name="_Toc226965820"/>
      <w:bookmarkStart w:id="594" w:name="_Toc150774752"/>
      <w:bookmarkStart w:id="595" w:name="_Toc226309791"/>
      <w:bookmarkStart w:id="596" w:name="_Toc151190174"/>
      <w:bookmarkStart w:id="597" w:name="_Toc151193861"/>
      <w:bookmarkStart w:id="598" w:name="_Toc305158889"/>
      <w:bookmarkStart w:id="599" w:name="_Toc264969237"/>
      <w:bookmarkStart w:id="600" w:name="_Toc164351641"/>
    </w:p>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14:paraId="3BB20BD5">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22.确定中标人</w:t>
      </w:r>
    </w:p>
    <w:p w14:paraId="0273A87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22.1采购人将在评标报告确定的中标候选人名单中按顺序确定中标人，中标候选人并列的，由采购人依法确定。</w:t>
      </w:r>
    </w:p>
    <w:p w14:paraId="31D46FB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23.中标公告与中标通知书</w:t>
      </w:r>
    </w:p>
    <w:p w14:paraId="1C09F56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23.1采购人或采购代理机构自中标人确定之日起2个工作日内，在</w:t>
      </w:r>
      <w:r>
        <w:rPr>
          <w:rFonts w:hint="eastAsia" w:ascii="宋体" w:hAnsi="宋体" w:eastAsia="宋体" w:cs="宋体"/>
          <w:b/>
          <w:bCs/>
          <w:color w:val="auto"/>
          <w:szCs w:val="21"/>
          <w:highlight w:val="none"/>
        </w:rPr>
        <w:t>常州市政府采购网、</w:t>
      </w:r>
      <w:r>
        <w:rPr>
          <w:rFonts w:hint="eastAsia" w:ascii="宋体" w:hAnsi="宋体" w:eastAsia="宋体" w:cs="宋体"/>
          <w:b/>
          <w:bCs/>
          <w:color w:val="auto"/>
          <w:szCs w:val="21"/>
          <w:highlight w:val="none"/>
          <w:lang w:eastAsia="zh-CN"/>
        </w:rPr>
        <w:t>江苏正誉项目管理有限公司</w:t>
      </w:r>
      <w:r>
        <w:rPr>
          <w:rFonts w:hint="eastAsia" w:ascii="宋体" w:hAnsi="宋体" w:eastAsia="宋体" w:cs="宋体"/>
          <w:b/>
          <w:bCs/>
          <w:color w:val="auto"/>
          <w:szCs w:val="21"/>
          <w:highlight w:val="none"/>
        </w:rPr>
        <w:t>网站</w:t>
      </w:r>
      <w:r>
        <w:rPr>
          <w:rFonts w:hint="eastAsia" w:ascii="宋体" w:hAnsi="宋体" w:eastAsia="宋体" w:cs="宋体"/>
          <w:color w:val="auto"/>
          <w:szCs w:val="21"/>
          <w:highlight w:val="none"/>
        </w:rPr>
        <w:t>公告中标结果，同时向中标人发出中标通知书，中标公告期限为1个工作日。</w:t>
      </w:r>
    </w:p>
    <w:p w14:paraId="6C358A6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23.2中标通知书对采购人和中标人均具有法律效力。中标通知书发出后，采购人改变中标结果的，或者中标人放弃中标项目的，应当依法承担法律责任。</w:t>
      </w:r>
    </w:p>
    <w:p w14:paraId="330A0A9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24.废标</w:t>
      </w:r>
    </w:p>
    <w:p w14:paraId="15A3071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24.1在招标采购中，出现下列情形之一的，应予废标：</w:t>
      </w:r>
    </w:p>
    <w:p w14:paraId="613B822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24.1.1符合专业条件的供应商或者对招标文件作实质响应的供应商不足三家的；</w:t>
      </w:r>
    </w:p>
    <w:p w14:paraId="0AEC2D1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24.1.2出现影响采购公正的违法、违规行为的；</w:t>
      </w:r>
    </w:p>
    <w:p w14:paraId="5145047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24.1.3投标人的报价均超过了采购预算，采购人不能支付的；</w:t>
      </w:r>
    </w:p>
    <w:p w14:paraId="3E2AAF7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24.1.4因重大变故，采购任务取消的。</w:t>
      </w:r>
    </w:p>
    <w:p w14:paraId="15B3415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24.1.5平台系统出现序号18.8的所述情形，情况严重且影响采购活动公平、公正性的。</w:t>
      </w:r>
    </w:p>
    <w:p w14:paraId="7123860B">
      <w:pPr>
        <w:pStyle w:val="446"/>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t>24.2废标后，采购人将废标理由通知所有投标人。</w:t>
      </w:r>
    </w:p>
    <w:p w14:paraId="5CD1A86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25.签订合同</w:t>
      </w:r>
    </w:p>
    <w:p w14:paraId="19FBBAF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25.1中标人、采购人应当自中标通知书发出之日起30日内，按照招标文件和中标人投标文件的规定签订书面合同（</w:t>
      </w:r>
      <w:r>
        <w:rPr>
          <w:rFonts w:hint="eastAsia" w:ascii="宋体" w:hAnsi="宋体" w:eastAsia="宋体" w:cs="宋体"/>
          <w:b/>
          <w:bCs/>
          <w:color w:val="auto"/>
          <w:szCs w:val="21"/>
          <w:highlight w:val="none"/>
        </w:rPr>
        <w:t>同时在“苏采云”政府采购一体化平台中签订线上合同</w:t>
      </w:r>
      <w:r>
        <w:rPr>
          <w:rFonts w:hint="eastAsia" w:ascii="宋体" w:hAnsi="宋体" w:eastAsia="宋体" w:cs="宋体"/>
          <w:color w:val="auto"/>
          <w:szCs w:val="21"/>
          <w:highlight w:val="none"/>
        </w:rPr>
        <w:t>）。所签订的合同不得对招标文件确定的事项和中标人投标文件作实质性修改。</w:t>
      </w:r>
    </w:p>
    <w:p w14:paraId="727E12C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25.2中标人拒绝与采购人签订合同的，采购人可以按照评标报告推荐的中标候选人名单排序，确定下一候选人为中标人，也可以重新开展政府采购活动。</w:t>
      </w:r>
    </w:p>
    <w:p w14:paraId="4A70548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25.3联合体中标的，联合体各方应当共同与采购人签订合同，就中标项目向采购人承担连带责任。</w:t>
      </w:r>
    </w:p>
    <w:p w14:paraId="3760818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25.4政府采购合同不能转包。</w:t>
      </w:r>
    </w:p>
    <w:p w14:paraId="6E7A5AD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color w:val="auto"/>
          <w:szCs w:val="21"/>
          <w:highlight w:val="none"/>
        </w:rPr>
        <w:t>投标无效</w:t>
      </w:r>
      <w:r>
        <w:rPr>
          <w:rFonts w:hint="eastAsia" w:ascii="宋体" w:hAnsi="宋体" w:eastAsia="宋体" w:cs="宋体"/>
          <w:color w:val="auto"/>
          <w:szCs w:val="21"/>
          <w:highlight w:val="none"/>
        </w:rPr>
        <w:t>。中标人就采购项目和分包项目向采购人负责，分包供应商就分包项目承担责任。</w:t>
      </w:r>
    </w:p>
    <w:p w14:paraId="0E05081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26.询问与质疑</w:t>
      </w:r>
    </w:p>
    <w:p w14:paraId="58CBCEA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26.1询问</w:t>
      </w:r>
    </w:p>
    <w:p w14:paraId="41150AB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26.1.1投标人对政府采购活动事项有疑问的，可依法提出询问，并按《投标人须知资料表》载明的形式送达采购人或采购代理机构。</w:t>
      </w:r>
    </w:p>
    <w:p w14:paraId="61C6E07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26.1.2采购人或采购代理机构对投标人依法提出的询问，在3个工作日内作出答复，但答复的内容不得涉及商业秘密。</w:t>
      </w:r>
    </w:p>
    <w:p w14:paraId="4DD1633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26.2质疑</w:t>
      </w:r>
    </w:p>
    <w:p w14:paraId="0AA3804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17370D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26.2.2招标文件中采购需求以及相关部分（第四章、第五章以及投标人资格要求）由采购人负责制定和管理，对该部分内容有询问或者质疑的，投标人应当向采购人书面提出，由采购人负责接收和回复。</w:t>
      </w:r>
    </w:p>
    <w:p w14:paraId="668270E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26.2.3质疑函须使用财政部制定的范本文件。（下载网址：http://gks.mof.gov.cn/ztztz/zhengfucaigouguanli/201802/t20180201_2804589.htm）</w:t>
      </w:r>
    </w:p>
    <w:p w14:paraId="4E0B73C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26.2.4投标人为自然人的，应当由本人签字；投标人为法人或者其他组织的，应当由法定代表人、主要负责人，或者其授权代表签字或者加盖公章，并加盖公章。</w:t>
      </w:r>
    </w:p>
    <w:p w14:paraId="291E410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26.2.5投标人应在法定质疑期内一次性提出针对同一采购程序环节的质疑，法定质疑期内针对同一采购程序环节再次提出的质疑，采购人、采购代理机构有权不予答复。</w:t>
      </w:r>
    </w:p>
    <w:p w14:paraId="00CEC9C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26.3接收询问和质疑的联系部门、联系电话和通讯地址见《投标人须知资料表》。</w:t>
      </w:r>
    </w:p>
    <w:p w14:paraId="2DFF11A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27.代理费</w:t>
      </w:r>
    </w:p>
    <w:p w14:paraId="76D8565B">
      <w:pPr>
        <w:tabs>
          <w:tab w:val="left" w:pos="360"/>
          <w:tab w:val="left" w:pos="1080"/>
        </w:tabs>
        <w:spacing w:line="360" w:lineRule="auto"/>
        <w:ind w:firstLine="420"/>
        <w:rPr>
          <w:rFonts w:ascii="Times New Roman" w:hAnsi="Times New Roman" w:eastAsia="宋体" w:cs="Times New Roman"/>
          <w:color w:val="auto"/>
          <w:sz w:val="24"/>
          <w:highlight w:val="none"/>
        </w:rPr>
      </w:pPr>
      <w:r>
        <w:rPr>
          <w:rFonts w:hint="eastAsia" w:ascii="宋体" w:hAnsi="宋体" w:eastAsia="宋体" w:cs="宋体"/>
          <w:color w:val="auto"/>
          <w:szCs w:val="21"/>
          <w:highlight w:val="none"/>
        </w:rPr>
        <w:t>27.1收费对象、收费标准及缴纳时间见《投标人须知资料表》。由中标人支付的，中标人须一次性向采购代理机构缴纳代理费，投标报价应包含代理费用。</w:t>
      </w:r>
    </w:p>
    <w:p w14:paraId="460AF74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28.纸质投标文件 </w:t>
      </w:r>
    </w:p>
    <w:p w14:paraId="1F830AB5">
      <w:pPr>
        <w:tabs>
          <w:tab w:val="left" w:pos="360"/>
          <w:tab w:val="left" w:pos="1080"/>
        </w:tabs>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28.1 中标人在签订合同前向代理机构提供正本1套、副本</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套纸质投标文件，在每一份纸质投标文件上要明确注明“正本” 或“副本”字样。</w:t>
      </w:r>
    </w:p>
    <w:p w14:paraId="086A506E">
      <w:pPr>
        <w:tabs>
          <w:tab w:val="left" w:pos="360"/>
          <w:tab w:val="left" w:pos="1080"/>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 纸质投标文件需与“苏采云”政府采购一体化平台的投标文件一致，中标人应按照要求签字、盖章，副本可通过正本复印。</w:t>
      </w:r>
    </w:p>
    <w:p w14:paraId="06532EF0">
      <w:pPr>
        <w:tabs>
          <w:tab w:val="left" w:pos="360"/>
          <w:tab w:val="left" w:pos="1080"/>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28.3 招标文件所表述（指定）的公章是指法定名称章，不包括合同专用章、业务专用章等印章；盖章是指加盖鲜章。</w:t>
      </w:r>
    </w:p>
    <w:p w14:paraId="3E776BE3">
      <w:pPr>
        <w:tabs>
          <w:tab w:val="left" w:pos="360"/>
          <w:tab w:val="left" w:pos="1080"/>
        </w:tabs>
        <w:spacing w:line="360" w:lineRule="auto"/>
        <w:ind w:left="360"/>
        <w:rPr>
          <w:rFonts w:hint="eastAsia" w:ascii="宋体" w:hAnsi="宋体" w:eastAsia="宋体" w:cs="宋体"/>
          <w:color w:val="auto"/>
          <w:sz w:val="24"/>
          <w:highlight w:val="none"/>
        </w:rPr>
      </w:pPr>
    </w:p>
    <w:p w14:paraId="4A56B3E6">
      <w:pPr>
        <w:spacing w:line="360" w:lineRule="auto"/>
        <w:jc w:val="center"/>
        <w:outlineLvl w:val="0"/>
        <w:rPr>
          <w:rFonts w:hint="eastAsia" w:ascii="宋体" w:hAnsi="宋体" w:eastAsia="宋体" w:cs="宋体"/>
          <w:b/>
          <w:color w:val="auto"/>
          <w:sz w:val="36"/>
          <w:szCs w:val="36"/>
          <w:highlight w:val="none"/>
        </w:rPr>
      </w:pPr>
      <w:bookmarkStart w:id="601" w:name="_Toc127151554"/>
      <w:bookmarkStart w:id="602" w:name="_Toc305158822"/>
      <w:bookmarkStart w:id="603" w:name="_Toc265228392"/>
      <w:bookmarkStart w:id="604" w:name="_Toc264969244"/>
      <w:bookmarkStart w:id="605" w:name="_Toc150774759"/>
      <w:bookmarkStart w:id="606" w:name="_Toc353873934"/>
      <w:bookmarkStart w:id="607" w:name="_Toc226965827"/>
      <w:bookmarkStart w:id="608" w:name="_Toc305158896"/>
      <w:bookmarkStart w:id="609" w:name="_Toc226337250"/>
      <w:bookmarkStart w:id="610" w:name="_Toc353825544"/>
      <w:bookmarkStart w:id="611" w:name="_Toc353873664"/>
      <w:bookmarkStart w:id="612" w:name="_Toc150480792"/>
      <w:bookmarkStart w:id="613" w:name="_Toc142311056"/>
      <w:bookmarkStart w:id="614" w:name="_Toc99301421"/>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End w:id="601"/>
      <w:bookmarkEnd w:id="602"/>
      <w:bookmarkEnd w:id="603"/>
      <w:bookmarkEnd w:id="604"/>
      <w:bookmarkEnd w:id="605"/>
      <w:bookmarkEnd w:id="606"/>
      <w:bookmarkEnd w:id="607"/>
      <w:bookmarkEnd w:id="608"/>
      <w:bookmarkEnd w:id="609"/>
      <w:bookmarkEnd w:id="610"/>
      <w:bookmarkEnd w:id="611"/>
      <w:bookmarkEnd w:id="612"/>
      <w:bookmarkEnd w:id="613"/>
      <w:r>
        <w:rPr>
          <w:rFonts w:hint="eastAsia" w:ascii="宋体" w:hAnsi="宋体" w:eastAsia="宋体" w:cs="宋体"/>
          <w:b/>
          <w:color w:val="auto"/>
          <w:sz w:val="36"/>
          <w:szCs w:val="36"/>
          <w:highlight w:val="none"/>
        </w:rPr>
        <w:t>资格审查</w:t>
      </w:r>
      <w:bookmarkEnd w:id="614"/>
      <w:bookmarkStart w:id="615" w:name="_Toc487900382"/>
    </w:p>
    <w:p w14:paraId="63BFA720">
      <w:pPr>
        <w:tabs>
          <w:tab w:val="left" w:pos="360"/>
          <w:tab w:val="left" w:pos="900"/>
        </w:tabs>
        <w:spacing w:line="360" w:lineRule="auto"/>
        <w:jc w:val="center"/>
        <w:outlineLvl w:val="1"/>
        <w:rPr>
          <w:rFonts w:hint="eastAsia" w:ascii="宋体" w:hAnsi="宋体" w:eastAsia="宋体" w:cs="宋体"/>
          <w:b/>
          <w:color w:val="auto"/>
          <w:sz w:val="24"/>
          <w:highlight w:val="none"/>
        </w:rPr>
      </w:pPr>
      <w:bookmarkStart w:id="616" w:name="_Toc99301422"/>
      <w:r>
        <w:rPr>
          <w:rFonts w:hint="eastAsia" w:ascii="宋体" w:hAnsi="宋体" w:eastAsia="宋体" w:cs="宋体"/>
          <w:b/>
          <w:color w:val="auto"/>
          <w:sz w:val="24"/>
          <w:highlight w:val="none"/>
        </w:rPr>
        <w:t>一、资格审查程序</w:t>
      </w:r>
      <w:bookmarkEnd w:id="616"/>
    </w:p>
    <w:p w14:paraId="3DA98961">
      <w:pPr>
        <w:numPr>
          <w:ilvl w:val="0"/>
          <w:numId w:val="9"/>
        </w:numPr>
        <w:tabs>
          <w:tab w:val="left" w:pos="426"/>
          <w:tab w:val="left" w:pos="851"/>
        </w:tabs>
        <w:spacing w:line="360" w:lineRule="auto"/>
        <w:ind w:left="426" w:hanging="426"/>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开标结束后，采购人将根据《资格审查要求》中的规定，对投标人进行资格审查，并形成资格审查结果。</w:t>
      </w:r>
    </w:p>
    <w:p w14:paraId="3F977960">
      <w:pPr>
        <w:numPr>
          <w:ilvl w:val="0"/>
          <w:numId w:val="9"/>
        </w:numPr>
        <w:tabs>
          <w:tab w:val="left" w:pos="426"/>
          <w:tab w:val="left" w:pos="851"/>
        </w:tabs>
        <w:spacing w:line="360" w:lineRule="auto"/>
        <w:ind w:left="426" w:hanging="426"/>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《资格审查要求》中对格式有要求的，除招标文件另有规定外，均为“实质性格式”文件。</w:t>
      </w:r>
    </w:p>
    <w:p w14:paraId="19E704DC">
      <w:pPr>
        <w:numPr>
          <w:ilvl w:val="0"/>
          <w:numId w:val="9"/>
        </w:numPr>
        <w:tabs>
          <w:tab w:val="left" w:pos="426"/>
          <w:tab w:val="left" w:pos="851"/>
        </w:tabs>
        <w:spacing w:line="360" w:lineRule="auto"/>
        <w:ind w:left="426" w:hanging="426"/>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投标人《资格证明文件》有任何一项不符合《资格审查要求》的，资格审查不合格，其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642477CC">
      <w:pPr>
        <w:numPr>
          <w:ilvl w:val="0"/>
          <w:numId w:val="9"/>
        </w:numPr>
        <w:tabs>
          <w:tab w:val="left" w:pos="426"/>
          <w:tab w:val="left" w:pos="851"/>
        </w:tabs>
        <w:spacing w:line="360" w:lineRule="auto"/>
        <w:ind w:left="426" w:hanging="426"/>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资格审查合格的投标人不足3家的，不进行评标。</w:t>
      </w:r>
    </w:p>
    <w:p w14:paraId="377484FA">
      <w:pPr>
        <w:widowControl/>
        <w:jc w:val="left"/>
        <w:rPr>
          <w:rFonts w:hint="eastAsia" w:ascii="宋体" w:hAnsi="宋体" w:eastAsia="宋体" w:cs="宋体"/>
          <w:color w:val="auto"/>
          <w:sz w:val="24"/>
          <w:highlight w:val="none"/>
        </w:rPr>
      </w:pPr>
    </w:p>
    <w:p w14:paraId="5D98F060">
      <w:pPr>
        <w:tabs>
          <w:tab w:val="left" w:pos="360"/>
          <w:tab w:val="left" w:pos="900"/>
        </w:tabs>
        <w:spacing w:line="360" w:lineRule="auto"/>
        <w:jc w:val="center"/>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二、资格审查要求</w:t>
      </w:r>
    </w:p>
    <w:tbl>
      <w:tblPr>
        <w:tblStyle w:val="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36"/>
        <w:gridCol w:w="4821"/>
        <w:gridCol w:w="1577"/>
      </w:tblGrid>
      <w:tr w14:paraId="6865F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795D2189">
            <w:pPr>
              <w:tabs>
                <w:tab w:val="left" w:pos="1080"/>
              </w:tabs>
              <w:jc w:val="center"/>
              <w:rPr>
                <w:rFonts w:hint="eastAsia" w:ascii="宋体" w:hAnsi="宋体" w:eastAsia="宋体" w:cs="宋体"/>
                <w:b/>
                <w:color w:val="auto"/>
                <w:sz w:val="22"/>
                <w:szCs w:val="22"/>
                <w:highlight w:val="none"/>
              </w:rPr>
            </w:pPr>
            <w:bookmarkStart w:id="617" w:name="_Hlt487972895"/>
            <w:bookmarkEnd w:id="617"/>
            <w:r>
              <w:rPr>
                <w:rFonts w:hint="eastAsia" w:ascii="宋体" w:hAnsi="宋体" w:eastAsia="宋体" w:cs="宋体"/>
                <w:b/>
                <w:color w:val="auto"/>
                <w:sz w:val="22"/>
                <w:szCs w:val="22"/>
                <w:highlight w:val="none"/>
              </w:rPr>
              <w:t>序号</w:t>
            </w:r>
          </w:p>
        </w:tc>
        <w:tc>
          <w:tcPr>
            <w:tcW w:w="1802" w:type="dxa"/>
            <w:noWrap w:val="0"/>
            <w:vAlign w:val="center"/>
          </w:tcPr>
          <w:p w14:paraId="5CAEE8D1">
            <w:pPr>
              <w:tabs>
                <w:tab w:val="left" w:pos="1080"/>
              </w:tabs>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审查因素</w:t>
            </w:r>
          </w:p>
        </w:tc>
        <w:tc>
          <w:tcPr>
            <w:tcW w:w="5003" w:type="dxa"/>
            <w:noWrap w:val="0"/>
            <w:vAlign w:val="center"/>
          </w:tcPr>
          <w:p w14:paraId="6AD0C579">
            <w:pPr>
              <w:tabs>
                <w:tab w:val="left" w:pos="1080"/>
              </w:tabs>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审查内容</w:t>
            </w:r>
          </w:p>
        </w:tc>
        <w:tc>
          <w:tcPr>
            <w:tcW w:w="1637" w:type="dxa"/>
            <w:noWrap w:val="0"/>
            <w:vAlign w:val="center"/>
          </w:tcPr>
          <w:p w14:paraId="4B2EED8D">
            <w:pPr>
              <w:tabs>
                <w:tab w:val="left" w:pos="1080"/>
              </w:tabs>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格式要求</w:t>
            </w:r>
          </w:p>
        </w:tc>
      </w:tr>
      <w:tr w14:paraId="4B119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53" w:hRule="atLeast"/>
        </w:trPr>
        <w:tc>
          <w:tcPr>
            <w:tcW w:w="846" w:type="dxa"/>
            <w:noWrap w:val="0"/>
            <w:vAlign w:val="center"/>
          </w:tcPr>
          <w:p w14:paraId="267954B8">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802" w:type="dxa"/>
            <w:noWrap w:val="0"/>
            <w:vAlign w:val="center"/>
          </w:tcPr>
          <w:p w14:paraId="5C3ABF95">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满足《中华人民共和国政府采购法》第二十二条规定及法律法规的其他规定</w:t>
            </w:r>
          </w:p>
        </w:tc>
        <w:tc>
          <w:tcPr>
            <w:tcW w:w="5003" w:type="dxa"/>
            <w:noWrap w:val="0"/>
            <w:vAlign w:val="center"/>
          </w:tcPr>
          <w:p w14:paraId="7197A8E8">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具体规定见第一章《投标邀请》</w:t>
            </w:r>
          </w:p>
        </w:tc>
        <w:tc>
          <w:tcPr>
            <w:tcW w:w="1637" w:type="dxa"/>
            <w:noWrap w:val="0"/>
            <w:vAlign w:val="center"/>
          </w:tcPr>
          <w:p w14:paraId="7FD33C57">
            <w:pPr>
              <w:tabs>
                <w:tab w:val="left" w:pos="1080"/>
              </w:tabs>
              <w:rPr>
                <w:rFonts w:hint="eastAsia" w:ascii="宋体" w:hAnsi="宋体" w:eastAsia="宋体" w:cs="宋体"/>
                <w:color w:val="auto"/>
                <w:sz w:val="22"/>
                <w:szCs w:val="22"/>
                <w:highlight w:val="none"/>
              </w:rPr>
            </w:pPr>
          </w:p>
        </w:tc>
      </w:tr>
      <w:tr w14:paraId="003C3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5" w:hRule="atLeast"/>
        </w:trPr>
        <w:tc>
          <w:tcPr>
            <w:tcW w:w="846" w:type="dxa"/>
            <w:noWrap w:val="0"/>
            <w:vAlign w:val="center"/>
          </w:tcPr>
          <w:p w14:paraId="09465077">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1802" w:type="dxa"/>
            <w:noWrap w:val="0"/>
            <w:vAlign w:val="center"/>
          </w:tcPr>
          <w:p w14:paraId="0C57E83E">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投标人资格声明函</w:t>
            </w:r>
          </w:p>
        </w:tc>
        <w:tc>
          <w:tcPr>
            <w:tcW w:w="5003" w:type="dxa"/>
            <w:noWrap w:val="0"/>
            <w:vAlign w:val="center"/>
          </w:tcPr>
          <w:p w14:paraId="195D2445">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提供了符合招标文件要求的《投标人资格声明函》。</w:t>
            </w:r>
          </w:p>
        </w:tc>
        <w:tc>
          <w:tcPr>
            <w:tcW w:w="1637" w:type="dxa"/>
            <w:noWrap w:val="0"/>
            <w:vAlign w:val="center"/>
          </w:tcPr>
          <w:p w14:paraId="3C06A92B">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格式见《投标文件格式》</w:t>
            </w:r>
          </w:p>
        </w:tc>
      </w:tr>
      <w:tr w14:paraId="6F2CC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317C7511">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1802" w:type="dxa"/>
            <w:noWrap w:val="0"/>
            <w:vAlign w:val="center"/>
          </w:tcPr>
          <w:p w14:paraId="3F8A9D11">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投标人信用记录</w:t>
            </w:r>
          </w:p>
        </w:tc>
        <w:tc>
          <w:tcPr>
            <w:tcW w:w="5003" w:type="dxa"/>
            <w:noWrap w:val="0"/>
            <w:vAlign w:val="center"/>
          </w:tcPr>
          <w:p w14:paraId="1FC9DA37">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查询渠道：信用中国网站和中国政府采购网（www.creditchina.gov.cn、www.ccgp.gov.cn）；</w:t>
            </w:r>
          </w:p>
          <w:p w14:paraId="22323500">
            <w:pPr>
              <w:tabs>
                <w:tab w:val="left" w:pos="900"/>
                <w:tab w:val="left" w:pos="19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截止时点：投标截止时间以后、资格审查阶段采购人或采购代理机构的实际查询时间；</w:t>
            </w:r>
          </w:p>
          <w:p w14:paraId="6196B913">
            <w:pPr>
              <w:tabs>
                <w:tab w:val="left" w:pos="900"/>
                <w:tab w:val="left" w:pos="19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信用信息查询记录和证据留存具体方式：查询结果网页打印页作为查询记录和证据，与其他采购文件一并保存；</w:t>
            </w:r>
          </w:p>
          <w:p w14:paraId="2BAED9BC">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2"/>
                <w:szCs w:val="22"/>
                <w:highlight w:val="none"/>
              </w:rPr>
              <w:t>投标无效</w:t>
            </w:r>
            <w:r>
              <w:rPr>
                <w:rFonts w:hint="eastAsia" w:ascii="宋体" w:hAnsi="宋体" w:eastAsia="宋体" w:cs="宋体"/>
                <w:color w:val="auto"/>
                <w:sz w:val="22"/>
                <w:szCs w:val="22"/>
                <w:highlight w:val="none"/>
              </w:rPr>
              <w:t>。联合体形式投标的，联合体成员存在不良信用记录，视同联合体存在不良信用记录。</w:t>
            </w:r>
          </w:p>
        </w:tc>
        <w:tc>
          <w:tcPr>
            <w:tcW w:w="1637" w:type="dxa"/>
            <w:noWrap w:val="0"/>
            <w:vAlign w:val="center"/>
          </w:tcPr>
          <w:p w14:paraId="32E64488">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无须投标人提供，由采购人查询。</w:t>
            </w:r>
          </w:p>
        </w:tc>
      </w:tr>
      <w:tr w14:paraId="40605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DCE16DA">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802" w:type="dxa"/>
            <w:noWrap w:val="0"/>
            <w:vAlign w:val="center"/>
          </w:tcPr>
          <w:p w14:paraId="24991008">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落实政府采购政策需满足的资格要求</w:t>
            </w:r>
          </w:p>
        </w:tc>
        <w:tc>
          <w:tcPr>
            <w:tcW w:w="5003" w:type="dxa"/>
            <w:noWrap w:val="0"/>
            <w:vAlign w:val="center"/>
          </w:tcPr>
          <w:p w14:paraId="0C3CB9C3">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具体要求见第一章《投标邀请》</w:t>
            </w:r>
          </w:p>
        </w:tc>
        <w:tc>
          <w:tcPr>
            <w:tcW w:w="1637" w:type="dxa"/>
            <w:noWrap w:val="0"/>
            <w:vAlign w:val="center"/>
          </w:tcPr>
          <w:p w14:paraId="39BD9F5F">
            <w:pPr>
              <w:tabs>
                <w:tab w:val="left" w:pos="1080"/>
              </w:tabs>
              <w:rPr>
                <w:rFonts w:hint="eastAsia" w:ascii="宋体" w:hAnsi="宋体" w:eastAsia="宋体" w:cs="宋体"/>
                <w:color w:val="auto"/>
                <w:sz w:val="22"/>
                <w:szCs w:val="22"/>
                <w:highlight w:val="none"/>
              </w:rPr>
            </w:pPr>
          </w:p>
        </w:tc>
      </w:tr>
      <w:tr w14:paraId="386EA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2" w:hRule="atLeast"/>
        </w:trPr>
        <w:tc>
          <w:tcPr>
            <w:tcW w:w="846" w:type="dxa"/>
            <w:noWrap w:val="0"/>
            <w:vAlign w:val="center"/>
          </w:tcPr>
          <w:p w14:paraId="54E58337">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w:t>
            </w:r>
          </w:p>
        </w:tc>
        <w:tc>
          <w:tcPr>
            <w:tcW w:w="1802" w:type="dxa"/>
            <w:noWrap w:val="0"/>
            <w:vAlign w:val="center"/>
          </w:tcPr>
          <w:p w14:paraId="5BE5365F">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中小企业声明函</w:t>
            </w:r>
          </w:p>
        </w:tc>
        <w:tc>
          <w:tcPr>
            <w:tcW w:w="5003" w:type="dxa"/>
            <w:noWrap w:val="0"/>
            <w:vAlign w:val="center"/>
          </w:tcPr>
          <w:p w14:paraId="5FF7AB6A">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1、投标人单独投标的，应提供中小企业声明函；如为监狱企业或残疾人福利性单位，不必提供中小企业声明函，但须按注1或注2要求提供证明材料。</w:t>
            </w:r>
          </w:p>
          <w:p w14:paraId="178DB53F">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EF50CBE">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注1：监狱企业须提供由省级以上监狱管理局（常州市含教育矫治局）、戒毒管理局（含新疆生产建设兵团）出具的属于监狱企业的证明文件。</w:t>
            </w:r>
          </w:p>
          <w:p w14:paraId="1A09AD06">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注2：残疾人福利性单位须按招标文件要求提供《残疾人福利性单位声明函》。</w:t>
            </w:r>
          </w:p>
        </w:tc>
        <w:tc>
          <w:tcPr>
            <w:tcW w:w="1637" w:type="dxa"/>
            <w:noWrap w:val="0"/>
            <w:vAlign w:val="center"/>
          </w:tcPr>
          <w:p w14:paraId="784F4189">
            <w:pPr>
              <w:tabs>
                <w:tab w:val="left" w:pos="1080"/>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如本项目（包）是专门面向中小企业采购的，必须提供，格式见《投标文件格式》</w:t>
            </w:r>
          </w:p>
        </w:tc>
      </w:tr>
      <w:tr w14:paraId="43963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B23AD86">
            <w:pPr>
              <w:tabs>
                <w:tab w:val="left" w:pos="1080"/>
              </w:tabs>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p>
        </w:tc>
        <w:tc>
          <w:tcPr>
            <w:tcW w:w="1802" w:type="dxa"/>
            <w:noWrap w:val="0"/>
            <w:vAlign w:val="center"/>
          </w:tcPr>
          <w:p w14:paraId="5ECCD5BF">
            <w:pPr>
              <w:tabs>
                <w:tab w:val="left" w:pos="1080"/>
              </w:tabs>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其它落实政府采购政策的资格要求</w:t>
            </w:r>
          </w:p>
        </w:tc>
        <w:tc>
          <w:tcPr>
            <w:tcW w:w="5003" w:type="dxa"/>
            <w:noWrap w:val="0"/>
            <w:vAlign w:val="center"/>
          </w:tcPr>
          <w:p w14:paraId="7FA42CF5">
            <w:pPr>
              <w:tabs>
                <w:tab w:val="left" w:pos="1080"/>
              </w:tabs>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如有，见第一章《投标邀请》</w:t>
            </w:r>
          </w:p>
        </w:tc>
        <w:tc>
          <w:tcPr>
            <w:tcW w:w="1637" w:type="dxa"/>
            <w:noWrap w:val="0"/>
            <w:vAlign w:val="center"/>
          </w:tcPr>
          <w:p w14:paraId="04A170BD">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提供证明文件的扫描件加盖公章</w:t>
            </w:r>
          </w:p>
        </w:tc>
      </w:tr>
      <w:tr w14:paraId="1AA11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D168405">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802" w:type="dxa"/>
            <w:noWrap w:val="0"/>
            <w:vAlign w:val="center"/>
          </w:tcPr>
          <w:p w14:paraId="768FF29A">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本项目的特定资格要求</w:t>
            </w:r>
          </w:p>
        </w:tc>
        <w:tc>
          <w:tcPr>
            <w:tcW w:w="5003" w:type="dxa"/>
            <w:noWrap w:val="0"/>
            <w:vAlign w:val="center"/>
          </w:tcPr>
          <w:p w14:paraId="4EC2142F">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如有，见第一章《投标邀请》</w:t>
            </w:r>
          </w:p>
        </w:tc>
        <w:tc>
          <w:tcPr>
            <w:tcW w:w="1637" w:type="dxa"/>
            <w:noWrap w:val="0"/>
            <w:vAlign w:val="center"/>
          </w:tcPr>
          <w:p w14:paraId="5591D900">
            <w:pPr>
              <w:tabs>
                <w:tab w:val="left" w:pos="1080"/>
              </w:tabs>
              <w:rPr>
                <w:rFonts w:hint="eastAsia" w:ascii="宋体" w:hAnsi="宋体" w:eastAsia="宋体" w:cs="宋体"/>
                <w:color w:val="auto"/>
                <w:sz w:val="22"/>
                <w:szCs w:val="22"/>
                <w:highlight w:val="none"/>
              </w:rPr>
            </w:pPr>
          </w:p>
        </w:tc>
      </w:tr>
      <w:tr w14:paraId="7FE15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6" w:type="dxa"/>
            <w:noWrap w:val="0"/>
            <w:vAlign w:val="center"/>
          </w:tcPr>
          <w:p w14:paraId="050D92C2">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w:t>
            </w:r>
          </w:p>
        </w:tc>
        <w:tc>
          <w:tcPr>
            <w:tcW w:w="1802" w:type="dxa"/>
            <w:noWrap w:val="0"/>
            <w:vAlign w:val="center"/>
          </w:tcPr>
          <w:p w14:paraId="38FAF20E">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是否接受联合体投标</w:t>
            </w:r>
          </w:p>
        </w:tc>
        <w:tc>
          <w:tcPr>
            <w:tcW w:w="5003" w:type="dxa"/>
            <w:noWrap w:val="0"/>
            <w:vAlign w:val="center"/>
          </w:tcPr>
          <w:p w14:paraId="64921021">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632250A">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2、联合体各成员单位均须提供本表中序号1-1、1-2的证明文件。</w:t>
            </w:r>
          </w:p>
          <w:p w14:paraId="567FCA76">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3、本表序号3-2项规定的其他特定资格要求中的每一小项要求，联合体各方中至少应当有一方符合本表中其他资格要求并提供证明文件。</w:t>
            </w:r>
          </w:p>
          <w:p w14:paraId="08FAF284">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4、联合体中有同类资质的供应商按照联合体分工承担相同工作的，应当按照资质等级较低的供应商确定资质等级。</w:t>
            </w:r>
          </w:p>
          <w:p w14:paraId="6AE6B9A5">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5、以联合体形式参加政府采购活动的，联合体各方不得再单独参加或者与其他供应商另外组成联合体参加同一合同项下的政府采购活动。</w:t>
            </w:r>
          </w:p>
          <w:p w14:paraId="1FE1BB67">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6、若联合体中任一成员单位中途退出，则该联合体的</w:t>
            </w:r>
            <w:r>
              <w:rPr>
                <w:rFonts w:hint="eastAsia" w:ascii="宋体" w:hAnsi="宋体" w:eastAsia="宋体" w:cs="宋体"/>
                <w:b/>
                <w:color w:val="auto"/>
                <w:sz w:val="22"/>
                <w:szCs w:val="22"/>
                <w:highlight w:val="none"/>
              </w:rPr>
              <w:t>投标无效</w:t>
            </w:r>
            <w:r>
              <w:rPr>
                <w:rFonts w:hint="eastAsia" w:ascii="宋体" w:hAnsi="宋体" w:eastAsia="宋体" w:cs="宋体"/>
                <w:color w:val="auto"/>
                <w:sz w:val="22"/>
                <w:szCs w:val="22"/>
                <w:highlight w:val="none"/>
              </w:rPr>
              <w:t>。</w:t>
            </w:r>
          </w:p>
          <w:p w14:paraId="6EF2DC7F">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7、本项目不接受联合体投标时，投标人不得为联合体。</w:t>
            </w:r>
          </w:p>
        </w:tc>
        <w:tc>
          <w:tcPr>
            <w:tcW w:w="1637" w:type="dxa"/>
            <w:noWrap w:val="0"/>
            <w:vAlign w:val="center"/>
          </w:tcPr>
          <w:p w14:paraId="59F5AE82">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提供《联合协议》原件的电子件</w:t>
            </w:r>
          </w:p>
          <w:p w14:paraId="3BC20514">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格式见《投标文件格式》</w:t>
            </w:r>
          </w:p>
        </w:tc>
      </w:tr>
      <w:tr w14:paraId="4AA2B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noWrap w:val="0"/>
            <w:vAlign w:val="center"/>
          </w:tcPr>
          <w:p w14:paraId="75DFD9D0">
            <w:pPr>
              <w:tabs>
                <w:tab w:val="left" w:pos="10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3-2</w:t>
            </w:r>
          </w:p>
        </w:tc>
        <w:tc>
          <w:tcPr>
            <w:tcW w:w="1802" w:type="dxa"/>
            <w:noWrap w:val="0"/>
            <w:vAlign w:val="center"/>
          </w:tcPr>
          <w:p w14:paraId="26550EAE">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其他特定资格要求</w:t>
            </w:r>
          </w:p>
        </w:tc>
        <w:tc>
          <w:tcPr>
            <w:tcW w:w="5003" w:type="dxa"/>
            <w:noWrap w:val="0"/>
            <w:vAlign w:val="center"/>
          </w:tcPr>
          <w:p w14:paraId="7B72F801">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如有，见第一章《投标邀请》</w:t>
            </w:r>
          </w:p>
        </w:tc>
        <w:tc>
          <w:tcPr>
            <w:tcW w:w="1637" w:type="dxa"/>
            <w:noWrap w:val="0"/>
            <w:vAlign w:val="center"/>
          </w:tcPr>
          <w:p w14:paraId="1C9C7F77">
            <w:pPr>
              <w:tabs>
                <w:tab w:val="left" w:pos="1080"/>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提供证明文件的电子件或电子证照</w:t>
            </w:r>
          </w:p>
        </w:tc>
      </w:t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615"/>
    </w:tbl>
    <w:p w14:paraId="6F5CB995">
      <w:pPr>
        <w:widowControl/>
        <w:jc w:val="left"/>
        <w:rPr>
          <w:rFonts w:hint="eastAsia" w:ascii="宋体" w:hAnsi="宋体" w:eastAsia="宋体" w:cs="宋体"/>
          <w:color w:val="auto"/>
          <w:sz w:val="24"/>
          <w:highlight w:val="none"/>
        </w:rPr>
      </w:pPr>
      <w:bookmarkStart w:id="618" w:name="_Toc353825550"/>
      <w:bookmarkStart w:id="619" w:name="_Toc127151779"/>
      <w:bookmarkStart w:id="620" w:name="_Toc353873940"/>
      <w:bookmarkStart w:id="621" w:name="_Toc226965858"/>
      <w:bookmarkStart w:id="622" w:name="_Toc127161490"/>
      <w:r>
        <w:rPr>
          <w:rFonts w:hint="eastAsia" w:ascii="宋体" w:hAnsi="宋体" w:eastAsia="宋体" w:cs="宋体"/>
          <w:color w:val="auto"/>
          <w:sz w:val="24"/>
          <w:highlight w:val="none"/>
        </w:rPr>
        <w:br w:type="page" w:clear="all"/>
      </w:r>
    </w:p>
    <w:p w14:paraId="31343F9C">
      <w:pPr>
        <w:spacing w:line="360" w:lineRule="auto"/>
        <w:jc w:val="center"/>
        <w:outlineLvl w:val="0"/>
        <w:rPr>
          <w:rFonts w:hint="eastAsia" w:ascii="宋体" w:hAnsi="宋体" w:eastAsia="宋体" w:cs="宋体"/>
          <w:b/>
          <w:color w:val="auto"/>
          <w:sz w:val="36"/>
          <w:szCs w:val="36"/>
          <w:highlight w:val="none"/>
        </w:rPr>
      </w:pPr>
      <w:bookmarkStart w:id="623" w:name="_Toc99301423"/>
      <w:r>
        <w:rPr>
          <w:rFonts w:hint="eastAsia" w:ascii="宋体" w:hAnsi="宋体" w:eastAsia="宋体" w:cs="宋体"/>
          <w:b/>
          <w:color w:val="auto"/>
          <w:sz w:val="36"/>
          <w:szCs w:val="36"/>
          <w:highlight w:val="none"/>
        </w:rPr>
        <w:t xml:space="preserve">第四章   </w:t>
      </w:r>
      <w:bookmarkEnd w:id="618"/>
      <w:bookmarkEnd w:id="619"/>
      <w:bookmarkEnd w:id="620"/>
      <w:bookmarkEnd w:id="621"/>
      <w:bookmarkEnd w:id="622"/>
      <w:bookmarkStart w:id="624" w:name="_Hlt164229061"/>
      <w:bookmarkEnd w:id="624"/>
      <w:r>
        <w:rPr>
          <w:rFonts w:hint="eastAsia" w:ascii="宋体" w:hAnsi="宋体" w:eastAsia="宋体" w:cs="宋体"/>
          <w:b/>
          <w:color w:val="auto"/>
          <w:sz w:val="36"/>
          <w:szCs w:val="36"/>
          <w:highlight w:val="none"/>
        </w:rPr>
        <w:t>评标程序、评标方法和评标标准</w:t>
      </w:r>
      <w:bookmarkEnd w:id="623"/>
    </w:p>
    <w:p w14:paraId="337BE578">
      <w:pPr>
        <w:tabs>
          <w:tab w:val="left" w:pos="360"/>
          <w:tab w:val="left" w:pos="900"/>
        </w:tabs>
        <w:spacing w:line="360" w:lineRule="auto"/>
        <w:jc w:val="center"/>
        <w:outlineLvl w:val="1"/>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一、评标程序</w:t>
      </w:r>
    </w:p>
    <w:p w14:paraId="2036DB51">
      <w:pPr>
        <w:numPr>
          <w:ilvl w:val="0"/>
          <w:numId w:val="10"/>
        </w:numPr>
        <w:tabs>
          <w:tab w:val="left" w:pos="360"/>
        </w:tabs>
        <w:spacing w:line="360" w:lineRule="auto"/>
        <w:outlineLvl w:val="1"/>
        <w:rPr>
          <w:rFonts w:hint="eastAsia" w:ascii="宋体" w:hAnsi="宋体" w:eastAsia="宋体" w:cs="宋体"/>
          <w:color w:val="auto"/>
          <w:sz w:val="22"/>
          <w:szCs w:val="22"/>
          <w:highlight w:val="none"/>
        </w:rPr>
      </w:pPr>
      <w:bookmarkStart w:id="625" w:name="_Toc164229382"/>
      <w:bookmarkStart w:id="626" w:name="_Toc305158883"/>
      <w:bookmarkStart w:id="627" w:name="_Toc164608655"/>
      <w:bookmarkStart w:id="628" w:name="_Toc226337237"/>
      <w:bookmarkStart w:id="629" w:name="_Toc265228379"/>
      <w:bookmarkStart w:id="630" w:name="_Toc127161455"/>
      <w:bookmarkStart w:id="631" w:name="_Toc164351635"/>
      <w:bookmarkStart w:id="632" w:name="_Toc150774641"/>
      <w:bookmarkStart w:id="633" w:name="_Toc151193783"/>
      <w:bookmarkStart w:id="634" w:name="_Toc149720834"/>
      <w:bookmarkStart w:id="635" w:name="_Toc151193639"/>
      <w:bookmarkStart w:id="636" w:name="_Toc151193855"/>
      <w:bookmarkStart w:id="637" w:name="_Toc150480779"/>
      <w:bookmarkStart w:id="638" w:name="_Toc151193711"/>
      <w:bookmarkStart w:id="639" w:name="_Toc150774746"/>
      <w:bookmarkStart w:id="640" w:name="_Toc151190168"/>
      <w:bookmarkStart w:id="641" w:name="_Toc164229236"/>
      <w:bookmarkStart w:id="642" w:name="_Toc142311043"/>
      <w:bookmarkStart w:id="643" w:name="_Toc127151541"/>
      <w:bookmarkStart w:id="644" w:name="_Toc226965731"/>
      <w:bookmarkStart w:id="645" w:name="_Toc305158809"/>
      <w:bookmarkStart w:id="646" w:name="_Toc164608810"/>
      <w:bookmarkStart w:id="647" w:name="_Toc226965814"/>
      <w:bookmarkStart w:id="648" w:name="_Toc127151742"/>
      <w:bookmarkStart w:id="649" w:name="_Toc195842906"/>
      <w:bookmarkStart w:id="650" w:name="_Toc151193929"/>
      <w:bookmarkStart w:id="651" w:name="_Toc150509292"/>
      <w:bookmarkStart w:id="652" w:name="_Toc226309785"/>
      <w:bookmarkStart w:id="653" w:name="_Toc264969231"/>
      <w:bookmarkStart w:id="654" w:name="_Toc353873941"/>
      <w:bookmarkStart w:id="655" w:name="_Toc353825551"/>
      <w:bookmarkStart w:id="656" w:name="_Toc305158897"/>
      <w:bookmarkStart w:id="657" w:name="_Toc353873665"/>
      <w:bookmarkStart w:id="658" w:name="_Toc142311057"/>
      <w:bookmarkStart w:id="659" w:name="_Toc353873935"/>
      <w:bookmarkStart w:id="660" w:name="_Toc265228393"/>
      <w:bookmarkStart w:id="661" w:name="_Toc150480793"/>
      <w:bookmarkStart w:id="662" w:name="_Toc305158823"/>
      <w:bookmarkStart w:id="663" w:name="_Toc264969245"/>
      <w:bookmarkStart w:id="664" w:name="_Toc226337251"/>
      <w:bookmarkStart w:id="665" w:name="_Toc195842920"/>
      <w:bookmarkStart w:id="666" w:name="_Toc150774760"/>
      <w:bookmarkStart w:id="667" w:name="_Toc353825545"/>
      <w:bookmarkStart w:id="668" w:name="_Toc226965828"/>
      <w:bookmarkStart w:id="669" w:name="_Toc127151555"/>
      <w:r>
        <w:rPr>
          <w:rFonts w:hint="eastAsia" w:ascii="宋体" w:hAnsi="宋体" w:eastAsia="宋体" w:cs="宋体"/>
          <w:color w:val="auto"/>
          <w:sz w:val="22"/>
          <w:szCs w:val="22"/>
          <w:highlight w:val="none"/>
        </w:rPr>
        <w:t>投标文件的符合性审查</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26552D2E">
      <w:pPr>
        <w:numPr>
          <w:ilvl w:val="1"/>
          <w:numId w:val="10"/>
        </w:numPr>
        <w:tabs>
          <w:tab w:val="left" w:pos="1080"/>
        </w:tabs>
        <w:spacing w:line="360" w:lineRule="auto"/>
        <w:ind w:left="1077" w:hanging="7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评标委员会对资格审查合格的投标人的投标文件进行符合性审查，以确定其是否满足招标文件的实质性要求。</w:t>
      </w:r>
      <w:bookmarkStart w:id="670" w:name="_Toc520356167"/>
    </w:p>
    <w:p w14:paraId="46142319">
      <w:pPr>
        <w:numPr>
          <w:ilvl w:val="1"/>
          <w:numId w:val="10"/>
        </w:numPr>
        <w:tabs>
          <w:tab w:val="left" w:pos="1080"/>
        </w:tabs>
        <w:spacing w:line="360" w:lineRule="auto"/>
        <w:ind w:left="1077" w:hanging="7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70"/>
      <w:r>
        <w:rPr>
          <w:rFonts w:hint="eastAsia" w:ascii="宋体" w:hAnsi="宋体" w:eastAsia="宋体" w:cs="宋体"/>
          <w:color w:val="auto"/>
          <w:sz w:val="22"/>
          <w:szCs w:val="22"/>
          <w:highlight w:val="none"/>
        </w:rPr>
        <w:t>要求的，</w:t>
      </w:r>
      <w:r>
        <w:rPr>
          <w:rFonts w:hint="eastAsia" w:ascii="宋体" w:hAnsi="宋体" w:eastAsia="宋体" w:cs="宋体"/>
          <w:b/>
          <w:color w:val="auto"/>
          <w:sz w:val="22"/>
          <w:szCs w:val="22"/>
          <w:highlight w:val="none"/>
        </w:rPr>
        <w:t>投标无效</w:t>
      </w:r>
      <w:r>
        <w:rPr>
          <w:rFonts w:hint="eastAsia" w:ascii="宋体" w:hAnsi="宋体" w:eastAsia="宋体" w:cs="宋体"/>
          <w:color w:val="auto"/>
          <w:sz w:val="22"/>
          <w:szCs w:val="22"/>
          <w:highlight w:val="none"/>
        </w:rPr>
        <w:t>。</w:t>
      </w:r>
    </w:p>
    <w:p w14:paraId="40051334">
      <w:pPr>
        <w:tabs>
          <w:tab w:val="left" w:pos="900"/>
          <w:tab w:val="left" w:pos="1080"/>
          <w:tab w:val="left" w:pos="1589"/>
        </w:tabs>
        <w:spacing w:line="360" w:lineRule="auto"/>
        <w:ind w:hanging="357"/>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符合性审查要求</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1"/>
        <w:gridCol w:w="1739"/>
        <w:gridCol w:w="6449"/>
      </w:tblGrid>
      <w:tr w14:paraId="0871F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404" w:type="dxa"/>
            <w:noWrap w:val="0"/>
            <w:vAlign w:val="center"/>
          </w:tcPr>
          <w:p w14:paraId="2C125AC7">
            <w:pPr>
              <w:widowControl/>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976" w:type="dxa"/>
            <w:noWrap w:val="0"/>
            <w:vAlign w:val="center"/>
          </w:tcPr>
          <w:p w14:paraId="1D70B873">
            <w:pPr>
              <w:widowControl/>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审查因素</w:t>
            </w:r>
          </w:p>
        </w:tc>
        <w:tc>
          <w:tcPr>
            <w:tcW w:w="3620" w:type="dxa"/>
            <w:noWrap w:val="0"/>
            <w:vAlign w:val="center"/>
          </w:tcPr>
          <w:p w14:paraId="0F169D8B">
            <w:pPr>
              <w:widowControl/>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审查内容</w:t>
            </w:r>
          </w:p>
        </w:tc>
      </w:tr>
      <w:tr w14:paraId="4DC92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90D458C">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76" w:type="dxa"/>
            <w:noWrap w:val="0"/>
            <w:vAlign w:val="center"/>
          </w:tcPr>
          <w:p w14:paraId="52EC045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投标函、法定代表人资格证明书、法定代表人授权委托书（如有）和政府采购供应商信用承诺书</w:t>
            </w:r>
          </w:p>
        </w:tc>
        <w:tc>
          <w:tcPr>
            <w:tcW w:w="3620" w:type="dxa"/>
            <w:noWrap w:val="0"/>
            <w:vAlign w:val="center"/>
          </w:tcPr>
          <w:p w14:paraId="4EF07567">
            <w:pPr>
              <w:widowControl/>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按招标文件要求提供投标函、法定代表人资格证明书、法定代表人授权委托书（如有）和政府采购供应商信用承诺书；格式见《投标文件格式》</w:t>
            </w:r>
          </w:p>
        </w:tc>
      </w:tr>
      <w:tr w14:paraId="0C7F7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48677D5">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976" w:type="dxa"/>
            <w:noWrap w:val="0"/>
            <w:vAlign w:val="center"/>
          </w:tcPr>
          <w:p w14:paraId="24C7AB9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投标完整性</w:t>
            </w:r>
          </w:p>
        </w:tc>
        <w:tc>
          <w:tcPr>
            <w:tcW w:w="3620" w:type="dxa"/>
            <w:noWrap w:val="0"/>
            <w:vAlign w:val="center"/>
          </w:tcPr>
          <w:p w14:paraId="5E13B96A">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未将一个采购包中的内容拆开投标；（由评委审查，无需供应商提供材料）</w:t>
            </w:r>
          </w:p>
        </w:tc>
      </w:tr>
      <w:tr w14:paraId="47AAB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17A5E49">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976" w:type="dxa"/>
            <w:noWrap w:val="0"/>
            <w:vAlign w:val="center"/>
          </w:tcPr>
          <w:p w14:paraId="04598983">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3620" w:type="dxa"/>
            <w:noWrap w:val="0"/>
            <w:vAlign w:val="center"/>
          </w:tcPr>
          <w:p w14:paraId="4019D103">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投标报价未超过招标文件中规定的项目/采购包预算金额或者项目/采购包最高限价；（由评委审查，无需供应商提供材料）</w:t>
            </w:r>
          </w:p>
        </w:tc>
      </w:tr>
      <w:tr w14:paraId="3E054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A80CD7E">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976" w:type="dxa"/>
            <w:noWrap w:val="0"/>
            <w:vAlign w:val="center"/>
          </w:tcPr>
          <w:p w14:paraId="625342B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报价唯一性</w:t>
            </w:r>
          </w:p>
        </w:tc>
        <w:tc>
          <w:tcPr>
            <w:tcW w:w="3620" w:type="dxa"/>
            <w:noWrap w:val="0"/>
            <w:vAlign w:val="center"/>
          </w:tcPr>
          <w:p w14:paraId="3AFDA093">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投标文件未出现可选择性或可调整的报价（招标文件另有规定的除外）；提供《开标一览表》，格式见《投标文件格式》</w:t>
            </w:r>
          </w:p>
        </w:tc>
      </w:tr>
      <w:tr w14:paraId="28D06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88D2F20">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976" w:type="dxa"/>
            <w:noWrap w:val="0"/>
            <w:vAlign w:val="center"/>
          </w:tcPr>
          <w:p w14:paraId="136560E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3620" w:type="dxa"/>
            <w:noWrap w:val="0"/>
            <w:vAlign w:val="center"/>
          </w:tcPr>
          <w:p w14:paraId="7216B2B5">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投标文件中承诺的投标有效期满足招标文件中载明的投标有效期的；提供承诺书。</w:t>
            </w:r>
          </w:p>
        </w:tc>
      </w:tr>
      <w:tr w14:paraId="5B285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F0C8FC5">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976" w:type="dxa"/>
            <w:noWrap w:val="0"/>
            <w:vAlign w:val="center"/>
          </w:tcPr>
          <w:p w14:paraId="26E44C5A">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签署、加盖公章</w:t>
            </w:r>
          </w:p>
        </w:tc>
        <w:tc>
          <w:tcPr>
            <w:tcW w:w="3620" w:type="dxa"/>
            <w:noWrap w:val="0"/>
            <w:vAlign w:val="center"/>
          </w:tcPr>
          <w:p w14:paraId="28E7C65E">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按照招标文件要求签署、加盖公章的；（由评委审查，无需供应商提供材料）</w:t>
            </w:r>
          </w:p>
        </w:tc>
      </w:tr>
      <w:tr w14:paraId="24D8E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55239C1">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976" w:type="dxa"/>
            <w:noWrap w:val="0"/>
            <w:vAlign w:val="center"/>
          </w:tcPr>
          <w:p w14:paraId="18E86F83">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实质性格式</w:t>
            </w:r>
          </w:p>
        </w:tc>
        <w:tc>
          <w:tcPr>
            <w:tcW w:w="3620" w:type="dxa"/>
            <w:noWrap w:val="0"/>
            <w:vAlign w:val="center"/>
          </w:tcPr>
          <w:p w14:paraId="5F3BE1C2">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标记为“实质性格式”的文件均按招标文件要求提供；</w:t>
            </w:r>
            <w:r>
              <w:rPr>
                <w:rFonts w:hint="eastAsia" w:ascii="宋体" w:hAnsi="宋体" w:eastAsia="宋体" w:cs="宋体"/>
                <w:color w:val="auto"/>
                <w:sz w:val="22"/>
                <w:szCs w:val="22"/>
                <w:highlight w:val="none"/>
              </w:rPr>
              <w:t>除前面已提供的实质性格式文件以外，</w:t>
            </w:r>
            <w:r>
              <w:rPr>
                <w:rFonts w:hint="eastAsia" w:ascii="宋体" w:hAnsi="宋体" w:eastAsia="宋体" w:cs="宋体"/>
                <w:b/>
                <w:color w:val="auto"/>
                <w:sz w:val="22"/>
                <w:szCs w:val="22"/>
                <w:highlight w:val="none"/>
              </w:rPr>
              <w:t>还需提供：合同条款偏离表，采购需求偏离表</w:t>
            </w:r>
            <w:r>
              <w:rPr>
                <w:rFonts w:hint="eastAsia" w:ascii="宋体" w:hAnsi="宋体" w:eastAsia="宋体" w:cs="宋体"/>
                <w:color w:val="auto"/>
                <w:sz w:val="22"/>
                <w:szCs w:val="22"/>
                <w:highlight w:val="none"/>
              </w:rPr>
              <w:t>；格式见《投标文件格式》</w:t>
            </w:r>
          </w:p>
        </w:tc>
      </w:tr>
      <w:tr w14:paraId="258B7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88619CA">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976" w:type="dxa"/>
            <w:noWrap w:val="0"/>
            <w:vAlign w:val="center"/>
          </w:tcPr>
          <w:p w14:paraId="7A68E57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★号条款响应</w:t>
            </w:r>
          </w:p>
        </w:tc>
        <w:tc>
          <w:tcPr>
            <w:tcW w:w="3620" w:type="dxa"/>
            <w:noWrap w:val="0"/>
            <w:vAlign w:val="center"/>
          </w:tcPr>
          <w:p w14:paraId="3A43140D">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投标文件满足招标文件第五章《采购需求》中★号条款要求的；</w:t>
            </w:r>
            <w:r>
              <w:rPr>
                <w:rFonts w:hint="eastAsia" w:ascii="宋体" w:hAnsi="宋体" w:eastAsia="宋体" w:cs="宋体"/>
                <w:b/>
                <w:color w:val="auto"/>
                <w:sz w:val="22"/>
                <w:szCs w:val="22"/>
                <w:highlight w:val="none"/>
              </w:rPr>
              <w:t>如有的，根据列出的实质性条款，按照序号逐项提供相关证明材料；</w:t>
            </w:r>
            <w:r>
              <w:rPr>
                <w:rFonts w:hint="eastAsia" w:ascii="宋体" w:hAnsi="宋体" w:eastAsia="宋体" w:cs="宋体"/>
                <w:color w:val="auto"/>
                <w:sz w:val="22"/>
                <w:szCs w:val="22"/>
                <w:highlight w:val="none"/>
              </w:rPr>
              <w:t>如没有，则无需供应商提供材料。</w:t>
            </w:r>
          </w:p>
        </w:tc>
      </w:tr>
      <w:tr w14:paraId="78BC2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751484B">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976" w:type="dxa"/>
            <w:noWrap w:val="0"/>
            <w:vAlign w:val="center"/>
          </w:tcPr>
          <w:p w14:paraId="460365E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分包承担主体资质（如有）</w:t>
            </w:r>
          </w:p>
        </w:tc>
        <w:tc>
          <w:tcPr>
            <w:tcW w:w="3620" w:type="dxa"/>
            <w:noWrap w:val="0"/>
            <w:vAlign w:val="center"/>
          </w:tcPr>
          <w:p w14:paraId="09CAED69">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分包承担主体具备《投标人须知资料表》载明的资质条件且提供了资质证书电子件（如有）；</w:t>
            </w:r>
          </w:p>
        </w:tc>
      </w:tr>
      <w:tr w14:paraId="0590C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62A7BBB">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976" w:type="dxa"/>
            <w:noWrap w:val="0"/>
            <w:vAlign w:val="center"/>
          </w:tcPr>
          <w:p w14:paraId="26872B53">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分包意向协议</w:t>
            </w:r>
          </w:p>
          <w:p w14:paraId="23D6270D">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（如有）</w:t>
            </w:r>
          </w:p>
        </w:tc>
        <w:tc>
          <w:tcPr>
            <w:tcW w:w="3620" w:type="dxa"/>
            <w:noWrap w:val="0"/>
            <w:vAlign w:val="center"/>
          </w:tcPr>
          <w:p w14:paraId="4078449C">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按招标文件规定签订并提供分包意向协议原件的电子件的；（如有）格式见《投标文件格式》</w:t>
            </w:r>
          </w:p>
        </w:tc>
      </w:tr>
      <w:tr w14:paraId="55520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87ACA67">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976" w:type="dxa"/>
            <w:noWrap w:val="0"/>
            <w:vAlign w:val="center"/>
          </w:tcPr>
          <w:p w14:paraId="2353528B">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报价的修正（如有）</w:t>
            </w:r>
          </w:p>
        </w:tc>
        <w:tc>
          <w:tcPr>
            <w:tcW w:w="3620" w:type="dxa"/>
            <w:noWrap w:val="0"/>
            <w:vAlign w:val="center"/>
          </w:tcPr>
          <w:p w14:paraId="4097BFDE">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不涉及报价修正，或投标文件报价出现前后不一致时，供应商对修正后的报价予以确认；（如有）（由评委审查，无需供应商提供材料）</w:t>
            </w:r>
          </w:p>
        </w:tc>
      </w:tr>
      <w:tr w14:paraId="140D9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E1BB17C">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976" w:type="dxa"/>
            <w:noWrap w:val="0"/>
            <w:vAlign w:val="center"/>
          </w:tcPr>
          <w:p w14:paraId="6112EA6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报价合理性</w:t>
            </w:r>
          </w:p>
        </w:tc>
        <w:tc>
          <w:tcPr>
            <w:tcW w:w="3620" w:type="dxa"/>
            <w:noWrap w:val="0"/>
            <w:vAlign w:val="center"/>
          </w:tcPr>
          <w:p w14:paraId="29BBAFBA">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p>
          <w:p w14:paraId="20513ED8">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1、投标（响应）报价低于采购项目预算50%的，即投标（响应）报价&lt;采购项目预算×50%；</w:t>
            </w:r>
          </w:p>
          <w:p w14:paraId="67E4B337">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2、投标（响应）报价低于采购项目最高限价45%的，即投 标（响应）报价&lt;采购项目最高限价×45%；</w:t>
            </w:r>
          </w:p>
          <w:p w14:paraId="4BBC4183">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3、评审委员会认定的供应商报价过低、有可能影响产品质量或者不能诚信履约的其他情形。</w:t>
            </w:r>
          </w:p>
          <w:p w14:paraId="4990731B">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 评审委员会应当将其作为无效投标（响应）处理。审查相关情况应当在评审报告中进行记录。</w:t>
            </w:r>
          </w:p>
        </w:tc>
      </w:tr>
      <w:tr w14:paraId="5EFB9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CB1EAA0">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976" w:type="dxa"/>
            <w:noWrap w:val="0"/>
            <w:vAlign w:val="center"/>
          </w:tcPr>
          <w:p w14:paraId="37640AAB">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进口产品</w:t>
            </w:r>
          </w:p>
          <w:p w14:paraId="12CECBFD">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（如有）</w:t>
            </w:r>
          </w:p>
        </w:tc>
        <w:tc>
          <w:tcPr>
            <w:tcW w:w="3620" w:type="dxa"/>
            <w:noWrap w:val="0"/>
            <w:vAlign w:val="center"/>
          </w:tcPr>
          <w:p w14:paraId="30D97EF8">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招标文件不接受进口产品投标的内容时，供应商所投产品非进口产品的；（由评委审查，无需供应商提供材料）</w:t>
            </w:r>
          </w:p>
        </w:tc>
      </w:tr>
      <w:tr w14:paraId="4123B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9C14E51">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976" w:type="dxa"/>
            <w:noWrap w:val="0"/>
            <w:vAlign w:val="center"/>
          </w:tcPr>
          <w:p w14:paraId="553C3970">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国家有关部门对供应商的投标产品有强制性规定或要求的</w:t>
            </w:r>
          </w:p>
        </w:tc>
        <w:tc>
          <w:tcPr>
            <w:tcW w:w="3620" w:type="dxa"/>
            <w:noWrap w:val="0"/>
            <w:vAlign w:val="center"/>
          </w:tcPr>
          <w:p w14:paraId="3E42C517">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国家有关部门对供应商的投标产品有强制性规定或要求的（如相应技术、安全、节能和环保等），供应商的投标产品应符合相应规定或要求，并提供证明文件电子件：</w:t>
            </w:r>
          </w:p>
          <w:p w14:paraId="6D1BB4D7">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5FFE7DDB">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2）投标产品如涉及计算机信息系统安全专用产品的，须提供公安部颁发的计算机信息系统安全专用产品销售许可证；</w:t>
            </w:r>
          </w:p>
          <w:p w14:paraId="3EACC1BA">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3）投标产品如有属于开展国家信息安全产品认证产品范围的，须提供由中国网络安全审查技术与认证中心（原中国信息安全认证中心）按国家标准认证颁发的有效认证证书等）；</w:t>
            </w:r>
          </w:p>
          <w:p w14:paraId="692A9427">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2F38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491854D">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976" w:type="dxa"/>
            <w:noWrap w:val="0"/>
            <w:vAlign w:val="center"/>
          </w:tcPr>
          <w:p w14:paraId="008A9C7A">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绿色包装要求</w:t>
            </w:r>
          </w:p>
        </w:tc>
        <w:tc>
          <w:tcPr>
            <w:tcW w:w="3620" w:type="dxa"/>
            <w:noWrap w:val="0"/>
            <w:vAlign w:val="center"/>
          </w:tcPr>
          <w:p w14:paraId="787333AD">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采购的货物如涉及数据中心相关设备、运维服务的，应当有利于节约能源、环境保护和资源循环利用，符合【财政部 生态环境部 工业和信息化部关于印发《绿色数据中心政府采购需求标准（试行）》的通知】（ 财库〔2023〕7号）要求。</w:t>
            </w:r>
          </w:p>
        </w:tc>
      </w:tr>
      <w:tr w14:paraId="2C668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5DE2A84">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976" w:type="dxa"/>
            <w:noWrap w:val="0"/>
            <w:vAlign w:val="center"/>
          </w:tcPr>
          <w:p w14:paraId="586CE44E">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公平竞争</w:t>
            </w:r>
          </w:p>
        </w:tc>
        <w:tc>
          <w:tcPr>
            <w:tcW w:w="3620" w:type="dxa"/>
            <w:noWrap w:val="0"/>
            <w:vAlign w:val="center"/>
          </w:tcPr>
          <w:p w14:paraId="7CEF4E3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供应商遵循公平竞争的原则，不存在恶意串通，妨碍其他供应商的竞争行为，不存在损害采购人或者其他供应商的合法权益情形的；（由评委审查，无需供应商提供材料）</w:t>
            </w:r>
          </w:p>
        </w:tc>
      </w:tr>
      <w:tr w14:paraId="05EFE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809D120">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976" w:type="dxa"/>
            <w:noWrap w:val="0"/>
            <w:vAlign w:val="center"/>
          </w:tcPr>
          <w:p w14:paraId="3470084D">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串通投标</w:t>
            </w:r>
          </w:p>
        </w:tc>
        <w:tc>
          <w:tcPr>
            <w:tcW w:w="3620" w:type="dxa"/>
            <w:noWrap w:val="0"/>
            <w:vAlign w:val="center"/>
          </w:tcPr>
          <w:p w14:paraId="442546E2">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p>
        </w:tc>
      </w:tr>
      <w:tr w14:paraId="136C2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404" w:type="dxa"/>
            <w:noWrap w:val="0"/>
            <w:vAlign w:val="center"/>
          </w:tcPr>
          <w:p w14:paraId="69F5B3DA">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976" w:type="dxa"/>
            <w:noWrap w:val="0"/>
            <w:vAlign w:val="center"/>
          </w:tcPr>
          <w:p w14:paraId="5E57D25C">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附加条件</w:t>
            </w:r>
          </w:p>
        </w:tc>
        <w:tc>
          <w:tcPr>
            <w:tcW w:w="3620" w:type="dxa"/>
            <w:noWrap w:val="0"/>
            <w:vAlign w:val="center"/>
          </w:tcPr>
          <w:p w14:paraId="1401B372">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投标文件未含有采购人不能接受的附加条件的；（由评委审查，无需供应商提供材料）</w:t>
            </w:r>
          </w:p>
        </w:tc>
      </w:tr>
      <w:tr w14:paraId="4A4EE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6D833CD">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976" w:type="dxa"/>
            <w:noWrap w:val="0"/>
            <w:vAlign w:val="center"/>
          </w:tcPr>
          <w:p w14:paraId="578F1F26">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其他无效情形</w:t>
            </w:r>
          </w:p>
        </w:tc>
        <w:tc>
          <w:tcPr>
            <w:tcW w:w="3620" w:type="dxa"/>
            <w:noWrap w:val="0"/>
            <w:vAlign w:val="center"/>
          </w:tcPr>
          <w:p w14:paraId="261BE417">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投标人、投标文件不存在不符合法律、法规和招标文件规定的其他无效情形。（由评委审查，无需供应商提供材料）</w:t>
            </w:r>
          </w:p>
        </w:tc>
      </w:tr>
    </w:tbl>
    <w:p w14:paraId="1A08187A">
      <w:pPr>
        <w:pStyle w:val="36"/>
        <w:rPr>
          <w:rFonts w:hint="eastAsia" w:ascii="宋体" w:hAnsi="宋体" w:eastAsia="宋体" w:cs="宋体"/>
          <w:color w:val="auto"/>
          <w:highlight w:val="none"/>
        </w:rPr>
      </w:pPr>
    </w:p>
    <w:bookmarkEnd w:id="654"/>
    <w:bookmarkEnd w:id="655"/>
    <w:p w14:paraId="60E34F7A">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2.投标文件有关事项的澄清或者说明</w:t>
      </w:r>
    </w:p>
    <w:p w14:paraId="3746AE41">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p>
    <w:p w14:paraId="566FF09E">
      <w:pPr>
        <w:pStyle w:val="279"/>
        <w:ind w:firstLine="42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val="0"/>
          <w:bCs w:val="0"/>
          <w:color w:val="auto"/>
          <w:sz w:val="21"/>
          <w:szCs w:val="21"/>
          <w:highlight w:val="none"/>
        </w:rPr>
        <w:t>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bCs/>
          <w:color w:val="auto"/>
          <w:sz w:val="21"/>
          <w:szCs w:val="21"/>
          <w:highlight w:val="none"/>
        </w:rPr>
        <w:t>无效投标处理</w:t>
      </w:r>
      <w:r>
        <w:rPr>
          <w:rFonts w:hint="eastAsia" w:ascii="宋体" w:hAnsi="宋体" w:eastAsia="宋体" w:cs="宋体"/>
          <w:b w:val="0"/>
          <w:bCs w:val="0"/>
          <w:color w:val="auto"/>
          <w:sz w:val="21"/>
          <w:szCs w:val="21"/>
          <w:highlight w:val="none"/>
        </w:rPr>
        <w:t>。</w:t>
      </w:r>
    </w:p>
    <w:p w14:paraId="4837EB7B">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60D90463">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2.4投标文件报价出现前后不一致的，按照下列规定修正：</w:t>
      </w:r>
    </w:p>
    <w:p w14:paraId="7987609B">
      <w:pPr>
        <w:pStyle w:val="279"/>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2.4.1招标文件对于报价修正是否另有规定：无，按下述2.4.2-2.4.7项规定修正。</w:t>
      </w:r>
    </w:p>
    <w:p w14:paraId="5469B303">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2.4.2单独递交的开标一览表（报价表）与投标文件中开标一览表（报价表）内容不一致的，以单独递交的开标一览表（报价表）为准；</w:t>
      </w:r>
    </w:p>
    <w:p w14:paraId="7FB354D4">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2.4.3投标文件中开标一览表（报价表）内容与投标文件中相应内容不一致的，以开标一览表（报价表）为准；</w:t>
      </w:r>
    </w:p>
    <w:p w14:paraId="56E426E0">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2.4.4大写金额和小写金额不一致的，以大写金额为准；</w:t>
      </w:r>
    </w:p>
    <w:p w14:paraId="4BED21AC">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2.4.5单价金额小数点或者百分比有明显错位的，以开标一览表的总价为准，并修改单价；</w:t>
      </w:r>
    </w:p>
    <w:p w14:paraId="5CAE9CED">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2.4.6总价金额与按单价汇总金额不一致的，以单价金额计算结果为准。</w:t>
      </w:r>
    </w:p>
    <w:p w14:paraId="7B1231D3">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2.4.7同时出现两种以上不一致的，按照前款规定的顺序修正。修正后的报价经供应商书面确认后产生约束力，供应商不确认的，其投标无效。</w:t>
      </w:r>
    </w:p>
    <w:p w14:paraId="0E8F225D">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2.5落实政府采购政策的价格调整：只有符合第二章《供应商须知》5.2条规定情形的，可以享受中小企业扶持政策，用扣除后的价格参加评审；</w:t>
      </w:r>
      <w:r>
        <w:rPr>
          <w:rFonts w:hint="eastAsia" w:ascii="宋体" w:hAnsi="宋体" w:eastAsia="宋体" w:cs="宋体"/>
          <w:b/>
          <w:bCs/>
          <w:color w:val="auto"/>
          <w:sz w:val="21"/>
          <w:szCs w:val="21"/>
          <w:highlight w:val="none"/>
        </w:rPr>
        <w:t>如为专门面向中小企业采购的项目，不再执行价格评审优惠的扶持政策，</w:t>
      </w:r>
      <w:r>
        <w:rPr>
          <w:rFonts w:hint="eastAsia" w:ascii="宋体" w:hAnsi="宋体" w:eastAsia="宋体" w:cs="宋体"/>
          <w:color w:val="auto"/>
          <w:sz w:val="21"/>
          <w:szCs w:val="21"/>
          <w:highlight w:val="none"/>
        </w:rPr>
        <w:t>评标时价格不予扣除。</w:t>
      </w:r>
    </w:p>
    <w:p w14:paraId="27C2D3BC">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w:t>
      </w:r>
      <w:r>
        <w:rPr>
          <w:rFonts w:hint="eastAsia" w:ascii="宋体" w:hAnsi="宋体" w:eastAsia="宋体" w:cs="宋体"/>
          <w:b/>
          <w:bCs/>
          <w:color w:val="auto"/>
          <w:sz w:val="21"/>
          <w:szCs w:val="21"/>
          <w:highlight w:val="none"/>
        </w:rPr>
        <w:t>对于未预留份额专门面向中小企业采购的采购项目，以及预留份额项目中的非预留部分采购包，对小微企业报价给予20%的扣除</w:t>
      </w:r>
      <w:r>
        <w:rPr>
          <w:rFonts w:hint="eastAsia" w:ascii="宋体" w:hAnsi="宋体" w:eastAsia="宋体" w:cs="宋体"/>
          <w:color w:val="auto"/>
          <w:sz w:val="21"/>
          <w:szCs w:val="21"/>
          <w:highlight w:val="none"/>
        </w:rPr>
        <w:t>，用扣除后的价格参加评审。</w:t>
      </w:r>
    </w:p>
    <w:p w14:paraId="150B1E8E">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p>
    <w:p w14:paraId="529EED67">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2.5.3组成联合体或者接受分包的小微企业与联合体内其他企业、分包企业之间存在直接控股、管理关系的，不享受价格扣除优惠政策。</w:t>
      </w:r>
    </w:p>
    <w:p w14:paraId="5B315FBD">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2.5.4价格扣除比例对小型企业和微型企业同等对待，不作区分。</w:t>
      </w:r>
    </w:p>
    <w:p w14:paraId="3B811435">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2.5.5中小企业参加政府采购活动，应当按照招标文件给定的格式出具《中小企业声明函》，否则不得享受相关中小企业扶持政策。</w:t>
      </w:r>
    </w:p>
    <w:p w14:paraId="289C919F">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2.5.6监狱企业提供了由省级以上监狱管理局（常州市含教育矫治局）、戒毒管理局（含新疆生产建设兵团）出具的属于监狱企业的证明文件的，视同小微企业。</w:t>
      </w:r>
    </w:p>
    <w:p w14:paraId="7C1B90C4">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2.5.7残疾人福利性单位按招标文件要求提供了《残疾人福利性单位声明函》（见附件）的，视同小微企业。</w:t>
      </w:r>
    </w:p>
    <w:p w14:paraId="2E09AADF">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2.5.8若供应商同时属于小型或微型企业、监狱企业、残疾人福利性单位中的两种及以上，将不重复享受小微企业价格扣减的优惠政策。</w:t>
      </w:r>
    </w:p>
    <w:p w14:paraId="576C9A25">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3.投标文件的比较和评价</w:t>
      </w:r>
    </w:p>
    <w:p w14:paraId="47706DDE">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3.1评标委员会将按照招标文件中规定的评标方法和标准，对符合性审查合格的投标文件进行商务和技术评估，综合比较与评价；未通过符合性审查的投标文件不得进入比较与评价。</w:t>
      </w:r>
    </w:p>
    <w:p w14:paraId="57185C67">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3.2评标方法和评标标准</w:t>
      </w:r>
    </w:p>
    <w:p w14:paraId="7AA90BA2">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3.2.1本项目采用的评标方法为：</w:t>
      </w:r>
    </w:p>
    <w:p w14:paraId="1C7E4A57">
      <w:pPr>
        <w:pStyle w:val="279"/>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■综合评分法，指投标文件满足招标文件全部实质性要求，且按照评审因素的量化指标评审得分最高的供应商为中标候选人的评标方法，见《评标标准》，招标文件中没有规定的评标标准不得作为评审的依据。</w:t>
      </w:r>
    </w:p>
    <w:p w14:paraId="1769D7C0">
      <w:pPr>
        <w:pStyle w:val="279"/>
        <w:ind w:firstLine="420"/>
        <w:rPr>
          <w:rFonts w:hint="eastAsia" w:ascii="宋体" w:hAnsi="宋体" w:eastAsia="宋体" w:cs="宋体"/>
          <w:b w:val="0"/>
          <w:bCs w:val="0"/>
          <w:color w:val="auto"/>
          <w:sz w:val="21"/>
          <w:szCs w:val="21"/>
          <w:highlight w:val="none"/>
        </w:rPr>
      </w:pPr>
      <w:r>
        <w:rPr>
          <w:rFonts w:hint="eastAsia"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最低评标价法，指投标文件满足招标文件全部实质性要求，且投标报价最低的供应商为中标候选人的评标方法。</w:t>
      </w:r>
    </w:p>
    <w:p w14:paraId="7DF5FB79">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p>
    <w:p w14:paraId="090D04DD">
      <w:pPr>
        <w:pStyle w:val="279"/>
        <w:ind w:firstLine="420"/>
        <w:rPr>
          <w:rFonts w:hint="eastAsia" w:ascii="宋体" w:hAnsi="宋体" w:eastAsia="宋体" w:cs="宋体"/>
          <w:color w:val="auto"/>
          <w:sz w:val="21"/>
          <w:szCs w:val="21"/>
          <w:highlight w:val="none"/>
        </w:rPr>
      </w:pPr>
      <w:bookmarkStart w:id="671" w:name="_Hlk107696993"/>
      <w:r>
        <w:rPr>
          <w:rFonts w:hint="eastAsia" w:ascii="宋体" w:hAnsi="宋体" w:eastAsia="宋体" w:cs="宋体"/>
          <w:color w:val="auto"/>
          <w:sz w:val="21"/>
          <w:szCs w:val="21"/>
          <w:highlight w:val="none"/>
        </w:rPr>
        <w:t>■随机抽取</w:t>
      </w:r>
    </w:p>
    <w:bookmarkEnd w:id="671"/>
    <w:p w14:paraId="6074CB01">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□其他方式，具体要求：_____</w:t>
      </w:r>
    </w:p>
    <w:p w14:paraId="21C77B7D">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rPr>
        <w:t>见评标标准相关评分项</w:t>
      </w:r>
      <w:r>
        <w:rPr>
          <w:rFonts w:hint="eastAsia" w:ascii="宋体" w:hAnsi="宋体" w:eastAsia="宋体" w:cs="宋体"/>
          <w:color w:val="auto"/>
          <w:sz w:val="21"/>
          <w:szCs w:val="21"/>
          <w:highlight w:val="none"/>
        </w:rPr>
        <w:t>。</w:t>
      </w:r>
    </w:p>
    <w:p w14:paraId="407275DE">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3.2.4关于无线局域网认证产品政府采购清单中的产品，优先采购的具体规定（如涉及）</w:t>
      </w:r>
      <w:r>
        <w:rPr>
          <w:rFonts w:hint="eastAsia" w:ascii="宋体" w:hAnsi="宋体" w:eastAsia="宋体" w:cs="宋体"/>
          <w:color w:val="auto"/>
          <w:sz w:val="21"/>
          <w:szCs w:val="21"/>
          <w:highlight w:val="none"/>
          <w:u w:val="single"/>
        </w:rPr>
        <w:t>见评标标准相关评分项</w:t>
      </w:r>
      <w:r>
        <w:rPr>
          <w:rFonts w:hint="eastAsia" w:ascii="宋体" w:hAnsi="宋体" w:eastAsia="宋体" w:cs="宋体"/>
          <w:color w:val="auto"/>
          <w:sz w:val="21"/>
          <w:szCs w:val="21"/>
          <w:highlight w:val="none"/>
        </w:rPr>
        <w:t>。</w:t>
      </w:r>
    </w:p>
    <w:p w14:paraId="1584B838">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4.确定</w:t>
      </w:r>
      <w:bookmarkStart w:id="672" w:name="_Toc226965819"/>
      <w:bookmarkStart w:id="673" w:name="_Toc150480784"/>
      <w:bookmarkStart w:id="674" w:name="_Toc226965736"/>
      <w:bookmarkStart w:id="675" w:name="_Toc151193788"/>
      <w:bookmarkStart w:id="676" w:name="_Toc226337242"/>
      <w:bookmarkStart w:id="677" w:name="_Toc226309790"/>
      <w:bookmarkStart w:id="678" w:name="_Toc151190173"/>
      <w:bookmarkStart w:id="679" w:name="_Toc150774751"/>
      <w:bookmarkStart w:id="680" w:name="_Toc127151747"/>
      <w:bookmarkStart w:id="681" w:name="_Toc520356170"/>
      <w:bookmarkStart w:id="682" w:name="_Toc151193644"/>
      <w:bookmarkStart w:id="683" w:name="_Toc164608815"/>
      <w:bookmarkStart w:id="684" w:name="_Toc151193860"/>
      <w:bookmarkStart w:id="685" w:name="_Toc164229241"/>
      <w:bookmarkStart w:id="686" w:name="_Toc164608660"/>
      <w:bookmarkStart w:id="687" w:name="_Toc264969236"/>
      <w:bookmarkStart w:id="688" w:name="_Toc149720839"/>
      <w:bookmarkStart w:id="689" w:name="_Toc151193716"/>
      <w:bookmarkStart w:id="690" w:name="_Ref467307010"/>
      <w:bookmarkStart w:id="691" w:name="_Toc150509297"/>
      <w:bookmarkStart w:id="692" w:name="_Toc150774646"/>
      <w:bookmarkStart w:id="693" w:name="_Toc127161460"/>
      <w:bookmarkStart w:id="694" w:name="_Toc164351640"/>
      <w:bookmarkStart w:id="695" w:name="_Toc127151546"/>
      <w:bookmarkStart w:id="696" w:name="_Toc142311048"/>
      <w:bookmarkStart w:id="697" w:name="_Toc305158888"/>
      <w:bookmarkStart w:id="698" w:name="_Toc195842911"/>
      <w:bookmarkStart w:id="699" w:name="_Toc164229387"/>
      <w:bookmarkStart w:id="700" w:name="_Toc265228384"/>
      <w:bookmarkStart w:id="701" w:name="_Toc151193934"/>
      <w:bookmarkStart w:id="702" w:name="_Toc305158814"/>
      <w:r>
        <w:rPr>
          <w:rFonts w:hint="eastAsia" w:ascii="宋体" w:hAnsi="宋体" w:eastAsia="宋体" w:cs="宋体"/>
          <w:color w:val="auto"/>
          <w:sz w:val="21"/>
          <w:szCs w:val="21"/>
          <w:highlight w:val="none"/>
        </w:rPr>
        <w:t>中标候选人名单</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14:paraId="63084DD2">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p>
    <w:p w14:paraId="1929AF3B">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■随机抽取</w:t>
      </w:r>
    </w:p>
    <w:p w14:paraId="67622358">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□其他方式，具体要求：_____</w:t>
      </w:r>
    </w:p>
    <w:p w14:paraId="717795FA">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eastAsia="宋体" w:cs="宋体"/>
          <w:b/>
          <w:bCs/>
          <w:color w:val="auto"/>
          <w:sz w:val="21"/>
          <w:szCs w:val="21"/>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p>
    <w:p w14:paraId="551F2323">
      <w:pPr>
        <w:pStyle w:val="279"/>
        <w:ind w:firstLine="42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4.3</w:t>
      </w:r>
      <w:r>
        <w:rPr>
          <w:rFonts w:hint="eastAsia" w:ascii="宋体" w:hAnsi="宋体" w:eastAsia="宋体" w:cs="宋体"/>
          <w:b w:val="0"/>
          <w:bCs w:val="0"/>
          <w:color w:val="auto"/>
          <w:sz w:val="21"/>
          <w:szCs w:val="21"/>
          <w:highlight w:val="none"/>
        </w:rPr>
        <w:t>采用最低评标价法时，评标结果按本章2.4、2.5调整后的投标报价由低到高顺序排列。投标报价相同的并列。投标文件满足招标文件全部实质性要求且投标报价最低的供应商为排名第一的中标候选人。</w:t>
      </w:r>
    </w:p>
    <w:p w14:paraId="77874B9D">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4.4评标委员会要对评分汇总情况进行复核，特别是对排名第一的、报价最低的、投标或投标文件被认定为无效的情形进行重点复核。</w:t>
      </w:r>
    </w:p>
    <w:p w14:paraId="3115C4A8">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w:t>
      </w:r>
      <w:r>
        <w:rPr>
          <w:rFonts w:hint="eastAsia" w:ascii="宋体" w:hAnsi="宋体" w:eastAsia="宋体" w:cs="宋体"/>
          <w:b/>
          <w:bCs/>
          <w:color w:val="auto"/>
          <w:sz w:val="21"/>
          <w:szCs w:val="21"/>
          <w:highlight w:val="none"/>
        </w:rPr>
        <w:t>评标委员会将根据各供应商的评标排序，依次推荐本项目（各采购包）的中标候选人，起草并签署评标报告。本项目（各采购包）评标委员会共（各）推荐不少于3名中标候选人。</w:t>
      </w:r>
    </w:p>
    <w:p w14:paraId="7C6D3DAB">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5.报告违法行为</w:t>
      </w:r>
    </w:p>
    <w:p w14:paraId="23E04FC5">
      <w:pPr>
        <w:pStyle w:val="27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5.1评标委员会在评标过程中发现供应商有行贿、提供虚假材料或者串通等违法行为时，有向采购人、采购代理机构或者有关部门报告的职责。</w:t>
      </w:r>
    </w:p>
    <w:p w14:paraId="692318C4">
      <w:pPr>
        <w:rPr>
          <w:b/>
          <w:color w:val="auto"/>
          <w:sz w:val="24"/>
          <w:highlight w:val="none"/>
        </w:rPr>
      </w:pPr>
      <w:bookmarkStart w:id="703" w:name="_Toc184327613"/>
      <w:r>
        <w:rPr>
          <w:b/>
          <w:color w:val="auto"/>
          <w:sz w:val="24"/>
          <w:highlight w:val="none"/>
        </w:rPr>
        <w:br w:type="page"/>
      </w:r>
    </w:p>
    <w:p w14:paraId="3F07F9D3">
      <w:pPr>
        <w:tabs>
          <w:tab w:val="left" w:pos="360"/>
          <w:tab w:val="left" w:pos="900"/>
        </w:tabs>
        <w:spacing w:line="360" w:lineRule="auto"/>
        <w:ind w:firstLine="357"/>
        <w:jc w:val="center"/>
        <w:outlineLvl w:val="1"/>
        <w:rPr>
          <w:color w:val="auto"/>
          <w:sz w:val="24"/>
          <w:highlight w:val="none"/>
        </w:rPr>
      </w:pPr>
      <w:r>
        <w:rPr>
          <w:b/>
          <w:color w:val="auto"/>
          <w:sz w:val="24"/>
          <w:highlight w:val="none"/>
        </w:rPr>
        <w:t>二、评标标准</w:t>
      </w:r>
      <w:bookmarkEnd w:id="703"/>
    </w:p>
    <w:p w14:paraId="20F6586C">
      <w:pPr>
        <w:autoSpaceDE w:val="0"/>
        <w:autoSpaceDN w:val="0"/>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本项目采用综合评分法，由评审小组对所有有效投标文件进行详细的评分，采用百分制计分方法。评标时，评审小组各成员遵循公平、公正、择优原则，独立对每个有效投标人的投标文件进行评价、打分，各个投标人的最终得分为汇总计算所有评审小组成员所评定分值的平均值（保留2位小数）。评审小组按评审后最终综合得分由高到低顺序排列名次，并推荐第一中标候选单位。如得分相同的，按投标报价由低到高顺序推荐成第一中标候选单位。如得分相同，报价相同，则由招标人抽签确定第一中标候选单位。</w:t>
      </w:r>
    </w:p>
    <w:p w14:paraId="44D2CFB9">
      <w:pPr>
        <w:autoSpaceDE w:val="0"/>
        <w:autoSpaceDN w:val="0"/>
        <w:adjustRightIn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szCs w:val="21"/>
          <w:highlight w:val="none"/>
        </w:rPr>
        <w:t>评分细则如下：</w:t>
      </w:r>
    </w:p>
    <w:tbl>
      <w:tblPr>
        <w:tblStyle w:val="30"/>
        <w:tblW w:w="52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1150"/>
        <w:gridCol w:w="680"/>
        <w:gridCol w:w="6221"/>
        <w:gridCol w:w="669"/>
      </w:tblGrid>
      <w:tr w14:paraId="4F59E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jc w:val="center"/>
        </w:trPr>
        <w:tc>
          <w:tcPr>
            <w:tcW w:w="371" w:type="pct"/>
            <w:vAlign w:val="center"/>
          </w:tcPr>
          <w:p w14:paraId="788B5142">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610" w:type="pct"/>
            <w:vAlign w:val="center"/>
          </w:tcPr>
          <w:p w14:paraId="6BB7CD66">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评分因素</w:t>
            </w:r>
          </w:p>
        </w:tc>
        <w:tc>
          <w:tcPr>
            <w:tcW w:w="360" w:type="pct"/>
            <w:vAlign w:val="center"/>
          </w:tcPr>
          <w:p w14:paraId="7351663E">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3302" w:type="pct"/>
            <w:vAlign w:val="center"/>
          </w:tcPr>
          <w:p w14:paraId="2E23D70C">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评分标准</w:t>
            </w:r>
          </w:p>
        </w:tc>
        <w:tc>
          <w:tcPr>
            <w:tcW w:w="355" w:type="pct"/>
            <w:vAlign w:val="center"/>
          </w:tcPr>
          <w:p w14:paraId="1665D85E">
            <w:pPr>
              <w:widowControl w:val="0"/>
              <w:spacing w:before="0" w:after="0" w:line="240" w:lineRule="auto"/>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说明</w:t>
            </w:r>
          </w:p>
        </w:tc>
      </w:tr>
      <w:tr w14:paraId="306C2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0" w:hRule="atLeast"/>
          <w:jc w:val="center"/>
        </w:trPr>
        <w:tc>
          <w:tcPr>
            <w:tcW w:w="371" w:type="pct"/>
            <w:vAlign w:val="center"/>
          </w:tcPr>
          <w:p w14:paraId="2AD98D6E">
            <w:pPr>
              <w:ind w:firstLine="28"/>
              <w:jc w:val="center"/>
              <w:rPr>
                <w:rFonts w:hint="eastAsia" w:ascii="宋体" w:hAnsi="宋体" w:cs="宋体"/>
                <w:b/>
                <w:color w:val="auto"/>
                <w:szCs w:val="21"/>
                <w:highlight w:val="none"/>
              </w:rPr>
            </w:pPr>
            <w:r>
              <w:rPr>
                <w:rFonts w:hint="eastAsia" w:ascii="宋体" w:hAnsi="宋体" w:cs="宋体"/>
                <w:bCs/>
                <w:color w:val="auto"/>
                <w:szCs w:val="21"/>
                <w:highlight w:val="none"/>
              </w:rPr>
              <w:t>1</w:t>
            </w:r>
          </w:p>
        </w:tc>
        <w:tc>
          <w:tcPr>
            <w:tcW w:w="610" w:type="pct"/>
            <w:vAlign w:val="center"/>
          </w:tcPr>
          <w:p w14:paraId="0BD54490">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价格分</w:t>
            </w:r>
          </w:p>
        </w:tc>
        <w:tc>
          <w:tcPr>
            <w:tcW w:w="360" w:type="pct"/>
            <w:vAlign w:val="center"/>
          </w:tcPr>
          <w:p w14:paraId="4C40A6BC">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3302" w:type="pct"/>
            <w:vAlign w:val="center"/>
          </w:tcPr>
          <w:p w14:paraId="03C0A62F">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0。</w:t>
            </w:r>
          </w:p>
          <w:p w14:paraId="68179FF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注：此处投标报价指经过报价修正后的报价。</w:t>
            </w:r>
          </w:p>
        </w:tc>
        <w:tc>
          <w:tcPr>
            <w:tcW w:w="355" w:type="pct"/>
            <w:vAlign w:val="center"/>
          </w:tcPr>
          <w:p w14:paraId="08DC946F">
            <w:pPr>
              <w:ind w:left="-38"/>
              <w:rPr>
                <w:rFonts w:hint="eastAsia" w:ascii="宋体" w:hAnsi="宋体" w:cs="宋体"/>
                <w:color w:val="auto"/>
                <w:szCs w:val="21"/>
                <w:highlight w:val="none"/>
              </w:rPr>
            </w:pPr>
          </w:p>
        </w:tc>
      </w:tr>
      <w:tr w14:paraId="4BAB0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371" w:type="pct"/>
            <w:vAlign w:val="center"/>
          </w:tcPr>
          <w:p w14:paraId="41F3E636">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610" w:type="pct"/>
            <w:vAlign w:val="center"/>
          </w:tcPr>
          <w:p w14:paraId="43EBF143">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主观分</w:t>
            </w:r>
          </w:p>
        </w:tc>
        <w:tc>
          <w:tcPr>
            <w:tcW w:w="360" w:type="pct"/>
            <w:vAlign w:val="center"/>
          </w:tcPr>
          <w:p w14:paraId="13E653C9">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47</w:t>
            </w:r>
          </w:p>
        </w:tc>
        <w:tc>
          <w:tcPr>
            <w:tcW w:w="3302" w:type="pct"/>
            <w:vAlign w:val="center"/>
          </w:tcPr>
          <w:p w14:paraId="43C426A4">
            <w:pPr>
              <w:ind w:firstLine="28"/>
              <w:jc w:val="center"/>
              <w:rPr>
                <w:rFonts w:hint="eastAsia" w:ascii="宋体" w:hAnsi="宋体" w:cs="宋体"/>
                <w:color w:val="auto"/>
                <w:szCs w:val="21"/>
                <w:highlight w:val="none"/>
              </w:rPr>
            </w:pPr>
          </w:p>
        </w:tc>
        <w:tc>
          <w:tcPr>
            <w:tcW w:w="355" w:type="pct"/>
            <w:vAlign w:val="center"/>
          </w:tcPr>
          <w:p w14:paraId="38A47E98">
            <w:pPr>
              <w:ind w:left="-38"/>
              <w:rPr>
                <w:rFonts w:hint="eastAsia" w:ascii="宋体" w:hAnsi="宋体" w:cs="宋体"/>
                <w:color w:val="auto"/>
                <w:szCs w:val="21"/>
                <w:highlight w:val="none"/>
              </w:rPr>
            </w:pPr>
          </w:p>
        </w:tc>
      </w:tr>
      <w:tr w14:paraId="406CF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2" w:hRule="atLeast"/>
          <w:jc w:val="center"/>
        </w:trPr>
        <w:tc>
          <w:tcPr>
            <w:tcW w:w="371" w:type="pct"/>
            <w:vAlign w:val="center"/>
          </w:tcPr>
          <w:p w14:paraId="31817FD0">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610" w:type="pct"/>
            <w:vAlign w:val="center"/>
          </w:tcPr>
          <w:p w14:paraId="3C8A6234">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整体服务方案</w:t>
            </w:r>
          </w:p>
        </w:tc>
        <w:tc>
          <w:tcPr>
            <w:tcW w:w="360" w:type="pct"/>
            <w:vAlign w:val="center"/>
          </w:tcPr>
          <w:p w14:paraId="60A099B3">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3302" w:type="pct"/>
            <w:vAlign w:val="center"/>
          </w:tcPr>
          <w:p w14:paraId="6678367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根据要求提供整体的</w:t>
            </w:r>
            <w:r>
              <w:rPr>
                <w:rFonts w:hint="eastAsia" w:ascii="宋体" w:hAnsi="宋体" w:cs="宋体"/>
                <w:color w:val="auto"/>
                <w:szCs w:val="21"/>
                <w:highlight w:val="none"/>
                <w:lang w:val="en-US" w:eastAsia="zh-CN"/>
              </w:rPr>
              <w:t>垃圾收运</w:t>
            </w:r>
            <w:r>
              <w:rPr>
                <w:rFonts w:hint="eastAsia" w:ascii="宋体" w:hAnsi="宋体" w:cs="宋体"/>
                <w:color w:val="auto"/>
                <w:szCs w:val="21"/>
                <w:highlight w:val="none"/>
              </w:rPr>
              <w:t>，包括但不限于实施方案、工作流程、服务定位、目标及具体措施等内容，根据方案的切合度、合理性、可行性进行评审。</w:t>
            </w:r>
          </w:p>
          <w:p w14:paraId="6E6A2225">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1、整体服务方案切合度高、合理性、可行性强得8分；</w:t>
            </w:r>
          </w:p>
          <w:p w14:paraId="061E64D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2、整体服务方案切合度较高、合理性、可行性较强得6分；</w:t>
            </w:r>
          </w:p>
          <w:p w14:paraId="518783AC">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3、整体服务方案切合度一般、合理性、可行性一般得4分；</w:t>
            </w:r>
          </w:p>
          <w:p w14:paraId="048227F3">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4、整体服务方案切合度差、合理性、可行性差得2分；</w:t>
            </w:r>
          </w:p>
          <w:p w14:paraId="42E1D693">
            <w:pPr>
              <w:rPr>
                <w:rFonts w:hint="eastAsia" w:ascii="宋体" w:hAnsi="宋体" w:cs="宋体"/>
                <w:color w:val="auto"/>
                <w:szCs w:val="21"/>
                <w:highlight w:val="none"/>
              </w:rPr>
            </w:pPr>
            <w:r>
              <w:rPr>
                <w:rFonts w:hint="eastAsia" w:ascii="宋体" w:hAnsi="宋体" w:cs="宋体"/>
                <w:color w:val="auto"/>
                <w:szCs w:val="21"/>
                <w:highlight w:val="none"/>
              </w:rPr>
              <w:t>5、不提供不得分。</w:t>
            </w:r>
          </w:p>
        </w:tc>
        <w:tc>
          <w:tcPr>
            <w:tcW w:w="355" w:type="pct"/>
            <w:vAlign w:val="center"/>
          </w:tcPr>
          <w:p w14:paraId="4B6E9F78">
            <w:pPr>
              <w:ind w:left="-38"/>
              <w:rPr>
                <w:rFonts w:hint="eastAsia" w:ascii="宋体" w:hAnsi="宋体" w:cs="宋体"/>
                <w:color w:val="auto"/>
                <w:szCs w:val="21"/>
                <w:highlight w:val="none"/>
              </w:rPr>
            </w:pPr>
          </w:p>
        </w:tc>
      </w:tr>
      <w:tr w14:paraId="4A1CC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9" w:hRule="atLeast"/>
          <w:jc w:val="center"/>
        </w:trPr>
        <w:tc>
          <w:tcPr>
            <w:tcW w:w="371" w:type="pct"/>
            <w:vAlign w:val="center"/>
          </w:tcPr>
          <w:p w14:paraId="754CF22C">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610" w:type="pct"/>
            <w:vAlign w:val="center"/>
          </w:tcPr>
          <w:p w14:paraId="20689687">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企业管理</w:t>
            </w:r>
          </w:p>
        </w:tc>
        <w:tc>
          <w:tcPr>
            <w:tcW w:w="360" w:type="pct"/>
            <w:vAlign w:val="center"/>
          </w:tcPr>
          <w:p w14:paraId="03243A37">
            <w:pPr>
              <w:widowControl/>
              <w:spacing w:line="32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8</w:t>
            </w:r>
          </w:p>
        </w:tc>
        <w:tc>
          <w:tcPr>
            <w:tcW w:w="3302" w:type="pct"/>
            <w:vAlign w:val="center"/>
          </w:tcPr>
          <w:p w14:paraId="61801DBB">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根据要求提供有关本项目的企业管理，包括但不限于建立健全企业管理规章制度、人员管理制度、内部考核及奖惩制度等；根据制度的全面性、严谨性、可行性进行评审。</w:t>
            </w:r>
          </w:p>
          <w:p w14:paraId="381D71F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1、企业管理描述全面详细，科学严谨，可行性高得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60D4A0E6">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2、企业管理描述较全面详细，较科学严谨，可行性较强得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15E5B75E">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3、企业管理描述全面性一般，科学严谨度一般，可行性一般得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27D95293">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4、企业管理描述不全面、不详细，科学严谨度差，可行性差得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404B3341">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5、不提供不得分。</w:t>
            </w:r>
          </w:p>
        </w:tc>
        <w:tc>
          <w:tcPr>
            <w:tcW w:w="355" w:type="pct"/>
            <w:vAlign w:val="center"/>
          </w:tcPr>
          <w:p w14:paraId="15992B80">
            <w:pPr>
              <w:ind w:left="-38"/>
              <w:rPr>
                <w:rFonts w:hint="eastAsia" w:ascii="宋体" w:hAnsi="宋体" w:cs="宋体"/>
                <w:color w:val="auto"/>
                <w:szCs w:val="21"/>
                <w:highlight w:val="none"/>
              </w:rPr>
            </w:pPr>
          </w:p>
          <w:p w14:paraId="39D7F865">
            <w:pPr>
              <w:ind w:left="-38"/>
              <w:rPr>
                <w:rFonts w:hint="eastAsia" w:ascii="宋体" w:hAnsi="宋体" w:cs="宋体"/>
                <w:color w:val="auto"/>
                <w:szCs w:val="21"/>
                <w:highlight w:val="none"/>
              </w:rPr>
            </w:pPr>
          </w:p>
        </w:tc>
      </w:tr>
      <w:tr w14:paraId="51306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371" w:type="pct"/>
            <w:vAlign w:val="center"/>
          </w:tcPr>
          <w:p w14:paraId="6D7A8EA3">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2.3</w:t>
            </w:r>
          </w:p>
        </w:tc>
        <w:tc>
          <w:tcPr>
            <w:tcW w:w="610" w:type="pct"/>
            <w:vAlign w:val="center"/>
          </w:tcPr>
          <w:p w14:paraId="5F62AA3B">
            <w:pPr>
              <w:widowControl/>
              <w:spacing w:line="320" w:lineRule="exact"/>
              <w:jc w:val="left"/>
              <w:textAlignment w:val="center"/>
              <w:rPr>
                <w:rFonts w:hint="eastAsia" w:ascii="宋体" w:hAnsi="宋体" w:cs="宋体"/>
                <w:color w:val="auto"/>
                <w:kern w:val="2"/>
                <w:szCs w:val="21"/>
                <w:highlight w:val="none"/>
              </w:rPr>
            </w:pPr>
            <w:r>
              <w:rPr>
                <w:rFonts w:hint="eastAsia" w:ascii="宋体" w:hAnsi="宋体" w:cs="宋体"/>
                <w:color w:val="auto"/>
                <w:szCs w:val="21"/>
                <w:highlight w:val="none"/>
              </w:rPr>
              <w:t>人员管理</w:t>
            </w:r>
          </w:p>
        </w:tc>
        <w:tc>
          <w:tcPr>
            <w:tcW w:w="360" w:type="pct"/>
            <w:vAlign w:val="center"/>
          </w:tcPr>
          <w:p w14:paraId="61825660">
            <w:pPr>
              <w:widowControl/>
              <w:spacing w:line="320" w:lineRule="exact"/>
              <w:jc w:val="center"/>
              <w:textAlignment w:val="center"/>
              <w:rPr>
                <w:rFonts w:hint="eastAsia" w:ascii="宋体" w:hAnsi="宋体" w:eastAsia="宋体" w:cs="宋体"/>
                <w:color w:val="auto"/>
                <w:kern w:val="2"/>
                <w:szCs w:val="21"/>
                <w:highlight w:val="none"/>
                <w:lang w:eastAsia="zh-CN"/>
              </w:rPr>
            </w:pPr>
            <w:r>
              <w:rPr>
                <w:rFonts w:hint="eastAsia" w:ascii="宋体" w:hAnsi="宋体" w:cs="宋体"/>
                <w:color w:val="auto"/>
                <w:szCs w:val="21"/>
                <w:highlight w:val="none"/>
                <w:lang w:val="en-US" w:eastAsia="zh-CN"/>
              </w:rPr>
              <w:t>8</w:t>
            </w:r>
          </w:p>
        </w:tc>
        <w:tc>
          <w:tcPr>
            <w:tcW w:w="3302" w:type="pct"/>
            <w:vAlign w:val="center"/>
          </w:tcPr>
          <w:p w14:paraId="7433EEF1">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根据要求提供组织架构及管理方案，包括但不限于人员配备、培训</w:t>
            </w:r>
            <w:r>
              <w:rPr>
                <w:rFonts w:hint="eastAsia" w:ascii="宋体" w:hAnsi="宋体" w:cs="宋体"/>
                <w:color w:val="auto"/>
                <w:szCs w:val="21"/>
                <w:highlight w:val="none"/>
                <w:lang w:val="en-US" w:eastAsia="zh-CN"/>
              </w:rPr>
              <w:t>制度</w:t>
            </w:r>
            <w:r>
              <w:rPr>
                <w:rFonts w:hint="eastAsia" w:ascii="宋体" w:hAnsi="宋体" w:cs="宋体"/>
                <w:color w:val="auto"/>
                <w:szCs w:val="21"/>
                <w:highlight w:val="none"/>
              </w:rPr>
              <w:t>、质量控制运作机制等，根据方案的全面性、可行性进行评审。</w:t>
            </w:r>
          </w:p>
          <w:p w14:paraId="30FB5C53">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1、各项内容描述全面详细，切合实际，可行性高得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78D53814">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2、各项内容描述比较全面详细，较切合实际，可行性较强得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0CDA020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3、各项内容描述全面性一般，不太切合实际，可行性一般得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484624EF">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4、各项内容描述不全面、不详细，不切合实际，可行性低得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530244DC">
            <w:pPr>
              <w:widowControl/>
              <w:spacing w:line="320" w:lineRule="exact"/>
              <w:jc w:val="left"/>
              <w:textAlignment w:val="center"/>
              <w:rPr>
                <w:rFonts w:hint="eastAsia" w:ascii="宋体" w:hAnsi="宋体" w:cs="宋体"/>
                <w:color w:val="auto"/>
                <w:kern w:val="2"/>
                <w:szCs w:val="21"/>
                <w:highlight w:val="none"/>
              </w:rPr>
            </w:pPr>
            <w:r>
              <w:rPr>
                <w:rFonts w:hint="eastAsia" w:ascii="宋体" w:hAnsi="宋体" w:cs="宋体"/>
                <w:color w:val="auto"/>
                <w:szCs w:val="21"/>
                <w:highlight w:val="none"/>
              </w:rPr>
              <w:t>5、不提供不得分。</w:t>
            </w:r>
          </w:p>
        </w:tc>
        <w:tc>
          <w:tcPr>
            <w:tcW w:w="355" w:type="pct"/>
            <w:vAlign w:val="center"/>
          </w:tcPr>
          <w:p w14:paraId="38A4C794">
            <w:pPr>
              <w:ind w:left="-38"/>
              <w:rPr>
                <w:rFonts w:hint="eastAsia" w:ascii="宋体" w:hAnsi="宋体" w:cs="宋体"/>
                <w:color w:val="auto"/>
                <w:szCs w:val="21"/>
                <w:highlight w:val="none"/>
              </w:rPr>
            </w:pPr>
          </w:p>
        </w:tc>
      </w:tr>
      <w:tr w14:paraId="0126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0" w:hRule="atLeast"/>
          <w:jc w:val="center"/>
        </w:trPr>
        <w:tc>
          <w:tcPr>
            <w:tcW w:w="371" w:type="pct"/>
            <w:vAlign w:val="center"/>
          </w:tcPr>
          <w:p w14:paraId="3910148A">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2.4</w:t>
            </w:r>
          </w:p>
        </w:tc>
        <w:tc>
          <w:tcPr>
            <w:tcW w:w="610" w:type="pct"/>
            <w:vAlign w:val="center"/>
          </w:tcPr>
          <w:p w14:paraId="70B6FF66">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服务质量保证措施</w:t>
            </w:r>
          </w:p>
        </w:tc>
        <w:tc>
          <w:tcPr>
            <w:tcW w:w="360" w:type="pct"/>
            <w:vAlign w:val="center"/>
          </w:tcPr>
          <w:p w14:paraId="4E186FD9">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7</w:t>
            </w:r>
          </w:p>
        </w:tc>
        <w:tc>
          <w:tcPr>
            <w:tcW w:w="3302" w:type="pct"/>
            <w:vAlign w:val="center"/>
          </w:tcPr>
          <w:p w14:paraId="771C685E">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根据要求提供服务质量保证措施方案，包括但不限于人员上岗培训合格率、安全作业保障措施等内容，根据方案的切合度、合理性、可行性进行评审。</w:t>
            </w:r>
          </w:p>
          <w:p w14:paraId="6247A0CA">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1、整体方案切合度高、合理性、可行性强得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77C7E06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2、整体方案切合度较高、合理性、可行性较强得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43135B76">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3、整体方案切合度一般、合理性、可行性一般得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6BD6DBA0">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4、整体方案切合度差、合理性、可行性差得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3BD41F88">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5、不提供不得分。</w:t>
            </w:r>
          </w:p>
        </w:tc>
        <w:tc>
          <w:tcPr>
            <w:tcW w:w="355" w:type="pct"/>
            <w:vAlign w:val="center"/>
          </w:tcPr>
          <w:p w14:paraId="4AE5749D">
            <w:pPr>
              <w:ind w:left="-38"/>
              <w:rPr>
                <w:rFonts w:hint="eastAsia" w:ascii="宋体" w:hAnsi="宋体" w:cs="宋体"/>
                <w:color w:val="auto"/>
                <w:szCs w:val="21"/>
                <w:highlight w:val="none"/>
              </w:rPr>
            </w:pPr>
          </w:p>
        </w:tc>
      </w:tr>
      <w:tr w14:paraId="070AC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jc w:val="center"/>
        </w:trPr>
        <w:tc>
          <w:tcPr>
            <w:tcW w:w="371" w:type="pct"/>
            <w:vAlign w:val="center"/>
          </w:tcPr>
          <w:p w14:paraId="089E331B">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2.5</w:t>
            </w:r>
          </w:p>
        </w:tc>
        <w:tc>
          <w:tcPr>
            <w:tcW w:w="610" w:type="pct"/>
            <w:vAlign w:val="center"/>
          </w:tcPr>
          <w:p w14:paraId="682E0245">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恶劣天气预案</w:t>
            </w:r>
          </w:p>
        </w:tc>
        <w:tc>
          <w:tcPr>
            <w:tcW w:w="360" w:type="pct"/>
            <w:vAlign w:val="center"/>
          </w:tcPr>
          <w:p w14:paraId="563A78CE">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3302" w:type="pct"/>
            <w:vAlign w:val="center"/>
          </w:tcPr>
          <w:p w14:paraId="23C02652">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根据要求提供有关本项目的</w:t>
            </w:r>
            <w:r>
              <w:rPr>
                <w:rFonts w:hint="eastAsia" w:ascii="宋体" w:hAnsi="宋体" w:cs="宋体"/>
                <w:color w:val="auto"/>
                <w:szCs w:val="21"/>
                <w:highlight w:val="none"/>
                <w:lang w:val="en-US" w:eastAsia="zh-CN"/>
              </w:rPr>
              <w:t>恶劣天气预案</w:t>
            </w:r>
            <w:r>
              <w:rPr>
                <w:rFonts w:hint="eastAsia" w:ascii="宋体" w:hAnsi="宋体" w:cs="宋体"/>
                <w:color w:val="auto"/>
                <w:szCs w:val="21"/>
                <w:highlight w:val="none"/>
              </w:rPr>
              <w:t>，包括但不限于台风暴雨暴雪等恶劣天气应急预案等内容，根据方案的切合度、合理性、可行性进行评审。</w:t>
            </w:r>
          </w:p>
          <w:p w14:paraId="15161C67">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1、整体方案切合度高、合理性、可行性强得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2B8FDCF">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2、整体方案切合度较高、合理性、可行性较强得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46CE9E42">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3、整体方案切合度一般、合理性、可行性一般得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1164816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4、整体方案切合度差、合理性、可行性差得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508521D">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5、不提供不得分。</w:t>
            </w:r>
          </w:p>
        </w:tc>
        <w:tc>
          <w:tcPr>
            <w:tcW w:w="355" w:type="pct"/>
            <w:vAlign w:val="center"/>
          </w:tcPr>
          <w:p w14:paraId="1FB45A54">
            <w:pPr>
              <w:ind w:left="-38"/>
              <w:rPr>
                <w:rFonts w:hint="eastAsia" w:ascii="宋体" w:hAnsi="宋体" w:cs="宋体"/>
                <w:color w:val="auto"/>
                <w:szCs w:val="21"/>
                <w:highlight w:val="none"/>
              </w:rPr>
            </w:pPr>
          </w:p>
        </w:tc>
      </w:tr>
      <w:tr w14:paraId="20ACA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jc w:val="center"/>
        </w:trPr>
        <w:tc>
          <w:tcPr>
            <w:tcW w:w="371" w:type="pct"/>
            <w:vAlign w:val="center"/>
          </w:tcPr>
          <w:p w14:paraId="46CD564F">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2.6</w:t>
            </w:r>
          </w:p>
        </w:tc>
        <w:tc>
          <w:tcPr>
            <w:tcW w:w="610" w:type="pct"/>
            <w:vAlign w:val="center"/>
          </w:tcPr>
          <w:p w14:paraId="347991BC">
            <w:pPr>
              <w:ind w:firstLine="28"/>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迎接重大活动和检查评比的保障措施</w:t>
            </w:r>
          </w:p>
        </w:tc>
        <w:tc>
          <w:tcPr>
            <w:tcW w:w="360" w:type="pct"/>
            <w:vAlign w:val="center"/>
          </w:tcPr>
          <w:p w14:paraId="2847D607">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3302" w:type="pct"/>
            <w:vAlign w:val="center"/>
          </w:tcPr>
          <w:p w14:paraId="02C22AFF">
            <w:pPr>
              <w:widowControl/>
              <w:spacing w:line="320" w:lineRule="exact"/>
              <w:jc w:val="left"/>
              <w:textAlignment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根据要求提供有关</w:t>
            </w:r>
            <w:r>
              <w:rPr>
                <w:rFonts w:hint="eastAsia" w:ascii="宋体" w:hAnsi="宋体" w:cs="宋体"/>
                <w:color w:val="auto"/>
                <w:szCs w:val="21"/>
                <w:highlight w:val="none"/>
                <w:lang w:val="en-US" w:eastAsia="zh-CN"/>
              </w:rPr>
              <w:t>迎接重大活动和检查评比的保障措施，包括但不限于有重大活动，检查评比的保障方案等内容，根据方案的切合度、合理性、可行性进行评审。</w:t>
            </w:r>
          </w:p>
          <w:p w14:paraId="140621DC">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1、整体方案切合度高、合理性、可行性强得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15F443DB">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2、整体方案切合度较高、合理性、可行性较强得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05747D48">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3、整体方案切合度一般、合理性、可行性一般得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6B811C4C">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4、整体方案切合度差、合理性、可行性差得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2AB76E2F">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5、不提供不得分。</w:t>
            </w:r>
          </w:p>
        </w:tc>
        <w:tc>
          <w:tcPr>
            <w:tcW w:w="355" w:type="pct"/>
            <w:vAlign w:val="center"/>
          </w:tcPr>
          <w:p w14:paraId="42CF6AEC">
            <w:pPr>
              <w:ind w:left="-38"/>
              <w:rPr>
                <w:rFonts w:hint="eastAsia" w:ascii="宋体" w:hAnsi="宋体" w:cs="宋体"/>
                <w:color w:val="auto"/>
                <w:szCs w:val="21"/>
                <w:highlight w:val="none"/>
              </w:rPr>
            </w:pPr>
          </w:p>
        </w:tc>
      </w:tr>
      <w:tr w14:paraId="659E4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jc w:val="center"/>
        </w:trPr>
        <w:tc>
          <w:tcPr>
            <w:tcW w:w="371" w:type="pct"/>
            <w:vAlign w:val="center"/>
          </w:tcPr>
          <w:p w14:paraId="6C376EF7">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7</w:t>
            </w:r>
          </w:p>
        </w:tc>
        <w:tc>
          <w:tcPr>
            <w:tcW w:w="610" w:type="pct"/>
            <w:vAlign w:val="center"/>
          </w:tcPr>
          <w:p w14:paraId="5FEC6849">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应急预案</w:t>
            </w:r>
          </w:p>
        </w:tc>
        <w:tc>
          <w:tcPr>
            <w:tcW w:w="360" w:type="pct"/>
            <w:vAlign w:val="center"/>
          </w:tcPr>
          <w:p w14:paraId="7662612C">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3302" w:type="pct"/>
            <w:vAlign w:val="center"/>
          </w:tcPr>
          <w:p w14:paraId="1FF2A2BA">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根据要求提供有关本项目的应急预案，包括但不限于突发事件预案、应急处理措施等内容，根据方案的切合度、合理性、可行性进行评审。</w:t>
            </w:r>
          </w:p>
          <w:p w14:paraId="26B278BF">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1、整体方案切合度高、合理性、可行性强得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3E233C79">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2、整体方案切合度较高、合理性、可行性较强得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1923A5EA">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3、整体方案切合度一般、合理性、可行性一般得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70581EAB">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4、整体方案切合度差、合理性、可行性差得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676D1020">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5、不提供不得分。</w:t>
            </w:r>
          </w:p>
        </w:tc>
        <w:tc>
          <w:tcPr>
            <w:tcW w:w="355" w:type="pct"/>
            <w:vAlign w:val="center"/>
          </w:tcPr>
          <w:p w14:paraId="1D6BE163">
            <w:pPr>
              <w:ind w:left="-38"/>
              <w:rPr>
                <w:rFonts w:hint="eastAsia" w:ascii="宋体" w:hAnsi="宋体" w:cs="宋体"/>
                <w:color w:val="auto"/>
                <w:szCs w:val="21"/>
                <w:highlight w:val="none"/>
              </w:rPr>
            </w:pPr>
          </w:p>
        </w:tc>
      </w:tr>
      <w:tr w14:paraId="0575B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0" w:hRule="atLeast"/>
          <w:jc w:val="center"/>
        </w:trPr>
        <w:tc>
          <w:tcPr>
            <w:tcW w:w="371" w:type="pct"/>
            <w:vAlign w:val="center"/>
          </w:tcPr>
          <w:p w14:paraId="0B4659B7">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8</w:t>
            </w:r>
          </w:p>
        </w:tc>
        <w:tc>
          <w:tcPr>
            <w:tcW w:w="610" w:type="pct"/>
            <w:vAlign w:val="center"/>
          </w:tcPr>
          <w:p w14:paraId="07DDFCBD">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作业期间与其他单位、各职能部门的综合协调方案</w:t>
            </w:r>
          </w:p>
        </w:tc>
        <w:tc>
          <w:tcPr>
            <w:tcW w:w="360" w:type="pct"/>
            <w:vAlign w:val="center"/>
          </w:tcPr>
          <w:p w14:paraId="428D2957">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3302" w:type="pct"/>
            <w:vAlign w:val="center"/>
          </w:tcPr>
          <w:p w14:paraId="2048D64A">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根据要求提供有关作业期间与其他单位、各职能部门的综合协调方案，根据方案的切合度、合理性、可行性进行评审。</w:t>
            </w:r>
          </w:p>
          <w:p w14:paraId="5B170810">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1、整体方案切合度高、合理性、可行性强得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44902AB2">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2、整体方案切合度较高、合理性、可行性较强得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3FD9DE0F">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3、整体方案切合度一般、合理性、可行性一般得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66F3286D">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4、整体方案切合度差、合理性、可行性差得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296B838">
            <w:pPr>
              <w:widowControl/>
              <w:spacing w:line="320" w:lineRule="exact"/>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5、不提供不得分。</w:t>
            </w:r>
          </w:p>
        </w:tc>
        <w:tc>
          <w:tcPr>
            <w:tcW w:w="355" w:type="pct"/>
            <w:vAlign w:val="center"/>
          </w:tcPr>
          <w:p w14:paraId="1DE5D1EF">
            <w:pPr>
              <w:ind w:left="-38"/>
              <w:rPr>
                <w:rFonts w:hint="eastAsia" w:ascii="宋体" w:hAnsi="宋体" w:cs="宋体"/>
                <w:color w:val="auto"/>
                <w:szCs w:val="21"/>
                <w:highlight w:val="none"/>
              </w:rPr>
            </w:pPr>
          </w:p>
        </w:tc>
      </w:tr>
      <w:tr w14:paraId="59C59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371" w:type="pct"/>
            <w:vAlign w:val="center"/>
          </w:tcPr>
          <w:p w14:paraId="0425BD97">
            <w:pPr>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3</w:t>
            </w:r>
          </w:p>
        </w:tc>
        <w:tc>
          <w:tcPr>
            <w:tcW w:w="610" w:type="pct"/>
            <w:vAlign w:val="center"/>
          </w:tcPr>
          <w:p w14:paraId="78965E97">
            <w:pPr>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客观分</w:t>
            </w:r>
          </w:p>
        </w:tc>
        <w:tc>
          <w:tcPr>
            <w:tcW w:w="360" w:type="pct"/>
            <w:vAlign w:val="center"/>
          </w:tcPr>
          <w:p w14:paraId="5A668A8F">
            <w:pPr>
              <w:jc w:val="center"/>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43</w:t>
            </w:r>
          </w:p>
        </w:tc>
        <w:tc>
          <w:tcPr>
            <w:tcW w:w="3302" w:type="pct"/>
            <w:vAlign w:val="center"/>
          </w:tcPr>
          <w:p w14:paraId="2CDE061B">
            <w:pPr>
              <w:rPr>
                <w:rFonts w:hint="eastAsia" w:ascii="宋体" w:hAnsi="宋体" w:cs="宋体"/>
                <w:b w:val="0"/>
                <w:bCs w:val="0"/>
                <w:color w:val="auto"/>
                <w:szCs w:val="21"/>
                <w:highlight w:val="none"/>
              </w:rPr>
            </w:pPr>
          </w:p>
        </w:tc>
        <w:tc>
          <w:tcPr>
            <w:tcW w:w="355" w:type="pct"/>
            <w:vAlign w:val="center"/>
          </w:tcPr>
          <w:p w14:paraId="59B897B2">
            <w:pPr>
              <w:rPr>
                <w:rFonts w:hint="eastAsia" w:ascii="宋体" w:hAnsi="宋体" w:cs="宋体"/>
                <w:b w:val="0"/>
                <w:bCs w:val="0"/>
                <w:color w:val="auto"/>
                <w:szCs w:val="21"/>
                <w:highlight w:val="none"/>
              </w:rPr>
            </w:pPr>
          </w:p>
        </w:tc>
      </w:tr>
      <w:tr w14:paraId="35384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9" w:hRule="atLeast"/>
          <w:jc w:val="center"/>
        </w:trPr>
        <w:tc>
          <w:tcPr>
            <w:tcW w:w="371" w:type="pct"/>
            <w:vAlign w:val="center"/>
          </w:tcPr>
          <w:p w14:paraId="7EAA6880">
            <w:pPr>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610" w:type="pct"/>
            <w:vAlign w:val="center"/>
          </w:tcPr>
          <w:p w14:paraId="1177DE2D">
            <w:pPr>
              <w:ind w:firstLine="28"/>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企业</w:t>
            </w:r>
            <w:r>
              <w:rPr>
                <w:rFonts w:hint="eastAsia" w:ascii="宋体" w:hAnsi="宋体" w:cs="宋体"/>
                <w:color w:val="auto"/>
                <w:szCs w:val="21"/>
                <w:highlight w:val="none"/>
              </w:rPr>
              <w:t>业绩</w:t>
            </w:r>
          </w:p>
        </w:tc>
        <w:tc>
          <w:tcPr>
            <w:tcW w:w="360" w:type="pct"/>
            <w:vAlign w:val="center"/>
          </w:tcPr>
          <w:p w14:paraId="39555492">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3302" w:type="pct"/>
            <w:vAlign w:val="center"/>
          </w:tcPr>
          <w:p w14:paraId="206C4E97">
            <w:pPr>
              <w:spacing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投标人自202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月1日</w:t>
            </w:r>
            <w:r>
              <w:rPr>
                <w:rFonts w:hint="eastAsia" w:ascii="宋体" w:hAnsi="宋体" w:cs="宋体"/>
                <w:color w:val="auto"/>
                <w:szCs w:val="21"/>
                <w:highlight w:val="none"/>
                <w:lang w:val="en-US" w:eastAsia="zh-CN"/>
              </w:rPr>
              <w:t>以来的</w:t>
            </w:r>
            <w:r>
              <w:rPr>
                <w:rFonts w:hint="eastAsia" w:ascii="宋体" w:hAnsi="宋体" w:eastAsia="宋体" w:cs="宋体"/>
                <w:color w:val="auto"/>
                <w:szCs w:val="21"/>
                <w:highlight w:val="none"/>
              </w:rPr>
              <w:t>类似环卫作业业绩（合同内容须包含垃圾收运），每提供1个得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分，本项最高得</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分。</w:t>
            </w:r>
          </w:p>
          <w:p w14:paraId="311708E1">
            <w:pPr>
              <w:numPr>
                <w:ilvl w:val="0"/>
                <w:numId w:val="0"/>
              </w:numPr>
              <w:spacing w:line="220" w:lineRule="atLeas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需</w:t>
            </w:r>
            <w:r>
              <w:rPr>
                <w:rFonts w:hint="eastAsia" w:ascii="宋体" w:hAnsi="宋体" w:eastAsia="宋体" w:cs="宋体"/>
                <w:b/>
                <w:bCs/>
                <w:color w:val="auto"/>
                <w:szCs w:val="21"/>
                <w:highlight w:val="none"/>
              </w:rPr>
              <w:t>提供合同扫描件</w:t>
            </w:r>
            <w:r>
              <w:rPr>
                <w:rFonts w:hint="eastAsia" w:ascii="宋体" w:hAnsi="宋体" w:eastAsia="宋体" w:cs="宋体"/>
                <w:b/>
                <w:bCs/>
                <w:color w:val="auto"/>
                <w:szCs w:val="21"/>
                <w:highlight w:val="none"/>
                <w:lang w:val="en-US" w:eastAsia="zh-CN"/>
              </w:rPr>
              <w:t>及部分发票</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时间以</w:t>
            </w:r>
            <w:r>
              <w:rPr>
                <w:rFonts w:hint="eastAsia" w:ascii="宋体" w:hAnsi="宋体" w:eastAsia="宋体" w:cs="宋体"/>
                <w:b/>
                <w:bCs/>
                <w:color w:val="auto"/>
                <w:szCs w:val="21"/>
                <w:highlight w:val="none"/>
              </w:rPr>
              <w:t>合同签订时间为准</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未提供不得分。</w:t>
            </w:r>
          </w:p>
        </w:tc>
        <w:tc>
          <w:tcPr>
            <w:tcW w:w="355" w:type="pct"/>
            <w:vMerge w:val="restart"/>
            <w:vAlign w:val="center"/>
          </w:tcPr>
          <w:p w14:paraId="4AAFCF3E">
            <w:pPr>
              <w:widowControl w:val="0"/>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企业业绩与负责人业绩不重复得分</w:t>
            </w:r>
          </w:p>
        </w:tc>
      </w:tr>
      <w:tr w14:paraId="6DBFD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9" w:hRule="atLeast"/>
          <w:jc w:val="center"/>
        </w:trPr>
        <w:tc>
          <w:tcPr>
            <w:tcW w:w="371" w:type="pct"/>
            <w:vAlign w:val="center"/>
          </w:tcPr>
          <w:p w14:paraId="49BEFF29">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3.2</w:t>
            </w:r>
          </w:p>
        </w:tc>
        <w:tc>
          <w:tcPr>
            <w:tcW w:w="610" w:type="pct"/>
            <w:vAlign w:val="center"/>
          </w:tcPr>
          <w:p w14:paraId="6BDD1BA4">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项目负责人业绩</w:t>
            </w:r>
          </w:p>
        </w:tc>
        <w:tc>
          <w:tcPr>
            <w:tcW w:w="360" w:type="pct"/>
            <w:vAlign w:val="center"/>
          </w:tcPr>
          <w:p w14:paraId="045162E7">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3302" w:type="pct"/>
            <w:vAlign w:val="center"/>
          </w:tcPr>
          <w:p w14:paraId="77697103">
            <w:pPr>
              <w:spacing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项目负责人</w:t>
            </w:r>
            <w:r>
              <w:rPr>
                <w:rFonts w:hint="eastAsia" w:ascii="宋体" w:hAnsi="宋体" w:eastAsia="宋体" w:cs="宋体"/>
                <w:color w:val="auto"/>
                <w:szCs w:val="21"/>
                <w:highlight w:val="none"/>
              </w:rPr>
              <w:t>自202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月1日</w:t>
            </w:r>
            <w:r>
              <w:rPr>
                <w:rFonts w:hint="eastAsia" w:ascii="宋体" w:hAnsi="宋体" w:eastAsia="宋体" w:cs="宋体"/>
                <w:color w:val="auto"/>
                <w:szCs w:val="21"/>
                <w:highlight w:val="none"/>
                <w:lang w:val="en-US" w:eastAsia="zh-CN"/>
              </w:rPr>
              <w:t>以来的</w:t>
            </w:r>
            <w:r>
              <w:rPr>
                <w:rFonts w:hint="eastAsia" w:ascii="宋体" w:hAnsi="宋体" w:eastAsia="宋体" w:cs="宋体"/>
                <w:color w:val="auto"/>
                <w:szCs w:val="21"/>
                <w:highlight w:val="none"/>
              </w:rPr>
              <w:t>类似环卫作业业绩（合同内容须包含垃圾收运），每提供1个得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分，本项最高得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w:t>
            </w:r>
          </w:p>
          <w:p w14:paraId="657EF0CB">
            <w:pPr>
              <w:spacing w:line="220" w:lineRule="atLeast"/>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需</w:t>
            </w:r>
            <w:r>
              <w:rPr>
                <w:rFonts w:hint="eastAsia" w:ascii="宋体" w:hAnsi="宋体" w:eastAsia="宋体" w:cs="宋体"/>
                <w:b/>
                <w:bCs/>
                <w:color w:val="auto"/>
                <w:szCs w:val="21"/>
                <w:highlight w:val="none"/>
              </w:rPr>
              <w:t>提供合同扫描件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时间以</w:t>
            </w:r>
            <w:r>
              <w:rPr>
                <w:rFonts w:hint="eastAsia" w:ascii="宋体" w:hAnsi="宋体" w:eastAsia="宋体" w:cs="宋体"/>
                <w:b/>
                <w:bCs/>
                <w:color w:val="auto"/>
                <w:szCs w:val="21"/>
                <w:highlight w:val="none"/>
              </w:rPr>
              <w:t>合同签订时间为准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未提供不得分。</w:t>
            </w:r>
          </w:p>
        </w:tc>
        <w:tc>
          <w:tcPr>
            <w:tcW w:w="355" w:type="pct"/>
            <w:vMerge w:val="continue"/>
            <w:vAlign w:val="center"/>
          </w:tcPr>
          <w:p w14:paraId="0A46AF94">
            <w:pPr>
              <w:widowControl w:val="0"/>
              <w:jc w:val="left"/>
              <w:rPr>
                <w:rFonts w:hint="eastAsia" w:ascii="宋体" w:hAnsi="宋体" w:eastAsia="宋体" w:cs="宋体"/>
                <w:color w:val="auto"/>
                <w:sz w:val="21"/>
                <w:szCs w:val="21"/>
                <w:highlight w:val="none"/>
                <w:lang w:val="en-US" w:eastAsia="zh-CN" w:bidi="ar-SA"/>
              </w:rPr>
            </w:pPr>
          </w:p>
        </w:tc>
      </w:tr>
      <w:tr w14:paraId="264A4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371" w:type="pct"/>
            <w:vAlign w:val="center"/>
          </w:tcPr>
          <w:p w14:paraId="7A250B1C">
            <w:pPr>
              <w:jc w:val="center"/>
              <w:rPr>
                <w:rFonts w:hint="eastAsia" w:ascii="宋体" w:hAnsi="宋体" w:cs="宋体"/>
                <w:color w:val="auto"/>
                <w:szCs w:val="21"/>
                <w:highlight w:val="none"/>
              </w:rPr>
            </w:pPr>
            <w:r>
              <w:rPr>
                <w:rFonts w:hint="eastAsia" w:ascii="宋体" w:hAnsi="宋体" w:cs="宋体"/>
                <w:color w:val="auto"/>
                <w:szCs w:val="21"/>
                <w:highlight w:val="none"/>
              </w:rPr>
              <w:t>3.3</w:t>
            </w:r>
          </w:p>
        </w:tc>
        <w:tc>
          <w:tcPr>
            <w:tcW w:w="610" w:type="pct"/>
            <w:vMerge w:val="restart"/>
            <w:vAlign w:val="center"/>
          </w:tcPr>
          <w:p w14:paraId="5A134C34">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企业实力</w:t>
            </w:r>
          </w:p>
        </w:tc>
        <w:tc>
          <w:tcPr>
            <w:tcW w:w="360" w:type="pct"/>
            <w:vAlign w:val="center"/>
          </w:tcPr>
          <w:p w14:paraId="2474DB73">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3302" w:type="pct"/>
            <w:vAlign w:val="center"/>
          </w:tcPr>
          <w:p w14:paraId="7CDCD12A">
            <w:pPr>
              <w:spacing w:line="220" w:lineRule="atLeas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投标人具有有效期内的《城市生活垃圾经营性清扫、收集、运输服务许可证》的得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p>
          <w:p w14:paraId="75F88D61">
            <w:pPr>
              <w:spacing w:line="220" w:lineRule="atLeas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需提供相关证书扫描件，未提供不得分。</w:t>
            </w:r>
          </w:p>
        </w:tc>
        <w:tc>
          <w:tcPr>
            <w:tcW w:w="355" w:type="pct"/>
            <w:vAlign w:val="center"/>
          </w:tcPr>
          <w:p w14:paraId="73642242">
            <w:pPr>
              <w:widowControl w:val="0"/>
              <w:jc w:val="left"/>
              <w:rPr>
                <w:rFonts w:hint="eastAsia" w:ascii="宋体" w:hAnsi="宋体" w:eastAsia="宋体" w:cs="宋体"/>
                <w:color w:val="auto"/>
                <w:sz w:val="21"/>
                <w:szCs w:val="21"/>
                <w:highlight w:val="none"/>
                <w:lang w:val="en-US" w:eastAsia="zh-CN" w:bidi="ar-SA"/>
              </w:rPr>
            </w:pPr>
          </w:p>
        </w:tc>
      </w:tr>
      <w:tr w14:paraId="766C7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9" w:hRule="atLeast"/>
          <w:jc w:val="center"/>
        </w:trPr>
        <w:tc>
          <w:tcPr>
            <w:tcW w:w="371" w:type="pct"/>
            <w:vAlign w:val="center"/>
          </w:tcPr>
          <w:p w14:paraId="0E3332F5">
            <w:pPr>
              <w:jc w:val="center"/>
              <w:rPr>
                <w:rFonts w:hint="eastAsia" w:ascii="宋体" w:hAnsi="宋体" w:cs="宋体"/>
                <w:color w:val="auto"/>
                <w:szCs w:val="21"/>
                <w:highlight w:val="none"/>
              </w:rPr>
            </w:pPr>
            <w:r>
              <w:rPr>
                <w:rFonts w:hint="eastAsia" w:ascii="宋体" w:hAnsi="宋体" w:cs="宋体"/>
                <w:color w:val="auto"/>
                <w:szCs w:val="21"/>
                <w:highlight w:val="none"/>
              </w:rPr>
              <w:t>3.4</w:t>
            </w:r>
          </w:p>
        </w:tc>
        <w:tc>
          <w:tcPr>
            <w:tcW w:w="610" w:type="pct"/>
            <w:vMerge w:val="continue"/>
            <w:vAlign w:val="center"/>
          </w:tcPr>
          <w:p w14:paraId="417B2BAB">
            <w:pPr>
              <w:autoSpaceDE w:val="0"/>
              <w:autoSpaceDN w:val="0"/>
              <w:adjustRightInd w:val="0"/>
              <w:spacing w:line="300" w:lineRule="exact"/>
              <w:jc w:val="center"/>
              <w:rPr>
                <w:rFonts w:hint="eastAsia" w:ascii="宋体" w:hAnsi="宋体" w:cs="宋体"/>
                <w:color w:val="auto"/>
                <w:szCs w:val="21"/>
                <w:highlight w:val="none"/>
              </w:rPr>
            </w:pPr>
          </w:p>
        </w:tc>
        <w:tc>
          <w:tcPr>
            <w:tcW w:w="360" w:type="pct"/>
            <w:vAlign w:val="center"/>
          </w:tcPr>
          <w:p w14:paraId="6E770E6F">
            <w:pPr>
              <w:autoSpaceDE w:val="0"/>
              <w:autoSpaceDN w:val="0"/>
              <w:adjustRightInd w:val="0"/>
              <w:spacing w:line="3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9</w:t>
            </w:r>
          </w:p>
        </w:tc>
        <w:tc>
          <w:tcPr>
            <w:tcW w:w="3302" w:type="pct"/>
            <w:vAlign w:val="center"/>
          </w:tcPr>
          <w:p w14:paraId="6C8BE1BD">
            <w:pPr>
              <w:spacing w:line="220" w:lineRule="atLeast"/>
              <w:rPr>
                <w:rFonts w:hint="eastAsia" w:ascii="宋体" w:hAnsi="宋体" w:eastAsia="宋体" w:cs="宋体"/>
                <w:strike w:val="0"/>
                <w:dstrike w:val="0"/>
                <w:color w:val="auto"/>
                <w:szCs w:val="21"/>
                <w:highlight w:val="none"/>
              </w:rPr>
            </w:pPr>
            <w:r>
              <w:rPr>
                <w:rFonts w:hint="eastAsia" w:ascii="宋体" w:hAnsi="宋体" w:eastAsia="宋体" w:cs="宋体"/>
                <w:strike w:val="0"/>
                <w:dstrike w:val="0"/>
                <w:color w:val="auto"/>
                <w:szCs w:val="21"/>
                <w:highlight w:val="none"/>
              </w:rPr>
              <w:t>投标</w:t>
            </w:r>
            <w:r>
              <w:rPr>
                <w:rFonts w:hint="eastAsia" w:ascii="宋体" w:hAnsi="宋体" w:eastAsia="宋体" w:cs="宋体"/>
                <w:strike w:val="0"/>
                <w:dstrike w:val="0"/>
                <w:color w:val="auto"/>
                <w:szCs w:val="21"/>
                <w:highlight w:val="none"/>
                <w:lang w:val="en-US" w:eastAsia="zh-CN"/>
              </w:rPr>
              <w:t>人</w:t>
            </w:r>
            <w:r>
              <w:rPr>
                <w:rFonts w:hint="eastAsia" w:ascii="宋体" w:hAnsi="宋体" w:eastAsia="宋体" w:cs="宋体"/>
                <w:strike w:val="0"/>
                <w:dstrike w:val="0"/>
                <w:color w:val="auto"/>
                <w:szCs w:val="21"/>
                <w:highlight w:val="none"/>
              </w:rPr>
              <w:t>自202</w:t>
            </w:r>
            <w:r>
              <w:rPr>
                <w:rFonts w:hint="eastAsia" w:ascii="宋体" w:hAnsi="宋体" w:cs="宋体"/>
                <w:strike w:val="0"/>
                <w:dstrike w:val="0"/>
                <w:color w:val="auto"/>
                <w:szCs w:val="21"/>
                <w:highlight w:val="none"/>
                <w:lang w:val="en-US" w:eastAsia="zh-CN"/>
              </w:rPr>
              <w:t>3</w:t>
            </w:r>
            <w:r>
              <w:rPr>
                <w:rFonts w:hint="eastAsia" w:ascii="宋体" w:hAnsi="宋体" w:eastAsia="宋体" w:cs="宋体"/>
                <w:strike w:val="0"/>
                <w:dstrike w:val="0"/>
                <w:color w:val="auto"/>
                <w:szCs w:val="21"/>
                <w:highlight w:val="none"/>
              </w:rPr>
              <w:t>年</w:t>
            </w:r>
            <w:r>
              <w:rPr>
                <w:rFonts w:hint="eastAsia" w:ascii="宋体" w:hAnsi="宋体" w:cs="宋体"/>
                <w:strike w:val="0"/>
                <w:dstrike w:val="0"/>
                <w:color w:val="auto"/>
                <w:szCs w:val="21"/>
                <w:highlight w:val="none"/>
                <w:lang w:val="en-US" w:eastAsia="zh-CN"/>
              </w:rPr>
              <w:t>4</w:t>
            </w:r>
            <w:r>
              <w:rPr>
                <w:rFonts w:hint="eastAsia" w:ascii="宋体" w:hAnsi="宋体" w:eastAsia="宋体" w:cs="宋体"/>
                <w:strike w:val="0"/>
                <w:dstrike w:val="0"/>
                <w:color w:val="auto"/>
                <w:szCs w:val="21"/>
                <w:highlight w:val="none"/>
              </w:rPr>
              <w:t>月1日以来获得过政府部门颁发的荣誉或奖项的，有1个得3分，本项最高</w:t>
            </w:r>
            <w:r>
              <w:rPr>
                <w:rFonts w:hint="eastAsia" w:ascii="宋体" w:hAnsi="宋体" w:cs="宋体"/>
                <w:strike w:val="0"/>
                <w:dstrike w:val="0"/>
                <w:color w:val="auto"/>
                <w:szCs w:val="21"/>
                <w:highlight w:val="none"/>
                <w:lang w:val="en-US" w:eastAsia="zh-CN"/>
              </w:rPr>
              <w:t>9</w:t>
            </w:r>
            <w:r>
              <w:rPr>
                <w:rFonts w:hint="eastAsia" w:ascii="宋体" w:hAnsi="宋体" w:eastAsia="宋体" w:cs="宋体"/>
                <w:strike w:val="0"/>
                <w:dstrike w:val="0"/>
                <w:color w:val="auto"/>
                <w:szCs w:val="21"/>
                <w:highlight w:val="none"/>
              </w:rPr>
              <w:t>分。</w:t>
            </w:r>
          </w:p>
          <w:p w14:paraId="7BB1A196">
            <w:pPr>
              <w:spacing w:line="220" w:lineRule="atLeast"/>
              <w:rPr>
                <w:rFonts w:hint="eastAsia" w:ascii="宋体" w:hAnsi="宋体" w:eastAsia="宋体" w:cs="宋体"/>
                <w:color w:val="auto"/>
                <w:szCs w:val="21"/>
                <w:highlight w:val="none"/>
                <w:lang w:eastAsia="zh-CN"/>
              </w:rPr>
            </w:pPr>
            <w:r>
              <w:rPr>
                <w:rFonts w:hint="eastAsia" w:ascii="宋体" w:hAnsi="宋体" w:eastAsia="宋体" w:cs="宋体"/>
                <w:b/>
                <w:bCs/>
                <w:strike w:val="0"/>
                <w:dstrike w:val="0"/>
                <w:color w:val="auto"/>
                <w:szCs w:val="21"/>
                <w:highlight w:val="none"/>
                <w:lang w:val="en-US" w:eastAsia="zh-CN"/>
              </w:rPr>
              <w:t>需</w:t>
            </w:r>
            <w:r>
              <w:rPr>
                <w:rFonts w:hint="eastAsia" w:ascii="宋体" w:hAnsi="宋体" w:eastAsia="宋体" w:cs="宋体"/>
                <w:b/>
                <w:bCs/>
                <w:strike w:val="0"/>
                <w:dstrike w:val="0"/>
                <w:color w:val="auto"/>
                <w:szCs w:val="21"/>
                <w:highlight w:val="none"/>
              </w:rPr>
              <w:t>提供获奖证明材料，时间以获奖证明材料所载时间为准，不提供不得分。</w:t>
            </w:r>
          </w:p>
        </w:tc>
        <w:tc>
          <w:tcPr>
            <w:tcW w:w="355" w:type="pct"/>
            <w:vAlign w:val="center"/>
          </w:tcPr>
          <w:p w14:paraId="19F1892D">
            <w:pPr>
              <w:widowControl w:val="0"/>
              <w:jc w:val="left"/>
              <w:rPr>
                <w:rFonts w:hint="eastAsia" w:ascii="宋体" w:hAnsi="宋体" w:eastAsia="宋体" w:cs="宋体"/>
                <w:color w:val="auto"/>
                <w:sz w:val="21"/>
                <w:szCs w:val="21"/>
                <w:highlight w:val="none"/>
                <w:lang w:val="en-US" w:eastAsia="zh-CN" w:bidi="ar-SA"/>
              </w:rPr>
            </w:pPr>
          </w:p>
        </w:tc>
      </w:tr>
      <w:tr w14:paraId="165F6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9" w:hRule="atLeast"/>
          <w:jc w:val="center"/>
        </w:trPr>
        <w:tc>
          <w:tcPr>
            <w:tcW w:w="371" w:type="pct"/>
            <w:vAlign w:val="center"/>
          </w:tcPr>
          <w:p w14:paraId="130607C1">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3.5</w:t>
            </w:r>
          </w:p>
        </w:tc>
        <w:tc>
          <w:tcPr>
            <w:tcW w:w="610" w:type="pct"/>
            <w:vMerge w:val="continue"/>
            <w:vAlign w:val="center"/>
          </w:tcPr>
          <w:p w14:paraId="3BF58BB2">
            <w:pPr>
              <w:autoSpaceDE w:val="0"/>
              <w:autoSpaceDN w:val="0"/>
              <w:adjustRightInd w:val="0"/>
              <w:spacing w:line="300" w:lineRule="exact"/>
              <w:jc w:val="center"/>
              <w:rPr>
                <w:rFonts w:hint="eastAsia" w:ascii="宋体" w:hAnsi="宋体" w:cs="宋体"/>
                <w:color w:val="auto"/>
                <w:szCs w:val="21"/>
                <w:highlight w:val="none"/>
              </w:rPr>
            </w:pPr>
          </w:p>
        </w:tc>
        <w:tc>
          <w:tcPr>
            <w:tcW w:w="360" w:type="pct"/>
            <w:vAlign w:val="center"/>
          </w:tcPr>
          <w:p w14:paraId="07C0A0B9">
            <w:pPr>
              <w:autoSpaceDE w:val="0"/>
              <w:autoSpaceDN w:val="0"/>
              <w:adjustRightInd w:val="0"/>
              <w:spacing w:line="300" w:lineRule="exact"/>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3302" w:type="pct"/>
            <w:vAlign w:val="center"/>
          </w:tcPr>
          <w:p w14:paraId="1D64A818">
            <w:pPr>
              <w:numPr>
                <w:ilvl w:val="0"/>
                <w:numId w:val="11"/>
              </w:numPr>
              <w:spacing w:line="220" w:lineRule="atLeast"/>
              <w:rPr>
                <w:rFonts w:hint="eastAsia"/>
                <w:color w:val="auto"/>
                <w:highlight w:val="none"/>
                <w:lang w:val="en-US" w:eastAsia="zh-CN"/>
              </w:rPr>
            </w:pPr>
            <w:r>
              <w:rPr>
                <w:rFonts w:hint="eastAsia" w:ascii="宋体" w:hAnsi="宋体" w:eastAsia="宋体" w:cs="宋体"/>
                <w:color w:val="auto"/>
                <w:szCs w:val="21"/>
                <w:highlight w:val="none"/>
              </w:rPr>
              <w:t>投标</w:t>
            </w:r>
            <w:r>
              <w:rPr>
                <w:rFonts w:hint="eastAsia" w:ascii="宋体" w:hAnsi="宋体" w:eastAsia="宋体" w:cs="宋体"/>
                <w:color w:val="auto"/>
                <w:szCs w:val="21"/>
                <w:highlight w:val="none"/>
                <w:lang w:val="en-US" w:eastAsia="zh-CN"/>
              </w:rPr>
              <w:t>人</w:t>
            </w:r>
            <w:r>
              <w:rPr>
                <w:rFonts w:hint="eastAsia" w:ascii="宋体" w:hAnsi="宋体" w:cs="宋体"/>
                <w:color w:val="auto"/>
                <w:szCs w:val="21"/>
                <w:highlight w:val="none"/>
                <w:lang w:val="en-US" w:eastAsia="zh-CN"/>
              </w:rPr>
              <w:t>持</w:t>
            </w:r>
            <w:r>
              <w:rPr>
                <w:rFonts w:hint="eastAsia" w:ascii="宋体" w:hAnsi="宋体" w:eastAsia="宋体" w:cs="宋体"/>
                <w:color w:val="auto"/>
                <w:szCs w:val="21"/>
                <w:highlight w:val="none"/>
                <w:lang w:val="en-US" w:eastAsia="zh-CN"/>
              </w:rPr>
              <w:t>有3吨及以上后装式压缩</w:t>
            </w:r>
            <w:r>
              <w:rPr>
                <w:rFonts w:hint="eastAsia" w:ascii="宋体" w:hAnsi="宋体" w:cs="宋体"/>
                <w:color w:val="auto"/>
                <w:szCs w:val="21"/>
                <w:highlight w:val="none"/>
                <w:lang w:val="en-US" w:eastAsia="zh-CN"/>
              </w:rPr>
              <w:t>垃圾收集</w:t>
            </w:r>
            <w:r>
              <w:rPr>
                <w:rFonts w:hint="eastAsia" w:ascii="宋体" w:hAnsi="宋体" w:eastAsia="宋体" w:cs="宋体"/>
                <w:color w:val="auto"/>
                <w:szCs w:val="21"/>
                <w:highlight w:val="none"/>
                <w:lang w:val="en-US" w:eastAsia="zh-CN"/>
              </w:rPr>
              <w:t>车</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，每有</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辆得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分，最高得</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分（车辆可为自有或租赁）。</w:t>
            </w:r>
          </w:p>
          <w:p w14:paraId="178BDBBD">
            <w:pPr>
              <w:numPr>
                <w:ilvl w:val="0"/>
                <w:numId w:val="0"/>
              </w:numPr>
              <w:spacing w:line="220" w:lineRule="atLeast"/>
              <w:rPr>
                <w:rFonts w:hint="default"/>
                <w:color w:val="auto"/>
                <w:highlight w:val="none"/>
                <w:lang w:val="en-US" w:eastAsia="zh-CN"/>
              </w:rPr>
            </w:pPr>
            <w:r>
              <w:rPr>
                <w:rFonts w:hint="eastAsia" w:ascii="宋体" w:hAnsi="宋体" w:cs="宋体"/>
                <w:color w:val="auto"/>
                <w:szCs w:val="21"/>
                <w:highlight w:val="none"/>
                <w:lang w:val="en-US" w:eastAsia="zh-CN"/>
              </w:rPr>
              <w:t>2、以上所持车辆具有新北区生活垃圾转运进站许可证或承诺在中标后5个工作日内取得新北区生活垃圾转运进站许可证的，每有一辆得2分，最高得4分。</w:t>
            </w:r>
          </w:p>
          <w:p w14:paraId="7A97C158">
            <w:pPr>
              <w:spacing w:line="220" w:lineRule="atLeast"/>
              <w:rPr>
                <w:rFonts w:hint="eastAsia" w:ascii="宋体" w:hAnsi="宋体" w:eastAsia="宋体" w:cs="宋体"/>
                <w:b/>
                <w:bCs/>
                <w:strike w:val="0"/>
                <w:dstrike w:val="0"/>
                <w:color w:val="auto"/>
                <w:szCs w:val="21"/>
                <w:highlight w:val="none"/>
                <w:lang w:val="en-US" w:eastAsia="zh-CN"/>
              </w:rPr>
            </w:pPr>
            <w:r>
              <w:rPr>
                <w:rFonts w:hint="eastAsia" w:ascii="宋体" w:hAnsi="宋体" w:eastAsia="宋体" w:cs="宋体"/>
                <w:b/>
                <w:bCs/>
                <w:color w:val="auto"/>
                <w:szCs w:val="21"/>
                <w:highlight w:val="none"/>
                <w:lang w:val="en-US" w:eastAsia="zh-CN"/>
              </w:rPr>
              <w:t>其中自有车辆需提供车辆行驶证</w:t>
            </w:r>
            <w:r>
              <w:rPr>
                <w:rFonts w:hint="eastAsia" w:ascii="宋体" w:hAnsi="宋体" w:cs="宋体"/>
                <w:b/>
                <w:bCs/>
                <w:color w:val="auto"/>
                <w:szCs w:val="21"/>
                <w:highlight w:val="none"/>
                <w:lang w:val="en-US" w:eastAsia="zh-CN"/>
              </w:rPr>
              <w:t>、保险</w:t>
            </w:r>
            <w:r>
              <w:rPr>
                <w:rFonts w:hint="eastAsia" w:ascii="宋体" w:hAnsi="宋体" w:eastAsia="宋体" w:cs="宋体"/>
                <w:b/>
                <w:bCs/>
                <w:color w:val="auto"/>
                <w:szCs w:val="21"/>
                <w:highlight w:val="none"/>
                <w:lang w:val="en-US" w:eastAsia="zh-CN"/>
              </w:rPr>
              <w:t>证明材料原件扫描件，租赁车辆需提供租赁协议原件扫描件，新北区生活垃圾转运进站许可证扫描件</w:t>
            </w:r>
            <w:r>
              <w:rPr>
                <w:rFonts w:hint="eastAsia" w:ascii="宋体" w:hAnsi="宋体" w:cs="宋体"/>
                <w:b/>
                <w:bCs/>
                <w:color w:val="auto"/>
                <w:szCs w:val="21"/>
                <w:highlight w:val="none"/>
                <w:lang w:val="en-US" w:eastAsia="zh-CN"/>
              </w:rPr>
              <w:t>或承诺书(格式自拟)</w:t>
            </w:r>
            <w:r>
              <w:rPr>
                <w:rFonts w:hint="eastAsia" w:ascii="宋体" w:hAnsi="宋体" w:eastAsia="宋体" w:cs="宋体"/>
                <w:b/>
                <w:bCs/>
                <w:color w:val="auto"/>
                <w:szCs w:val="21"/>
                <w:highlight w:val="none"/>
                <w:lang w:val="en-US" w:eastAsia="zh-CN"/>
              </w:rPr>
              <w:t>，不提供不得分。</w:t>
            </w:r>
          </w:p>
        </w:tc>
        <w:tc>
          <w:tcPr>
            <w:tcW w:w="355" w:type="pct"/>
            <w:vAlign w:val="center"/>
          </w:tcPr>
          <w:p w14:paraId="48F245FE">
            <w:pPr>
              <w:widowControl w:val="0"/>
              <w:jc w:val="left"/>
              <w:rPr>
                <w:rFonts w:hint="eastAsia" w:ascii="宋体" w:hAnsi="宋体" w:eastAsia="宋体" w:cs="宋体"/>
                <w:color w:val="auto"/>
                <w:sz w:val="21"/>
                <w:szCs w:val="21"/>
                <w:highlight w:val="none"/>
                <w:lang w:val="en-US" w:eastAsia="zh-CN" w:bidi="ar-SA"/>
              </w:rPr>
            </w:pPr>
          </w:p>
        </w:tc>
      </w:tr>
      <w:tr w14:paraId="2F847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371" w:type="pct"/>
            <w:vAlign w:val="center"/>
          </w:tcPr>
          <w:p w14:paraId="14030A67">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3.6</w:t>
            </w:r>
          </w:p>
        </w:tc>
        <w:tc>
          <w:tcPr>
            <w:tcW w:w="610" w:type="pct"/>
            <w:vAlign w:val="center"/>
          </w:tcPr>
          <w:p w14:paraId="2B8C7A60">
            <w:pPr>
              <w:autoSpaceDE w:val="0"/>
              <w:autoSpaceDN w:val="0"/>
              <w:adjustRightInd w:val="0"/>
              <w:spacing w:line="300" w:lineRule="exac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项目负责人</w:t>
            </w:r>
          </w:p>
        </w:tc>
        <w:tc>
          <w:tcPr>
            <w:tcW w:w="360" w:type="pct"/>
            <w:vAlign w:val="center"/>
          </w:tcPr>
          <w:p w14:paraId="2A89AAB9">
            <w:pPr>
              <w:autoSpaceDE w:val="0"/>
              <w:autoSpaceDN w:val="0"/>
              <w:adjustRightInd w:val="0"/>
              <w:spacing w:line="3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3302" w:type="pct"/>
            <w:vAlign w:val="center"/>
          </w:tcPr>
          <w:p w14:paraId="3DC052BB">
            <w:pPr>
              <w:spacing w:line="220" w:lineRule="atLeast"/>
              <w:rPr>
                <w:rFonts w:hint="default"/>
                <w:color w:val="auto"/>
                <w:highlight w:val="none"/>
                <w:lang w:val="en-US" w:eastAsia="zh-CN"/>
              </w:rPr>
            </w:pPr>
            <w:r>
              <w:rPr>
                <w:rFonts w:hint="eastAsia" w:ascii="宋体" w:hAnsi="宋体" w:cs="宋体"/>
                <w:strike w:val="0"/>
                <w:dstrike w:val="0"/>
                <w:color w:val="auto"/>
                <w:szCs w:val="21"/>
                <w:highlight w:val="none"/>
                <w:lang w:val="en-US" w:eastAsia="zh-CN"/>
              </w:rPr>
              <w:t>项目负责人具有大专及以上环境类有关专业学历的得3分。</w:t>
            </w:r>
            <w:r>
              <w:rPr>
                <w:rFonts w:hint="eastAsia" w:ascii="宋体" w:hAnsi="宋体" w:cs="宋体"/>
                <w:b/>
                <w:bCs/>
                <w:strike w:val="0"/>
                <w:dstrike w:val="0"/>
                <w:color w:val="auto"/>
                <w:szCs w:val="21"/>
                <w:highlight w:val="none"/>
                <w:lang w:val="en-US" w:eastAsia="zh-CN"/>
              </w:rPr>
              <w:t>提供学历证书扫描件，</w:t>
            </w:r>
            <w:r>
              <w:rPr>
                <w:rFonts w:hint="eastAsia" w:ascii="宋体" w:hAnsi="宋体" w:eastAsia="宋体" w:cs="宋体"/>
                <w:b/>
                <w:bCs/>
                <w:color w:val="auto"/>
                <w:szCs w:val="21"/>
                <w:highlight w:val="none"/>
                <w:lang w:val="en-US" w:eastAsia="zh-CN"/>
              </w:rPr>
              <w:t>近三个月社保证明</w:t>
            </w:r>
            <w:r>
              <w:rPr>
                <w:rFonts w:hint="eastAsia" w:ascii="宋体" w:hAnsi="宋体" w:cs="宋体"/>
                <w:b/>
                <w:bCs/>
                <w:color w:val="auto"/>
                <w:szCs w:val="21"/>
                <w:highlight w:val="none"/>
                <w:lang w:val="en-US" w:eastAsia="zh-CN"/>
              </w:rPr>
              <w:t>，</w:t>
            </w:r>
            <w:r>
              <w:rPr>
                <w:rFonts w:hint="eastAsia" w:ascii="宋体" w:hAnsi="宋体" w:cs="宋体"/>
                <w:b/>
                <w:bCs/>
                <w:strike w:val="0"/>
                <w:dstrike w:val="0"/>
                <w:color w:val="auto"/>
                <w:szCs w:val="21"/>
                <w:highlight w:val="none"/>
                <w:lang w:val="en-US" w:eastAsia="zh-CN"/>
              </w:rPr>
              <w:t>所学专业以学历证书上为准。</w:t>
            </w:r>
          </w:p>
        </w:tc>
        <w:tc>
          <w:tcPr>
            <w:tcW w:w="355" w:type="pct"/>
            <w:vAlign w:val="center"/>
          </w:tcPr>
          <w:p w14:paraId="520F07BB">
            <w:pPr>
              <w:widowControl w:val="0"/>
              <w:jc w:val="left"/>
              <w:rPr>
                <w:rFonts w:hint="eastAsia" w:ascii="宋体" w:hAnsi="宋体" w:eastAsia="宋体" w:cs="宋体"/>
                <w:color w:val="auto"/>
                <w:sz w:val="21"/>
                <w:szCs w:val="21"/>
                <w:highlight w:val="none"/>
                <w:lang w:val="en-US" w:eastAsia="zh-CN" w:bidi="ar-SA"/>
              </w:rPr>
            </w:pPr>
          </w:p>
        </w:tc>
      </w:tr>
      <w:tr w14:paraId="27168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371" w:type="pct"/>
            <w:vAlign w:val="center"/>
          </w:tcPr>
          <w:p w14:paraId="3CBF4E52">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3.7</w:t>
            </w:r>
          </w:p>
        </w:tc>
        <w:tc>
          <w:tcPr>
            <w:tcW w:w="610" w:type="pct"/>
            <w:shd w:val="clear" w:color="auto" w:fill="auto"/>
            <w:vAlign w:val="center"/>
          </w:tcPr>
          <w:p w14:paraId="759AE84B">
            <w:pPr>
              <w:autoSpaceDE w:val="0"/>
              <w:autoSpaceDN w:val="0"/>
              <w:adjustRightInd w:val="0"/>
              <w:spacing w:line="30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机动车驾驶员</w:t>
            </w:r>
          </w:p>
        </w:tc>
        <w:tc>
          <w:tcPr>
            <w:tcW w:w="360" w:type="pct"/>
            <w:shd w:val="clear" w:color="auto" w:fill="auto"/>
            <w:vAlign w:val="center"/>
          </w:tcPr>
          <w:p w14:paraId="7FABE7E0">
            <w:pPr>
              <w:autoSpaceDE w:val="0"/>
              <w:autoSpaceDN w:val="0"/>
              <w:adjustRightInd w:val="0"/>
              <w:spacing w:line="3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3302" w:type="pct"/>
            <w:shd w:val="clear" w:color="auto" w:fill="auto"/>
            <w:vAlign w:val="center"/>
          </w:tcPr>
          <w:p w14:paraId="29E49F88">
            <w:pPr>
              <w:spacing w:line="220" w:lineRule="atLeas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投标人现有机动车驾驶员配备，具有机动车驾驶证B2照（含）以上，</w:t>
            </w:r>
            <w:r>
              <w:rPr>
                <w:rFonts w:hint="eastAsia" w:ascii="宋体" w:hAnsi="宋体" w:cs="宋体"/>
                <w:color w:val="auto"/>
                <w:szCs w:val="21"/>
                <w:highlight w:val="none"/>
                <w:lang w:val="en-US" w:eastAsia="zh-CN"/>
              </w:rPr>
              <w:t>每有一人得一分，最高得8分</w:t>
            </w:r>
            <w:r>
              <w:rPr>
                <w:rFonts w:hint="eastAsia" w:ascii="宋体" w:hAnsi="宋体" w:eastAsia="宋体" w:cs="宋体"/>
                <w:color w:val="auto"/>
                <w:szCs w:val="21"/>
                <w:highlight w:val="none"/>
                <w:lang w:val="en-US" w:eastAsia="zh-CN"/>
              </w:rPr>
              <w:t>。</w:t>
            </w:r>
          </w:p>
          <w:p w14:paraId="44E9F065">
            <w:pPr>
              <w:spacing w:line="220" w:lineRule="atLeas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需提供驾驶员机动车驾驶证扫描件、近三个月社保证明，未提供不得分。</w:t>
            </w:r>
          </w:p>
        </w:tc>
        <w:tc>
          <w:tcPr>
            <w:tcW w:w="355" w:type="pct"/>
            <w:vAlign w:val="center"/>
          </w:tcPr>
          <w:p w14:paraId="7D7C7241">
            <w:pPr>
              <w:widowControl w:val="0"/>
              <w:jc w:val="left"/>
              <w:rPr>
                <w:rFonts w:hint="eastAsia" w:ascii="宋体" w:hAnsi="宋体" w:eastAsia="宋体" w:cs="宋体"/>
                <w:color w:val="auto"/>
                <w:sz w:val="21"/>
                <w:szCs w:val="21"/>
                <w:highlight w:val="none"/>
                <w:lang w:val="en-US" w:eastAsia="zh-CN" w:bidi="ar-SA"/>
              </w:rPr>
            </w:pPr>
          </w:p>
        </w:tc>
      </w:tr>
      <w:tr w14:paraId="6782B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981" w:type="pct"/>
            <w:gridSpan w:val="2"/>
            <w:vAlign w:val="center"/>
          </w:tcPr>
          <w:p w14:paraId="7C78C65D">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60" w:type="pct"/>
            <w:vAlign w:val="center"/>
          </w:tcPr>
          <w:p w14:paraId="010B0603">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100</w:t>
            </w:r>
          </w:p>
        </w:tc>
        <w:tc>
          <w:tcPr>
            <w:tcW w:w="3657" w:type="pct"/>
            <w:gridSpan w:val="2"/>
            <w:vAlign w:val="center"/>
          </w:tcPr>
          <w:p w14:paraId="6476A5C0">
            <w:pPr>
              <w:rPr>
                <w:rFonts w:hint="eastAsia" w:ascii="宋体" w:hAnsi="宋体" w:cs="宋体"/>
                <w:color w:val="auto"/>
                <w:szCs w:val="21"/>
                <w:highlight w:val="none"/>
              </w:rPr>
            </w:pPr>
          </w:p>
        </w:tc>
      </w:tr>
    </w:tbl>
    <w:p w14:paraId="22B7C927">
      <w:pPr>
        <w:tabs>
          <w:tab w:val="left" w:pos="1080"/>
        </w:tabs>
        <w:spacing w:line="360" w:lineRule="auto"/>
        <w:rPr>
          <w:rFonts w:hint="eastAsia" w:ascii="宋体" w:hAnsi="宋体" w:eastAsia="宋体" w:cs="宋体"/>
          <w:color w:val="auto"/>
          <w:sz w:val="22"/>
          <w:szCs w:val="22"/>
          <w:highlight w:val="none"/>
        </w:rPr>
      </w:pPr>
    </w:p>
    <w:p w14:paraId="330D13B5">
      <w:pPr>
        <w:autoSpaceDE w:val="0"/>
        <w:autoSpaceDN w:val="0"/>
        <w:adjustRightIn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本项目评分细则中需要提供的相关证明材料由供应商自行提供，评审专家根据投标供应商提供的相关证明材料进行评审，相关证明材料的全面性、有效性、完整性、真实性由供应商自行负责。如发现投标供应商涉嫌资料造假</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虚假承诺</w:t>
      </w:r>
      <w:r>
        <w:rPr>
          <w:rFonts w:hint="eastAsia" w:ascii="宋体" w:hAnsi="宋体" w:eastAsia="宋体" w:cs="宋体"/>
          <w:b/>
          <w:bCs/>
          <w:color w:val="auto"/>
          <w:szCs w:val="21"/>
          <w:highlight w:val="none"/>
        </w:rPr>
        <w:t>等，采购人将取消其中标资格，并保留进一步追究其法律责任的权利。</w:t>
      </w:r>
    </w:p>
    <w:p w14:paraId="09826EDD">
      <w:pPr>
        <w:ind w:left="0" w:leftChars="0" w:firstLine="0" w:firstLineChars="0"/>
        <w:rPr>
          <w:rFonts w:hint="eastAsia"/>
          <w:color w:val="auto"/>
          <w:highlight w:val="none"/>
        </w:rPr>
        <w:sectPr>
          <w:footerReference r:id="rId11" w:type="default"/>
          <w:pgSz w:w="11907" w:h="16840"/>
          <w:pgMar w:top="1417" w:right="1587" w:bottom="1417" w:left="1587" w:header="737" w:footer="851" w:gutter="0"/>
          <w:cols w:space="1701" w:num="1"/>
          <w:docGrid w:linePitch="360" w:charSpace="0"/>
        </w:sectPr>
      </w:pPr>
    </w:p>
    <w:p w14:paraId="01C17E3B">
      <w:pPr>
        <w:tabs>
          <w:tab w:val="left" w:pos="360"/>
          <w:tab w:val="left" w:pos="1080"/>
        </w:tabs>
        <w:spacing w:line="360" w:lineRule="auto"/>
        <w:ind w:firstLine="482"/>
        <w:jc w:val="center"/>
        <w:rPr>
          <w:rFonts w:hint="eastAsia" w:ascii="宋体" w:hAnsi="宋体" w:eastAsia="宋体" w:cs="宋体"/>
          <w:b/>
          <w:color w:val="auto"/>
          <w:sz w:val="36"/>
          <w:szCs w:val="36"/>
          <w:highlight w:val="none"/>
        </w:rPr>
      </w:pPr>
      <w:bookmarkStart w:id="704" w:name="_Toc99301424"/>
      <w:r>
        <w:rPr>
          <w:rFonts w:hint="eastAsia" w:ascii="宋体" w:hAnsi="宋体" w:eastAsia="宋体" w:cs="宋体"/>
          <w:b/>
          <w:color w:val="auto"/>
          <w:sz w:val="36"/>
          <w:szCs w:val="36"/>
          <w:highlight w:val="none"/>
        </w:rPr>
        <w:t>第五章   采购需求</w:t>
      </w:r>
      <w:bookmarkEnd w:id="704"/>
    </w:p>
    <w:p w14:paraId="2BB3C93B">
      <w:pPr>
        <w:keepNext w:val="0"/>
        <w:keepLines w:val="0"/>
        <w:pageBreakBefore w:val="0"/>
        <w:widowControl w:val="0"/>
        <w:kinsoku/>
        <w:wordWrap/>
        <w:overflowPunct/>
        <w:topLinePunct w:val="0"/>
        <w:autoSpaceDE/>
        <w:autoSpaceDN/>
        <w:bidi w:val="0"/>
        <w:adjustRightInd/>
        <w:snapToGrid/>
        <w:spacing w:line="360" w:lineRule="auto"/>
        <w:ind w:left="500" w:leftChars="0" w:hanging="500" w:firstLineChars="0"/>
        <w:contextualSpacing/>
        <w:jc w:val="both"/>
        <w:textAlignment w:val="auto"/>
        <w:outlineLvl w:val="0"/>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一、项目概况</w:t>
      </w:r>
    </w:p>
    <w:p w14:paraId="39682D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1、招标</w:t>
      </w:r>
      <w:r>
        <w:rPr>
          <w:rFonts w:hint="eastAsia" w:ascii="宋体" w:hAnsi="宋体" w:eastAsia="宋体" w:cs="宋体"/>
          <w:color w:val="auto"/>
          <w:szCs w:val="21"/>
          <w:highlight w:val="none"/>
          <w:lang w:eastAsia="zh-CN"/>
        </w:rPr>
        <w:t>标的：2026年魏村街道农村生活垃圾清运项目</w:t>
      </w:r>
    </w:p>
    <w:p w14:paraId="1A63A6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项目概况：</w:t>
      </w:r>
      <w:r>
        <w:rPr>
          <w:rFonts w:hint="eastAsia" w:ascii="宋体" w:hAnsi="宋体" w:eastAsia="宋体" w:cs="宋体"/>
          <w:color w:val="auto"/>
          <w:szCs w:val="21"/>
          <w:highlight w:val="none"/>
          <w:lang w:eastAsia="zh-CN"/>
        </w:rPr>
        <w:t>魏村街道</w:t>
      </w:r>
      <w:r>
        <w:rPr>
          <w:rFonts w:hint="eastAsia" w:ascii="宋体" w:hAnsi="宋体" w:eastAsia="宋体" w:cs="宋体"/>
          <w:color w:val="auto"/>
          <w:szCs w:val="21"/>
          <w:highlight w:val="none"/>
          <w:lang w:val="en-US" w:eastAsia="zh-CN"/>
        </w:rPr>
        <w:t>范围内的垃圾清运（包括大件垃圾、生活垃圾、建筑垃圾和绿化垃圾），垃圾桶和垃圾亭等设施清洗，垃圾收运点周边的保洁。</w:t>
      </w:r>
    </w:p>
    <w:p w14:paraId="5DB90B9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3、地点：招标人指定地点。</w:t>
      </w:r>
    </w:p>
    <w:p w14:paraId="1B58E3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4、质量要求：符合甲方要求。</w:t>
      </w:r>
    </w:p>
    <w:p w14:paraId="1DD77653">
      <w:pPr>
        <w:keepNext w:val="0"/>
        <w:keepLines w:val="0"/>
        <w:pageBreakBefore w:val="0"/>
        <w:widowControl w:val="0"/>
        <w:kinsoku/>
        <w:wordWrap/>
        <w:overflowPunct/>
        <w:topLinePunct w:val="0"/>
        <w:autoSpaceDE/>
        <w:autoSpaceDN/>
        <w:bidi w:val="0"/>
        <w:adjustRightInd/>
        <w:snapToGrid/>
        <w:spacing w:line="360" w:lineRule="auto"/>
        <w:ind w:left="500" w:leftChars="0" w:hanging="500" w:firstLineChars="0"/>
        <w:contextualSpacing/>
        <w:jc w:val="both"/>
        <w:textAlignment w:val="auto"/>
        <w:outlineLvl w:val="0"/>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二、商务要求</w:t>
      </w:r>
    </w:p>
    <w:p w14:paraId="00FA3D2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、服务期限：</w:t>
      </w:r>
      <w:r>
        <w:rPr>
          <w:rFonts w:hint="eastAsia" w:ascii="宋体" w:hAnsi="宋体" w:cs="宋体"/>
          <w:color w:val="auto"/>
          <w:szCs w:val="21"/>
          <w:highlight w:val="none"/>
          <w:lang w:val="en-US" w:eastAsia="zh-CN"/>
        </w:rPr>
        <w:t>2026年5月1日至2026年12月31日；具体进场时间听从甲方安排。</w:t>
      </w:r>
    </w:p>
    <w:p w14:paraId="6357E1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2、付款方式：</w:t>
      </w:r>
    </w:p>
    <w:p w14:paraId="66DB695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本项目固定总价，按中标单位的中标价一次性包干。</w:t>
      </w:r>
    </w:p>
    <w:p w14:paraId="722920F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按季度付款，前两季度款=合同价/</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en-US" w:eastAsia="zh-CN"/>
        </w:rPr>
        <w:t>*3-每季度相应考核扣款（具体金额根据《村（社区）环卫作业考核明细表》（见附件）进行考核，以考核结果为准）；最后</w:t>
      </w:r>
      <w:r>
        <w:rPr>
          <w:rFonts w:hint="eastAsia" w:ascii="宋体" w:hAnsi="宋体" w:cs="宋体"/>
          <w:color w:val="auto"/>
          <w:szCs w:val="21"/>
          <w:highlight w:val="none"/>
          <w:lang w:val="en-US" w:eastAsia="zh-CN"/>
        </w:rPr>
        <w:t>两</w:t>
      </w:r>
      <w:r>
        <w:rPr>
          <w:rFonts w:hint="eastAsia" w:ascii="宋体" w:hAnsi="宋体" w:eastAsia="宋体" w:cs="宋体"/>
          <w:color w:val="auto"/>
          <w:szCs w:val="21"/>
          <w:highlight w:val="none"/>
          <w:lang w:val="en-US" w:eastAsia="zh-CN"/>
        </w:rPr>
        <w:t>月余款在服务期满后一次性付清，扣除考核扣款（如有）。</w:t>
      </w:r>
    </w:p>
    <w:p w14:paraId="737E8D7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3、付款时间：次季度首月15日前；</w:t>
      </w:r>
    </w:p>
    <w:p w14:paraId="3F5CC13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4、付款方式：银行转账；</w:t>
      </w:r>
    </w:p>
    <w:p w14:paraId="7F8DF73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5、根据国家现行税法对乙方征收的与本合同有关的一切税费均由乙方承担。</w:t>
      </w:r>
    </w:p>
    <w:p w14:paraId="04125008">
      <w:pPr>
        <w:keepNext w:val="0"/>
        <w:keepLines w:val="0"/>
        <w:pageBreakBefore w:val="0"/>
        <w:widowControl w:val="0"/>
        <w:kinsoku/>
        <w:wordWrap/>
        <w:overflowPunct/>
        <w:topLinePunct w:val="0"/>
        <w:autoSpaceDE/>
        <w:autoSpaceDN/>
        <w:bidi w:val="0"/>
        <w:adjustRightInd/>
        <w:snapToGrid/>
        <w:spacing w:line="360" w:lineRule="auto"/>
        <w:ind w:left="500" w:leftChars="0" w:hanging="500" w:firstLineChars="0"/>
        <w:contextualSpacing/>
        <w:jc w:val="both"/>
        <w:textAlignment w:val="auto"/>
        <w:outlineLvl w:val="0"/>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三、服务范围及要求</w:t>
      </w:r>
    </w:p>
    <w:p w14:paraId="1AD5116A">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1"/>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1、服务</w:t>
      </w:r>
      <w:r>
        <w:rPr>
          <w:rFonts w:hint="eastAsia" w:ascii="宋体" w:hAnsi="宋体" w:cs="宋体"/>
          <w:b/>
          <w:bCs/>
          <w:color w:val="auto"/>
          <w:szCs w:val="21"/>
          <w:highlight w:val="none"/>
          <w:lang w:val="en-US" w:eastAsia="zh-CN"/>
        </w:rPr>
        <w:t>内容</w:t>
      </w:r>
      <w:r>
        <w:rPr>
          <w:rFonts w:hint="eastAsia" w:ascii="宋体" w:hAnsi="宋体" w:eastAsia="宋体" w:cs="宋体"/>
          <w:b/>
          <w:bCs/>
          <w:color w:val="auto"/>
          <w:szCs w:val="21"/>
          <w:highlight w:val="none"/>
          <w:lang w:val="en-US" w:eastAsia="zh-CN"/>
        </w:rPr>
        <w:t>：</w:t>
      </w:r>
    </w:p>
    <w:p w14:paraId="329D1A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（1）生活垃圾的分类收集清运； </w:t>
      </w:r>
    </w:p>
    <w:p w14:paraId="551528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（2）大件垃圾、建筑垃圾和绿化垃圾的收集运输；</w:t>
      </w:r>
    </w:p>
    <w:p w14:paraId="3E0488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（3）环卫设施（垃圾桶、垃圾亭等设施）清洗作业要求</w:t>
      </w:r>
      <w:r>
        <w:rPr>
          <w:rFonts w:hint="eastAsia" w:ascii="宋体" w:hAnsi="宋体" w:cs="宋体"/>
          <w:color w:val="auto"/>
          <w:szCs w:val="21"/>
          <w:highlight w:val="none"/>
          <w:lang w:val="en-US" w:eastAsia="zh-CN"/>
        </w:rPr>
        <w:t>等</w:t>
      </w:r>
      <w:r>
        <w:rPr>
          <w:rFonts w:hint="eastAsia" w:ascii="宋体" w:hAnsi="宋体" w:eastAsia="宋体" w:cs="宋体"/>
          <w:color w:val="auto"/>
          <w:szCs w:val="21"/>
          <w:highlight w:val="none"/>
          <w:lang w:val="en-US" w:eastAsia="zh-CN"/>
        </w:rPr>
        <w:t>；</w:t>
      </w:r>
    </w:p>
    <w:p w14:paraId="5484ECFD">
      <w:pPr>
        <w:spacing w:line="360" w:lineRule="auto"/>
        <w:ind w:firstLine="480"/>
        <w:jc w:val="lef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（4）魏村街道各村委、社区范围内的垃圾桶</w:t>
      </w:r>
    </w:p>
    <w:p w14:paraId="52B1AFBD">
      <w:pPr>
        <w:keepNext w:val="0"/>
        <w:keepLines w:val="0"/>
        <w:pageBreakBefore w:val="0"/>
        <w:widowControl w:val="0"/>
        <w:kinsoku/>
        <w:wordWrap/>
        <w:overflowPunct/>
        <w:topLinePunct w:val="0"/>
        <w:autoSpaceDE/>
        <w:autoSpaceDN/>
        <w:bidi w:val="0"/>
        <w:adjustRightInd/>
        <w:snapToGrid/>
        <w:spacing w:line="360" w:lineRule="auto"/>
        <w:ind w:left="500" w:leftChars="0" w:hanging="500" w:firstLineChars="0"/>
        <w:contextualSpacing/>
        <w:jc w:val="both"/>
        <w:textAlignment w:val="auto"/>
        <w:outlineLvl w:val="0"/>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四、服务要求</w:t>
      </w:r>
    </w:p>
    <w:p w14:paraId="5B1454B4">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1"/>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1、整体要求</w:t>
      </w:r>
    </w:p>
    <w:p w14:paraId="057390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应具有健全的日常清扫保洁、垃圾清运制度、安全管理制度、应急处理制度、自检自查制度。投标人应服从甲方的管理和监督考核，如遇突发事件或重大活动，采购人有权调用中标人人员和车辆参与应急。作业服务须达到队伍整齐规范、机械设备齐全状态优良、质量优质高效、环境整洁优美的基本要求。</w:t>
      </w:r>
    </w:p>
    <w:p w14:paraId="2EEAC9B6">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1"/>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2、基本要求</w:t>
      </w:r>
    </w:p>
    <w:p w14:paraId="5FC80B1D">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lang w:val="en-US" w:eastAsia="zh-CN"/>
        </w:rPr>
        <w:t>）生活垃圾清运要求</w:t>
      </w:r>
    </w:p>
    <w:p w14:paraId="7A53B9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w:t>
      </w:r>
      <w:r>
        <w:rPr>
          <w:rFonts w:hint="eastAsia" w:ascii="宋体" w:hAnsi="宋体" w:cs="宋体"/>
          <w:color w:val="auto"/>
          <w:szCs w:val="21"/>
          <w:highlight w:val="none"/>
          <w:lang w:val="en-US" w:eastAsia="zh-CN"/>
        </w:rPr>
        <w:t>采购人提供8辆垃圾收集车</w:t>
      </w:r>
      <w:r>
        <w:rPr>
          <w:rFonts w:hint="eastAsia" w:ascii="宋体" w:hAnsi="宋体" w:cs="宋体"/>
          <w:color w:val="auto"/>
          <w:szCs w:val="21"/>
          <w:highlight w:val="none"/>
          <w:lang w:val="en-US" w:eastAsia="zh-CN"/>
        </w:rPr>
        <w:t>，其余由投标</w:t>
      </w:r>
      <w:r>
        <w:rPr>
          <w:rFonts w:hint="eastAsia" w:ascii="宋体" w:hAnsi="宋体" w:eastAsia="宋体" w:cs="宋体"/>
          <w:color w:val="auto"/>
          <w:szCs w:val="21"/>
          <w:highlight w:val="none"/>
          <w:lang w:val="en-US" w:eastAsia="zh-CN"/>
        </w:rPr>
        <w:t>标人自行提供车辆（符合行业作业标准的垃圾收集车）负责</w:t>
      </w:r>
      <w:r>
        <w:rPr>
          <w:rFonts w:hint="eastAsia" w:ascii="宋体" w:hAnsi="宋体" w:cs="宋体"/>
          <w:color w:val="auto"/>
          <w:szCs w:val="21"/>
          <w:highlight w:val="none"/>
          <w:lang w:val="en-US" w:eastAsia="zh-CN"/>
        </w:rPr>
        <w:t>魏村街道</w:t>
      </w:r>
      <w:r>
        <w:rPr>
          <w:rFonts w:hint="eastAsia" w:ascii="宋体" w:hAnsi="宋体" w:eastAsia="宋体" w:cs="宋体"/>
          <w:color w:val="auto"/>
          <w:szCs w:val="21"/>
          <w:highlight w:val="none"/>
          <w:lang w:val="en-US" w:eastAsia="zh-CN"/>
        </w:rPr>
        <w:t>指定区域内垃圾桶所有生活垃圾的分类收集及清运，并负责运输至指定中转站。</w:t>
      </w:r>
    </w:p>
    <w:p w14:paraId="3338FD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w:t>
      </w:r>
      <w:r>
        <w:rPr>
          <w:rFonts w:hint="eastAsia" w:ascii="宋体" w:hAnsi="宋体" w:cs="宋体"/>
          <w:color w:val="auto"/>
          <w:szCs w:val="21"/>
          <w:highlight w:val="none"/>
          <w:lang w:val="en-US" w:eastAsia="zh-CN"/>
        </w:rPr>
        <w:t>魏村街道</w:t>
      </w:r>
      <w:r>
        <w:rPr>
          <w:rFonts w:hint="eastAsia" w:ascii="宋体" w:hAnsi="宋体" w:eastAsia="宋体" w:cs="宋体"/>
          <w:color w:val="auto"/>
          <w:szCs w:val="21"/>
          <w:highlight w:val="none"/>
          <w:lang w:val="en-US" w:eastAsia="zh-CN"/>
        </w:rPr>
        <w:t>指定范围内实行一天一收集，主要街道两侧的生活垃圾收集必须在10：00之前清运结束，其他范围在14：30之前收集完成。在保证一天一收运的基础上，应确保各村垃圾桶无满溢现象。</w:t>
      </w:r>
    </w:p>
    <w:p w14:paraId="17832F4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③收集过程中应遵守交通规则，按照规划好收集路线行驶，不漏收，不逆向行驶；收集作业完成后，应及时清理场地，将垃圾桶复位，并做到车走地净。</w:t>
      </w:r>
    </w:p>
    <w:p w14:paraId="0EB2BC2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④收集车辆应保持密闭，并有污水收集装置（污水在指定地点进行排放）；收集过程中无垃圾飞扬、洒落、拖挂和污水滴漏。</w:t>
      </w:r>
    </w:p>
    <w:p w14:paraId="342BA21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⑤应定期对生活垃圾收集车辆进行清洗和检修，遇重大活动或突发事件，能立即调配应急生活垃圾清运车辆投入工作，保证</w:t>
      </w:r>
      <w:r>
        <w:rPr>
          <w:rFonts w:hint="eastAsia" w:ascii="宋体" w:hAnsi="宋体" w:cs="宋体"/>
          <w:color w:val="auto"/>
          <w:szCs w:val="21"/>
          <w:highlight w:val="none"/>
          <w:lang w:val="en-US" w:eastAsia="zh-CN"/>
        </w:rPr>
        <w:t>魏村街道</w:t>
      </w:r>
      <w:r>
        <w:rPr>
          <w:rFonts w:hint="eastAsia" w:ascii="宋体" w:hAnsi="宋体" w:eastAsia="宋体" w:cs="宋体"/>
          <w:color w:val="auto"/>
          <w:szCs w:val="21"/>
          <w:highlight w:val="none"/>
          <w:lang w:val="en-US" w:eastAsia="zh-CN"/>
        </w:rPr>
        <w:t>指定范围内生活垃圾清运正常有序地进行。</w:t>
      </w:r>
    </w:p>
    <w:p w14:paraId="5BC266A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⑥中标人必须做到安全运行，无事故发生。如中标人在履行合同过程中发生任何安全事故或交通事故等，造成人员伤亡或财产损失的，全部责任由中标人承担，与招标人无关；如由此造成招标人损失的，招标人有权在</w:t>
      </w:r>
      <w:r>
        <w:rPr>
          <w:rFonts w:hint="eastAsia" w:ascii="宋体" w:hAnsi="宋体" w:cs="宋体"/>
          <w:color w:val="auto"/>
          <w:szCs w:val="21"/>
          <w:highlight w:val="none"/>
          <w:lang w:val="en-US" w:eastAsia="zh-CN"/>
        </w:rPr>
        <w:t>合同金额中</w:t>
      </w:r>
      <w:r>
        <w:rPr>
          <w:rFonts w:hint="eastAsia" w:ascii="宋体" w:hAnsi="宋体" w:eastAsia="宋体" w:cs="宋体"/>
          <w:color w:val="auto"/>
          <w:szCs w:val="21"/>
          <w:highlight w:val="none"/>
          <w:lang w:val="en-US" w:eastAsia="zh-CN"/>
        </w:rPr>
        <w:t>扣除相应损失部分。中标人不得以油价调整，承包区域内收集点的增减，沿街门店上门收集增减等原因要求对承包金进行调整。</w:t>
      </w:r>
    </w:p>
    <w:p w14:paraId="75383CE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⑦垃圾桶由采购人负责摆放、增加、减少，服务商不得干预（合理化建议可采纳）。</w:t>
      </w:r>
    </w:p>
    <w:p w14:paraId="73C9B0F1">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（3）建筑垃圾清运要求</w:t>
      </w:r>
    </w:p>
    <w:p w14:paraId="024ED3B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w:t>
      </w:r>
      <w:r>
        <w:rPr>
          <w:rFonts w:hint="default" w:ascii="宋体" w:hAnsi="宋体" w:eastAsia="宋体" w:cs="宋体"/>
          <w:color w:val="auto"/>
          <w:szCs w:val="21"/>
          <w:highlight w:val="none"/>
          <w:lang w:val="en-US" w:eastAsia="zh-CN"/>
        </w:rPr>
        <w:t>建筑垃圾运输车辆必须为全封闭车辆，</w:t>
      </w:r>
      <w:r>
        <w:rPr>
          <w:rFonts w:hint="eastAsia" w:ascii="宋体" w:hAnsi="宋体" w:eastAsia="宋体" w:cs="宋体"/>
          <w:color w:val="auto"/>
          <w:szCs w:val="21"/>
          <w:highlight w:val="none"/>
          <w:lang w:val="en-US" w:eastAsia="zh-CN"/>
        </w:rPr>
        <w:t>密闭运输，确保车身整洁，不得沿途抛洒滴漏，不得车轮带泥行驶。</w:t>
      </w:r>
    </w:p>
    <w:p w14:paraId="0D386C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w:t>
      </w:r>
      <w:r>
        <w:rPr>
          <w:rFonts w:hint="default" w:ascii="宋体" w:hAnsi="宋体" w:eastAsia="宋体" w:cs="宋体"/>
          <w:color w:val="auto"/>
          <w:szCs w:val="21"/>
          <w:highlight w:val="none"/>
          <w:lang w:val="en-US" w:eastAsia="zh-CN"/>
        </w:rPr>
        <w:t>建筑垃圾运输车辆必须为符合交通运输要求的合法车辆，并配备GPS定位设备（或北斗系统定位系统）和车载监控设备，未配备定位和车载监控系统，以及未按甲方要求接入管理平台不得上路。</w:t>
      </w:r>
    </w:p>
    <w:p w14:paraId="69AE0F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w:t>
      </w:r>
      <w:r>
        <w:rPr>
          <w:rFonts w:hint="default" w:ascii="宋体" w:hAnsi="宋体" w:eastAsia="宋体" w:cs="宋体"/>
          <w:color w:val="auto"/>
          <w:szCs w:val="21"/>
          <w:highlight w:val="none"/>
          <w:lang w:val="en-US" w:eastAsia="zh-CN"/>
        </w:rPr>
        <w:t>采购人不提供办公场地和停车场地，中标人自行安排。在正式开始作业服务前需持自有或租用停车场地及办公场地证明到采购人处备案，以便工作联系和监督检查。车辆需规范停放，如发生车辆乱停放而产生的相关处罚，由中标方自行承担责任。</w:t>
      </w:r>
    </w:p>
    <w:p w14:paraId="51BCF0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④</w:t>
      </w:r>
      <w:r>
        <w:rPr>
          <w:rFonts w:hint="default" w:ascii="宋体" w:hAnsi="宋体" w:eastAsia="宋体" w:cs="宋体"/>
          <w:color w:val="auto"/>
          <w:szCs w:val="21"/>
          <w:highlight w:val="none"/>
          <w:lang w:val="en-US" w:eastAsia="zh-CN"/>
        </w:rPr>
        <w:t>可能还用到挖装设备（挖掘机或叉车等）、短驳车辆等由中标人负责，装车后称重地磅也由中标人负责。</w:t>
      </w:r>
    </w:p>
    <w:p w14:paraId="79FCA8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⑤</w:t>
      </w:r>
      <w:r>
        <w:rPr>
          <w:rFonts w:hint="default" w:ascii="宋体" w:hAnsi="宋体" w:eastAsia="宋体" w:cs="宋体"/>
          <w:color w:val="auto"/>
          <w:szCs w:val="21"/>
          <w:highlight w:val="none"/>
          <w:lang w:val="en-US" w:eastAsia="zh-CN"/>
        </w:rPr>
        <w:t>在正式开展运输前，根据总体计划安排运输路线，由中标方统一办理沿途涉及城管、交警、路政的有关许可手续；组织驾驶人员集中勘察现场、运输路线等，熟悉运输起、终点及沿线环境；组织所有作业人员开展安全和文明施工教育；明确奖惩制度，并在作业过程中坚决执行。确保作业过程安全和最终质量，不污染环境，不扰民。</w:t>
      </w:r>
    </w:p>
    <w:p w14:paraId="3949A7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⑥</w:t>
      </w:r>
      <w:r>
        <w:rPr>
          <w:rFonts w:hint="default" w:ascii="宋体" w:hAnsi="宋体" w:eastAsia="宋体" w:cs="宋体"/>
          <w:color w:val="auto"/>
          <w:szCs w:val="21"/>
          <w:highlight w:val="none"/>
          <w:lang w:val="en-US" w:eastAsia="zh-CN"/>
        </w:rPr>
        <w:t>所有车辆严格控制装载量，以尽量减少沿途抛洒的可能性。</w:t>
      </w:r>
    </w:p>
    <w:p w14:paraId="7C411C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⑦</w:t>
      </w:r>
      <w:r>
        <w:rPr>
          <w:rFonts w:hint="default" w:ascii="宋体" w:hAnsi="宋体" w:eastAsia="宋体" w:cs="宋体"/>
          <w:color w:val="auto"/>
          <w:szCs w:val="21"/>
          <w:highlight w:val="none"/>
          <w:lang w:val="en-US" w:eastAsia="zh-CN"/>
        </w:rPr>
        <w:t>控制每次作业时间，原则上作业时间安排在6</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00时至17</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00时之间，并且保证每周每个点位至少两次清运，清运数量按吨计取；工期紧张的情况下，在环境敏感点附近作业按上述时间控制，其他地点可在夜间进行，且在夜间作业时配备足够的照明设施。</w:t>
      </w:r>
    </w:p>
    <w:p w14:paraId="249142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⑧</w:t>
      </w:r>
      <w:r>
        <w:rPr>
          <w:rFonts w:hint="default" w:ascii="宋体" w:hAnsi="宋体" w:eastAsia="宋体" w:cs="宋体"/>
          <w:color w:val="auto"/>
          <w:szCs w:val="21"/>
          <w:highlight w:val="none"/>
          <w:lang w:val="en-US" w:eastAsia="zh-CN"/>
        </w:rPr>
        <w:t>车辆进入投放点后，车辆驾驶员及安全管理人员需身着工作服，并服从现场人员的管理和指挥，确保倾倒地点准确和人员、车辆的安全。倾卸时力争倾倒干净，必要时辅以人工清洁车厢，驾驶员必须收拾好篷布或盖板，以免回程中对沿途的二次污染。</w:t>
      </w:r>
    </w:p>
    <w:p w14:paraId="481D44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⑨</w:t>
      </w:r>
      <w:r>
        <w:rPr>
          <w:rFonts w:hint="default" w:ascii="宋体" w:hAnsi="宋体" w:eastAsia="宋体" w:cs="宋体"/>
          <w:color w:val="auto"/>
          <w:szCs w:val="21"/>
          <w:highlight w:val="none"/>
          <w:lang w:val="en-US" w:eastAsia="zh-CN"/>
        </w:rPr>
        <w:t>为确保按质按量完成，中标方需贯彻执行国家安全生产、劳动保护方面的方针、政策和法规，建立健全项目安全生产保证体系，建立和实施安全生产责任制。现场应实施机械安全管理制度，计划使用的机械、机具和电气设备必须经验收，确认机械状况良好、能安全运行，才准许投入使用。所有机械操作人员都必须经培训合格后，持证上岗。机械操作人员要进行登记存档，按期复验。机械使用期间，应当指定专人负责维护、保养，保证其机械设备的完好率和使用率以及安全运作。</w:t>
      </w:r>
    </w:p>
    <w:p w14:paraId="76E8E7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⑩</w:t>
      </w:r>
      <w:r>
        <w:rPr>
          <w:rFonts w:hint="default" w:ascii="宋体" w:hAnsi="宋体" w:eastAsia="宋体" w:cs="宋体"/>
          <w:color w:val="auto"/>
          <w:szCs w:val="21"/>
          <w:highlight w:val="none"/>
          <w:lang w:val="en-US" w:eastAsia="zh-CN"/>
        </w:rPr>
        <w:t>限时承诺办结制度：针对运输过程中出现的车辆抛锚、交通事故等意外情况，在限定时间内及时处理完成。</w:t>
      </w:r>
    </w:p>
    <w:p w14:paraId="4201A3F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⑪归档资料同步制度：日常运输计量台账等材料齐全。及时做好环卫运输车辆运送进场偷倒垃圾及废弃物的计量工作并做好相关台账。</w:t>
      </w:r>
    </w:p>
    <w:p w14:paraId="2B1E6AE5">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）环卫设施（垃圾桶、垃圾亭等设施）清洗作业要求</w:t>
      </w:r>
    </w:p>
    <w:p w14:paraId="2ED0B9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①垃圾亭（桶）实行一日一清洗一巡回制度，遇检查活动时，应不间断巡视。</w:t>
      </w:r>
    </w:p>
    <w:p w14:paraId="394FEF5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垃圾桶应在指定位置摆放整齐，垃圾桶外表应无残缺、破损，外体保持干净。垃圾桶内壁应清洗至沿口下三分之一处；垃圾桶周边可视范围内应干净整洁，无垃圾散落、存留，发现有大件垃圾应及时通知大件垃圾清运人员清理并上报。</w:t>
      </w:r>
    </w:p>
    <w:p w14:paraId="3BB9FF8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③每年的 5月1日至10月31日期间，做好垃圾桶、垃圾收集点周边的蚊蝇等杀毒工作。</w:t>
      </w:r>
    </w:p>
    <w:p w14:paraId="755462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④发现有人破坏、挪动环卫设施，应及时制止并上报；发现环卫设施不在指定位置，应及时复位并上报；发现环卫设施损坏，应及时报修。</w:t>
      </w:r>
    </w:p>
    <w:p w14:paraId="1177DA11">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）文明作业</w:t>
      </w:r>
    </w:p>
    <w:p w14:paraId="64EA11F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①清扫保洁工人上岗期间不得有闲聊、窜岗，休息时坐在马路边；机械化作业车辆滞留马路和加油加水超时等违反劳动纪律的情形。</w:t>
      </w:r>
    </w:p>
    <w:p w14:paraId="16CA2C8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②环卫作业人员必须穿有安全标志的工作服装上岗，无脱岗、到岗不到位和聚集聊天现象</w:t>
      </w:r>
    </w:p>
    <w:p w14:paraId="1C9F2D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③认真落实各项工作制度，服从工作安排，发现影响环境卫生的突发性问题及时汇报、积极解决。</w:t>
      </w:r>
    </w:p>
    <w:p w14:paraId="1C31112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④</w:t>
      </w:r>
      <w:r>
        <w:rPr>
          <w:rFonts w:hint="eastAsia" w:ascii="宋体" w:hAnsi="宋体" w:eastAsia="宋体" w:cs="宋体"/>
          <w:color w:val="auto"/>
          <w:szCs w:val="21"/>
          <w:highlight w:val="none"/>
          <w:lang w:val="zh-CN" w:eastAsia="zh-CN"/>
        </w:rPr>
        <w:t>维护管理：随时对垃圾桶进行普查，发现损坏影响使用功能或影响观瞻，及时</w:t>
      </w:r>
      <w:r>
        <w:rPr>
          <w:rFonts w:hint="eastAsia" w:ascii="宋体" w:hAnsi="宋体" w:eastAsia="宋体" w:cs="宋体"/>
          <w:color w:val="auto"/>
          <w:szCs w:val="21"/>
          <w:highlight w:val="none"/>
          <w:lang w:val="en-US" w:eastAsia="zh-CN"/>
        </w:rPr>
        <w:t>反馈甲方进行</w:t>
      </w:r>
      <w:r>
        <w:rPr>
          <w:rFonts w:hint="eastAsia" w:ascii="宋体" w:hAnsi="宋体" w:eastAsia="宋体" w:cs="宋体"/>
          <w:color w:val="auto"/>
          <w:szCs w:val="21"/>
          <w:highlight w:val="none"/>
          <w:lang w:val="zh-CN" w:eastAsia="zh-CN"/>
        </w:rPr>
        <w:t>维修、更换或拆除。</w:t>
      </w:r>
    </w:p>
    <w:p w14:paraId="18032EFB">
      <w:pPr>
        <w:keepNext w:val="0"/>
        <w:keepLines w:val="0"/>
        <w:pageBreakBefore w:val="0"/>
        <w:widowControl w:val="0"/>
        <w:kinsoku/>
        <w:wordWrap/>
        <w:overflowPunct/>
        <w:topLinePunct w:val="0"/>
        <w:autoSpaceDE/>
        <w:autoSpaceDN/>
        <w:bidi w:val="0"/>
        <w:adjustRightInd/>
        <w:snapToGrid/>
        <w:spacing w:line="360" w:lineRule="auto"/>
        <w:ind w:left="500" w:leftChars="0" w:hanging="500" w:firstLineChars="0"/>
        <w:contextualSpacing/>
        <w:jc w:val="both"/>
        <w:textAlignment w:val="auto"/>
        <w:outlineLvl w:val="0"/>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en-US" w:eastAsia="zh-CN" w:bidi="ar-SA"/>
        </w:rPr>
        <w:t>五、</w:t>
      </w:r>
      <w:r>
        <w:rPr>
          <w:rFonts w:hint="eastAsia" w:ascii="宋体" w:hAnsi="宋体" w:eastAsia="宋体" w:cs="宋体"/>
          <w:b/>
          <w:color w:val="auto"/>
          <w:sz w:val="21"/>
          <w:szCs w:val="21"/>
          <w:highlight w:val="none"/>
          <w:lang w:val="zh-CN" w:eastAsia="zh-CN" w:bidi="ar-SA"/>
        </w:rPr>
        <w:t>其他要求</w:t>
      </w:r>
    </w:p>
    <w:p w14:paraId="64F315A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eastAsia="zh-CN"/>
        </w:rPr>
        <w:t>）人员要求</w:t>
      </w:r>
    </w:p>
    <w:p w14:paraId="65C85C3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作业人员均应身体健康，能够胜任岗位要求，年龄不得高于6</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lang w:val="zh-CN" w:eastAsia="zh-CN"/>
        </w:rPr>
        <w:t>周岁，总人数不得低于</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zh-CN" w:eastAsia="zh-CN"/>
        </w:rPr>
        <w:t>人（</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zh-CN" w:eastAsia="zh-CN"/>
        </w:rPr>
        <w:t>个驾驶员）。</w:t>
      </w:r>
    </w:p>
    <w:p w14:paraId="39B982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eastAsia="zh-CN"/>
        </w:rPr>
        <w:t>）车辆要求：</w:t>
      </w:r>
    </w:p>
    <w:tbl>
      <w:tblPr>
        <w:tblStyle w:val="30"/>
        <w:tblW w:w="8590" w:type="dxa"/>
        <w:jc w:val="center"/>
        <w:tblLayout w:type="fixed"/>
        <w:tblCellMar>
          <w:top w:w="0" w:type="dxa"/>
          <w:left w:w="0" w:type="dxa"/>
          <w:bottom w:w="0" w:type="dxa"/>
          <w:right w:w="0" w:type="dxa"/>
        </w:tblCellMar>
      </w:tblPr>
      <w:tblGrid>
        <w:gridCol w:w="906"/>
        <w:gridCol w:w="4250"/>
        <w:gridCol w:w="2010"/>
        <w:gridCol w:w="1424"/>
      </w:tblGrid>
      <w:tr w14:paraId="147B3E4D">
        <w:tblPrEx>
          <w:tblCellMar>
            <w:top w:w="0" w:type="dxa"/>
            <w:left w:w="0" w:type="dxa"/>
            <w:bottom w:w="0" w:type="dxa"/>
            <w:right w:w="0" w:type="dxa"/>
          </w:tblCellMar>
        </w:tblPrEx>
        <w:trPr>
          <w:trHeight w:val="572"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BAA1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序号</w:t>
            </w:r>
          </w:p>
        </w:tc>
        <w:tc>
          <w:tcPr>
            <w:tcW w:w="4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F59E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名称</w:t>
            </w:r>
          </w:p>
        </w:tc>
        <w:tc>
          <w:tcPr>
            <w:tcW w:w="20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B919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数量</w:t>
            </w:r>
          </w:p>
        </w:tc>
        <w:tc>
          <w:tcPr>
            <w:tcW w:w="14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76A0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备注</w:t>
            </w:r>
          </w:p>
        </w:tc>
      </w:tr>
      <w:tr w14:paraId="68C7F376">
        <w:tblPrEx>
          <w:tblCellMar>
            <w:top w:w="0" w:type="dxa"/>
            <w:left w:w="0" w:type="dxa"/>
            <w:bottom w:w="0" w:type="dxa"/>
            <w:right w:w="0" w:type="dxa"/>
          </w:tblCellMar>
        </w:tblPrEx>
        <w:trPr>
          <w:trHeight w:val="557"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30CD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1</w:t>
            </w:r>
          </w:p>
        </w:tc>
        <w:tc>
          <w:tcPr>
            <w:tcW w:w="42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A539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3吨垃圾收集车(后装式压缩清运车)</w:t>
            </w:r>
          </w:p>
        </w:tc>
        <w:tc>
          <w:tcPr>
            <w:tcW w:w="20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14CE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不少于</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zh-CN" w:eastAsia="zh-CN"/>
              </w:rPr>
              <w:t>辆</w:t>
            </w:r>
          </w:p>
        </w:tc>
        <w:tc>
          <w:tcPr>
            <w:tcW w:w="14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2A15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采购人提供</w:t>
            </w:r>
          </w:p>
        </w:tc>
      </w:tr>
    </w:tbl>
    <w:p w14:paraId="5D49520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注：</w:t>
      </w:r>
      <w:r>
        <w:rPr>
          <w:rFonts w:hint="eastAsia" w:ascii="宋体" w:hAnsi="宋体" w:cs="宋体"/>
          <w:b/>
          <w:bCs/>
          <w:color w:val="auto"/>
          <w:szCs w:val="21"/>
          <w:highlight w:val="none"/>
          <w:lang w:val="en-US" w:eastAsia="zh-CN"/>
        </w:rPr>
        <w:t>①</w:t>
      </w:r>
      <w:r>
        <w:rPr>
          <w:rFonts w:hint="eastAsia" w:ascii="宋体" w:hAnsi="宋体" w:eastAsia="宋体" w:cs="宋体"/>
          <w:b/>
          <w:bCs/>
          <w:color w:val="auto"/>
          <w:szCs w:val="21"/>
          <w:highlight w:val="none"/>
          <w:lang w:val="zh-CN" w:eastAsia="zh-CN"/>
        </w:rPr>
        <w:t>所有作业车辆必须在合同规定的保洁范围内作业，未经甲方允许任何时间段不得超出合同外进行作业。</w:t>
      </w:r>
    </w:p>
    <w:p w14:paraId="4856AE0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②服务期结束后，成交供应商归还车辆时，车况需与采购人提供时一样良好，必要时，采购人有权要求成交供应商在归还时出具由第三方检测机构出具的车况报告，如有损坏，需维修完好后归还。</w:t>
      </w:r>
    </w:p>
    <w:p w14:paraId="06BF8A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val="zh-CN" w:eastAsia="zh-CN"/>
        </w:rPr>
        <w:t>）报价应包括但不限于固定资产折旧费、营业费用（人工费</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zh-CN" w:eastAsia="zh-CN"/>
        </w:rPr>
        <w:t>基本工资、社会保险、加班工资、高温费、过节费、劳保费、意外保险等</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zh-CN" w:eastAsia="zh-CN"/>
        </w:rPr>
        <w:t>、车辆费</w:t>
      </w:r>
      <w:r>
        <w:rPr>
          <w:rFonts w:hint="eastAsia" w:ascii="宋体" w:hAnsi="宋体" w:eastAsia="宋体" w:cs="宋体"/>
          <w:color w:val="auto"/>
          <w:szCs w:val="21"/>
          <w:highlight w:val="none"/>
          <w:lang w:val="en-US" w:eastAsia="zh-CN"/>
        </w:rPr>
        <w:t>{</w:t>
      </w:r>
      <w:bookmarkStart w:id="840" w:name="_GoBack"/>
      <w:bookmarkEnd w:id="840"/>
      <w:r>
        <w:rPr>
          <w:rFonts w:hint="eastAsia" w:ascii="宋体" w:hAnsi="宋体" w:eastAsia="宋体" w:cs="宋体"/>
          <w:color w:val="auto"/>
          <w:szCs w:val="21"/>
          <w:highlight w:val="none"/>
          <w:lang w:val="zh-CN" w:eastAsia="zh-CN"/>
        </w:rPr>
        <w:t>油耗、车辆维保、年审保险</w:t>
      </w:r>
      <w:r>
        <w:rPr>
          <w:rFonts w:hint="eastAsia" w:ascii="宋体" w:hAnsi="宋体" w:cs="宋体"/>
          <w:color w:val="auto"/>
          <w:szCs w:val="21"/>
          <w:highlight w:val="none"/>
          <w:lang w:val="zh-CN" w:eastAsia="zh-CN"/>
        </w:rPr>
        <w:t>、</w:t>
      </w:r>
      <w:r>
        <w:rPr>
          <w:rFonts w:hint="eastAsia" w:ascii="宋体" w:hAnsi="宋体" w:cs="宋体"/>
          <w:color w:val="auto"/>
          <w:szCs w:val="21"/>
          <w:highlight w:val="none"/>
          <w:lang w:val="en-US" w:eastAsia="zh-CN"/>
        </w:rPr>
        <w:t>车辆违章（如有，由供应商自行承担）</w:t>
      </w:r>
      <w:r>
        <w:rPr>
          <w:rFonts w:hint="eastAsia" w:ascii="宋体" w:hAnsi="宋体" w:eastAsia="宋体" w:cs="宋体"/>
          <w:color w:val="auto"/>
          <w:szCs w:val="21"/>
          <w:highlight w:val="none"/>
          <w:lang w:val="zh-CN" w:eastAsia="zh-CN"/>
        </w:rPr>
        <w:t>等</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zh-CN" w:eastAsia="zh-CN"/>
        </w:rPr>
        <w:t>、成本、经营管理费、税金等一切可能发生的费用。所有机动车辆应手续齐全，并符合行业相关要求；非机动车辆管理应符合《常州市环卫非机动作业车辆规范化管理实施方案》的相关规定；均不得影响正常作业时间及质量。</w:t>
      </w:r>
    </w:p>
    <w:p w14:paraId="5BCB793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b/>
          <w:bCs/>
          <w:color w:val="auto"/>
          <w:szCs w:val="21"/>
          <w:highlight w:val="none"/>
          <w:lang w:val="zh-CN" w:eastAsia="zh-CN"/>
        </w:rPr>
        <w:t>（</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lang w:val="zh-CN" w:eastAsia="zh-CN"/>
        </w:rPr>
        <w:t>）以上人员、车辆数量为最低配额，一旦中标，中标供应商应配置不低于最低配额的人员及车辆。</w:t>
      </w:r>
    </w:p>
    <w:p w14:paraId="6EC49AD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val="zh-CN" w:eastAsia="zh-CN"/>
        </w:rPr>
        <w:t>）在进行劳动力测算时，投标供应商根据自身经验及现场情况等因素进行配置，但人数不得低于规定人数（</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zh-CN" w:eastAsia="zh-CN"/>
        </w:rPr>
        <w:t>人），供应商须在投标报价中充分考虑该因素，一旦中标，投标报价不随人员增加而调整。</w:t>
      </w:r>
    </w:p>
    <w:p w14:paraId="344F589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val="zh-CN" w:eastAsia="zh-CN"/>
        </w:rPr>
        <w:t>）如出现不可抗力因素，双方协商解决。</w:t>
      </w:r>
    </w:p>
    <w:p w14:paraId="3D47DCD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val="zh-CN" w:eastAsia="zh-CN"/>
        </w:rPr>
        <w:t>）基本工资不得低于</w:t>
      </w:r>
      <w:r>
        <w:rPr>
          <w:rFonts w:hint="eastAsia" w:ascii="宋体" w:hAnsi="宋体" w:cs="宋体"/>
          <w:color w:val="auto"/>
          <w:szCs w:val="21"/>
          <w:highlight w:val="none"/>
          <w:lang w:val="en-US" w:eastAsia="zh-CN"/>
        </w:rPr>
        <w:t>常州市</w:t>
      </w:r>
      <w:r>
        <w:rPr>
          <w:rFonts w:hint="eastAsia" w:ascii="宋体" w:hAnsi="宋体" w:eastAsia="宋体" w:cs="宋体"/>
          <w:color w:val="auto"/>
          <w:szCs w:val="21"/>
          <w:highlight w:val="none"/>
          <w:lang w:val="en-US" w:eastAsia="zh-CN"/>
        </w:rPr>
        <w:t>最低工资</w:t>
      </w:r>
      <w:r>
        <w:rPr>
          <w:rFonts w:hint="eastAsia" w:ascii="宋体" w:hAnsi="宋体" w:eastAsia="宋体" w:cs="宋体"/>
          <w:color w:val="auto"/>
          <w:szCs w:val="21"/>
          <w:highlight w:val="none"/>
          <w:lang w:val="zh-CN" w:eastAsia="zh-CN"/>
        </w:rPr>
        <w:t>标准，高温费按</w:t>
      </w:r>
      <w:r>
        <w:rPr>
          <w:rFonts w:hint="eastAsia" w:ascii="宋体" w:hAnsi="宋体" w:cs="宋体"/>
          <w:color w:val="auto"/>
          <w:szCs w:val="21"/>
          <w:highlight w:val="none"/>
          <w:lang w:val="en-US" w:eastAsia="zh-CN"/>
        </w:rPr>
        <w:t>常州市</w:t>
      </w:r>
      <w:r>
        <w:rPr>
          <w:rFonts w:hint="eastAsia" w:ascii="宋体" w:hAnsi="宋体" w:eastAsia="宋体" w:cs="宋体"/>
          <w:color w:val="auto"/>
          <w:szCs w:val="21"/>
          <w:highlight w:val="none"/>
          <w:lang w:val="zh-CN" w:eastAsia="zh-CN"/>
        </w:rPr>
        <w:t>最新的标准发放（</w:t>
      </w:r>
      <w:r>
        <w:rPr>
          <w:rFonts w:hint="eastAsia" w:ascii="宋体" w:hAnsi="宋体" w:eastAsia="宋体" w:cs="宋体"/>
          <w:color w:val="auto"/>
          <w:szCs w:val="21"/>
          <w:highlight w:val="none"/>
          <w:lang w:val="en-US" w:eastAsia="zh-CN"/>
        </w:rPr>
        <w:t>若政策有变动，按新政策执行</w:t>
      </w:r>
      <w:r>
        <w:rPr>
          <w:rFonts w:hint="eastAsia" w:ascii="宋体" w:hAnsi="宋体" w:eastAsia="宋体" w:cs="宋体"/>
          <w:color w:val="auto"/>
          <w:szCs w:val="21"/>
          <w:highlight w:val="none"/>
          <w:lang w:val="zh-CN" w:eastAsia="zh-CN"/>
        </w:rPr>
        <w:t>）。</w:t>
      </w:r>
    </w:p>
    <w:p w14:paraId="1379FE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供应商须为作业人员缴纳商业险。</w:t>
      </w:r>
    </w:p>
    <w:p w14:paraId="341A431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zh-CN" w:eastAsia="zh-CN"/>
        </w:rPr>
        <w:t>（</w:t>
      </w:r>
      <w:r>
        <w:rPr>
          <w:rFonts w:hint="eastAsia" w:ascii="宋体" w:hAnsi="宋体" w:eastAsia="宋体" w:cs="宋体"/>
          <w:b/>
          <w:bCs/>
          <w:color w:val="auto"/>
          <w:szCs w:val="21"/>
          <w:highlight w:val="none"/>
          <w:lang w:val="en-US" w:eastAsia="zh-CN"/>
        </w:rPr>
        <w:t>9</w:t>
      </w:r>
      <w:r>
        <w:rPr>
          <w:rFonts w:hint="eastAsia" w:ascii="宋体" w:hAnsi="宋体" w:eastAsia="宋体" w:cs="宋体"/>
          <w:b/>
          <w:bCs/>
          <w:color w:val="auto"/>
          <w:szCs w:val="21"/>
          <w:highlight w:val="none"/>
          <w:lang w:val="zh-CN" w:eastAsia="zh-CN"/>
        </w:rPr>
        <w:t>）</w:t>
      </w:r>
      <w:r>
        <w:rPr>
          <w:rFonts w:hint="eastAsia" w:ascii="宋体" w:hAnsi="宋体" w:eastAsia="宋体" w:cs="宋体"/>
          <w:b/>
          <w:bCs/>
          <w:color w:val="auto"/>
          <w:szCs w:val="21"/>
          <w:highlight w:val="none"/>
          <w:lang w:val="en-US" w:eastAsia="zh-CN"/>
        </w:rPr>
        <w:t>供应商为职工缴纳“五险一金”（养老保险金、医疗保险金、工伤保险金、生育保险金、失业保险金、公积金）不得低于</w:t>
      </w:r>
      <w:r>
        <w:rPr>
          <w:rFonts w:hint="eastAsia" w:ascii="宋体" w:hAnsi="宋体" w:cs="宋体"/>
          <w:b/>
          <w:bCs/>
          <w:color w:val="auto"/>
          <w:szCs w:val="21"/>
          <w:highlight w:val="none"/>
          <w:lang w:val="en-US" w:eastAsia="zh-CN"/>
        </w:rPr>
        <w:t>常州</w:t>
      </w:r>
      <w:r>
        <w:rPr>
          <w:rFonts w:hint="eastAsia" w:ascii="宋体" w:hAnsi="宋体" w:eastAsia="宋体" w:cs="宋体"/>
          <w:b/>
          <w:bCs/>
          <w:color w:val="auto"/>
          <w:szCs w:val="21"/>
          <w:highlight w:val="none"/>
          <w:lang w:val="en-US" w:eastAsia="zh-CN"/>
        </w:rPr>
        <w:t>地区最低标准。</w:t>
      </w:r>
    </w:p>
    <w:p w14:paraId="70512D3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p>
    <w:p w14:paraId="09064B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p>
    <w:p w14:paraId="21E2B5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p>
    <w:p w14:paraId="660E7E1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p>
    <w:p w14:paraId="4653AB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zh-CN" w:eastAsia="zh-CN"/>
        </w:rPr>
      </w:pPr>
    </w:p>
    <w:p w14:paraId="6D8FEB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1"/>
          <w:highlight w:val="none"/>
          <w:lang w:val="en-US" w:eastAsia="zh-CN"/>
        </w:rPr>
      </w:pPr>
    </w:p>
    <w:p w14:paraId="5EA61B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1"/>
          <w:highlight w:val="none"/>
          <w:lang w:val="en-US" w:eastAsia="zh-CN"/>
        </w:rPr>
      </w:pPr>
    </w:p>
    <w:p w14:paraId="056CE183">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329A95FF">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27CF0F7A">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71B047A6">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383EF1B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5A0CF532">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0CC68C98">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7B8D615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6C9272BD">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13659ED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115D248C">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p>
    <w:p w14:paraId="703A5C44">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r>
    </w:p>
    <w:p w14:paraId="6F0C0A55">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p>
    <w:p w14:paraId="3B05320B">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村（社区）环卫作业考核明细表</w:t>
      </w:r>
    </w:p>
    <w:p w14:paraId="5707417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总体要求：</w:t>
      </w:r>
    </w:p>
    <w:p w14:paraId="43289E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环卫作业考核实行百分制：环卫作业90分，安全文明生产5分，规范用工5分。同时，根据环卫管理科考核结果、媒体曝光及群众投诉等情况在总分中直接扣减。</w:t>
      </w:r>
    </w:p>
    <w:p w14:paraId="6A23483A">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一、环卫作业90分</w:t>
      </w:r>
    </w:p>
    <w:p w14:paraId="6097FE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有下列情形之一的，每项或每处扣1分。</w:t>
      </w:r>
    </w:p>
    <w:p w14:paraId="72BFD51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（1）主次干道有积尘，侧石边角有淤泥、灰沙、污水（每2平方米范围及有较明显脏、差的为一处）。</w:t>
      </w:r>
    </w:p>
    <w:p w14:paraId="332DFAF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（2）人工清扫道路漏扫、垃圾漏收的，人工清扫次数不达到规定次数的。</w:t>
      </w:r>
    </w:p>
    <w:p w14:paraId="266DB0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（3）路面有废弃物（包括瓜皮果壳、纸屑/塑膜、烟蒂、痰迹、混凝土、渣土、沙、石、砖、粪便、呕吐物、动物尸体、垃圾包等，每2平方米范围为一处）。</w:t>
      </w:r>
    </w:p>
    <w:p w14:paraId="7D7171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（4）雨水积水、污水未及时清扫，每2平方米范围为一处。</w:t>
      </w:r>
    </w:p>
    <w:p w14:paraId="03F52D9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（5）道路清扫作业时乱倒清扫垃圾。</w:t>
      </w:r>
    </w:p>
    <w:p w14:paraId="0EF62FC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（6）道路或公共场所有焚烧垃圾或焚烧痕迹。</w:t>
      </w:r>
    </w:p>
    <w:p w14:paraId="200B9A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（7）垃圾桶设施破损、遗失(损坏2日内须上报，未上报扣分)。</w:t>
      </w:r>
    </w:p>
    <w:p w14:paraId="0D6D1F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（8）垃圾桶门（盖）未关（损坏1日内须上报，未上报扣分）。</w:t>
      </w:r>
    </w:p>
    <w:p w14:paraId="3D43DD9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（9）垃圾桶箱内垃圾满溢未及时清理（超出沿口基准线）。</w:t>
      </w:r>
    </w:p>
    <w:p w14:paraId="0E2D612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（10）未按照规定要求清洗、垃圾桶，垃圾桶箱体不整洁。</w:t>
      </w:r>
    </w:p>
    <w:p w14:paraId="50F08E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（11）垃圾桶周边脏乱（周边2米内）。</w:t>
      </w:r>
    </w:p>
    <w:p w14:paraId="7C0C66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（12）垃圾桶有乱涂写、乱张贴的。</w:t>
      </w:r>
    </w:p>
    <w:p w14:paraId="0A1A6F3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（13）应机械化收集而未机械化收运或达不到规定次数的。</w:t>
      </w:r>
    </w:p>
    <w:p w14:paraId="24DE38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（14）机械化收集时对跑冒滴漏的垃圾不及时清理干净的。</w:t>
      </w:r>
    </w:p>
    <w:p w14:paraId="61E2388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（15）垃圾收集车辆在收集、运输途中，未密闭运输的，出现沿途抛洒滴漏和车轮带泥行驶现象的</w:t>
      </w:r>
    </w:p>
    <w:p w14:paraId="06C71EC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（16）垃圾收集车辆车容车貌差的。</w:t>
      </w:r>
    </w:p>
    <w:p w14:paraId="742B3AE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（17）发现乱倒垃圾或者接到举报查实的。</w:t>
      </w:r>
    </w:p>
    <w:p w14:paraId="0176F5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（18）收集垃圾后随意焚烧垃圾的。</w:t>
      </w:r>
    </w:p>
    <w:p w14:paraId="33C163E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（19）运送垃圾进中转站不服从中转站值班人员管理的。</w:t>
      </w:r>
    </w:p>
    <w:p w14:paraId="23CA7AA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（20）有垃圾桶满溢未及时清理（超出沿口基准线）的。</w:t>
      </w:r>
    </w:p>
    <w:p w14:paraId="7D819D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（21）大件垃圾、建筑垃圾和绿化垃圾未及时清运的。</w:t>
      </w:r>
    </w:p>
    <w:p w14:paraId="3D1B2B0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（22）生活垃圾、大件垃圾、绿化垃圾和建筑垃圾发现混装混运情况的</w:t>
      </w:r>
    </w:p>
    <w:p w14:paraId="3E61593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（23）建筑垃圾清运过程中未办理相关许可手续的，未按照规定的运输路线、时间运行的。</w:t>
      </w:r>
    </w:p>
    <w:p w14:paraId="0C6EC7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Cs w:val="21"/>
          <w:highlight w:val="none"/>
          <w:lang w:val="en-US" w:eastAsia="zh-CN"/>
        </w:rPr>
      </w:pPr>
    </w:p>
    <w:p w14:paraId="62611644">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二、安全文明生产5分：</w:t>
      </w:r>
    </w:p>
    <w:p w14:paraId="233B8DF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有下列情形之一的，每项或每人扣1分。</w:t>
      </w:r>
    </w:p>
    <w:p w14:paraId="6E9DC92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（1）未穿戴作业单位统规定的反光安全标志服的；</w:t>
      </w:r>
    </w:p>
    <w:p w14:paraId="0B1C70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（2）穿拖鞋上班的；</w:t>
      </w:r>
    </w:p>
    <w:p w14:paraId="531A936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（3）作业人员当班闲坐、聊天的；</w:t>
      </w:r>
    </w:p>
    <w:p w14:paraId="0263FD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（4）作业人员当班检拾废品、围观突发事件或就地闲逛购物的；</w:t>
      </w:r>
    </w:p>
    <w:p w14:paraId="275E4B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（5）不文明作业，造成扬尘的；</w:t>
      </w:r>
    </w:p>
    <w:p w14:paraId="66031A1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（6）作业车辆未按规定位置停放的；</w:t>
      </w:r>
    </w:p>
    <w:p w14:paraId="11CA03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（7）垃圾分类车辆不符合垃圾分类要求的；</w:t>
      </w:r>
    </w:p>
    <w:p w14:paraId="6058CCE9">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三、规范用工5分：</w:t>
      </w:r>
    </w:p>
    <w:p w14:paraId="7F337C6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有下列情形之一的， 每项或每人扣1分。</w:t>
      </w:r>
    </w:p>
    <w:p w14:paraId="19463E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（1）抽查人员工资发放记录，确有用工不满足本地区最低工资标准的；</w:t>
      </w:r>
    </w:p>
    <w:p w14:paraId="3D74CA2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（2）接到有关签订劳动合同投诉属实的；</w:t>
      </w:r>
    </w:p>
    <w:p w14:paraId="77A598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（3）接到有关补贴不及时发放的投诉属实的；</w:t>
      </w:r>
    </w:p>
    <w:p w14:paraId="58E6392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（4）接到有关保险按时缴纳的投诉属实的；</w:t>
      </w:r>
    </w:p>
    <w:p w14:paraId="275EF2D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（5）出现5人以上劳资纠纷的；</w:t>
      </w:r>
    </w:p>
    <w:p w14:paraId="09C718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（6）招录政府公务员在职在岗人员，经查属实的；</w:t>
      </w:r>
    </w:p>
    <w:p w14:paraId="0E1ACE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（7）建立基础管理台账，包括《人员作业情况登记本》、《日常检查情况登记本》、《信访处理登记本》，每缺1本扣1分，登记不及时的每本每次扣1分；</w:t>
      </w:r>
    </w:p>
    <w:p w14:paraId="2E0575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（8）建立相关管理制度，包括行政管理制度、考勤制度、岗位责任制度、安全生产制度、考核制度，每缺1项制度扣1分。</w:t>
      </w:r>
    </w:p>
    <w:p w14:paraId="6289F581">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四、市级以上检查考核及媒体曝光、群众投诉等情况</w:t>
      </w:r>
    </w:p>
    <w:p w14:paraId="714D84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（1）在市以上督查、市数字化考评、市城市长效综合管理考核等考核中扣分的，作三倍扣分；</w:t>
      </w:r>
    </w:p>
    <w:p w14:paraId="5886AB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（2）媒体曝光属实的(以媒体最先曝光时间为扣分记录时间)，每项扣3分，群众投诉及12345平台举报属实的，每项扣2分；</w:t>
      </w:r>
    </w:p>
    <w:p w14:paraId="18C4B7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（3）根据城市管理监督指挥中心派发的案件(包括局督查科考核下发的整改通知或口头通知)，需在规定时间内处置到位并及时回复环卫科，不符的每次扣1分；</w:t>
      </w:r>
    </w:p>
    <w:p w14:paraId="5ED583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（4）考评中发现及上级反馈问题通知整改的，在规定的时间内仍未整改的，以及未在一个工作日内反馈整改情况的(反馈情况以书面或电子文档为准)，按标准双倍扣分；</w:t>
      </w:r>
    </w:p>
    <w:p w14:paraId="780BD2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（5）中标人未按时保质保量完成采购人交给的指令性任务，每次扣2分。</w:t>
      </w:r>
    </w:p>
    <w:p w14:paraId="516232E5">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五、考核实施办法</w:t>
      </w:r>
    </w:p>
    <w:p w14:paraId="1268A8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（1）根据本考评细则进行季度考核，采购人采取样本抽查和现场随机检查的方式进行考核，在上级考核或本级考核中发现问题及时进行扣分。</w:t>
      </w:r>
    </w:p>
    <w:p w14:paraId="20B581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（2）采购人取证资料必须做到时间与地点清楚、背景清晰，便于中标人查证核对认可。当日的取证资料只保存七工作日，期内可供中标人查看或复制，过期视为默认。</w:t>
      </w:r>
    </w:p>
    <w:p w14:paraId="16B00F3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（3）中标人每被扣1分扣款</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00元。根据每月环卫作业质量通报在下拨清运费中扣除。</w:t>
      </w:r>
    </w:p>
    <w:p w14:paraId="03B7C9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（4）中标人在承包期内连续2次或累计3次考核结果在</w:t>
      </w:r>
      <w:r>
        <w:rPr>
          <w:rFonts w:hint="eastAsia" w:ascii="宋体" w:hAnsi="宋体" w:cs="宋体"/>
          <w:color w:val="auto"/>
          <w:szCs w:val="21"/>
          <w:highlight w:val="none"/>
          <w:lang w:val="en-US" w:eastAsia="zh-CN"/>
        </w:rPr>
        <w:t>60分</w:t>
      </w:r>
      <w:r>
        <w:rPr>
          <w:rFonts w:hint="eastAsia" w:ascii="宋体" w:hAnsi="宋体" w:eastAsia="宋体" w:cs="宋体"/>
          <w:color w:val="auto"/>
          <w:szCs w:val="21"/>
          <w:highlight w:val="none"/>
          <w:lang w:val="en-US" w:eastAsia="zh-CN"/>
        </w:rPr>
        <w:t>(含</w:t>
      </w:r>
      <w:r>
        <w:rPr>
          <w:rFonts w:hint="eastAsia" w:ascii="宋体" w:hAnsi="宋体" w:cs="宋体"/>
          <w:color w:val="auto"/>
          <w:szCs w:val="21"/>
          <w:highlight w:val="none"/>
          <w:lang w:val="en-US" w:eastAsia="zh-CN"/>
        </w:rPr>
        <w:t>60分</w:t>
      </w:r>
      <w:r>
        <w:rPr>
          <w:rFonts w:hint="eastAsia" w:ascii="宋体" w:hAnsi="宋体" w:eastAsia="宋体" w:cs="宋体"/>
          <w:color w:val="auto"/>
          <w:szCs w:val="21"/>
          <w:highlight w:val="none"/>
          <w:lang w:val="en-US" w:eastAsia="zh-CN"/>
        </w:rPr>
        <w:t>)以下的，采购人在满足前述条件的次月底前与中标人解除合同。被解除合同的中标人在被解除合同时日起两年内不得参与本街道环卫作业投标。</w:t>
      </w:r>
    </w:p>
    <w:p w14:paraId="36DAED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中标人在各类应急响应工作，街道、村委重大活动期间因工作不到位造成重大影响的，采购人有权在合同期内提前15天通知中标人解除合同。被解除合同的中标人在被解除合同时日起三年内不得参与本街道环卫作业投标。</w:t>
      </w:r>
    </w:p>
    <w:p w14:paraId="76D2A1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（6）中标人不能按时支付本合同规定的各项人员支出的，采购人有权在合同期内提前15天通知中标人解除合同。被解除合同的中标人在被解除合同时日起三年内不得参与本街道环卫作业投标。</w:t>
      </w:r>
    </w:p>
    <w:p w14:paraId="1F13CAF7">
      <w:pPr>
        <w:widowControl w:val="0"/>
        <w:spacing w:after="120" w:line="480" w:lineRule="exact"/>
        <w:ind w:left="0" w:leftChars="0" w:firstLine="0" w:firstLineChars="0"/>
        <w:jc w:val="both"/>
        <w:rPr>
          <w:rFonts w:hint="default" w:ascii="Times New Roman" w:hAnsi="Times New Roman" w:eastAsia="宋体" w:cs="Times New Roman"/>
          <w:color w:val="auto"/>
          <w:sz w:val="24"/>
          <w:szCs w:val="20"/>
          <w:highlight w:val="none"/>
          <w:lang w:val="en-US" w:eastAsia="zh-CN" w:bidi="ar-SA"/>
        </w:rPr>
      </w:pPr>
    </w:p>
    <w:p w14:paraId="2BBE66A0">
      <w:pPr>
        <w:pStyle w:val="287"/>
        <w:spacing w:line="360" w:lineRule="auto"/>
        <w:ind w:firstLine="440"/>
        <w:contextualSpacing/>
        <w:jc w:val="left"/>
        <w:rPr>
          <w:rFonts w:hint="eastAsia" w:ascii="宋体" w:hAnsi="宋体" w:eastAsia="宋体" w:cs="宋体"/>
          <w:color w:val="auto"/>
          <w:sz w:val="22"/>
          <w:highlight w:val="none"/>
        </w:rPr>
      </w:pPr>
    </w:p>
    <w:p w14:paraId="78B7D2D4">
      <w:pPr>
        <w:rPr>
          <w:rFonts w:hint="eastAsia" w:ascii="宋体" w:hAnsi="宋体" w:eastAsia="宋体" w:cs="宋体"/>
          <w:b/>
          <w:color w:val="auto"/>
          <w:sz w:val="36"/>
          <w:szCs w:val="36"/>
          <w:highlight w:val="none"/>
        </w:rPr>
      </w:pPr>
      <w:bookmarkStart w:id="705" w:name="_Toc99301425"/>
      <w:r>
        <w:rPr>
          <w:rFonts w:hint="eastAsia" w:ascii="宋体" w:hAnsi="宋体" w:eastAsia="宋体" w:cs="宋体"/>
          <w:b/>
          <w:color w:val="auto"/>
          <w:sz w:val="36"/>
          <w:szCs w:val="36"/>
          <w:highlight w:val="none"/>
        </w:rPr>
        <w:br w:type="page"/>
      </w:r>
    </w:p>
    <w:p w14:paraId="6D67B362">
      <w:pPr>
        <w:pStyle w:val="287"/>
        <w:spacing w:line="360" w:lineRule="auto"/>
        <w:ind w:left="0" w:leftChars="0" w:firstLine="0" w:firstLineChars="0"/>
        <w:contextualSpacing/>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第六章   拟签订的合同文本</w:t>
      </w:r>
      <w:bookmarkEnd w:id="705"/>
    </w:p>
    <w:p w14:paraId="18E1D55E">
      <w:pPr>
        <w:adjustRightInd w:val="0"/>
        <w:snapToGrid w:val="0"/>
        <w:spacing w:line="360" w:lineRule="auto"/>
        <w:ind w:firstLine="420" w:firstLineChars="20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甲方：</w:t>
      </w:r>
      <w:r>
        <w:rPr>
          <w:rFonts w:hint="eastAsia" w:ascii="宋体" w:hAnsi="宋体" w:cs="宋体"/>
          <w:color w:val="auto"/>
          <w:szCs w:val="21"/>
          <w:highlight w:val="none"/>
          <w:lang w:val="en-US" w:eastAsia="zh-CN"/>
        </w:rPr>
        <w:t xml:space="preserve">  </w:t>
      </w:r>
    </w:p>
    <w:p w14:paraId="654C63D9">
      <w:pPr>
        <w:adjustRightInd w:val="0"/>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乙方：</w:t>
      </w:r>
    </w:p>
    <w:p w14:paraId="0DEE852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56086D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根据《中华人民共和国政府采购法》、《中华人民共和国民法典》等法律法规的规定，甲、乙双方按照</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江苏正誉项目管理有限公司</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组织的关于</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2026年魏村街道农村生活垃圾清运项目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的招标结果，签订本合同。</w:t>
      </w:r>
    </w:p>
    <w:p w14:paraId="3D130018">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一、合同内容：</w:t>
      </w:r>
    </w:p>
    <w:p w14:paraId="37A674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1、甲方确定乙方为</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2026年魏村街道农村生活垃圾清运项目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环卫作业服务的实施人。作业范围详见《作业服务量清单及说明》。</w:t>
      </w:r>
    </w:p>
    <w:p w14:paraId="5E4D87B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作业服务时间，</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2026</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年</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月</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1</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日至</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2026</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年</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12</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月</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31</w:t>
      </w:r>
      <w:r>
        <w:rPr>
          <w:rFonts w:hint="eastAsia" w:ascii="宋体" w:hAnsi="宋体" w:eastAsia="宋体" w:cs="宋体"/>
          <w:color w:val="auto"/>
          <w:szCs w:val="21"/>
          <w:highlight w:val="none"/>
          <w:lang w:val="en-US" w:eastAsia="zh-CN"/>
        </w:rPr>
        <w:t>日</w:t>
      </w:r>
      <w:r>
        <w:rPr>
          <w:rFonts w:hint="eastAsia" w:ascii="宋体" w:hAnsi="宋体" w:cs="宋体"/>
          <w:color w:val="auto"/>
          <w:szCs w:val="21"/>
          <w:highlight w:val="none"/>
          <w:lang w:val="en-US" w:eastAsia="zh-CN"/>
        </w:rPr>
        <w:t>；具体进场时间听从甲方安排。</w:t>
      </w:r>
    </w:p>
    <w:p w14:paraId="6DC4447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2、下列文件为本合同不可分割部分：</w:t>
      </w:r>
    </w:p>
    <w:p w14:paraId="369305C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①中标通知书；</w:t>
      </w:r>
    </w:p>
    <w:p w14:paraId="00EB85A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②招标文件(含作业服务量清单及说明、作业服务要求、考评细则等)；</w:t>
      </w:r>
    </w:p>
    <w:p w14:paraId="119C6373">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二、甲方权利和义务：</w:t>
      </w:r>
    </w:p>
    <w:p w14:paraId="65EDD2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1、根据《村（社区）环卫作业考核明细表》，对区域范围内所有垃圾房（亭、桶）的清洗保洁与生活垃圾的收集、区域范围内所有大件垃圾及建筑垃圾的清运等工作及履行合同情况进行指导和考核。</w:t>
      </w:r>
    </w:p>
    <w:p w14:paraId="64A502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2、根据乙方在考核中的结果，按时向乙方支付承包费。</w:t>
      </w:r>
    </w:p>
    <w:p w14:paraId="0509B9B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3、听取乙方提出的建议并给予答复。</w:t>
      </w:r>
    </w:p>
    <w:p w14:paraId="314BFE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4、监督乙方履行承诺。</w:t>
      </w:r>
    </w:p>
    <w:p w14:paraId="626B8C1A">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三、乙方权利和义务</w:t>
      </w:r>
    </w:p>
    <w:p w14:paraId="0BC81C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根据《村（社区）环卫作业考核明细表》和投标文件所作的承诺开展清扫保洁工作。确保承包区域范围内所有垃圾房（亭、桶）的清洗保洁与生活垃圾的收集；区域范围内所有垃圾的清运等工作的稳定进行，并呈现干净整洁的面貌，确保垃圾收集及运输工作做到日产日清，并按指定地点、指定时间、指定运输线路运送垃圾，不得拒绝沿线居民向垃圾收集车辆内倾倒生活垃圾。</w:t>
      </w:r>
    </w:p>
    <w:p w14:paraId="7189ED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2、为保证环卫作业工作正常有效开展，乙方负责组成固定的专业环卫作业队伍，严禁使用65周岁以上的作业员工，按要求提交作业计划和相关的工作预案，经甲方认可并备案。</w:t>
      </w:r>
    </w:p>
    <w:p w14:paraId="7D36A5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3、接受甲方和相关管理部门的考核及其结果。</w:t>
      </w:r>
    </w:p>
    <w:p w14:paraId="7A3E81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4、独立承担环卫作业中的安全责任和经济赔偿。</w:t>
      </w:r>
    </w:p>
    <w:p w14:paraId="46833E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5、在任何情况下（如灾害天气期间或重大活动期间），乙方均应保质保量按时完成甲方安排的指令性任务。</w:t>
      </w:r>
    </w:p>
    <w:p w14:paraId="7EC7CC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6、自觉执行国家的法律、法规，按</w:t>
      </w:r>
      <w:r>
        <w:rPr>
          <w:rFonts w:hint="eastAsia" w:ascii="宋体" w:hAnsi="宋体" w:cs="宋体"/>
          <w:color w:val="auto"/>
          <w:szCs w:val="21"/>
          <w:highlight w:val="none"/>
          <w:lang w:val="en-US" w:eastAsia="zh-CN"/>
        </w:rPr>
        <w:t>常州</w:t>
      </w:r>
      <w:r>
        <w:rPr>
          <w:rFonts w:hint="eastAsia" w:ascii="宋体" w:hAnsi="宋体" w:eastAsia="宋体" w:cs="宋体"/>
          <w:color w:val="auto"/>
          <w:szCs w:val="21"/>
          <w:highlight w:val="none"/>
          <w:lang w:val="en-US" w:eastAsia="zh-CN"/>
        </w:rPr>
        <w:t>市规定及时缴纳“五金”，签订劳动用工合同，作业及管理人员工资不得低于</w:t>
      </w:r>
      <w:r>
        <w:rPr>
          <w:rFonts w:hint="eastAsia" w:ascii="宋体" w:hAnsi="宋体" w:cs="宋体"/>
          <w:color w:val="auto"/>
          <w:szCs w:val="21"/>
          <w:highlight w:val="none"/>
          <w:lang w:val="en-US" w:eastAsia="zh-CN"/>
        </w:rPr>
        <w:t>常州</w:t>
      </w:r>
      <w:r>
        <w:rPr>
          <w:rFonts w:hint="eastAsia" w:ascii="宋体" w:hAnsi="宋体" w:eastAsia="宋体" w:cs="宋体"/>
          <w:color w:val="auto"/>
          <w:szCs w:val="21"/>
          <w:highlight w:val="none"/>
          <w:lang w:val="en-US" w:eastAsia="zh-CN"/>
        </w:rPr>
        <w:t>市最低工资标准，独立处理劳资纠纷等工作。</w:t>
      </w:r>
    </w:p>
    <w:p w14:paraId="62C9ED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7、接受甲方和社会监督，对存在的问题在指定时间内整改到位，并将整改结果报甲方。</w:t>
      </w:r>
    </w:p>
    <w:p w14:paraId="2C998D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8、准时参加甲方召开的会议。</w:t>
      </w:r>
    </w:p>
    <w:p w14:paraId="332F63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9、向甲方提出合理化建议。</w:t>
      </w:r>
    </w:p>
    <w:p w14:paraId="2DA5692A">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四、价格与支付</w:t>
      </w:r>
    </w:p>
    <w:p w14:paraId="1534A5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1.合同基准价格按此次中标价格执行,人民币</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元</w:t>
      </w:r>
      <w:r>
        <w:rPr>
          <w:rFonts w:hint="eastAsia" w:ascii="宋体" w:hAnsi="宋体" w:eastAsia="宋体" w:cs="宋体"/>
          <w:color w:val="auto"/>
          <w:szCs w:val="21"/>
          <w:highlight w:val="none"/>
          <w:lang w:val="en-US" w:eastAsia="zh-CN"/>
        </w:rPr>
        <w:t>。 如按《村（社区）环卫作业考核明细表》规定发生扣款，在作业服务费中扣除。</w:t>
      </w:r>
    </w:p>
    <w:p w14:paraId="19C2D7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2、付款及扣款方式：</w:t>
      </w:r>
    </w:p>
    <w:p w14:paraId="2FF6A5C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付款主体：甲方。</w:t>
      </w:r>
    </w:p>
    <w:p w14:paraId="4BC1D7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本项目固定总价，按中标单位的中标价一次性包干。考核标准详见附件：村（社区）环卫作业考核明细表。</w:t>
      </w:r>
    </w:p>
    <w:p w14:paraId="2351468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）按季度付款，</w:t>
      </w:r>
      <w:r>
        <w:rPr>
          <w:rFonts w:hint="eastAsia" w:ascii="宋体" w:hAnsi="宋体" w:cs="宋体"/>
          <w:color w:val="auto"/>
          <w:szCs w:val="21"/>
          <w:highlight w:val="none"/>
          <w:lang w:val="en-US" w:eastAsia="zh-CN"/>
        </w:rPr>
        <w:t>前两</w:t>
      </w:r>
      <w:r>
        <w:rPr>
          <w:rFonts w:hint="eastAsia" w:ascii="宋体" w:hAnsi="宋体" w:eastAsia="宋体" w:cs="宋体"/>
          <w:color w:val="auto"/>
          <w:szCs w:val="21"/>
          <w:highlight w:val="none"/>
          <w:lang w:val="en-US" w:eastAsia="zh-CN"/>
        </w:rPr>
        <w:t>季度款=合同价/</w:t>
      </w:r>
      <w:r>
        <w:rPr>
          <w:rFonts w:hint="eastAsia" w:ascii="宋体" w:hAnsi="宋体" w:cs="宋体"/>
          <w:color w:val="auto"/>
          <w:szCs w:val="21"/>
          <w:highlight w:val="none"/>
          <w:lang w:val="en-US" w:eastAsia="zh-CN"/>
        </w:rPr>
        <w:t>8*3</w:t>
      </w:r>
      <w:r>
        <w:rPr>
          <w:rFonts w:hint="eastAsia" w:ascii="宋体" w:hAnsi="宋体" w:eastAsia="宋体" w:cs="宋体"/>
          <w:color w:val="auto"/>
          <w:szCs w:val="21"/>
          <w:highlight w:val="none"/>
          <w:lang w:val="en-US" w:eastAsia="zh-CN"/>
        </w:rPr>
        <w:t>-每季度相应考核扣款（具体金额根据《村（社区）环卫作业考核明细表》（见附件）进行考核，以考核结果为准）</w:t>
      </w:r>
      <w:r>
        <w:rPr>
          <w:rFonts w:hint="eastAsia" w:ascii="宋体" w:hAnsi="宋体" w:cs="宋体"/>
          <w:color w:val="auto"/>
          <w:szCs w:val="21"/>
          <w:highlight w:val="none"/>
          <w:lang w:val="en-US" w:eastAsia="zh-CN"/>
        </w:rPr>
        <w:t>；最后两月余款在服务期满后一次性付清，扣除考核扣款（如有）</w:t>
      </w:r>
      <w:r>
        <w:rPr>
          <w:rFonts w:hint="eastAsia" w:ascii="宋体" w:hAnsi="宋体" w:eastAsia="宋体" w:cs="宋体"/>
          <w:color w:val="auto"/>
          <w:szCs w:val="21"/>
          <w:highlight w:val="none"/>
          <w:lang w:val="en-US" w:eastAsia="zh-CN"/>
        </w:rPr>
        <w:t>。</w:t>
      </w:r>
    </w:p>
    <w:p w14:paraId="004B0A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）付款时间：次季度首月15日前；</w:t>
      </w:r>
    </w:p>
    <w:p w14:paraId="0283C4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）付款方式：银行转账；</w:t>
      </w:r>
    </w:p>
    <w:p w14:paraId="47F6C5D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）根据国家现行税法对乙方征收的与本合同有关的一切税费均由乙方承担。</w:t>
      </w:r>
    </w:p>
    <w:p w14:paraId="54EBB6CF">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五、环卫作业权的交付和回收</w:t>
      </w:r>
    </w:p>
    <w:p w14:paraId="306CF9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甲方应于合同签订后，于</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日向乙方交付环卫作业权，乙方应于合同期满当日无条件向甲方交还环卫作业权。甲乙双方应提前15天进行交接手续和准备，确保准时交接。</w:t>
      </w:r>
    </w:p>
    <w:p w14:paraId="5FD189D9">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六、违约责任</w:t>
      </w:r>
    </w:p>
    <w:p w14:paraId="42156A3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1、合同一方不履行合同义务或违反履行合同义务约定的，应当承担继续履行、采取补救措施或者赔偿损失等违约责任。</w:t>
      </w:r>
    </w:p>
    <w:p w14:paraId="23BCEA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2、在合同生效后，甲方无故拒绝乙方，应向乙方偿付合同总金额的5%，作为违约金，违约金不足以补偿损失的，乙方有权要求甲方补足。</w:t>
      </w:r>
    </w:p>
    <w:p w14:paraId="3E645CAC">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七、不可抗力</w:t>
      </w:r>
    </w:p>
    <w:p w14:paraId="1D74CF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1、因不可抗力(或甲、乙双方不能控制的原因)不能履行合同的，根据不可抗力的影响，部分或者全部免除责任，但合同方迟延履行后发生不可抗力的，不能免除其责任。</w:t>
      </w:r>
    </w:p>
    <w:p w14:paraId="76869A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2、合同方因不可抗力不能履行合同的，应当及时通知对方，以减轻可能给对方造成的损失，并应当在合理期限内提供证明。</w:t>
      </w:r>
    </w:p>
    <w:p w14:paraId="7E55798A">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八、合同生效及其它</w:t>
      </w:r>
    </w:p>
    <w:p w14:paraId="526FE6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合同经双方签字并盖章后即生效。</w:t>
      </w:r>
    </w:p>
    <w:p w14:paraId="6D149AE6">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九、合同的解除和转让</w:t>
      </w:r>
    </w:p>
    <w:p w14:paraId="6875CA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1、甲方和乙方协商一致，可以解除合同。</w:t>
      </w:r>
    </w:p>
    <w:p w14:paraId="2E2B8F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2、有下列情况之一，合同方可以解除合同： </w:t>
      </w:r>
    </w:p>
    <w:p w14:paraId="42146B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①因不可抗力致使不能实现合同目的，未受不可抗力影响的一方有权解除合同；</w:t>
      </w:r>
    </w:p>
    <w:p w14:paraId="0C73C2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②因合同一方违约导致合同不能履行，另一方有权解除合同。</w:t>
      </w:r>
    </w:p>
    <w:p w14:paraId="444456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3.有权解除合同的一方， 应当在违约事实成不可抗力发生之后30天内书面通知对方提出解除合同，合同在书面通知到达对方时解除，</w:t>
      </w:r>
    </w:p>
    <w:p w14:paraId="28C1209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4、合同的部分或全部都不得转包或分包。</w:t>
      </w:r>
    </w:p>
    <w:p w14:paraId="529EB13C">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十、争议解决</w:t>
      </w:r>
    </w:p>
    <w:p w14:paraId="25471C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甲乙双方因履行本合同发生争议，应在政府主持下进行调解，协商未果，任何一方可向甲方所在地人民法院起诉。</w:t>
      </w:r>
    </w:p>
    <w:p w14:paraId="40B986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十一、</w:t>
      </w:r>
      <w:r>
        <w:rPr>
          <w:rFonts w:hint="eastAsia" w:ascii="宋体" w:hAnsi="宋体" w:eastAsia="宋体" w:cs="宋体"/>
          <w:color w:val="auto"/>
          <w:szCs w:val="21"/>
          <w:highlight w:val="none"/>
          <w:lang w:val="en-US" w:eastAsia="zh-CN"/>
        </w:rPr>
        <w:t>本合同一式伍份，甲乙双方各执贰份，招标代理机构执壹份。</w:t>
      </w:r>
    </w:p>
    <w:p w14:paraId="587DD5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十二、</w:t>
      </w:r>
      <w:r>
        <w:rPr>
          <w:rFonts w:hint="eastAsia" w:ascii="宋体" w:hAnsi="宋体" w:eastAsia="宋体" w:cs="宋体"/>
          <w:color w:val="auto"/>
          <w:szCs w:val="21"/>
          <w:highlight w:val="none"/>
          <w:lang w:val="en-US" w:eastAsia="zh-CN"/>
        </w:rPr>
        <w:t>本合同在执行过程中如出现未尽事宜，双方在不违背合同和投标文件的原则下协商解决，协商结果以书面记录在案，并经签名同意，作为本合同的附件，与本合同具有同等效力。</w:t>
      </w:r>
    </w:p>
    <w:p w14:paraId="38DE18C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11787B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12FD5C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1C00802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0997397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57761A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甲方(盖章)：                            乙方(盖章)：</w:t>
      </w:r>
    </w:p>
    <w:p w14:paraId="457D2F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5A40E7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法定代表人或代理人                      法定代表人或代理人</w:t>
      </w:r>
    </w:p>
    <w:p w14:paraId="333B18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（签字或盖章）：                        （签字或盖章）：</w:t>
      </w:r>
    </w:p>
    <w:p w14:paraId="252AB7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76B611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日期：     年    月    日</w:t>
      </w:r>
    </w:p>
    <w:p w14:paraId="5B8B1DC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5F6712C7">
      <w:pPr>
        <w:spacing w:line="360" w:lineRule="auto"/>
        <w:jc w:val="center"/>
        <w:outlineLvl w:val="9"/>
        <w:rPr>
          <w:rFonts w:hint="default" w:ascii="Times New Roman" w:hAnsi="Times New Roman" w:cs="Times New Roman"/>
          <w:b/>
          <w:color w:val="auto"/>
          <w:sz w:val="36"/>
          <w:szCs w:val="36"/>
          <w:highlight w:val="none"/>
        </w:rPr>
      </w:pPr>
    </w:p>
    <w:p w14:paraId="53048B2A">
      <w:pPr>
        <w:spacing w:line="360" w:lineRule="auto"/>
        <w:jc w:val="center"/>
        <w:outlineLvl w:val="9"/>
        <w:rPr>
          <w:rFonts w:hint="default" w:ascii="Times New Roman" w:hAnsi="Times New Roman" w:cs="Times New Roman"/>
          <w:b/>
          <w:color w:val="auto"/>
          <w:sz w:val="36"/>
          <w:szCs w:val="36"/>
          <w:highlight w:val="none"/>
        </w:rPr>
      </w:pPr>
    </w:p>
    <w:p w14:paraId="762610B7">
      <w:pPr>
        <w:spacing w:line="360" w:lineRule="auto"/>
        <w:jc w:val="center"/>
        <w:outlineLvl w:val="9"/>
        <w:rPr>
          <w:rFonts w:hint="default" w:ascii="Times New Roman" w:hAnsi="Times New Roman" w:cs="Times New Roman"/>
          <w:b/>
          <w:color w:val="auto"/>
          <w:sz w:val="36"/>
          <w:szCs w:val="36"/>
          <w:highlight w:val="none"/>
        </w:rPr>
      </w:pPr>
    </w:p>
    <w:p w14:paraId="71C033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lang w:val="en-US" w:eastAsia="zh-CN"/>
        </w:rPr>
      </w:pPr>
    </w:p>
    <w:p w14:paraId="0C48F186">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Cs w:val="21"/>
          <w:highlight w:val="none"/>
          <w:lang w:val="en-US" w:eastAsia="zh-CN"/>
        </w:rPr>
      </w:pPr>
    </w:p>
    <w:p w14:paraId="756759A2">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Cs w:val="21"/>
          <w:highlight w:val="none"/>
          <w:lang w:val="en-US" w:eastAsia="zh-CN"/>
        </w:rPr>
      </w:pPr>
    </w:p>
    <w:p w14:paraId="735F594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Cs w:val="21"/>
          <w:highlight w:val="none"/>
          <w:lang w:val="en-US" w:eastAsia="zh-CN"/>
        </w:rPr>
      </w:pPr>
    </w:p>
    <w:p w14:paraId="60D59B75">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Cs w:val="21"/>
          <w:highlight w:val="none"/>
          <w:lang w:val="en-US" w:eastAsia="zh-CN"/>
        </w:rPr>
      </w:pPr>
    </w:p>
    <w:p w14:paraId="3E21F28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Cs w:val="21"/>
          <w:highlight w:val="none"/>
          <w:lang w:val="en-US" w:eastAsia="zh-CN"/>
        </w:rPr>
      </w:pPr>
    </w:p>
    <w:p w14:paraId="431754EF">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Cs w:val="21"/>
          <w:highlight w:val="none"/>
          <w:lang w:val="en-US" w:eastAsia="zh-CN"/>
        </w:rPr>
      </w:pPr>
    </w:p>
    <w:p w14:paraId="31057A8D">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附件：</w:t>
      </w:r>
    </w:p>
    <w:p w14:paraId="75C18960">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村（社区）环卫作业考核明细表</w:t>
      </w:r>
    </w:p>
    <w:p w14:paraId="28FCC6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总体要求：</w:t>
      </w:r>
    </w:p>
    <w:p w14:paraId="23DEE6B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环卫作业考核实行百分制：环卫作业90分，安全文明生产5分，规范用工5分。同时，根据环卫管理科考核结果、媒体曝光及群众投诉等情况在总分中直接扣减。</w:t>
      </w:r>
    </w:p>
    <w:p w14:paraId="29512DED">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一、环卫作业90分</w:t>
      </w:r>
    </w:p>
    <w:p w14:paraId="090BFD8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有下列情形之一的，每项或每处扣1分。</w:t>
      </w:r>
    </w:p>
    <w:p w14:paraId="645190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（1）主次干道有积尘，侧石边角有淤泥、灰沙、污水（每2平方米范围及有较明显脏、差的为一处）。</w:t>
      </w:r>
    </w:p>
    <w:p w14:paraId="38A99E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（2）人工清扫道路漏扫、垃圾漏收的，人工清扫次数不达到规定次数的。</w:t>
      </w:r>
    </w:p>
    <w:p w14:paraId="7CBFFA5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（3）路面有废弃物（包括瓜皮果壳、纸屑/塑膜、烟蒂、痰迹、混凝土、渣土、沙、石、砖、粪便、呕吐物、动物尸体、垃圾包等，每2平方米范围为一处）。</w:t>
      </w:r>
    </w:p>
    <w:p w14:paraId="020F5BA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（4）雨水积水、污水未及时清扫，每2平方米范围为一处。</w:t>
      </w:r>
    </w:p>
    <w:p w14:paraId="24FAC7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（5）道路清扫作业时乱倒清扫垃圾。</w:t>
      </w:r>
    </w:p>
    <w:p w14:paraId="1D1ED1F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（6）道路或公共场所有焚烧垃圾或焚烧痕迹。</w:t>
      </w:r>
    </w:p>
    <w:p w14:paraId="385E2F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（7）垃圾桶设施破损、遗失(损坏2日内须上报，未上报扣分)。</w:t>
      </w:r>
    </w:p>
    <w:p w14:paraId="39CB6A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（8）垃圾桶门（盖）未关（损坏1日内须上报，未上报扣分）。</w:t>
      </w:r>
    </w:p>
    <w:p w14:paraId="76E736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（9）垃圾桶箱内垃圾满溢未及时清理（超出沿口基准线）。</w:t>
      </w:r>
    </w:p>
    <w:p w14:paraId="2844388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（10）未按照规定要求清洗、垃圾桶，垃圾桶箱体不整洁。</w:t>
      </w:r>
    </w:p>
    <w:p w14:paraId="55DD22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（11）垃圾桶周边脏乱（周边2米内）。</w:t>
      </w:r>
    </w:p>
    <w:p w14:paraId="478C50E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（12）垃圾桶有乱涂写、乱张贴的。</w:t>
      </w:r>
    </w:p>
    <w:p w14:paraId="3B5C11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（13）应机械化收集而未机械化收运或达不到规定次数的。</w:t>
      </w:r>
    </w:p>
    <w:p w14:paraId="7CD93A3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（14）机械化收集时对跑冒滴漏的垃圾不及时清理干净的。</w:t>
      </w:r>
    </w:p>
    <w:p w14:paraId="1FF1C6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（15）垃圾收集车辆在收集、运输途中，未密闭运输的，出现沿途抛洒滴漏和车轮带泥行驶现象的</w:t>
      </w:r>
    </w:p>
    <w:p w14:paraId="3B0905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（16）垃圾收集车辆车容车貌差的。</w:t>
      </w:r>
    </w:p>
    <w:p w14:paraId="6D1EF1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（17）发现乱倒垃圾或者接到举报查实的。</w:t>
      </w:r>
    </w:p>
    <w:p w14:paraId="47AF21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（18）收集垃圾后随意焚烧垃圾的。</w:t>
      </w:r>
    </w:p>
    <w:p w14:paraId="25EB5D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（19）运送垃圾进中转站不服从中转站值班人员管理的。</w:t>
      </w:r>
    </w:p>
    <w:p w14:paraId="5C96279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（20）有垃圾桶满溢未及时清理（超出沿口基准线）的。</w:t>
      </w:r>
    </w:p>
    <w:p w14:paraId="6675B1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（21）大件垃圾、建筑垃圾和绿化垃圾未及时清运的。</w:t>
      </w:r>
    </w:p>
    <w:p w14:paraId="09D82D7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（22）生活垃圾、大件垃圾、绿化垃圾和建筑垃圾发现混装混运情况的</w:t>
      </w:r>
    </w:p>
    <w:p w14:paraId="5F4D35E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（23）建筑垃圾清运过程中未办理相关许可手续的，未按照规定的运输路线、时间运行的。</w:t>
      </w:r>
    </w:p>
    <w:p w14:paraId="34103C7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p>
    <w:p w14:paraId="28FA2E17">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二、安全文明生产5分：</w:t>
      </w:r>
    </w:p>
    <w:p w14:paraId="37A72D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有下列情形之一的，每项或每人扣1分。</w:t>
      </w:r>
    </w:p>
    <w:p w14:paraId="7E76036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（1）未穿戴作业单位统规定的反光安全标志服的；</w:t>
      </w:r>
    </w:p>
    <w:p w14:paraId="2775843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（2）穿拖鞋上班的；</w:t>
      </w:r>
    </w:p>
    <w:p w14:paraId="4271F9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（3）作业人员当班闲坐、聊天的；</w:t>
      </w:r>
    </w:p>
    <w:p w14:paraId="013E2A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（4）作业人员当班检拾废品、围观突发事件或就地闲逛购物的；</w:t>
      </w:r>
    </w:p>
    <w:p w14:paraId="204E73E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（5）不文明作业，造成扬尘的；</w:t>
      </w:r>
    </w:p>
    <w:p w14:paraId="5F892FC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（6）作业车辆未按规定位置停放的；</w:t>
      </w:r>
    </w:p>
    <w:p w14:paraId="19446F0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（7）垃圾分类车辆不符合垃圾分类要求的；</w:t>
      </w:r>
    </w:p>
    <w:p w14:paraId="6F1A8563">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三、规范用工5分：</w:t>
      </w:r>
    </w:p>
    <w:p w14:paraId="5A70428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有下列情形之一的， 每项或每人扣1分。</w:t>
      </w:r>
    </w:p>
    <w:p w14:paraId="31FDEC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（1）抽查人员工资发放记录，确有用工不满足本地区最低工资标准的；</w:t>
      </w:r>
    </w:p>
    <w:p w14:paraId="64C526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（2）接到有关签订劳动合同投诉属实的；</w:t>
      </w:r>
    </w:p>
    <w:p w14:paraId="6F01FD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（3）接到有关补贴不及时发放的投诉属实的；</w:t>
      </w:r>
    </w:p>
    <w:p w14:paraId="753C83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（4）接到有关保险按时缴纳的投诉属实的；</w:t>
      </w:r>
    </w:p>
    <w:p w14:paraId="0E184D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（5）出现5人以上劳资纠纷的；</w:t>
      </w:r>
    </w:p>
    <w:p w14:paraId="28A4CC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（6）招录政府公务员在职在岗人员，经查属实的；</w:t>
      </w:r>
    </w:p>
    <w:p w14:paraId="435108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（7）建立基础管理台账，包括《人员作业情况登记本》、《日常检查情况登记本》、《信访处理登记本》，每缺1本扣1分，登记不及时的每本每次扣1分；</w:t>
      </w:r>
    </w:p>
    <w:p w14:paraId="1276945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（8）建立相关管理制度，包括行政管理制度、考勤制度、岗位责任制度、安全生产制度、考核制度，每缺1项制度扣1分。</w:t>
      </w:r>
    </w:p>
    <w:p w14:paraId="69FBD754">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四、市级以上检查考核及媒体曝光、群众投诉等情况</w:t>
      </w:r>
    </w:p>
    <w:p w14:paraId="3B0785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（1）在市以上督查、市数字化考评、市城市长效综合管理考核等考核中扣分的，作三倍扣分；</w:t>
      </w:r>
    </w:p>
    <w:p w14:paraId="6429B0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（2）媒体曝光属实的(以媒体最先曝光时间为扣分记录时间)，每项扣3分，群众投诉及12345平台举报属实的，每项扣2分；</w:t>
      </w:r>
    </w:p>
    <w:p w14:paraId="4525392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（3）根据城市管理监督指挥中心派发的案件(包括局督查科考核下发的整改通知或口头通知)，需在规定时间内处置到位并及时回复环卫科，不符的每次扣1分；</w:t>
      </w:r>
    </w:p>
    <w:p w14:paraId="51AF07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（4）考评中发现及上级反馈问题通知整改的，在规定的时间内仍未整改的，以及未在一个工作日内反馈整改情况的(反馈情况以书面或电子文档为准)，按标准双倍扣分；</w:t>
      </w:r>
    </w:p>
    <w:p w14:paraId="5030F7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（5）中标人未按时保质保量完成采购人交给的指令性任务，每次扣2分。</w:t>
      </w:r>
    </w:p>
    <w:p w14:paraId="1B41C952">
      <w:pPr>
        <w:keepNext w:val="0"/>
        <w:keepLines w:val="0"/>
        <w:pageBreakBefore w:val="0"/>
        <w:widowControl w:val="0"/>
        <w:kinsoku/>
        <w:wordWrap/>
        <w:overflowPunct/>
        <w:topLinePunct w:val="0"/>
        <w:autoSpaceDE/>
        <w:autoSpaceDN/>
        <w:bidi w:val="0"/>
        <w:adjustRightInd/>
        <w:snapToGrid/>
        <w:spacing w:line="360" w:lineRule="auto"/>
        <w:ind w:firstLine="480" w:firstLineChars="0"/>
        <w:textAlignment w:val="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五、考核实施办法</w:t>
      </w:r>
    </w:p>
    <w:p w14:paraId="76DD7B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（1）根据本考评细则进行季度考核，采购人采取样本抽查和现场随机检查的方式进行考核，在上级考核或本级考核中发现问题及时进行扣分。</w:t>
      </w:r>
    </w:p>
    <w:p w14:paraId="31E01C9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（2）采购人取证资料必须做到时间与地点清楚、背景清晰，便于中标人查证核对认可。当日的取证资料只保存七工作日，期内可供中标人查看或复制，过期视为默认。</w:t>
      </w:r>
    </w:p>
    <w:p w14:paraId="33397B3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（3）中标人每被扣1分扣款</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00元。根据每月环卫作业质量通报在下拨清运费中扣除。</w:t>
      </w:r>
    </w:p>
    <w:p w14:paraId="42635E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（4）中标人在承包期内连续2次或累计3次考核结果在</w:t>
      </w:r>
      <w:r>
        <w:rPr>
          <w:rFonts w:hint="eastAsia" w:ascii="宋体" w:hAnsi="宋体" w:cs="宋体"/>
          <w:color w:val="auto"/>
          <w:szCs w:val="21"/>
          <w:highlight w:val="none"/>
          <w:lang w:val="en-US" w:eastAsia="zh-CN"/>
        </w:rPr>
        <w:t>60分</w:t>
      </w:r>
      <w:r>
        <w:rPr>
          <w:rFonts w:hint="eastAsia" w:ascii="宋体" w:hAnsi="宋体" w:eastAsia="宋体" w:cs="宋体"/>
          <w:color w:val="auto"/>
          <w:szCs w:val="21"/>
          <w:highlight w:val="none"/>
          <w:lang w:val="en-US" w:eastAsia="zh-CN"/>
        </w:rPr>
        <w:t>(含</w:t>
      </w:r>
      <w:r>
        <w:rPr>
          <w:rFonts w:hint="eastAsia" w:ascii="宋体" w:hAnsi="宋体" w:cs="宋体"/>
          <w:color w:val="auto"/>
          <w:szCs w:val="21"/>
          <w:highlight w:val="none"/>
          <w:lang w:val="en-US" w:eastAsia="zh-CN"/>
        </w:rPr>
        <w:t>60分</w:t>
      </w:r>
      <w:r>
        <w:rPr>
          <w:rFonts w:hint="eastAsia" w:ascii="宋体" w:hAnsi="宋体" w:eastAsia="宋体" w:cs="宋体"/>
          <w:color w:val="auto"/>
          <w:szCs w:val="21"/>
          <w:highlight w:val="none"/>
          <w:lang w:val="en-US" w:eastAsia="zh-CN"/>
        </w:rPr>
        <w:t>)以下的，采购人在满足前述条件的次月底前与中标人解除合同。被解除合同的中标人在被解除合同时日起两年内不得参与本街道环卫作业投标。</w:t>
      </w:r>
    </w:p>
    <w:p w14:paraId="68CCDF8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中标人在各类应急响应工作，街道、村委重大活动期间因工作不到位造成重大影响的，采购人有权在合同期内提前15天通知中标人解除合同。被解除合同的中标人在被解除合同时日起三年内不得参与本街道环卫作业投标。</w:t>
      </w:r>
    </w:p>
    <w:p w14:paraId="2CA56C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（6）中标人不能按时支付本合同规定的各项人员支出的，采购人有权在合同期内提前15天通知中标人解除合同。被解除合同的中标人在被解除合同时日起三年内不得参与本街道环卫作业投标。</w:t>
      </w:r>
    </w:p>
    <w:p w14:paraId="3E11AED1">
      <w:pPr>
        <w:rPr>
          <w:rFonts w:hint="eastAsia" w:ascii="宋体" w:hAnsi="宋体" w:eastAsia="宋体" w:cs="宋体"/>
          <w:color w:val="auto"/>
          <w:highlight w:val="none"/>
        </w:rPr>
      </w:pPr>
    </w:p>
    <w:p w14:paraId="0590DFCE">
      <w:pPr>
        <w:tabs>
          <w:tab w:val="left" w:pos="900"/>
          <w:tab w:val="left" w:pos="1080"/>
        </w:tabs>
        <w:spacing w:line="360" w:lineRule="auto"/>
        <w:rPr>
          <w:rFonts w:hint="eastAsia" w:ascii="宋体" w:hAnsi="宋体" w:eastAsia="宋体" w:cs="宋体"/>
          <w:color w:val="auto"/>
          <w:sz w:val="18"/>
          <w:szCs w:val="18"/>
          <w:highlight w:val="none"/>
        </w:rPr>
      </w:pPr>
    </w:p>
    <w:p w14:paraId="26B18877">
      <w:pPr>
        <w:jc w:val="center"/>
        <w:rPr>
          <w:rFonts w:hint="eastAsia" w:ascii="宋体" w:hAnsi="宋体" w:eastAsia="宋体" w:cs="宋体"/>
          <w:b/>
          <w:bCs/>
          <w:color w:val="auto"/>
          <w:sz w:val="52"/>
          <w:szCs w:val="52"/>
          <w:highlight w:val="none"/>
        </w:rPr>
      </w:pPr>
    </w:p>
    <w:p w14:paraId="59961BAA">
      <w:pPr>
        <w:jc w:val="center"/>
        <w:rPr>
          <w:rFonts w:hint="eastAsia" w:ascii="宋体" w:hAnsi="宋体" w:eastAsia="宋体" w:cs="宋体"/>
          <w:b/>
          <w:bCs/>
          <w:color w:val="auto"/>
          <w:sz w:val="52"/>
          <w:szCs w:val="52"/>
          <w:highlight w:val="none"/>
        </w:rPr>
      </w:pPr>
    </w:p>
    <w:p w14:paraId="3D1C7277">
      <w:pPr>
        <w:jc w:val="center"/>
        <w:rPr>
          <w:rFonts w:hint="eastAsia" w:ascii="宋体" w:hAnsi="宋体" w:eastAsia="宋体" w:cs="宋体"/>
          <w:b/>
          <w:bCs/>
          <w:color w:val="auto"/>
          <w:sz w:val="52"/>
          <w:szCs w:val="52"/>
          <w:highlight w:val="none"/>
        </w:rPr>
      </w:pPr>
    </w:p>
    <w:p w14:paraId="367E766B">
      <w:pPr>
        <w:rPr>
          <w:rFonts w:hint="eastAsia" w:ascii="宋体" w:hAnsi="宋体" w:eastAsia="宋体" w:cs="宋体"/>
          <w:color w:val="auto"/>
          <w:highlight w:val="none"/>
        </w:rPr>
      </w:pPr>
    </w:p>
    <w:p w14:paraId="301B9B3B">
      <w:pPr>
        <w:tabs>
          <w:tab w:val="left" w:pos="900"/>
          <w:tab w:val="left" w:pos="1080"/>
        </w:tabs>
        <w:spacing w:line="360" w:lineRule="auto"/>
        <w:rPr>
          <w:rFonts w:hint="eastAsia" w:ascii="宋体" w:hAnsi="宋体" w:eastAsia="宋体" w:cs="宋体"/>
          <w:color w:val="auto"/>
          <w:sz w:val="18"/>
          <w:szCs w:val="18"/>
          <w:highlight w:val="none"/>
        </w:rPr>
      </w:pPr>
    </w:p>
    <w:p w14:paraId="23DF0E1C">
      <w:pPr>
        <w:tabs>
          <w:tab w:val="left" w:pos="900"/>
          <w:tab w:val="left" w:pos="1080"/>
        </w:tabs>
        <w:spacing w:line="360" w:lineRule="auto"/>
        <w:rPr>
          <w:rFonts w:hint="eastAsia" w:ascii="宋体" w:hAnsi="宋体" w:eastAsia="宋体" w:cs="宋体"/>
          <w:color w:val="auto"/>
          <w:sz w:val="18"/>
          <w:szCs w:val="18"/>
          <w:highlight w:val="none"/>
        </w:rPr>
      </w:pPr>
    </w:p>
    <w:p w14:paraId="04DF4F25">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706" w:name="_Toc99301426"/>
      <w:r>
        <w:rPr>
          <w:rFonts w:hint="eastAsia" w:ascii="宋体" w:hAnsi="宋体" w:eastAsia="宋体" w:cs="宋体"/>
          <w:b/>
          <w:color w:val="auto"/>
          <w:sz w:val="36"/>
          <w:szCs w:val="36"/>
          <w:highlight w:val="none"/>
        </w:rPr>
        <w:t>第七章   投标文件格式</w:t>
      </w:r>
      <w:bookmarkEnd w:id="706"/>
    </w:p>
    <w:p w14:paraId="56A8B407">
      <w:pPr>
        <w:tabs>
          <w:tab w:val="left" w:pos="900"/>
          <w:tab w:val="left" w:pos="1980"/>
        </w:tabs>
        <w:spacing w:line="360" w:lineRule="auto"/>
        <w:ind w:left="142"/>
        <w:rPr>
          <w:rFonts w:hint="eastAsia" w:ascii="宋体" w:hAnsi="宋体" w:eastAsia="宋体" w:cs="宋体"/>
          <w:b/>
          <w:color w:val="auto"/>
          <w:sz w:val="24"/>
          <w:highlight w:val="none"/>
        </w:rPr>
      </w:pPr>
    </w:p>
    <w:p w14:paraId="1F3F4508">
      <w:pPr>
        <w:tabs>
          <w:tab w:val="left" w:pos="900"/>
          <w:tab w:val="left" w:pos="1980"/>
        </w:tabs>
        <w:spacing w:line="360" w:lineRule="auto"/>
        <w:ind w:left="14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投标人编制文件须知</w:t>
      </w:r>
    </w:p>
    <w:p w14:paraId="5B156E9F">
      <w:pPr>
        <w:pStyle w:val="36"/>
        <w:rPr>
          <w:rFonts w:hint="eastAsia" w:ascii="宋体" w:hAnsi="宋体" w:eastAsia="宋体" w:cs="宋体"/>
          <w:color w:val="auto"/>
          <w:highlight w:val="none"/>
        </w:rPr>
      </w:pPr>
    </w:p>
    <w:p w14:paraId="6E701317">
      <w:pPr>
        <w:tabs>
          <w:tab w:val="left" w:pos="900"/>
          <w:tab w:val="left" w:pos="1980"/>
        </w:tabs>
        <w:spacing w:line="480" w:lineRule="auto"/>
        <w:ind w:left="14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7F5A1822">
      <w:pPr>
        <w:tabs>
          <w:tab w:val="left" w:pos="900"/>
          <w:tab w:val="left" w:pos="1980"/>
        </w:tabs>
        <w:spacing w:line="480" w:lineRule="auto"/>
        <w:ind w:left="14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。未标记“实质性格式”的文件和招标文件未提供格式的内容，可由投标人自行编写。</w:t>
      </w:r>
    </w:p>
    <w:p w14:paraId="42F556BE">
      <w:pPr>
        <w:tabs>
          <w:tab w:val="left" w:pos="900"/>
          <w:tab w:val="left" w:pos="1980"/>
        </w:tabs>
        <w:spacing w:line="480" w:lineRule="auto"/>
        <w:ind w:left="14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3、全部声明和问题的回答及所附材料必须是真实的、准确的和完整的。</w:t>
      </w:r>
    </w:p>
    <w:p w14:paraId="1BB6C513">
      <w:pPr>
        <w:tabs>
          <w:tab w:val="left" w:pos="900"/>
          <w:tab w:val="left" w:pos="1980"/>
        </w:tabs>
        <w:spacing w:line="480" w:lineRule="auto"/>
        <w:ind w:left="14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4、实行电子化不见面交易方式的，加盖公章、签名等均通过投标文件编制工具加盖电子公章、</w:t>
      </w:r>
      <w:r>
        <w:rPr>
          <w:rFonts w:hint="eastAsia" w:ascii="宋体" w:hAnsi="宋体" w:eastAsia="宋体" w:cs="宋体"/>
          <w:color w:val="auto"/>
          <w:sz w:val="24"/>
          <w:szCs w:val="20"/>
          <w:highlight w:val="none"/>
        </w:rPr>
        <w:t>签字、签章或印鉴</w:t>
      </w:r>
      <w:r>
        <w:rPr>
          <w:rFonts w:hint="eastAsia" w:ascii="宋体" w:hAnsi="宋体" w:eastAsia="宋体" w:cs="宋体"/>
          <w:color w:val="auto"/>
          <w:sz w:val="24"/>
          <w:highlight w:val="none"/>
        </w:rPr>
        <w:t>。</w:t>
      </w:r>
    </w:p>
    <w:p w14:paraId="50452A6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7B86C7E9">
      <w:pPr>
        <w:keepNext/>
        <w:keepLines/>
        <w:spacing w:before="120" w:line="300" w:lineRule="auto"/>
        <w:jc w:val="left"/>
        <w:outlineLvl w:val="1"/>
        <w:rPr>
          <w:rFonts w:hint="eastAsia" w:ascii="宋体" w:hAnsi="宋体" w:eastAsia="宋体" w:cs="宋体"/>
          <w:b/>
          <w:color w:val="auto"/>
          <w:sz w:val="30"/>
          <w:szCs w:val="20"/>
          <w:highlight w:val="none"/>
        </w:rPr>
      </w:pPr>
      <w:r>
        <w:rPr>
          <w:rFonts w:hint="eastAsia" w:ascii="宋体" w:hAnsi="宋体" w:eastAsia="宋体" w:cs="宋体"/>
          <w:b/>
          <w:color w:val="auto"/>
          <w:spacing w:val="20"/>
          <w:sz w:val="24"/>
          <w:highlight w:val="none"/>
        </w:rPr>
        <w:t>一、资格证明文件格式</w:t>
      </w:r>
    </w:p>
    <w:p w14:paraId="550DA1EB">
      <w:pPr>
        <w:rPr>
          <w:rFonts w:hint="eastAsia" w:ascii="宋体" w:hAnsi="宋体" w:eastAsia="宋体" w:cs="宋体"/>
          <w:b/>
          <w:color w:val="auto"/>
          <w:spacing w:val="20"/>
          <w:szCs w:val="21"/>
          <w:highlight w:val="none"/>
        </w:rPr>
      </w:pPr>
    </w:p>
    <w:p w14:paraId="330A45B6">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投标文件</w:t>
      </w:r>
      <w:r>
        <w:rPr>
          <w:rFonts w:hint="eastAsia" w:ascii="宋体" w:hAnsi="宋体" w:eastAsia="宋体" w:cs="宋体"/>
          <w:b/>
          <w:color w:val="auto"/>
          <w:sz w:val="24"/>
          <w:highlight w:val="none"/>
        </w:rPr>
        <w:t>封面（非实质性格式）</w:t>
      </w:r>
    </w:p>
    <w:p w14:paraId="5C54A905">
      <w:pPr>
        <w:jc w:val="center"/>
        <w:rPr>
          <w:rFonts w:hint="eastAsia" w:ascii="宋体" w:hAnsi="宋体" w:eastAsia="宋体" w:cs="宋体"/>
          <w:color w:val="auto"/>
          <w:szCs w:val="21"/>
          <w:highlight w:val="none"/>
        </w:rPr>
      </w:pPr>
    </w:p>
    <w:p w14:paraId="09D5541B">
      <w:pPr>
        <w:jc w:val="center"/>
        <w:rPr>
          <w:rFonts w:hint="eastAsia" w:ascii="宋体" w:hAnsi="宋体" w:eastAsia="宋体" w:cs="宋体"/>
          <w:b/>
          <w:color w:val="auto"/>
          <w:spacing w:val="60"/>
          <w:sz w:val="84"/>
          <w:szCs w:val="84"/>
          <w:highlight w:val="none"/>
        </w:rPr>
      </w:pPr>
    </w:p>
    <w:p w14:paraId="1A6EDD3E">
      <w:pPr>
        <w:jc w:val="center"/>
        <w:rPr>
          <w:rFonts w:hint="eastAsia" w:ascii="宋体" w:hAnsi="宋体" w:eastAsia="宋体" w:cs="宋体"/>
          <w:b/>
          <w:color w:val="auto"/>
          <w:spacing w:val="60"/>
          <w:sz w:val="84"/>
          <w:szCs w:val="84"/>
          <w:highlight w:val="none"/>
        </w:rPr>
      </w:pPr>
    </w:p>
    <w:p w14:paraId="58D864C6">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 件</w:t>
      </w:r>
    </w:p>
    <w:p w14:paraId="15FE2648">
      <w:pPr>
        <w:ind w:firstLine="963"/>
        <w:rPr>
          <w:rFonts w:hint="eastAsia" w:ascii="宋体" w:hAnsi="宋体" w:eastAsia="宋体" w:cs="宋体"/>
          <w:b/>
          <w:color w:val="auto"/>
          <w:spacing w:val="60"/>
          <w:sz w:val="52"/>
          <w:szCs w:val="52"/>
          <w:highlight w:val="none"/>
        </w:rPr>
      </w:pPr>
    </w:p>
    <w:p w14:paraId="726B0EAE">
      <w:pPr>
        <w:ind w:firstLine="963"/>
        <w:rPr>
          <w:rFonts w:hint="eastAsia" w:ascii="宋体" w:hAnsi="宋体" w:eastAsia="宋体" w:cs="宋体"/>
          <w:b/>
          <w:color w:val="auto"/>
          <w:spacing w:val="60"/>
          <w:sz w:val="52"/>
          <w:szCs w:val="52"/>
          <w:highlight w:val="none"/>
        </w:rPr>
      </w:pPr>
    </w:p>
    <w:p w14:paraId="45E6E322">
      <w:pPr>
        <w:ind w:firstLine="542"/>
        <w:rPr>
          <w:rFonts w:hint="eastAsia" w:ascii="宋体" w:hAnsi="宋体" w:eastAsia="宋体" w:cs="宋体"/>
          <w:b/>
          <w:color w:val="auto"/>
          <w:spacing w:val="20"/>
          <w:sz w:val="32"/>
          <w:szCs w:val="32"/>
          <w:highlight w:val="none"/>
        </w:rPr>
      </w:pPr>
    </w:p>
    <w:p w14:paraId="2B68015B">
      <w:pPr>
        <w:ind w:firstLine="542"/>
        <w:rPr>
          <w:rFonts w:hint="eastAsia" w:ascii="宋体" w:hAnsi="宋体" w:eastAsia="宋体" w:cs="宋体"/>
          <w:b/>
          <w:color w:val="auto"/>
          <w:spacing w:val="20"/>
          <w:sz w:val="32"/>
          <w:szCs w:val="32"/>
          <w:highlight w:val="none"/>
        </w:rPr>
      </w:pPr>
    </w:p>
    <w:p w14:paraId="3BBE6384">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27826AC1">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424A1823">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p>
    <w:p w14:paraId="0326E41E">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6BE094AF">
      <w:pPr>
        <w:jc w:val="center"/>
        <w:rPr>
          <w:rFonts w:hint="eastAsia" w:ascii="宋体" w:hAnsi="宋体" w:eastAsia="宋体" w:cs="宋体"/>
          <w:b/>
          <w:color w:val="auto"/>
          <w:sz w:val="32"/>
          <w:szCs w:val="32"/>
          <w:highlight w:val="none"/>
        </w:rPr>
      </w:pPr>
    </w:p>
    <w:p w14:paraId="22932BCD">
      <w:pPr>
        <w:jc w:val="center"/>
        <w:rPr>
          <w:rFonts w:hint="eastAsia" w:ascii="宋体" w:hAnsi="宋体" w:eastAsia="宋体" w:cs="宋体"/>
          <w:b/>
          <w:color w:val="auto"/>
          <w:sz w:val="32"/>
          <w:szCs w:val="32"/>
          <w:highlight w:val="none"/>
        </w:rPr>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一、资格证明文件</w:t>
      </w:r>
    </w:p>
    <w:p w14:paraId="12D12C2F">
      <w:pPr>
        <w:rPr>
          <w:rFonts w:hint="eastAsia" w:ascii="宋体" w:hAnsi="宋体" w:eastAsia="宋体" w:cs="宋体"/>
          <w:b/>
          <w:color w:val="auto"/>
          <w:highlight w:val="none"/>
        </w:rPr>
      </w:pPr>
    </w:p>
    <w:p w14:paraId="4B13F695">
      <w:pPr>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满足《中华人民共和国政府采购法》第二十二条规定及法律法规的其他规定</w:t>
      </w:r>
    </w:p>
    <w:p w14:paraId="028C8A57">
      <w:pPr>
        <w:pStyle w:val="188"/>
        <w:rPr>
          <w:rFonts w:hint="eastAsia" w:ascii="宋体" w:hAnsi="宋体" w:eastAsia="宋体" w:cs="宋体"/>
          <w:b w:val="0"/>
          <w:bCs/>
          <w:color w:val="auto"/>
          <w:highlight w:val="none"/>
          <w:u w:val="none"/>
        </w:rPr>
      </w:pPr>
      <w:r>
        <w:rPr>
          <w:rFonts w:hint="eastAsia" w:ascii="宋体" w:hAnsi="宋体" w:eastAsia="宋体" w:cs="宋体"/>
          <w:b w:val="0"/>
          <w:color w:val="auto"/>
          <w:highlight w:val="none"/>
          <w:u w:val="none"/>
        </w:rPr>
        <w:t>1-1 投标人资格声明函（实质性格式）</w:t>
      </w:r>
    </w:p>
    <w:p w14:paraId="5B9D253B">
      <w:pPr>
        <w:widowControl/>
        <w:spacing w:before="120" w:line="360" w:lineRule="auto"/>
        <w:jc w:val="center"/>
        <w:rPr>
          <w:rFonts w:hint="eastAsia" w:ascii="宋体" w:hAnsi="宋体" w:eastAsia="宋体" w:cs="宋体"/>
          <w:b/>
          <w:color w:val="auto"/>
          <w:sz w:val="22"/>
          <w:szCs w:val="22"/>
          <w:highlight w:val="none"/>
        </w:rPr>
      </w:pPr>
    </w:p>
    <w:p w14:paraId="78F5598E">
      <w:pPr>
        <w:widowControl/>
        <w:spacing w:before="120" w:line="360" w:lineRule="auto"/>
        <w:jc w:val="center"/>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投标人资格声明函</w:t>
      </w:r>
    </w:p>
    <w:p w14:paraId="3FA8D1E7">
      <w:pPr>
        <w:pStyle w:val="187"/>
        <w:spacing w:line="460" w:lineRule="exact"/>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（采购人名称）</w:t>
      </w:r>
    </w:p>
    <w:p w14:paraId="62EE387B">
      <w:pPr>
        <w:pStyle w:val="187"/>
        <w:spacing w:line="460" w:lineRule="exact"/>
        <w:ind w:firstLine="480"/>
        <w:rPr>
          <w:rFonts w:hint="eastAsia" w:ascii="宋体" w:hAnsi="宋体" w:eastAsia="宋体" w:cs="宋体"/>
          <w:color w:val="auto"/>
          <w:highlight w:val="none"/>
        </w:rPr>
      </w:pPr>
    </w:p>
    <w:p w14:paraId="2757898A">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按照《中华人民共和国政府采购法》第二十二条和招标文件的规定，我单位郑重声明如下：</w:t>
      </w:r>
    </w:p>
    <w:p w14:paraId="70CEAFAF">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，具有独立承担民事责任的能力</w:t>
      </w:r>
      <w:r>
        <w:rPr>
          <w:rFonts w:hint="eastAsia" w:ascii="宋体" w:hAnsi="宋体" w:eastAsia="宋体" w:cs="宋体"/>
          <w:b/>
          <w:color w:val="auto"/>
          <w:highlight w:val="none"/>
        </w:rPr>
        <w:t>（如属于分公司经总公司授权参与项目，由总公司承担民事责任的，需提供总公司项目授权书）</w:t>
      </w:r>
      <w:r>
        <w:rPr>
          <w:rFonts w:hint="eastAsia" w:ascii="宋体" w:hAnsi="宋体" w:eastAsia="宋体" w:cs="宋体"/>
          <w:color w:val="auto"/>
          <w:highlight w:val="none"/>
        </w:rPr>
        <w:t>。</w:t>
      </w:r>
    </w:p>
    <w:p w14:paraId="5CA84052">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二、我单位具有良好的商业信誉（指投标人经营状况良好，无本资格声明第</w:t>
      </w:r>
      <w:r>
        <w:rPr>
          <w:rFonts w:hint="eastAsia" w:ascii="宋体" w:hAnsi="宋体" w:eastAsia="宋体" w:cs="宋体"/>
          <w:color w:val="auto"/>
          <w:highlight w:val="none"/>
          <w:lang w:val="en-US" w:eastAsia="zh-CN"/>
        </w:rPr>
        <w:t>九</w:t>
      </w:r>
      <w:r>
        <w:rPr>
          <w:rFonts w:hint="eastAsia" w:ascii="宋体" w:hAnsi="宋体" w:eastAsia="宋体" w:cs="宋体"/>
          <w:color w:val="auto"/>
          <w:highlight w:val="none"/>
        </w:rPr>
        <w:t>条情形）和健全的财务会计制度。</w:t>
      </w:r>
    </w:p>
    <w:p w14:paraId="5D280D5C">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三、我单位依法进行纳税和社会保险申报并实际履行了义务。</w:t>
      </w:r>
    </w:p>
    <w:p w14:paraId="074499DE">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四、我单位具有履行本项目采购合同所必需的设备和专业技术能力，并具有履行合同的良好记录。为履行本项采购合同我单位具备如下主要设备和主要专业技术能力:</w:t>
      </w:r>
    </w:p>
    <w:p w14:paraId="1C0C9615">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p>
    <w:p w14:paraId="360DD747">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p>
    <w:p w14:paraId="21DB1A2D">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70B71FA">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六、我单位具备法律、行政法规规定的其他条件。</w:t>
      </w:r>
    </w:p>
    <w:p w14:paraId="6C19F153">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七、与我单位存在“单位负责人为同一人或者存在直接控股、管理关系”的其他单位信息如下（如无此情形的，填写“无”）：</w:t>
      </w:r>
    </w:p>
    <w:p w14:paraId="153DC847">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1AE0A571">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7169D092">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2F1E37E3">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八、我单位不属于为本项目提供整体设计、规范编制或者项目管理、监理、检测等服务的投标人。</w:t>
      </w:r>
    </w:p>
    <w:p w14:paraId="2DEC5D09">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九、我单位无以下不良信用记录情形：</w:t>
      </w:r>
    </w:p>
    <w:p w14:paraId="0F61CFF1">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1、在“信用中国”网站被列入失信被执行人和重大税收违法案件当事人名单；</w:t>
      </w:r>
    </w:p>
    <w:p w14:paraId="730192B6">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2、在“中国政府采购网”网站被列入政府采购严重违法失信行为记录名单；</w:t>
      </w:r>
    </w:p>
    <w:p w14:paraId="054A2EE9">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3、不符合《政府采购法》第二十二条规定的条件。</w:t>
      </w:r>
    </w:p>
    <w:p w14:paraId="30D1AD7B">
      <w:pPr>
        <w:pStyle w:val="187"/>
        <w:spacing w:line="460" w:lineRule="exact"/>
        <w:ind w:firstLine="480"/>
        <w:rPr>
          <w:rFonts w:hint="eastAsia" w:ascii="宋体" w:hAnsi="宋体" w:eastAsia="宋体" w:cs="宋体"/>
          <w:color w:val="auto"/>
          <w:highlight w:val="none"/>
        </w:rPr>
      </w:pPr>
    </w:p>
    <w:p w14:paraId="2114655D">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我单位保证上述声明的事项都是真实的，如有虚假，我单位愿意承担相应的法律责任，并承担因此所造成的一切损失。</w:t>
      </w:r>
    </w:p>
    <w:p w14:paraId="54290CBD">
      <w:pPr>
        <w:pStyle w:val="187"/>
        <w:spacing w:line="460" w:lineRule="exact"/>
        <w:ind w:firstLine="480"/>
        <w:rPr>
          <w:rFonts w:hint="eastAsia" w:ascii="宋体" w:hAnsi="宋体" w:eastAsia="宋体" w:cs="宋体"/>
          <w:color w:val="auto"/>
          <w:highlight w:val="none"/>
        </w:rPr>
      </w:pPr>
    </w:p>
    <w:p w14:paraId="33AADB25">
      <w:pPr>
        <w:pStyle w:val="187"/>
        <w:spacing w:line="460" w:lineRule="exact"/>
        <w:ind w:firstLine="480"/>
        <w:rPr>
          <w:rFonts w:hint="eastAsia" w:ascii="宋体" w:hAnsi="宋体" w:eastAsia="宋体" w:cs="宋体"/>
          <w:color w:val="auto"/>
          <w:highlight w:val="none"/>
        </w:rPr>
      </w:pPr>
    </w:p>
    <w:p w14:paraId="28A2DAE2">
      <w:pPr>
        <w:pStyle w:val="187"/>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投标人：（加盖公章）</w:t>
      </w:r>
    </w:p>
    <w:p w14:paraId="0BBE2224">
      <w:pPr>
        <w:pStyle w:val="187"/>
        <w:spacing w:line="460" w:lineRule="exact"/>
        <w:ind w:firstLine="480"/>
        <w:jc w:val="right"/>
        <w:rPr>
          <w:rFonts w:hint="eastAsia" w:ascii="宋体" w:hAnsi="宋体" w:eastAsia="宋体" w:cs="宋体"/>
          <w:color w:val="auto"/>
          <w:highlight w:val="none"/>
        </w:rPr>
      </w:pPr>
      <w:r>
        <w:rPr>
          <w:rFonts w:hint="eastAsia" w:ascii="宋体" w:hAnsi="宋体" w:eastAsia="宋体" w:cs="宋体"/>
          <w:color w:val="auto"/>
          <w:highlight w:val="none"/>
        </w:rPr>
        <w:t>                         法定代表人（或单位负责人）签字或盖章日期： </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年  月  日</w:t>
      </w:r>
    </w:p>
    <w:p w14:paraId="49726313">
      <w:pPr>
        <w:spacing w:line="360" w:lineRule="auto"/>
        <w:rPr>
          <w:rFonts w:hint="eastAsia" w:ascii="宋体" w:hAnsi="宋体" w:eastAsia="宋体" w:cs="宋体"/>
          <w:color w:val="auto"/>
          <w:sz w:val="24"/>
          <w:highlight w:val="none"/>
        </w:rPr>
      </w:pPr>
    </w:p>
    <w:p w14:paraId="4FB87E8A">
      <w:pPr>
        <w:spacing w:line="360" w:lineRule="auto"/>
        <w:rPr>
          <w:rFonts w:hint="eastAsia" w:ascii="宋体" w:hAnsi="宋体" w:eastAsia="宋体" w:cs="宋体"/>
          <w:color w:val="auto"/>
          <w:sz w:val="24"/>
          <w:highlight w:val="none"/>
        </w:rPr>
      </w:pPr>
    </w:p>
    <w:p w14:paraId="47F1264C">
      <w:pPr>
        <w:spacing w:line="360" w:lineRule="auto"/>
        <w:rPr>
          <w:rFonts w:hint="eastAsia" w:ascii="宋体" w:hAnsi="宋体" w:eastAsia="宋体" w:cs="宋体"/>
          <w:color w:val="auto"/>
          <w:sz w:val="24"/>
          <w:highlight w:val="none"/>
        </w:rPr>
      </w:pPr>
    </w:p>
    <w:p w14:paraId="4C80D5F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说明：供应商承诺不实的，依据《政府采购法》第七十七条“提供虚假材料谋取中标、成交的”有关规定予以处理。</w:t>
      </w:r>
    </w:p>
    <w:p w14:paraId="144577A7">
      <w:pPr>
        <w:tabs>
          <w:tab w:val="left" w:pos="5580"/>
        </w:tabs>
        <w:spacing w:line="360" w:lineRule="auto"/>
        <w:rPr>
          <w:rFonts w:hint="eastAsia" w:ascii="宋体" w:hAnsi="宋体" w:eastAsia="宋体" w:cs="宋体"/>
          <w:color w:val="auto"/>
          <w:sz w:val="24"/>
          <w:highlight w:val="none"/>
        </w:rPr>
        <w:sectPr>
          <w:footerReference r:id="rId12" w:type="default"/>
          <w:pgSz w:w="11907" w:h="16840"/>
          <w:pgMar w:top="1418" w:right="1020" w:bottom="1418" w:left="1417" w:header="794" w:footer="851" w:gutter="0"/>
          <w:cols w:space="1701" w:num="1"/>
          <w:docGrid w:linePitch="360" w:charSpace="0"/>
        </w:sectPr>
      </w:pPr>
    </w:p>
    <w:p w14:paraId="663C8E7C">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 落实政府采购政策需满足的资格要求（如有）</w:t>
      </w:r>
    </w:p>
    <w:p w14:paraId="59F068EA">
      <w:pPr>
        <w:tabs>
          <w:tab w:val="left" w:pos="5580"/>
        </w:tabs>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2-1本项目（包）专门面向中小、小微企业采购，资格证明文件部分需提供《中小企业声明函》。</w:t>
      </w:r>
    </w:p>
    <w:p w14:paraId="369AD957">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2-2其它落实政府采购政策的资格要求（如有）</w:t>
      </w:r>
    </w:p>
    <w:p w14:paraId="163B31CB">
      <w:pPr>
        <w:tabs>
          <w:tab w:val="left" w:pos="5580"/>
        </w:tabs>
        <w:spacing w:line="360" w:lineRule="auto"/>
        <w:rPr>
          <w:rFonts w:hint="eastAsia" w:ascii="宋体" w:hAnsi="宋体" w:eastAsia="宋体" w:cs="宋体"/>
          <w:color w:val="auto"/>
          <w:sz w:val="24"/>
          <w:highlight w:val="none"/>
        </w:rPr>
      </w:pPr>
    </w:p>
    <w:p w14:paraId="0EB125AA">
      <w:pPr>
        <w:widowControl/>
        <w:jc w:val="left"/>
        <w:rPr>
          <w:rFonts w:hint="eastAsia" w:ascii="宋体" w:hAnsi="宋体" w:eastAsia="宋体" w:cs="宋体"/>
          <w:color w:val="auto"/>
          <w:sz w:val="24"/>
          <w:highlight w:val="none"/>
        </w:rPr>
      </w:pPr>
    </w:p>
    <w:p w14:paraId="6AD67F97">
      <w:pPr>
        <w:widowControl/>
        <w:jc w:val="left"/>
        <w:rPr>
          <w:rFonts w:hint="eastAsia" w:ascii="宋体" w:hAnsi="宋体" w:eastAsia="宋体" w:cs="宋体"/>
          <w:color w:val="auto"/>
          <w:sz w:val="24"/>
          <w:highlight w:val="none"/>
        </w:rPr>
      </w:pPr>
    </w:p>
    <w:p w14:paraId="71BCD5BD">
      <w:pPr>
        <w:widowControl/>
        <w:jc w:val="left"/>
        <w:rPr>
          <w:rFonts w:hint="eastAsia" w:ascii="宋体" w:hAnsi="宋体" w:eastAsia="宋体" w:cs="宋体"/>
          <w:color w:val="auto"/>
          <w:sz w:val="24"/>
          <w:highlight w:val="none"/>
        </w:rPr>
      </w:pPr>
    </w:p>
    <w:p w14:paraId="637F52A2">
      <w:pPr>
        <w:widowControl/>
        <w:jc w:val="left"/>
        <w:rPr>
          <w:rFonts w:hint="eastAsia" w:ascii="宋体" w:hAnsi="宋体" w:eastAsia="宋体" w:cs="宋体"/>
          <w:color w:val="auto"/>
          <w:sz w:val="24"/>
          <w:highlight w:val="none"/>
        </w:rPr>
      </w:pPr>
    </w:p>
    <w:p w14:paraId="315E6EFA">
      <w:pPr>
        <w:widowControl/>
        <w:jc w:val="left"/>
        <w:rPr>
          <w:rFonts w:hint="eastAsia" w:ascii="宋体" w:hAnsi="宋体" w:eastAsia="宋体" w:cs="宋体"/>
          <w:color w:val="auto"/>
          <w:sz w:val="24"/>
          <w:highlight w:val="none"/>
        </w:rPr>
      </w:pPr>
    </w:p>
    <w:p w14:paraId="7F733DF5">
      <w:pPr>
        <w:tabs>
          <w:tab w:val="left" w:pos="5580"/>
        </w:tabs>
        <w:spacing w:line="360" w:lineRule="auto"/>
        <w:rPr>
          <w:rFonts w:hint="eastAsia" w:ascii="宋体" w:hAnsi="宋体" w:eastAsia="宋体" w:cs="宋体"/>
          <w:color w:val="auto"/>
          <w:sz w:val="24"/>
          <w:highlight w:val="none"/>
        </w:rPr>
      </w:pPr>
      <w:bookmarkStart w:id="707" w:name="_Toc128435173"/>
      <w:bookmarkStart w:id="708" w:name="_Toc140670335"/>
      <w:bookmarkStart w:id="709" w:name="_Toc107952855"/>
      <w:bookmarkStart w:id="710" w:name="_Toc140670472"/>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3 本项目的特定资格要求（如有）</w:t>
      </w:r>
      <w:bookmarkEnd w:id="707"/>
      <w:bookmarkEnd w:id="708"/>
      <w:bookmarkEnd w:id="709"/>
      <w:bookmarkEnd w:id="710"/>
    </w:p>
    <w:p w14:paraId="692B99A3">
      <w:pPr>
        <w:tabs>
          <w:tab w:val="left" w:pos="5580"/>
        </w:tabs>
        <w:spacing w:line="360" w:lineRule="auto"/>
        <w:rPr>
          <w:rFonts w:hint="eastAsia" w:ascii="宋体" w:hAnsi="宋体" w:eastAsia="宋体" w:cs="宋体"/>
          <w:color w:val="auto"/>
          <w:sz w:val="24"/>
          <w:highlight w:val="none"/>
        </w:rPr>
      </w:pPr>
      <w:bookmarkStart w:id="711" w:name="_Toc107952856"/>
      <w:bookmarkStart w:id="712" w:name="_Toc140670473"/>
      <w:bookmarkStart w:id="713" w:name="_Toc128435174"/>
      <w:bookmarkStart w:id="714" w:name="_Toc140670336"/>
      <w:r>
        <w:rPr>
          <w:rFonts w:hint="eastAsia" w:ascii="宋体" w:hAnsi="宋体" w:eastAsia="宋体" w:cs="宋体"/>
          <w:color w:val="auto"/>
          <w:sz w:val="24"/>
          <w:highlight w:val="none"/>
        </w:rPr>
        <w:t>3-3其他特定资格要求</w:t>
      </w:r>
      <w:bookmarkEnd w:id="711"/>
      <w:bookmarkEnd w:id="712"/>
      <w:bookmarkEnd w:id="713"/>
      <w:bookmarkEnd w:id="714"/>
    </w:p>
    <w:p w14:paraId="624E43AB">
      <w:pPr>
        <w:pStyle w:val="186"/>
        <w:keepNext/>
        <w:keepLines/>
        <w:pageBreakBefore w:val="0"/>
        <w:widowControl/>
        <w:kinsoku/>
        <w:wordWrap/>
        <w:overflowPunct/>
        <w:topLinePunct w:val="0"/>
        <w:autoSpaceDE/>
        <w:autoSpaceDN/>
        <w:bidi w:val="0"/>
        <w:adjustRightInd/>
        <w:snapToGrid/>
        <w:spacing w:before="0" w:line="360" w:lineRule="auto"/>
        <w:ind w:firstLine="482"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368F42C8">
      <w:pPr>
        <w:widowControl/>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bookmarkStart w:id="715" w:name="_Ref467988698"/>
      <w:bookmarkStart w:id="716" w:name="_Toc480942349"/>
      <w:bookmarkStart w:id="717" w:name="_Toc127151556"/>
      <w:bookmarkStart w:id="718" w:name="_Toc150480794"/>
      <w:bookmarkStart w:id="719" w:name="_Toc142311058"/>
      <w:bookmarkStart w:id="720" w:name="_Toc226965746"/>
      <w:bookmarkStart w:id="721" w:name="_Toc226309800"/>
      <w:bookmarkStart w:id="722" w:name="_Toc150774761"/>
      <w:bookmarkStart w:id="723" w:name="_Toc226337252"/>
      <w:bookmarkStart w:id="724" w:name="_Toc520356217"/>
      <w:bookmarkStart w:id="725" w:name="_Toc226965829"/>
      <w:bookmarkStart w:id="726" w:name="_Toc195842921"/>
    </w:p>
    <w:p w14:paraId="11BA41B0">
      <w:pPr>
        <w:widowControl/>
        <w:jc w:val="center"/>
        <w:rPr>
          <w:rFonts w:hint="eastAsia" w:ascii="宋体" w:hAnsi="宋体" w:eastAsia="宋体" w:cs="宋体"/>
          <w:b/>
          <w:color w:val="auto"/>
          <w:sz w:val="32"/>
          <w:szCs w:val="32"/>
          <w:highlight w:val="none"/>
        </w:rPr>
      </w:pPr>
    </w:p>
    <w:p w14:paraId="2F698176">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highlight w:val="none"/>
        </w:rPr>
        <w:t>投标</w:t>
      </w:r>
      <w:bookmarkEnd w:id="715"/>
      <w:bookmarkEnd w:id="716"/>
      <w:bookmarkEnd w:id="717"/>
      <w:bookmarkEnd w:id="718"/>
      <w:bookmarkEnd w:id="719"/>
      <w:bookmarkEnd w:id="720"/>
      <w:bookmarkEnd w:id="721"/>
      <w:bookmarkEnd w:id="722"/>
      <w:bookmarkEnd w:id="723"/>
      <w:bookmarkEnd w:id="724"/>
      <w:bookmarkEnd w:id="725"/>
      <w:bookmarkEnd w:id="726"/>
      <w:r>
        <w:rPr>
          <w:rFonts w:hint="eastAsia" w:ascii="宋体" w:hAnsi="宋体" w:eastAsia="宋体" w:cs="宋体"/>
          <w:color w:val="auto"/>
          <w:sz w:val="24"/>
          <w:highlight w:val="none"/>
        </w:rPr>
        <w:t>函</w:t>
      </w:r>
      <w:r>
        <w:rPr>
          <w:rFonts w:hint="eastAsia" w:ascii="宋体" w:hAnsi="宋体" w:eastAsia="宋体" w:cs="宋体"/>
          <w:color w:val="auto"/>
          <w:sz w:val="24"/>
          <w:szCs w:val="20"/>
          <w:highlight w:val="none"/>
        </w:rPr>
        <w:t>（实质性格式）</w:t>
      </w:r>
    </w:p>
    <w:p w14:paraId="4CB837F9">
      <w:pPr>
        <w:tabs>
          <w:tab w:val="left" w:pos="5580"/>
        </w:tabs>
        <w:spacing w:line="360" w:lineRule="auto"/>
        <w:rPr>
          <w:rFonts w:hint="eastAsia" w:ascii="宋体" w:hAnsi="宋体" w:eastAsia="宋体" w:cs="宋体"/>
          <w:color w:val="auto"/>
          <w:sz w:val="24"/>
          <w:highlight w:val="none"/>
        </w:rPr>
      </w:pPr>
    </w:p>
    <w:p w14:paraId="5B78D535">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投标函</w:t>
      </w:r>
    </w:p>
    <w:p w14:paraId="0AD96900">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126620FF">
      <w:pPr>
        <w:tabs>
          <w:tab w:val="left" w:pos="5580"/>
        </w:tabs>
        <w:spacing w:line="360" w:lineRule="auto"/>
        <w:rPr>
          <w:rFonts w:hint="eastAsia" w:ascii="宋体" w:hAnsi="宋体" w:eastAsia="宋体" w:cs="宋体"/>
          <w:color w:val="auto"/>
          <w:sz w:val="24"/>
          <w:szCs w:val="20"/>
          <w:highlight w:val="none"/>
        </w:rPr>
      </w:pPr>
    </w:p>
    <w:p w14:paraId="393BA3E4">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我方参加你方就___________（项目名称，项目编号/包号）组织的招标活动，并对此项目进行投标。</w:t>
      </w:r>
    </w:p>
    <w:p w14:paraId="44DB43B3">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已详细审查全部招标文件</w:t>
      </w:r>
      <w:r>
        <w:rPr>
          <w:rFonts w:hint="eastAsia" w:ascii="宋体" w:hAnsi="宋体" w:eastAsia="宋体" w:cs="宋体"/>
          <w:color w:val="auto"/>
          <w:sz w:val="24"/>
          <w:szCs w:val="20"/>
          <w:highlight w:val="none"/>
        </w:rPr>
        <w:t>，自愿参与投标并承诺如下：</w:t>
      </w:r>
    </w:p>
    <w:p w14:paraId="14EC9759">
      <w:pPr>
        <w:tabs>
          <w:tab w:val="left" w:pos="720"/>
          <w:tab w:val="left" w:pos="900"/>
        </w:tabs>
        <w:spacing w:line="360" w:lineRule="auto"/>
        <w:ind w:left="360" w:firstLine="7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（1）本投标有效期为自提交投标文件的截止之日起</w:t>
      </w:r>
      <w:r>
        <w:rPr>
          <w:rFonts w:hint="eastAsia" w:ascii="宋体" w:hAnsi="宋体" w:cs="宋体"/>
          <w:color w:val="auto"/>
          <w:sz w:val="24"/>
          <w:highlight w:val="none"/>
          <w:lang w:val="en-US" w:eastAsia="zh-CN"/>
        </w:rPr>
        <w:t>60</w:t>
      </w:r>
      <w:r>
        <w:rPr>
          <w:rFonts w:hint="eastAsia" w:ascii="宋体" w:hAnsi="宋体" w:eastAsia="宋体" w:cs="宋体"/>
          <w:color w:val="auto"/>
          <w:sz w:val="24"/>
          <w:szCs w:val="20"/>
          <w:highlight w:val="none"/>
        </w:rPr>
        <w:t>个日历日。</w:t>
      </w:r>
    </w:p>
    <w:p w14:paraId="34C661F9">
      <w:pPr>
        <w:tabs>
          <w:tab w:val="left" w:pos="720"/>
          <w:tab w:val="left" w:pos="900"/>
        </w:tabs>
        <w:spacing w:line="360" w:lineRule="auto"/>
        <w:ind w:left="360" w:firstLine="7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（2）除合同条款及采购需求偏离表列出的偏离外，我方响应招标文件的全部要求。</w:t>
      </w:r>
    </w:p>
    <w:p w14:paraId="6A3C3F2C">
      <w:pPr>
        <w:tabs>
          <w:tab w:val="left" w:pos="5580"/>
        </w:tabs>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14:paraId="7A29E840">
      <w:pPr>
        <w:tabs>
          <w:tab w:val="left" w:pos="5580"/>
        </w:tabs>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（4）如我方中标，我方将在法律规定的期限内与你方签订合同，按照招标文件要求提交履约保证金，并在合同约定的期限内完成合同规定的全部义务。</w:t>
      </w:r>
    </w:p>
    <w:p w14:paraId="4AC21CBF">
      <w:pPr>
        <w:spacing w:line="360" w:lineRule="auto"/>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w:t>
      </w:r>
      <w:r>
        <w:rPr>
          <w:rFonts w:hint="eastAsia" w:ascii="宋体" w:hAnsi="宋体" w:eastAsia="宋体" w:cs="宋体"/>
          <w:color w:val="auto"/>
          <w:sz w:val="24"/>
          <w:szCs w:val="20"/>
          <w:highlight w:val="none"/>
        </w:rPr>
        <w:t>___________</w:t>
      </w:r>
      <w:r>
        <w:rPr>
          <w:rFonts w:hint="eastAsia" w:ascii="宋体" w:hAnsi="宋体" w:eastAsia="宋体" w:cs="宋体"/>
          <w:color w:val="auto"/>
          <w:sz w:val="24"/>
          <w:highlight w:val="none"/>
        </w:rPr>
        <w:t>。</w:t>
      </w:r>
    </w:p>
    <w:p w14:paraId="3FF0277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与本投标有关的一切正式往来信函请寄：</w:t>
      </w:r>
    </w:p>
    <w:p w14:paraId="47D1DDB5">
      <w:pPr>
        <w:tabs>
          <w:tab w:val="left" w:pos="5580"/>
        </w:tabs>
        <w:spacing w:line="360" w:lineRule="auto"/>
        <w:ind w:left="420"/>
        <w:rPr>
          <w:rFonts w:hint="eastAsia" w:ascii="宋体" w:hAnsi="宋体" w:eastAsia="宋体" w:cs="宋体"/>
          <w:color w:val="auto"/>
          <w:sz w:val="24"/>
          <w:szCs w:val="20"/>
          <w:highlight w:val="none"/>
        </w:rPr>
      </w:pPr>
    </w:p>
    <w:p w14:paraId="4C51865A">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地址_________________________     传真____________________________</w:t>
      </w:r>
    </w:p>
    <w:p w14:paraId="0B5523A5">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电话_________________________     电子函件________________________</w:t>
      </w:r>
    </w:p>
    <w:p w14:paraId="62F7FDCD">
      <w:pPr>
        <w:tabs>
          <w:tab w:val="left" w:pos="5580"/>
        </w:tabs>
        <w:spacing w:line="360" w:lineRule="auto"/>
        <w:ind w:left="420"/>
        <w:rPr>
          <w:rFonts w:hint="eastAsia" w:ascii="宋体" w:hAnsi="宋体" w:eastAsia="宋体" w:cs="宋体"/>
          <w:color w:val="auto"/>
          <w:sz w:val="24"/>
          <w:szCs w:val="20"/>
          <w:highlight w:val="none"/>
        </w:rPr>
      </w:pPr>
    </w:p>
    <w:p w14:paraId="6C0F63FE">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投标人名称（加盖公章） ___________</w:t>
      </w:r>
    </w:p>
    <w:p w14:paraId="744ABF7E">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p>
    <w:p w14:paraId="6C341D0F">
      <w:pPr>
        <w:tabs>
          <w:tab w:val="left" w:pos="5580"/>
        </w:tabs>
        <w:spacing w:line="360" w:lineRule="auto"/>
        <w:ind w:left="420"/>
        <w:rPr>
          <w:rFonts w:hint="eastAsia" w:ascii="宋体" w:hAnsi="宋体" w:eastAsia="宋体" w:cs="宋体"/>
          <w:color w:val="auto"/>
          <w:sz w:val="24"/>
          <w:szCs w:val="20"/>
          <w:highlight w:val="none"/>
          <w:u w:val="single"/>
        </w:rPr>
      </w:pPr>
    </w:p>
    <w:p w14:paraId="7860CDE3">
      <w:pPr>
        <w:widowControl/>
        <w:jc w:val="left"/>
        <w:rPr>
          <w:rFonts w:hint="eastAsia" w:ascii="宋体" w:hAnsi="宋体" w:eastAsia="宋体" w:cs="宋体"/>
          <w:color w:val="auto"/>
          <w:sz w:val="24"/>
          <w:highlight w:val="none"/>
        </w:rPr>
      </w:pPr>
      <w:bookmarkStart w:id="727" w:name="_Hlt520356243"/>
      <w:bookmarkEnd w:id="727"/>
      <w:bookmarkStart w:id="728" w:name="_Hlt520355938"/>
      <w:bookmarkEnd w:id="728"/>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2  法定代表人资格证明书</w:t>
      </w:r>
      <w:r>
        <w:rPr>
          <w:rFonts w:hint="eastAsia" w:ascii="宋体" w:hAnsi="宋体" w:eastAsia="宋体" w:cs="宋体"/>
          <w:color w:val="auto"/>
          <w:sz w:val="24"/>
          <w:szCs w:val="20"/>
          <w:highlight w:val="none"/>
        </w:rPr>
        <w:t>（实质性格式）</w:t>
      </w:r>
    </w:p>
    <w:p w14:paraId="04D34945">
      <w:pPr>
        <w:spacing w:line="360" w:lineRule="auto"/>
        <w:jc w:val="center"/>
        <w:rPr>
          <w:rFonts w:hint="eastAsia" w:ascii="宋体" w:hAnsi="宋体" w:eastAsia="宋体" w:cs="宋体"/>
          <w:b/>
          <w:color w:val="auto"/>
          <w:sz w:val="32"/>
          <w:szCs w:val="32"/>
          <w:highlight w:val="none"/>
        </w:rPr>
      </w:pPr>
    </w:p>
    <w:p w14:paraId="4815D95C">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法定代表人资格证明书</w:t>
      </w:r>
    </w:p>
    <w:p w14:paraId="0726BE1E">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p w14:paraId="2D4BEAF3">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p w14:paraId="2272C441">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6FEDE930">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（投标单位名称）</w:t>
      </w:r>
      <w:r>
        <w:rPr>
          <w:rFonts w:hint="eastAsia" w:ascii="宋体" w:hAnsi="宋体" w:eastAsia="宋体" w:cs="宋体"/>
          <w:color w:val="auto"/>
          <w:sz w:val="24"/>
          <w:highlight w:val="none"/>
        </w:rPr>
        <w:t>的法定代表人。为参与</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的政府采购活动，</w:t>
      </w:r>
      <w:r>
        <w:rPr>
          <w:rFonts w:hint="eastAsia" w:ascii="宋体" w:hAnsi="宋体" w:eastAsia="宋体" w:cs="宋体"/>
          <w:color w:val="auto"/>
          <w:sz w:val="24"/>
          <w:szCs w:val="20"/>
          <w:highlight w:val="none"/>
        </w:rPr>
        <w:t>签署、澄清确认、递交、撤回、修改</w:t>
      </w:r>
      <w:r>
        <w:rPr>
          <w:rFonts w:hint="eastAsia" w:ascii="宋体" w:hAnsi="宋体" w:eastAsia="宋体" w:cs="宋体"/>
          <w:color w:val="auto"/>
          <w:sz w:val="24"/>
          <w:highlight w:val="none"/>
        </w:rPr>
        <w:t>上述项目的投标文件、进行合同谈判、签署合同和处理与之有关的一切事务。</w:t>
      </w:r>
    </w:p>
    <w:p w14:paraId="219EC2AD">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0A41071F">
      <w:pPr>
        <w:spacing w:line="560" w:lineRule="exact"/>
        <w:rPr>
          <w:rFonts w:hint="eastAsia" w:ascii="宋体" w:hAnsi="宋体" w:eastAsia="宋体" w:cs="宋体"/>
          <w:color w:val="auto"/>
          <w:sz w:val="24"/>
          <w:highlight w:val="none"/>
        </w:rPr>
      </w:pPr>
    </w:p>
    <w:p w14:paraId="6272DFE9">
      <w:pPr>
        <w:pStyle w:val="215"/>
        <w:spacing w:line="583" w:lineRule="auto"/>
        <w:ind w:right="-46"/>
        <w:rPr>
          <w:rFonts w:hint="eastAsia" w:ascii="宋体" w:hAnsi="宋体" w:eastAsia="宋体" w:cs="宋体"/>
          <w:color w:val="auto"/>
          <w:spacing w:val="-3"/>
          <w:highlight w:val="none"/>
        </w:rPr>
      </w:pPr>
      <w:r>
        <w:rPr>
          <w:rFonts w:hint="eastAsia" w:ascii="宋体" w:hAnsi="宋体" w:eastAsia="宋体" w:cs="宋体"/>
          <w:color w:val="auto"/>
          <w:highlight w:val="none"/>
        </w:rPr>
        <w:t>附：</w:t>
      </w:r>
      <w:r>
        <w:rPr>
          <w:rFonts w:hint="eastAsia" w:ascii="宋体" w:hAnsi="宋体" w:eastAsia="宋体" w:cs="宋体"/>
          <w:color w:val="auto"/>
          <w:spacing w:val="-3"/>
          <w:highlight w:val="none"/>
        </w:rPr>
        <w:t>法</w:t>
      </w:r>
      <w:r>
        <w:rPr>
          <w:rFonts w:hint="eastAsia" w:ascii="宋体" w:hAnsi="宋体" w:eastAsia="宋体" w:cs="宋体"/>
          <w:color w:val="auto"/>
          <w:highlight w:val="none"/>
        </w:rPr>
        <w:t>定</w:t>
      </w:r>
      <w:r>
        <w:rPr>
          <w:rFonts w:hint="eastAsia" w:ascii="宋体" w:hAnsi="宋体" w:eastAsia="宋体" w:cs="宋体"/>
          <w:color w:val="auto"/>
          <w:spacing w:val="-3"/>
          <w:highlight w:val="none"/>
        </w:rPr>
        <w:t>代</w:t>
      </w:r>
      <w:r>
        <w:rPr>
          <w:rFonts w:hint="eastAsia" w:ascii="宋体" w:hAnsi="宋体" w:eastAsia="宋体" w:cs="宋体"/>
          <w:color w:val="auto"/>
          <w:highlight w:val="none"/>
        </w:rPr>
        <w:t>表</w:t>
      </w:r>
      <w:r>
        <w:rPr>
          <w:rFonts w:hint="eastAsia" w:ascii="宋体" w:hAnsi="宋体" w:eastAsia="宋体" w:cs="宋体"/>
          <w:color w:val="auto"/>
          <w:spacing w:val="-3"/>
          <w:highlight w:val="none"/>
        </w:rPr>
        <w:t>人</w:t>
      </w:r>
      <w:r>
        <w:rPr>
          <w:rFonts w:hint="eastAsia" w:ascii="宋体" w:hAnsi="宋体" w:eastAsia="宋体" w:cs="宋体"/>
          <w:color w:val="auto"/>
          <w:highlight w:val="none"/>
        </w:rPr>
        <w:t>（</w:t>
      </w:r>
      <w:r>
        <w:rPr>
          <w:rFonts w:hint="eastAsia" w:ascii="宋体" w:hAnsi="宋体" w:eastAsia="宋体" w:cs="宋体"/>
          <w:color w:val="auto"/>
          <w:spacing w:val="-3"/>
          <w:highlight w:val="none"/>
        </w:rPr>
        <w:t>单</w:t>
      </w:r>
      <w:r>
        <w:rPr>
          <w:rFonts w:hint="eastAsia" w:ascii="宋体" w:hAnsi="宋体" w:eastAsia="宋体" w:cs="宋体"/>
          <w:color w:val="auto"/>
          <w:highlight w:val="none"/>
        </w:rPr>
        <w:t>位</w:t>
      </w:r>
      <w:r>
        <w:rPr>
          <w:rFonts w:hint="eastAsia" w:ascii="宋体" w:hAnsi="宋体" w:eastAsia="宋体" w:cs="宋体"/>
          <w:color w:val="auto"/>
          <w:spacing w:val="-3"/>
          <w:highlight w:val="none"/>
        </w:rPr>
        <w:t>负</w:t>
      </w:r>
      <w:r>
        <w:rPr>
          <w:rFonts w:hint="eastAsia" w:ascii="宋体" w:hAnsi="宋体" w:eastAsia="宋体" w:cs="宋体"/>
          <w:color w:val="auto"/>
          <w:highlight w:val="none"/>
        </w:rPr>
        <w:t>责人</w:t>
      </w:r>
      <w:r>
        <w:rPr>
          <w:rFonts w:hint="eastAsia" w:ascii="宋体" w:hAnsi="宋体" w:eastAsia="宋体" w:cs="宋体"/>
          <w:color w:val="auto"/>
          <w:spacing w:val="-3"/>
          <w:highlight w:val="none"/>
        </w:rPr>
        <w:t>）有效期内的身份证正反面电子件。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3BB4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6D3CA08">
            <w:pPr>
              <w:tabs>
                <w:tab w:val="left" w:pos="5580"/>
              </w:tabs>
              <w:spacing w:line="360" w:lineRule="auto"/>
              <w:jc w:val="left"/>
              <w:rPr>
                <w:rFonts w:hint="eastAsia" w:ascii="宋体" w:hAnsi="宋体" w:eastAsia="宋体" w:cs="宋体"/>
                <w:color w:val="auto"/>
                <w:sz w:val="24"/>
                <w:szCs w:val="20"/>
                <w:highlight w:val="none"/>
              </w:rPr>
            </w:pPr>
          </w:p>
          <w:p w14:paraId="54B4ACF9">
            <w:pPr>
              <w:tabs>
                <w:tab w:val="left" w:pos="5580"/>
              </w:tabs>
              <w:spacing w:line="360" w:lineRule="auto"/>
              <w:jc w:val="left"/>
              <w:rPr>
                <w:rFonts w:hint="eastAsia" w:ascii="宋体" w:hAnsi="宋体" w:eastAsia="宋体" w:cs="宋体"/>
                <w:color w:val="auto"/>
                <w:sz w:val="24"/>
                <w:szCs w:val="20"/>
                <w:highlight w:val="none"/>
              </w:rPr>
            </w:pPr>
          </w:p>
          <w:p w14:paraId="15A04932">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74C91FF7">
            <w:pPr>
              <w:tabs>
                <w:tab w:val="left" w:pos="5580"/>
              </w:tabs>
              <w:spacing w:line="360" w:lineRule="auto"/>
              <w:jc w:val="left"/>
              <w:rPr>
                <w:rFonts w:hint="eastAsia" w:ascii="宋体" w:hAnsi="宋体" w:eastAsia="宋体" w:cs="宋体"/>
                <w:color w:val="auto"/>
                <w:sz w:val="24"/>
                <w:szCs w:val="20"/>
                <w:highlight w:val="none"/>
              </w:rPr>
            </w:pPr>
          </w:p>
          <w:p w14:paraId="447381CA">
            <w:pPr>
              <w:tabs>
                <w:tab w:val="left" w:pos="5580"/>
              </w:tabs>
              <w:spacing w:line="360" w:lineRule="auto"/>
              <w:jc w:val="left"/>
              <w:rPr>
                <w:rFonts w:hint="eastAsia" w:ascii="宋体" w:hAnsi="宋体" w:eastAsia="宋体" w:cs="宋体"/>
                <w:color w:val="auto"/>
                <w:sz w:val="24"/>
                <w:szCs w:val="20"/>
                <w:highlight w:val="none"/>
              </w:rPr>
            </w:pPr>
          </w:p>
          <w:p w14:paraId="41DCEC25">
            <w:pPr>
              <w:tabs>
                <w:tab w:val="left" w:pos="5580"/>
              </w:tabs>
              <w:spacing w:line="360" w:lineRule="auto"/>
              <w:jc w:val="left"/>
              <w:rPr>
                <w:rFonts w:hint="eastAsia" w:ascii="宋体" w:hAnsi="宋体" w:eastAsia="宋体" w:cs="宋体"/>
                <w:color w:val="auto"/>
                <w:sz w:val="24"/>
                <w:szCs w:val="20"/>
                <w:highlight w:val="none"/>
              </w:rPr>
            </w:pPr>
          </w:p>
        </w:tc>
      </w:tr>
    </w:tbl>
    <w:p w14:paraId="7E04E66B">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投标人：（加盖公章）</w:t>
      </w:r>
    </w:p>
    <w:p w14:paraId="43C0DED8">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w:t>
      </w:r>
      <w:r>
        <w:rPr>
          <w:rFonts w:hint="eastAsia" w:ascii="宋体" w:hAnsi="宋体" w:eastAsia="宋体" w:cs="宋体"/>
          <w:color w:val="auto"/>
          <w:sz w:val="24"/>
          <w:szCs w:val="20"/>
          <w:highlight w:val="none"/>
        </w:rPr>
        <w:t>签字、签章或印鉴</w:t>
      </w:r>
      <w:r>
        <w:rPr>
          <w:rFonts w:hint="eastAsia" w:ascii="宋体" w:hAnsi="宋体" w:eastAsia="宋体" w:cs="宋体"/>
          <w:color w:val="auto"/>
          <w:sz w:val="24"/>
          <w:highlight w:val="none"/>
        </w:rPr>
        <w:t>：</w:t>
      </w:r>
    </w:p>
    <w:p w14:paraId="19CE6855">
      <w:pPr>
        <w:spacing w:line="560" w:lineRule="exact"/>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7806757E">
      <w:pPr>
        <w:widowControl/>
        <w:jc w:val="left"/>
        <w:rPr>
          <w:rFonts w:hint="eastAsia" w:ascii="宋体" w:hAnsi="宋体" w:eastAsia="宋体" w:cs="宋体"/>
          <w:color w:val="auto"/>
          <w:sz w:val="24"/>
          <w:highlight w:val="none"/>
        </w:rPr>
      </w:pPr>
    </w:p>
    <w:p w14:paraId="71514C0A">
      <w:pPr>
        <w:widowControl/>
        <w:jc w:val="left"/>
        <w:rPr>
          <w:rFonts w:hint="eastAsia" w:ascii="宋体" w:hAnsi="宋体" w:eastAsia="宋体" w:cs="宋体"/>
          <w:color w:val="auto"/>
          <w:sz w:val="24"/>
          <w:highlight w:val="none"/>
        </w:rPr>
      </w:pPr>
    </w:p>
    <w:p w14:paraId="7102F891">
      <w:pPr>
        <w:widowControl/>
        <w:jc w:val="left"/>
        <w:rPr>
          <w:rFonts w:hint="eastAsia" w:ascii="宋体" w:hAnsi="宋体" w:eastAsia="宋体" w:cs="宋体"/>
          <w:color w:val="auto"/>
          <w:sz w:val="24"/>
          <w:highlight w:val="none"/>
        </w:rPr>
      </w:pPr>
    </w:p>
    <w:p w14:paraId="78BE6200">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p>
    <w:p w14:paraId="36BF0416">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1.若投标人为事业单位或其他组织或分支机构（仅当招标文件注明允许分支机构投标的），则法定代表人（单位负责人）处的签署人可为单位负责人。</w:t>
      </w:r>
    </w:p>
    <w:p w14:paraId="047412DA">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2.投标人为自然人的情形，可不提供本《授权委托书》。</w:t>
      </w:r>
    </w:p>
    <w:p w14:paraId="146C3D1E">
      <w:pPr>
        <w:spacing w:before="240" w:after="240" w:line="360" w:lineRule="auto"/>
        <w:jc w:val="center"/>
        <w:rPr>
          <w:rFonts w:hint="eastAsia" w:ascii="宋体" w:hAnsi="宋体" w:eastAsia="宋体" w:cs="宋体"/>
          <w:b/>
          <w:bCs/>
          <w:color w:val="auto"/>
          <w:sz w:val="28"/>
          <w:szCs w:val="28"/>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bCs/>
          <w:color w:val="auto"/>
          <w:sz w:val="32"/>
          <w:szCs w:val="32"/>
          <w:highlight w:val="none"/>
        </w:rPr>
        <w:t>法定代表人授权委托书</w:t>
      </w:r>
    </w:p>
    <w:p w14:paraId="2DED5B8B">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p>
    <w:p w14:paraId="2DBA8F21">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法定代表人（或非法人组织负责人）姓名：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p>
    <w:p w14:paraId="0ED1216C">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住所地：</w:t>
      </w:r>
      <w:r>
        <w:rPr>
          <w:rFonts w:hint="eastAsia" w:ascii="宋体" w:hAnsi="宋体" w:eastAsia="宋体" w:cs="宋体"/>
          <w:color w:val="auto"/>
          <w:sz w:val="24"/>
          <w:highlight w:val="none"/>
          <w:u w:val="single"/>
        </w:rPr>
        <w:t xml:space="preserve">                       </w:t>
      </w:r>
    </w:p>
    <w:p w14:paraId="2DBE89F8">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授权委托人姓名：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p>
    <w:p w14:paraId="3A516B68">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工作单位：</w:t>
      </w:r>
      <w:r>
        <w:rPr>
          <w:rFonts w:hint="eastAsia" w:ascii="宋体" w:hAnsi="宋体" w:eastAsia="宋体" w:cs="宋体"/>
          <w:color w:val="auto"/>
          <w:sz w:val="24"/>
          <w:highlight w:val="none"/>
          <w:u w:val="single"/>
        </w:rPr>
        <w:t xml:space="preserve">                    </w:t>
      </w:r>
    </w:p>
    <w:p w14:paraId="5F1DDFEB">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住址：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电话：</w:t>
      </w:r>
      <w:r>
        <w:rPr>
          <w:rFonts w:hint="eastAsia" w:ascii="宋体" w:hAnsi="宋体" w:eastAsia="宋体" w:cs="宋体"/>
          <w:color w:val="auto"/>
          <w:sz w:val="24"/>
          <w:highlight w:val="none"/>
          <w:u w:val="single"/>
        </w:rPr>
        <w:t xml:space="preserve">               </w:t>
      </w:r>
    </w:p>
    <w:p w14:paraId="441452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就</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0"/>
          <w:highlight w:val="none"/>
        </w:rPr>
        <w:t>（项目名称，项目编号/包号）</w:t>
      </w:r>
      <w:r>
        <w:rPr>
          <w:rFonts w:hint="eastAsia" w:ascii="宋体" w:hAnsi="宋体" w:eastAsia="宋体" w:cs="宋体"/>
          <w:color w:val="auto"/>
          <w:sz w:val="24"/>
          <w:highlight w:val="none"/>
        </w:rPr>
        <w:t>采购活动，以我单位名义处理一切与之有关的事务。</w:t>
      </w:r>
    </w:p>
    <w:p w14:paraId="0925E71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日签字或盖章</w:t>
      </w:r>
      <w:r>
        <w:rPr>
          <w:rFonts w:hint="eastAsia" w:ascii="宋体" w:hAnsi="宋体" w:eastAsia="宋体" w:cs="宋体"/>
          <w:b/>
          <w:color w:val="auto"/>
          <w:sz w:val="24"/>
          <w:highlight w:val="none"/>
        </w:rPr>
        <w:t>生效，无转委托，</w:t>
      </w:r>
      <w:r>
        <w:rPr>
          <w:rFonts w:hint="eastAsia" w:ascii="宋体" w:hAnsi="宋体" w:eastAsia="宋体" w:cs="宋体"/>
          <w:color w:val="auto"/>
          <w:sz w:val="24"/>
          <w:highlight w:val="none"/>
        </w:rPr>
        <w:t>特此声明。</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8"/>
      </w:tblGrid>
      <w:tr w14:paraId="5F23E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20" w:hRule="atLeast"/>
          <w:jc w:val="center"/>
        </w:trPr>
        <w:tc>
          <w:tcPr>
            <w:tcW w:w="8228" w:type="dxa"/>
            <w:noWrap w:val="0"/>
            <w:vAlign w:val="top"/>
          </w:tcPr>
          <w:p w14:paraId="2CCBEC7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（※授权委托人身份证正、反面扫描件※）</w:t>
            </w:r>
          </w:p>
        </w:tc>
      </w:tr>
    </w:tbl>
    <w:p w14:paraId="02B186E0">
      <w:pPr>
        <w:spacing w:line="360" w:lineRule="auto"/>
        <w:ind w:firstLine="480"/>
        <w:rPr>
          <w:rFonts w:hint="eastAsia" w:ascii="宋体" w:hAnsi="宋体" w:eastAsia="宋体" w:cs="宋体"/>
          <w:color w:val="auto"/>
          <w:sz w:val="24"/>
          <w:highlight w:val="none"/>
        </w:rPr>
      </w:pPr>
    </w:p>
    <w:p w14:paraId="7E62C98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委托人（加盖单位公章）：</w:t>
      </w:r>
      <w:r>
        <w:rPr>
          <w:rFonts w:hint="eastAsia" w:ascii="宋体" w:hAnsi="宋体" w:eastAsia="宋体" w:cs="宋体"/>
          <w:color w:val="auto"/>
          <w:sz w:val="24"/>
          <w:highlight w:val="none"/>
          <w:u w:val="single"/>
        </w:rPr>
        <w:t xml:space="preserve">          </w:t>
      </w:r>
    </w:p>
    <w:p w14:paraId="48901F8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法定代表人（或非法人组织负责人）（签字或盖章）：</w:t>
      </w:r>
      <w:r>
        <w:rPr>
          <w:rFonts w:hint="eastAsia" w:ascii="宋体" w:hAnsi="宋体" w:eastAsia="宋体" w:cs="宋体"/>
          <w:color w:val="auto"/>
          <w:sz w:val="24"/>
          <w:highlight w:val="none"/>
          <w:u w:val="single"/>
        </w:rPr>
        <w:t xml:space="preserve">               </w:t>
      </w:r>
    </w:p>
    <w:p w14:paraId="7F1148C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授权委托人：（签字或盖章）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EF3977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详细通讯地址：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 ：</w:t>
      </w:r>
      <w:r>
        <w:rPr>
          <w:rFonts w:hint="eastAsia" w:ascii="宋体" w:hAnsi="宋体" w:eastAsia="宋体" w:cs="宋体"/>
          <w:color w:val="auto"/>
          <w:sz w:val="24"/>
          <w:highlight w:val="none"/>
          <w:u w:val="single"/>
        </w:rPr>
        <w:t xml:space="preserve">              </w:t>
      </w:r>
    </w:p>
    <w:p w14:paraId="547E36EF">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14:paraId="5FDCB416">
      <w:pPr>
        <w:tabs>
          <w:tab w:val="left" w:pos="5580"/>
        </w:tabs>
        <w:spacing w:line="360" w:lineRule="auto"/>
        <w:ind w:firstLine="480"/>
        <w:jc w:val="left"/>
        <w:rPr>
          <w:rFonts w:hint="eastAsia" w:ascii="宋体" w:hAnsi="宋体" w:eastAsia="宋体" w:cs="宋体"/>
          <w:i/>
          <w:color w:val="auto"/>
          <w:sz w:val="24"/>
          <w:szCs w:val="20"/>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8DF5A03">
      <w:pPr>
        <w:widowControl/>
        <w:jc w:val="left"/>
        <w:rPr>
          <w:rFonts w:hint="eastAsia" w:ascii="宋体" w:hAnsi="宋体" w:eastAsia="宋体" w:cs="宋体"/>
          <w:color w:val="auto"/>
          <w:sz w:val="24"/>
          <w:highlight w:val="none"/>
        </w:rPr>
      </w:pPr>
    </w:p>
    <w:p w14:paraId="75BE40B6">
      <w:pPr>
        <w:widowControl/>
        <w:jc w:val="left"/>
        <w:rPr>
          <w:rFonts w:hint="eastAsia" w:ascii="宋体" w:hAnsi="宋体" w:eastAsia="宋体" w:cs="宋体"/>
          <w:color w:val="auto"/>
          <w:sz w:val="24"/>
          <w:highlight w:val="none"/>
        </w:rPr>
      </w:pPr>
    </w:p>
    <w:p w14:paraId="00B4E4F2">
      <w:pPr>
        <w:widowControl/>
        <w:jc w:val="left"/>
        <w:rPr>
          <w:rFonts w:hint="eastAsia" w:ascii="宋体" w:hAnsi="宋体" w:eastAsia="宋体" w:cs="宋体"/>
          <w:color w:val="auto"/>
          <w:sz w:val="24"/>
          <w:highlight w:val="none"/>
        </w:rPr>
      </w:pPr>
    </w:p>
    <w:p w14:paraId="28960F6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3  政府采购供应商信用承诺书</w:t>
      </w:r>
      <w:r>
        <w:rPr>
          <w:rFonts w:hint="eastAsia" w:ascii="宋体" w:hAnsi="宋体" w:eastAsia="宋体" w:cs="宋体"/>
          <w:color w:val="auto"/>
          <w:sz w:val="24"/>
          <w:szCs w:val="20"/>
          <w:highlight w:val="none"/>
        </w:rPr>
        <w:t>（实质性格式）</w:t>
      </w:r>
    </w:p>
    <w:p w14:paraId="0483A9FF">
      <w:pPr>
        <w:ind w:firstLine="211"/>
        <w:jc w:val="center"/>
        <w:rPr>
          <w:rFonts w:hint="eastAsia" w:ascii="宋体" w:hAnsi="宋体" w:eastAsia="宋体" w:cs="宋体"/>
          <w:b/>
          <w:color w:val="auto"/>
          <w:szCs w:val="21"/>
          <w:highlight w:val="none"/>
        </w:rPr>
      </w:pPr>
    </w:p>
    <w:p w14:paraId="7B953348">
      <w:pPr>
        <w:spacing w:line="56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政府采购供应商信用承诺书</w:t>
      </w:r>
    </w:p>
    <w:p w14:paraId="3AE24190">
      <w:pPr>
        <w:ind w:firstLine="640"/>
        <w:rPr>
          <w:rFonts w:hint="eastAsia" w:ascii="宋体" w:hAnsi="宋体" w:eastAsia="宋体" w:cs="宋体"/>
          <w:color w:val="auto"/>
          <w:highlight w:val="none"/>
        </w:rPr>
      </w:pPr>
    </w:p>
    <w:p w14:paraId="212C3F32">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为维护公开、公平、公正的政府采购市场秩序，树立诚实守信的供应商形象，本单位在参与政府采购活动中,自愿作出以下承诺：</w:t>
      </w:r>
    </w:p>
    <w:p w14:paraId="084D2463">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一、严格遵守国家法律、法规和规章，全面履行应尽的责任和义务，全面做到履约守信，具备《政府采购法》第二十二条第一款规定的条件。</w:t>
      </w:r>
    </w:p>
    <w:p w14:paraId="6C02BAAC">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A293AB">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DD1E15D">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四、严格依法开展生产经营活动，主动接受行业监管，自愿接受依法开展的日常检查；违法失信经营后将自愿接受约束和惩戒，并依法承担相应责任。</w:t>
      </w:r>
    </w:p>
    <w:p w14:paraId="2C665E9C">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p>
    <w:p w14:paraId="2502A0D8">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7055B097">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七、承诺本单位在信用中国（江苏）网站中无违法违规、较重或严重失信记录。 </w:t>
      </w:r>
    </w:p>
    <w:p w14:paraId="7FC9D93A">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八、承诺本单位提出政府采购质疑和投诉坚持依法依规、诚实信用原则。</w:t>
      </w:r>
    </w:p>
    <w:p w14:paraId="62DE5F7E">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p>
    <w:p w14:paraId="24AC88F5">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十、承诺本单位若违背承诺约定，经查实，愿意接受行业主管部门和信用管理部门相应的规定处罚，承担违约责任，并依法承担相应的法律责任。</w:t>
      </w:r>
    </w:p>
    <w:p w14:paraId="2C037B8D">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十一、承诺本单位同意将以上承诺事项上网公示，违背承诺约定行为将作为失信信息，记录到常州市公共信用信息系统，并予以公开。</w:t>
      </w:r>
    </w:p>
    <w:p w14:paraId="10CBC3A6">
      <w:pPr>
        <w:pStyle w:val="438"/>
        <w:spacing w:line="276" w:lineRule="auto"/>
        <w:ind w:right="1050" w:firstLine="2880"/>
        <w:jc w:val="both"/>
        <w:rPr>
          <w:rFonts w:hint="eastAsia" w:ascii="宋体" w:hAnsi="宋体" w:eastAsia="宋体" w:cs="宋体"/>
          <w:color w:val="auto"/>
          <w:sz w:val="24"/>
          <w:szCs w:val="22"/>
          <w:highlight w:val="none"/>
        </w:rPr>
      </w:pPr>
    </w:p>
    <w:p w14:paraId="4037FC53">
      <w:pPr>
        <w:spacing w:before="25" w:after="25" w:line="360" w:lineRule="auto"/>
        <w:rPr>
          <w:rFonts w:hint="eastAsia" w:ascii="宋体" w:hAnsi="宋体" w:eastAsia="宋体" w:cs="宋体"/>
          <w:color w:val="auto"/>
          <w:sz w:val="24"/>
          <w:highlight w:val="none"/>
        </w:rPr>
      </w:pPr>
    </w:p>
    <w:p w14:paraId="38312347">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名称（加盖公章）</w:t>
      </w:r>
      <w:r>
        <w:rPr>
          <w:rFonts w:hint="eastAsia" w:ascii="宋体" w:hAnsi="宋体" w:eastAsia="宋体" w:cs="宋体"/>
          <w:color w:val="auto"/>
          <w:sz w:val="24"/>
          <w:highlight w:val="none"/>
          <w:lang w:val="zh-CN"/>
        </w:rPr>
        <w:t>：____________</w:t>
      </w:r>
    </w:p>
    <w:p w14:paraId="28B06DAA">
      <w:pPr>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szCs w:val="20"/>
          <w:highlight w:val="none"/>
        </w:rPr>
        <w:t>签字或签章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____________</w:t>
      </w:r>
    </w:p>
    <w:p w14:paraId="4BD86C3D">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3B52B14B">
      <w:pPr>
        <w:widowControl/>
        <w:jc w:val="left"/>
        <w:rPr>
          <w:rFonts w:hint="eastAsia" w:ascii="宋体" w:hAnsi="宋体" w:eastAsia="宋体" w:cs="宋体"/>
          <w:color w:val="auto"/>
          <w:sz w:val="24"/>
          <w:szCs w:val="20"/>
          <w:highlight w:val="none"/>
        </w:rPr>
      </w:pPr>
      <w:bookmarkStart w:id="729" w:name="_Hlt520343000"/>
      <w:bookmarkEnd w:id="729"/>
      <w:bookmarkStart w:id="730" w:name="_Hlt520274407"/>
      <w:bookmarkEnd w:id="730"/>
      <w:bookmarkStart w:id="731" w:name="_Hlt520271212"/>
      <w:bookmarkEnd w:id="731"/>
      <w:bookmarkStart w:id="732" w:name="_Hlt520355504"/>
      <w:bookmarkEnd w:id="732"/>
      <w:bookmarkStart w:id="733" w:name="_Hlt520273711"/>
      <w:bookmarkEnd w:id="733"/>
      <w:bookmarkStart w:id="734" w:name="_Hlt520350918"/>
      <w:bookmarkEnd w:id="734"/>
      <w:bookmarkStart w:id="735" w:name="_Hlt520274065"/>
      <w:bookmarkEnd w:id="735"/>
      <w:bookmarkStart w:id="736" w:name="_Hlt520274393"/>
      <w:bookmarkEnd w:id="736"/>
      <w:bookmarkStart w:id="737" w:name="_Hlt520343392"/>
      <w:bookmarkEnd w:id="737"/>
      <w:bookmarkStart w:id="738" w:name="_Hlt520274121"/>
      <w:bookmarkEnd w:id="738"/>
      <w:bookmarkStart w:id="739" w:name="_Toc520356218"/>
      <w:bookmarkStart w:id="740" w:name="_Toc150774762"/>
      <w:bookmarkStart w:id="741" w:name="_Toc142311059"/>
      <w:bookmarkStart w:id="742" w:name="_Toc226337253"/>
      <w:bookmarkStart w:id="743" w:name="_Toc264969247"/>
      <w:bookmarkStart w:id="744" w:name="_Toc226965830"/>
      <w:bookmarkStart w:id="745" w:name="_Ref467988705"/>
      <w:bookmarkStart w:id="746" w:name="_Toc480942350"/>
      <w:bookmarkStart w:id="747" w:name="_Toc305158899"/>
      <w:bookmarkStart w:id="748" w:name="_Toc127151557"/>
      <w:bookmarkStart w:id="749" w:name="_Toc150480795"/>
      <w:bookmarkStart w:id="750" w:name="_Toc305158825"/>
      <w:bookmarkStart w:id="751" w:name="_Toc265228395"/>
      <w:bookmarkStart w:id="752" w:name="_Toc226309801"/>
      <w:bookmarkStart w:id="753" w:name="_Toc226965747"/>
      <w:bookmarkStart w:id="754" w:name="_Toc195842922"/>
      <w:r>
        <w:rPr>
          <w:rFonts w:hint="eastAsia" w:ascii="宋体" w:hAnsi="宋体" w:eastAsia="宋体" w:cs="宋体"/>
          <w:color w:val="auto"/>
          <w:sz w:val="24"/>
          <w:szCs w:val="20"/>
          <w:highlight w:val="none"/>
        </w:rPr>
        <w:br w:type="page" w:clear="all"/>
      </w:r>
    </w:p>
    <w:p w14:paraId="354280B9">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  开标一览表</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rFonts w:hint="eastAsia" w:ascii="宋体" w:hAnsi="宋体" w:eastAsia="宋体" w:cs="宋体"/>
          <w:color w:val="auto"/>
          <w:sz w:val="24"/>
          <w:szCs w:val="20"/>
          <w:highlight w:val="none"/>
        </w:rPr>
        <w:t>（实质性格式）</w:t>
      </w:r>
    </w:p>
    <w:p w14:paraId="408C65AE">
      <w:pPr>
        <w:spacing w:line="360" w:lineRule="exact"/>
        <w:jc w:val="center"/>
        <w:rPr>
          <w:rFonts w:hint="eastAsia" w:ascii="宋体" w:hAnsi="宋体" w:eastAsia="宋体" w:cs="宋体"/>
          <w:b/>
          <w:color w:val="auto"/>
          <w:sz w:val="36"/>
          <w:szCs w:val="36"/>
          <w:highlight w:val="none"/>
        </w:rPr>
      </w:pPr>
      <w:bookmarkStart w:id="755" w:name="_Toc305158900"/>
      <w:bookmarkStart w:id="756" w:name="_Toc265228396"/>
      <w:bookmarkStart w:id="757" w:name="_Toc164608827"/>
      <w:bookmarkStart w:id="758" w:name="_Toc226965748"/>
      <w:bookmarkStart w:id="759" w:name="_Toc226337254"/>
      <w:bookmarkStart w:id="760" w:name="_Toc305158826"/>
      <w:bookmarkStart w:id="761" w:name="_Toc164608672"/>
      <w:bookmarkStart w:id="762" w:name="_Toc264969248"/>
      <w:bookmarkStart w:id="763" w:name="_Toc195842923"/>
      <w:bookmarkStart w:id="764" w:name="_Toc226965831"/>
      <w:bookmarkStart w:id="765" w:name="_Toc226309802"/>
    </w:p>
    <w:p w14:paraId="04100CD4">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开标一览表</w:t>
      </w:r>
      <w:bookmarkEnd w:id="755"/>
      <w:bookmarkEnd w:id="756"/>
      <w:bookmarkEnd w:id="757"/>
      <w:bookmarkEnd w:id="758"/>
      <w:bookmarkEnd w:id="759"/>
      <w:bookmarkEnd w:id="760"/>
      <w:bookmarkEnd w:id="761"/>
      <w:bookmarkEnd w:id="762"/>
      <w:bookmarkEnd w:id="763"/>
      <w:bookmarkEnd w:id="764"/>
      <w:bookmarkEnd w:id="765"/>
    </w:p>
    <w:p w14:paraId="791C2C85">
      <w:pPr>
        <w:tabs>
          <w:tab w:val="left" w:pos="1800"/>
          <w:tab w:val="left" w:pos="5580"/>
        </w:tabs>
        <w:spacing w:line="360" w:lineRule="auto"/>
        <w:jc w:val="left"/>
        <w:rPr>
          <w:rFonts w:hint="eastAsia" w:ascii="宋体" w:hAnsi="宋体" w:eastAsia="宋体" w:cs="宋体"/>
          <w:i/>
          <w:color w:val="auto"/>
          <w:sz w:val="24"/>
          <w:highlight w:val="none"/>
        </w:rPr>
      </w:pPr>
    </w:p>
    <w:p w14:paraId="3E781DEA">
      <w:pPr>
        <w:tabs>
          <w:tab w:val="left" w:pos="1800"/>
          <w:tab w:val="left" w:pos="5580"/>
        </w:tabs>
        <w:spacing w:line="360" w:lineRule="auto"/>
        <w:ind w:firstLine="24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项目编号/包号：_____________________     项目名称：____________</w:t>
      </w:r>
    </w:p>
    <w:tbl>
      <w:tblPr>
        <w:tblStyle w:val="30"/>
        <w:tblW w:w="46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09"/>
        <w:gridCol w:w="4149"/>
        <w:gridCol w:w="1187"/>
        <w:gridCol w:w="2928"/>
      </w:tblGrid>
      <w:tr w14:paraId="1A497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jc w:val="center"/>
        </w:trPr>
        <w:tc>
          <w:tcPr>
            <w:tcW w:w="409" w:type="dxa"/>
            <w:vMerge w:val="restart"/>
            <w:noWrap w:val="0"/>
            <w:vAlign w:val="center"/>
          </w:tcPr>
          <w:p w14:paraId="1CF2897B">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217" w:type="dxa"/>
            <w:vMerge w:val="restart"/>
            <w:noWrap w:val="0"/>
            <w:vAlign w:val="center"/>
          </w:tcPr>
          <w:p w14:paraId="52CC63AA">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报价内容</w:t>
            </w:r>
          </w:p>
        </w:tc>
        <w:tc>
          <w:tcPr>
            <w:tcW w:w="4115" w:type="dxa"/>
            <w:gridSpan w:val="2"/>
            <w:noWrap w:val="0"/>
            <w:vAlign w:val="center"/>
          </w:tcPr>
          <w:p w14:paraId="5A3AB109">
            <w:pPr>
              <w:tabs>
                <w:tab w:val="left" w:pos="5580"/>
              </w:tabs>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投标报价</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元</w:t>
            </w:r>
            <w:r>
              <w:rPr>
                <w:rFonts w:hint="eastAsia" w:ascii="宋体" w:hAnsi="宋体" w:eastAsia="宋体" w:cs="宋体"/>
                <w:b/>
                <w:color w:val="auto"/>
                <w:sz w:val="24"/>
                <w:highlight w:val="none"/>
                <w:lang w:eastAsia="zh-CN"/>
              </w:rPr>
              <w:t>）</w:t>
            </w:r>
          </w:p>
        </w:tc>
      </w:tr>
      <w:tr w14:paraId="506F6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409" w:type="dxa"/>
            <w:vMerge w:val="continue"/>
            <w:noWrap w:val="0"/>
            <w:vAlign w:val="center"/>
          </w:tcPr>
          <w:p w14:paraId="2213263E">
            <w:pPr>
              <w:tabs>
                <w:tab w:val="left" w:pos="5580"/>
              </w:tabs>
              <w:jc w:val="center"/>
              <w:rPr>
                <w:rFonts w:hint="eastAsia" w:ascii="宋体" w:hAnsi="宋体" w:eastAsia="宋体" w:cs="宋体"/>
                <w:color w:val="auto"/>
                <w:sz w:val="24"/>
                <w:highlight w:val="none"/>
              </w:rPr>
            </w:pPr>
          </w:p>
        </w:tc>
        <w:tc>
          <w:tcPr>
            <w:tcW w:w="2217" w:type="dxa"/>
            <w:vMerge w:val="continue"/>
            <w:noWrap w:val="0"/>
            <w:vAlign w:val="center"/>
          </w:tcPr>
          <w:p w14:paraId="7425A153">
            <w:pPr>
              <w:tabs>
                <w:tab w:val="left" w:pos="5580"/>
              </w:tabs>
              <w:jc w:val="center"/>
              <w:rPr>
                <w:rFonts w:hint="eastAsia" w:ascii="宋体" w:hAnsi="宋体" w:eastAsia="宋体" w:cs="宋体"/>
                <w:color w:val="auto"/>
                <w:sz w:val="24"/>
                <w:highlight w:val="none"/>
              </w:rPr>
            </w:pPr>
          </w:p>
        </w:tc>
        <w:tc>
          <w:tcPr>
            <w:tcW w:w="1187" w:type="dxa"/>
            <w:noWrap w:val="0"/>
            <w:vAlign w:val="center"/>
          </w:tcPr>
          <w:p w14:paraId="123729A5">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大写</w:t>
            </w:r>
          </w:p>
        </w:tc>
        <w:tc>
          <w:tcPr>
            <w:tcW w:w="1185" w:type="dxa"/>
            <w:noWrap w:val="0"/>
            <w:vAlign w:val="center"/>
          </w:tcPr>
          <w:p w14:paraId="339ACF85">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小写</w:t>
            </w:r>
          </w:p>
        </w:tc>
      </w:tr>
      <w:tr w14:paraId="55CBC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09" w:type="dxa"/>
            <w:noWrap w:val="0"/>
            <w:vAlign w:val="center"/>
          </w:tcPr>
          <w:p w14:paraId="26565821">
            <w:pPr>
              <w:tabs>
                <w:tab w:val="left" w:pos="5580"/>
              </w:tabs>
              <w:jc w:val="center"/>
              <w:rPr>
                <w:rFonts w:hint="eastAsia" w:ascii="宋体" w:hAnsi="宋体" w:eastAsia="宋体" w:cs="宋体"/>
                <w:color w:val="auto"/>
                <w:sz w:val="24"/>
                <w:highlight w:val="none"/>
              </w:rPr>
            </w:pPr>
          </w:p>
        </w:tc>
        <w:tc>
          <w:tcPr>
            <w:tcW w:w="2217" w:type="dxa"/>
            <w:noWrap w:val="0"/>
            <w:vAlign w:val="center"/>
          </w:tcPr>
          <w:p w14:paraId="495591ED">
            <w:pPr>
              <w:tabs>
                <w:tab w:val="left" w:pos="5580"/>
              </w:tabs>
              <w:jc w:val="center"/>
              <w:rPr>
                <w:rFonts w:hint="eastAsia" w:ascii="宋体" w:hAnsi="宋体" w:eastAsia="宋体" w:cs="宋体"/>
                <w:color w:val="auto"/>
                <w:sz w:val="24"/>
                <w:highlight w:val="none"/>
              </w:rPr>
            </w:pPr>
          </w:p>
        </w:tc>
        <w:tc>
          <w:tcPr>
            <w:tcW w:w="1187" w:type="dxa"/>
            <w:noWrap w:val="0"/>
            <w:vAlign w:val="center"/>
          </w:tcPr>
          <w:p w14:paraId="2D73C8E4">
            <w:pPr>
              <w:tabs>
                <w:tab w:val="left" w:pos="5580"/>
              </w:tabs>
              <w:jc w:val="center"/>
              <w:rPr>
                <w:rFonts w:hint="eastAsia" w:ascii="宋体" w:hAnsi="宋体" w:eastAsia="宋体" w:cs="宋体"/>
                <w:color w:val="auto"/>
                <w:sz w:val="24"/>
                <w:highlight w:val="none"/>
              </w:rPr>
            </w:pPr>
          </w:p>
        </w:tc>
        <w:tc>
          <w:tcPr>
            <w:tcW w:w="1185" w:type="dxa"/>
            <w:noWrap w:val="0"/>
            <w:vAlign w:val="center"/>
          </w:tcPr>
          <w:p w14:paraId="21238BA5">
            <w:pPr>
              <w:tabs>
                <w:tab w:val="left" w:pos="5580"/>
              </w:tabs>
              <w:jc w:val="center"/>
              <w:rPr>
                <w:rFonts w:hint="eastAsia" w:ascii="宋体" w:hAnsi="宋体" w:eastAsia="宋体" w:cs="宋体"/>
                <w:color w:val="auto"/>
                <w:sz w:val="24"/>
                <w:highlight w:val="none"/>
              </w:rPr>
            </w:pPr>
          </w:p>
        </w:tc>
      </w:tr>
      <w:tr w14:paraId="3510D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558" w:type="dxa"/>
            <w:gridSpan w:val="2"/>
            <w:noWrap w:val="0"/>
            <w:vAlign w:val="center"/>
          </w:tcPr>
          <w:p w14:paraId="7E33AC08">
            <w:pPr>
              <w:tabs>
                <w:tab w:val="left" w:pos="5580"/>
              </w:tabs>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项目负责人</w:t>
            </w:r>
          </w:p>
        </w:tc>
        <w:tc>
          <w:tcPr>
            <w:tcW w:w="4115" w:type="dxa"/>
            <w:gridSpan w:val="2"/>
            <w:noWrap w:val="0"/>
            <w:vAlign w:val="center"/>
          </w:tcPr>
          <w:p w14:paraId="411F41A5">
            <w:pPr>
              <w:tabs>
                <w:tab w:val="left" w:pos="5580"/>
              </w:tabs>
              <w:jc w:val="center"/>
              <w:rPr>
                <w:rFonts w:hint="eastAsia" w:ascii="宋体" w:hAnsi="宋体" w:eastAsia="宋体" w:cs="宋体"/>
                <w:color w:val="auto"/>
                <w:sz w:val="24"/>
                <w:highlight w:val="none"/>
              </w:rPr>
            </w:pPr>
          </w:p>
        </w:tc>
      </w:tr>
    </w:tbl>
    <w:p w14:paraId="209B730F">
      <w:pPr>
        <w:jc w:val="left"/>
        <w:rPr>
          <w:rFonts w:hint="eastAsia" w:ascii="宋体" w:hAnsi="宋体" w:eastAsia="宋体" w:cs="宋体"/>
          <w:color w:val="auto"/>
          <w:sz w:val="24"/>
          <w:highlight w:val="none"/>
        </w:rPr>
      </w:pPr>
    </w:p>
    <w:p w14:paraId="20F8BA49">
      <w:pPr>
        <w:tabs>
          <w:tab w:val="left" w:pos="5580"/>
        </w:tabs>
        <w:spacing w:line="360" w:lineRule="auto"/>
        <w:ind w:firstLine="480"/>
        <w:rPr>
          <w:rFonts w:hint="eastAsia" w:ascii="宋体" w:hAnsi="宋体" w:eastAsia="宋体" w:cs="宋体"/>
          <w:color w:val="auto"/>
          <w:sz w:val="24"/>
          <w:szCs w:val="20"/>
          <w:highlight w:val="none"/>
        </w:rPr>
      </w:pPr>
    </w:p>
    <w:p w14:paraId="4EF29FA0">
      <w:pPr>
        <w:spacing w:before="25" w:after="25" w:line="360" w:lineRule="auto"/>
        <w:rPr>
          <w:rFonts w:hint="eastAsia" w:ascii="宋体" w:hAnsi="宋体" w:eastAsia="宋体" w:cs="宋体"/>
          <w:color w:val="auto"/>
          <w:sz w:val="24"/>
          <w:highlight w:val="none"/>
          <w:lang w:val="zh-CN"/>
        </w:rPr>
      </w:pPr>
    </w:p>
    <w:p w14:paraId="339285DC">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4769BDA0">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03A2A945">
      <w:pPr>
        <w:widowControl/>
        <w:spacing w:line="480" w:lineRule="auto"/>
        <w:jc w:val="left"/>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5A21BB53">
      <w:pPr>
        <w:rPr>
          <w:rFonts w:hint="eastAsia" w:ascii="宋体" w:hAnsi="宋体" w:eastAsia="宋体" w:cs="宋体"/>
          <w:color w:val="auto"/>
          <w:sz w:val="24"/>
          <w:szCs w:val="20"/>
          <w:highlight w:val="none"/>
        </w:rPr>
      </w:pPr>
      <w:bookmarkStart w:id="766" w:name="_Toc195842924"/>
      <w:bookmarkStart w:id="767" w:name="_Toc226337255"/>
      <w:bookmarkStart w:id="768" w:name="_Toc150774763"/>
      <w:bookmarkStart w:id="769" w:name="_Toc226965749"/>
      <w:bookmarkStart w:id="770" w:name="_Toc305158827"/>
      <w:bookmarkStart w:id="771" w:name="_Toc127151558"/>
      <w:bookmarkStart w:id="772" w:name="_Toc265228397"/>
      <w:bookmarkStart w:id="773" w:name="_Toc150480796"/>
      <w:bookmarkStart w:id="774" w:name="_Toc142311060"/>
      <w:bookmarkStart w:id="775" w:name="_Toc226965832"/>
      <w:bookmarkStart w:id="776" w:name="_Toc226309803"/>
      <w:bookmarkStart w:id="777" w:name="_Toc264969249"/>
      <w:bookmarkStart w:id="778" w:name="_Toc305158901"/>
    </w:p>
    <w:p w14:paraId="625A28ED">
      <w:pPr>
        <w:rPr>
          <w:rFonts w:hint="eastAsia" w:ascii="宋体" w:hAnsi="宋体" w:eastAsia="宋体" w:cs="宋体"/>
          <w:color w:val="auto"/>
          <w:sz w:val="24"/>
          <w:szCs w:val="20"/>
          <w:highlight w:val="none"/>
        </w:rPr>
      </w:pPr>
    </w:p>
    <w:p w14:paraId="2B25ADC9">
      <w:pPr>
        <w:rPr>
          <w:rFonts w:hint="eastAsia" w:ascii="宋体" w:hAnsi="宋体" w:eastAsia="宋体" w:cs="宋体"/>
          <w:color w:val="auto"/>
          <w:sz w:val="24"/>
          <w:szCs w:val="20"/>
          <w:highlight w:val="none"/>
        </w:rPr>
      </w:pPr>
    </w:p>
    <w:p w14:paraId="7E378E37">
      <w:pPr>
        <w:rPr>
          <w:rFonts w:hint="eastAsia" w:ascii="宋体" w:hAnsi="宋体" w:eastAsia="宋体" w:cs="宋体"/>
          <w:color w:val="auto"/>
          <w:sz w:val="24"/>
          <w:szCs w:val="20"/>
          <w:highlight w:val="none"/>
        </w:rPr>
      </w:pPr>
    </w:p>
    <w:p w14:paraId="4638997A">
      <w:pPr>
        <w:rPr>
          <w:rFonts w:hint="eastAsia" w:ascii="宋体" w:hAnsi="宋体" w:eastAsia="宋体" w:cs="宋体"/>
          <w:color w:val="auto"/>
          <w:sz w:val="24"/>
          <w:szCs w:val="20"/>
          <w:highlight w:val="none"/>
        </w:rPr>
      </w:pPr>
    </w:p>
    <w:p w14:paraId="08DE33E1">
      <w:pPr>
        <w:rPr>
          <w:rFonts w:hint="eastAsia" w:ascii="宋体" w:hAnsi="宋体" w:eastAsia="宋体" w:cs="宋体"/>
          <w:color w:val="auto"/>
          <w:sz w:val="24"/>
          <w:szCs w:val="20"/>
          <w:highlight w:val="none"/>
        </w:rPr>
      </w:pPr>
    </w:p>
    <w:p w14:paraId="1C389FC0">
      <w:pPr>
        <w:rPr>
          <w:rFonts w:hint="eastAsia" w:ascii="宋体" w:hAnsi="宋体" w:eastAsia="宋体" w:cs="宋体"/>
          <w:color w:val="auto"/>
          <w:sz w:val="24"/>
          <w:szCs w:val="20"/>
          <w:highlight w:val="none"/>
        </w:rPr>
      </w:pPr>
    </w:p>
    <w:p w14:paraId="38935B20">
      <w:pPr>
        <w:rPr>
          <w:rFonts w:hint="eastAsia" w:ascii="宋体" w:hAnsi="宋体" w:eastAsia="宋体" w:cs="宋体"/>
          <w:color w:val="auto"/>
          <w:sz w:val="24"/>
          <w:szCs w:val="20"/>
          <w:highlight w:val="none"/>
        </w:rPr>
      </w:pPr>
    </w:p>
    <w:p w14:paraId="2419D326">
      <w:pPr>
        <w:rPr>
          <w:rFonts w:hint="eastAsia" w:ascii="宋体" w:hAnsi="宋体" w:eastAsia="宋体" w:cs="宋体"/>
          <w:color w:val="auto"/>
          <w:sz w:val="24"/>
          <w:szCs w:val="20"/>
          <w:highlight w:val="none"/>
        </w:rPr>
      </w:pPr>
    </w:p>
    <w:p w14:paraId="4C2C2C6E">
      <w:pPr>
        <w:rPr>
          <w:rFonts w:hint="eastAsia" w:ascii="宋体" w:hAnsi="宋体" w:eastAsia="宋体" w:cs="宋体"/>
          <w:color w:val="auto"/>
          <w:sz w:val="24"/>
          <w:szCs w:val="20"/>
          <w:highlight w:val="none"/>
        </w:rPr>
      </w:pPr>
    </w:p>
    <w:p w14:paraId="3D5B3D0C">
      <w:pPr>
        <w:rPr>
          <w:rFonts w:hint="eastAsia" w:ascii="宋体" w:hAnsi="宋体" w:eastAsia="宋体" w:cs="宋体"/>
          <w:color w:val="auto"/>
          <w:sz w:val="24"/>
          <w:szCs w:val="20"/>
          <w:highlight w:val="none"/>
        </w:rPr>
      </w:pPr>
    </w:p>
    <w:p w14:paraId="04125B1A">
      <w:pPr>
        <w:rPr>
          <w:rFonts w:hint="eastAsia" w:ascii="宋体" w:hAnsi="宋体" w:eastAsia="宋体" w:cs="宋体"/>
          <w:color w:val="auto"/>
          <w:sz w:val="24"/>
          <w:szCs w:val="20"/>
          <w:highlight w:val="none"/>
        </w:rPr>
      </w:pPr>
    </w:p>
    <w:p w14:paraId="1DBBE7C8">
      <w:pPr>
        <w:rPr>
          <w:rFonts w:hint="eastAsia" w:ascii="宋体" w:hAnsi="宋体" w:eastAsia="宋体" w:cs="宋体"/>
          <w:color w:val="auto"/>
          <w:sz w:val="24"/>
          <w:szCs w:val="20"/>
          <w:highlight w:val="none"/>
        </w:rPr>
      </w:pPr>
    </w:p>
    <w:p w14:paraId="41DC80F9">
      <w:pPr>
        <w:rPr>
          <w:rFonts w:hint="eastAsia" w:ascii="宋体" w:hAnsi="宋体" w:eastAsia="宋体" w:cs="宋体"/>
          <w:color w:val="auto"/>
          <w:sz w:val="24"/>
          <w:szCs w:val="20"/>
          <w:highlight w:val="none"/>
        </w:rPr>
      </w:pPr>
    </w:p>
    <w:p w14:paraId="5538F712">
      <w:pPr>
        <w:rPr>
          <w:rFonts w:hint="eastAsia" w:ascii="宋体" w:hAnsi="宋体" w:eastAsia="宋体" w:cs="宋体"/>
          <w:color w:val="auto"/>
          <w:sz w:val="24"/>
          <w:szCs w:val="20"/>
          <w:highlight w:val="none"/>
        </w:rPr>
      </w:pPr>
    </w:p>
    <w:p w14:paraId="5BCABE58">
      <w:pPr>
        <w:rPr>
          <w:rFonts w:hint="eastAsia" w:ascii="宋体" w:hAnsi="宋体" w:eastAsia="宋体" w:cs="宋体"/>
          <w:color w:val="auto"/>
          <w:sz w:val="24"/>
          <w:szCs w:val="20"/>
          <w:highlight w:val="none"/>
        </w:rPr>
      </w:pPr>
    </w:p>
    <w:bookmarkEnd w:id="766"/>
    <w:bookmarkEnd w:id="767"/>
    <w:bookmarkEnd w:id="768"/>
    <w:bookmarkEnd w:id="769"/>
    <w:bookmarkEnd w:id="770"/>
    <w:bookmarkEnd w:id="771"/>
    <w:bookmarkEnd w:id="772"/>
    <w:bookmarkEnd w:id="773"/>
    <w:bookmarkEnd w:id="774"/>
    <w:bookmarkEnd w:id="775"/>
    <w:bookmarkEnd w:id="776"/>
    <w:bookmarkEnd w:id="777"/>
    <w:bookmarkEnd w:id="778"/>
    <w:p w14:paraId="0C058A89">
      <w:pPr>
        <w:spacing w:line="360" w:lineRule="auto"/>
        <w:jc w:val="left"/>
        <w:outlineLvl w:val="2"/>
        <w:rPr>
          <w:rFonts w:hint="eastAsia" w:ascii="宋体" w:hAnsi="宋体" w:eastAsia="宋体" w:cs="宋体"/>
          <w:color w:val="auto"/>
          <w:sz w:val="24"/>
          <w:szCs w:val="20"/>
          <w:highlight w:val="none"/>
        </w:rPr>
      </w:pPr>
      <w:bookmarkStart w:id="779" w:name="_Toc150774765"/>
      <w:bookmarkStart w:id="780" w:name="_Toc226965752"/>
      <w:bookmarkStart w:id="781" w:name="_Toc305158904"/>
      <w:bookmarkStart w:id="782" w:name="_Toc226337258"/>
      <w:bookmarkStart w:id="783" w:name="_Toc305158830"/>
      <w:bookmarkStart w:id="784" w:name="_Toc265228400"/>
      <w:bookmarkStart w:id="785" w:name="_Toc142311062"/>
      <w:bookmarkStart w:id="786" w:name="_Toc226309806"/>
      <w:bookmarkStart w:id="787" w:name="_Toc264969252"/>
      <w:bookmarkStart w:id="788" w:name="_Toc195842927"/>
      <w:bookmarkStart w:id="789" w:name="_Toc226965835"/>
      <w:bookmarkStart w:id="790" w:name="_Toc150480798"/>
      <w:bookmarkStart w:id="791" w:name="_Toc127151562"/>
      <w:bookmarkStart w:id="792" w:name="_Toc142311061"/>
      <w:bookmarkStart w:id="793" w:name="_Toc150774764"/>
      <w:bookmarkStart w:id="794" w:name="_Toc305158903"/>
      <w:bookmarkStart w:id="795" w:name="_Toc264969251"/>
      <w:bookmarkStart w:id="796" w:name="_Toc150480797"/>
      <w:bookmarkStart w:id="797" w:name="_Toc265228399"/>
      <w:bookmarkStart w:id="798" w:name="_Toc305158829"/>
      <w:bookmarkStart w:id="799" w:name="_Toc127151561"/>
      <w:bookmarkStart w:id="800" w:name="_Toc226309805"/>
      <w:bookmarkStart w:id="801" w:name="_Toc226965751"/>
      <w:bookmarkStart w:id="802" w:name="_Toc226337257"/>
      <w:bookmarkStart w:id="803" w:name="_Toc195842926"/>
      <w:bookmarkStart w:id="804" w:name="_Toc226965834"/>
      <w:r>
        <w:rPr>
          <w:rFonts w:hint="eastAsia" w:ascii="宋体" w:hAnsi="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  </w:t>
      </w:r>
      <w:bookmarkEnd w:id="779"/>
      <w:bookmarkEnd w:id="780"/>
      <w:bookmarkEnd w:id="781"/>
      <w:bookmarkEnd w:id="782"/>
      <w:bookmarkEnd w:id="783"/>
      <w:bookmarkEnd w:id="784"/>
      <w:bookmarkEnd w:id="785"/>
      <w:bookmarkEnd w:id="786"/>
      <w:bookmarkEnd w:id="787"/>
      <w:bookmarkEnd w:id="788"/>
      <w:bookmarkEnd w:id="789"/>
      <w:bookmarkEnd w:id="790"/>
      <w:bookmarkEnd w:id="791"/>
      <w:r>
        <w:rPr>
          <w:rFonts w:hint="eastAsia" w:ascii="宋体" w:hAnsi="宋体" w:eastAsia="宋体" w:cs="宋体"/>
          <w:color w:val="auto"/>
          <w:sz w:val="24"/>
          <w:szCs w:val="20"/>
          <w:highlight w:val="none"/>
        </w:rPr>
        <w:t>技术要求响应及偏离表（实质性格式）</w:t>
      </w:r>
    </w:p>
    <w:p w14:paraId="6EC3C91F">
      <w:pPr>
        <w:spacing w:line="360" w:lineRule="auto"/>
        <w:rPr>
          <w:rFonts w:hint="eastAsia" w:ascii="宋体" w:hAnsi="宋体" w:eastAsia="宋体" w:cs="宋体"/>
          <w:color w:val="auto"/>
          <w:sz w:val="24"/>
          <w:szCs w:val="20"/>
          <w:highlight w:val="none"/>
        </w:rPr>
      </w:pPr>
    </w:p>
    <w:p w14:paraId="5F9509F9">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技术要求响应及偏离表</w:t>
      </w:r>
    </w:p>
    <w:p w14:paraId="7853DBF5">
      <w:pPr>
        <w:spacing w:line="360" w:lineRule="auto"/>
        <w:rPr>
          <w:rFonts w:hint="eastAsia" w:ascii="宋体" w:hAnsi="宋体" w:eastAsia="宋体" w:cs="宋体"/>
          <w:color w:val="auto"/>
          <w:sz w:val="24"/>
          <w:szCs w:val="20"/>
          <w:highlight w:val="none"/>
        </w:rPr>
      </w:pPr>
    </w:p>
    <w:p w14:paraId="4A3CBCC1">
      <w:pPr>
        <w:tabs>
          <w:tab w:val="left" w:pos="1800"/>
          <w:tab w:val="left" w:pos="5580"/>
        </w:tabs>
        <w:spacing w:line="360" w:lineRule="auto"/>
        <w:ind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项目编号/包号：_____________________     项目名称：_____________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06107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noWrap w:val="0"/>
            <w:vAlign w:val="center"/>
          </w:tcPr>
          <w:p w14:paraId="34E4B20F">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对本项目技术要求的偏离情况（请进行勾选）：</w:t>
            </w:r>
          </w:p>
          <w:p w14:paraId="5007386E">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□无偏离</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如无偏离，仅勾选无偏离即可</w:t>
            </w:r>
            <w:r>
              <w:rPr>
                <w:rFonts w:hint="eastAsia" w:ascii="宋体" w:hAnsi="宋体" w:eastAsia="宋体" w:cs="宋体"/>
                <w:color w:val="auto"/>
                <w:sz w:val="24"/>
                <w:highlight w:val="none"/>
              </w:rPr>
              <w:t>）</w:t>
            </w:r>
          </w:p>
          <w:p w14:paraId="0A2E6EDA">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□有偏离</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如有偏离，</w:t>
            </w:r>
            <w:r>
              <w:rPr>
                <w:rFonts w:hint="eastAsia" w:ascii="宋体" w:hAnsi="宋体" w:eastAsia="宋体" w:cs="宋体"/>
                <w:color w:val="auto"/>
                <w:sz w:val="24"/>
                <w:highlight w:val="none"/>
              </w:rPr>
              <w:t>则应在本表中对偏离项逐一列明）</w:t>
            </w:r>
          </w:p>
        </w:tc>
      </w:tr>
      <w:tr w14:paraId="6C521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50A9DF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301" w:type="dxa"/>
            <w:noWrap w:val="0"/>
            <w:vAlign w:val="center"/>
          </w:tcPr>
          <w:p w14:paraId="77A33D59">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招标文件</w:t>
            </w:r>
            <w:r>
              <w:rPr>
                <w:rFonts w:hint="eastAsia" w:ascii="宋体" w:hAnsi="宋体" w:eastAsia="宋体" w:cs="宋体"/>
                <w:color w:val="auto"/>
                <w:sz w:val="24"/>
                <w:highlight w:val="none"/>
              </w:rPr>
              <w:t>条目号（页码）</w:t>
            </w:r>
          </w:p>
        </w:tc>
        <w:tc>
          <w:tcPr>
            <w:tcW w:w="2007" w:type="dxa"/>
            <w:noWrap w:val="0"/>
            <w:vAlign w:val="center"/>
          </w:tcPr>
          <w:p w14:paraId="1A31B1BB">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招标文件</w:t>
            </w:r>
            <w:r>
              <w:rPr>
                <w:rFonts w:hint="eastAsia" w:ascii="宋体" w:hAnsi="宋体" w:eastAsia="宋体" w:cs="宋体"/>
                <w:color w:val="auto"/>
                <w:sz w:val="24"/>
                <w:highlight w:val="none"/>
              </w:rPr>
              <w:t>要求</w:t>
            </w:r>
          </w:p>
        </w:tc>
        <w:tc>
          <w:tcPr>
            <w:tcW w:w="2008" w:type="dxa"/>
            <w:noWrap w:val="0"/>
            <w:vAlign w:val="center"/>
          </w:tcPr>
          <w:p w14:paraId="3FB150B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投标文件内容</w:t>
            </w:r>
          </w:p>
        </w:tc>
        <w:tc>
          <w:tcPr>
            <w:tcW w:w="2458" w:type="dxa"/>
            <w:noWrap w:val="0"/>
            <w:vAlign w:val="center"/>
          </w:tcPr>
          <w:p w14:paraId="2467FB5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788" w:type="dxa"/>
            <w:noWrap w:val="0"/>
            <w:vAlign w:val="center"/>
          </w:tcPr>
          <w:p w14:paraId="7310404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03814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D54D5CE">
            <w:pPr>
              <w:jc w:val="center"/>
              <w:rPr>
                <w:rFonts w:hint="eastAsia" w:ascii="宋体" w:hAnsi="宋体" w:eastAsia="宋体" w:cs="宋体"/>
                <w:color w:val="auto"/>
                <w:sz w:val="24"/>
                <w:highlight w:val="none"/>
              </w:rPr>
            </w:pPr>
          </w:p>
        </w:tc>
        <w:tc>
          <w:tcPr>
            <w:tcW w:w="1301" w:type="dxa"/>
            <w:noWrap w:val="0"/>
            <w:vAlign w:val="center"/>
          </w:tcPr>
          <w:p w14:paraId="23A70F35">
            <w:pPr>
              <w:jc w:val="center"/>
              <w:rPr>
                <w:rFonts w:hint="eastAsia" w:ascii="宋体" w:hAnsi="宋体" w:eastAsia="宋体" w:cs="宋体"/>
                <w:color w:val="auto"/>
                <w:sz w:val="24"/>
                <w:highlight w:val="none"/>
              </w:rPr>
            </w:pPr>
          </w:p>
        </w:tc>
        <w:tc>
          <w:tcPr>
            <w:tcW w:w="2007" w:type="dxa"/>
            <w:noWrap w:val="0"/>
            <w:vAlign w:val="center"/>
          </w:tcPr>
          <w:p w14:paraId="4979AE82">
            <w:pPr>
              <w:jc w:val="center"/>
              <w:rPr>
                <w:rFonts w:hint="eastAsia" w:ascii="宋体" w:hAnsi="宋体" w:eastAsia="宋体" w:cs="宋体"/>
                <w:color w:val="auto"/>
                <w:sz w:val="24"/>
                <w:highlight w:val="none"/>
              </w:rPr>
            </w:pPr>
          </w:p>
        </w:tc>
        <w:tc>
          <w:tcPr>
            <w:tcW w:w="2008" w:type="dxa"/>
            <w:noWrap w:val="0"/>
            <w:vAlign w:val="center"/>
          </w:tcPr>
          <w:p w14:paraId="5CC39E0E">
            <w:pPr>
              <w:jc w:val="center"/>
              <w:rPr>
                <w:rFonts w:hint="eastAsia" w:ascii="宋体" w:hAnsi="宋体" w:eastAsia="宋体" w:cs="宋体"/>
                <w:color w:val="auto"/>
                <w:sz w:val="24"/>
                <w:highlight w:val="none"/>
              </w:rPr>
            </w:pPr>
          </w:p>
        </w:tc>
        <w:tc>
          <w:tcPr>
            <w:tcW w:w="2458" w:type="dxa"/>
            <w:noWrap w:val="0"/>
            <w:vAlign w:val="center"/>
          </w:tcPr>
          <w:p w14:paraId="4E6C89DC">
            <w:pPr>
              <w:jc w:val="center"/>
              <w:rPr>
                <w:rFonts w:hint="eastAsia" w:ascii="宋体" w:hAnsi="宋体" w:eastAsia="宋体" w:cs="宋体"/>
                <w:color w:val="auto"/>
                <w:sz w:val="24"/>
                <w:highlight w:val="none"/>
              </w:rPr>
            </w:pPr>
          </w:p>
        </w:tc>
        <w:tc>
          <w:tcPr>
            <w:tcW w:w="788" w:type="dxa"/>
            <w:noWrap w:val="0"/>
            <w:vAlign w:val="center"/>
          </w:tcPr>
          <w:p w14:paraId="511C4DB7">
            <w:pPr>
              <w:jc w:val="center"/>
              <w:rPr>
                <w:rFonts w:hint="eastAsia" w:ascii="宋体" w:hAnsi="宋体" w:eastAsia="宋体" w:cs="宋体"/>
                <w:color w:val="auto"/>
                <w:sz w:val="24"/>
                <w:highlight w:val="none"/>
              </w:rPr>
            </w:pPr>
          </w:p>
        </w:tc>
      </w:tr>
      <w:tr w14:paraId="3702B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283C0FF">
            <w:pPr>
              <w:jc w:val="center"/>
              <w:rPr>
                <w:rFonts w:hint="eastAsia" w:ascii="宋体" w:hAnsi="宋体" w:eastAsia="宋体" w:cs="宋体"/>
                <w:color w:val="auto"/>
                <w:sz w:val="24"/>
                <w:highlight w:val="none"/>
              </w:rPr>
            </w:pPr>
          </w:p>
        </w:tc>
        <w:tc>
          <w:tcPr>
            <w:tcW w:w="1301" w:type="dxa"/>
            <w:noWrap w:val="0"/>
            <w:vAlign w:val="center"/>
          </w:tcPr>
          <w:p w14:paraId="74D1A75A">
            <w:pPr>
              <w:jc w:val="center"/>
              <w:rPr>
                <w:rFonts w:hint="eastAsia" w:ascii="宋体" w:hAnsi="宋体" w:eastAsia="宋体" w:cs="宋体"/>
                <w:color w:val="auto"/>
                <w:sz w:val="24"/>
                <w:highlight w:val="none"/>
              </w:rPr>
            </w:pPr>
          </w:p>
        </w:tc>
        <w:tc>
          <w:tcPr>
            <w:tcW w:w="2007" w:type="dxa"/>
            <w:noWrap w:val="0"/>
            <w:vAlign w:val="center"/>
          </w:tcPr>
          <w:p w14:paraId="6CB0CE3C">
            <w:pPr>
              <w:jc w:val="center"/>
              <w:rPr>
                <w:rFonts w:hint="eastAsia" w:ascii="宋体" w:hAnsi="宋体" w:eastAsia="宋体" w:cs="宋体"/>
                <w:color w:val="auto"/>
                <w:sz w:val="24"/>
                <w:highlight w:val="none"/>
              </w:rPr>
            </w:pPr>
          </w:p>
        </w:tc>
        <w:tc>
          <w:tcPr>
            <w:tcW w:w="2008" w:type="dxa"/>
            <w:noWrap w:val="0"/>
            <w:vAlign w:val="center"/>
          </w:tcPr>
          <w:p w14:paraId="26946AAC">
            <w:pPr>
              <w:jc w:val="center"/>
              <w:rPr>
                <w:rFonts w:hint="eastAsia" w:ascii="宋体" w:hAnsi="宋体" w:eastAsia="宋体" w:cs="宋体"/>
                <w:color w:val="auto"/>
                <w:sz w:val="24"/>
                <w:highlight w:val="none"/>
              </w:rPr>
            </w:pPr>
          </w:p>
        </w:tc>
        <w:tc>
          <w:tcPr>
            <w:tcW w:w="2458" w:type="dxa"/>
            <w:noWrap w:val="0"/>
            <w:vAlign w:val="center"/>
          </w:tcPr>
          <w:p w14:paraId="2074DFD8">
            <w:pPr>
              <w:jc w:val="center"/>
              <w:rPr>
                <w:rFonts w:hint="eastAsia" w:ascii="宋体" w:hAnsi="宋体" w:eastAsia="宋体" w:cs="宋体"/>
                <w:color w:val="auto"/>
                <w:sz w:val="24"/>
                <w:highlight w:val="none"/>
              </w:rPr>
            </w:pPr>
          </w:p>
        </w:tc>
        <w:tc>
          <w:tcPr>
            <w:tcW w:w="788" w:type="dxa"/>
            <w:noWrap w:val="0"/>
            <w:vAlign w:val="center"/>
          </w:tcPr>
          <w:p w14:paraId="48D3CD12">
            <w:pPr>
              <w:jc w:val="center"/>
              <w:rPr>
                <w:rFonts w:hint="eastAsia" w:ascii="宋体" w:hAnsi="宋体" w:eastAsia="宋体" w:cs="宋体"/>
                <w:color w:val="auto"/>
                <w:sz w:val="24"/>
                <w:highlight w:val="none"/>
              </w:rPr>
            </w:pPr>
          </w:p>
        </w:tc>
      </w:tr>
      <w:tr w14:paraId="3BEA3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64AAF77">
            <w:pPr>
              <w:jc w:val="center"/>
              <w:rPr>
                <w:rFonts w:hint="eastAsia" w:ascii="宋体" w:hAnsi="宋体" w:eastAsia="宋体" w:cs="宋体"/>
                <w:color w:val="auto"/>
                <w:sz w:val="24"/>
                <w:highlight w:val="none"/>
              </w:rPr>
            </w:pPr>
          </w:p>
        </w:tc>
        <w:tc>
          <w:tcPr>
            <w:tcW w:w="1301" w:type="dxa"/>
            <w:noWrap w:val="0"/>
            <w:vAlign w:val="center"/>
          </w:tcPr>
          <w:p w14:paraId="020F7188">
            <w:pPr>
              <w:jc w:val="center"/>
              <w:rPr>
                <w:rFonts w:hint="eastAsia" w:ascii="宋体" w:hAnsi="宋体" w:eastAsia="宋体" w:cs="宋体"/>
                <w:color w:val="auto"/>
                <w:sz w:val="24"/>
                <w:highlight w:val="none"/>
              </w:rPr>
            </w:pPr>
          </w:p>
        </w:tc>
        <w:tc>
          <w:tcPr>
            <w:tcW w:w="2007" w:type="dxa"/>
            <w:noWrap w:val="0"/>
            <w:vAlign w:val="center"/>
          </w:tcPr>
          <w:p w14:paraId="29D01A8E">
            <w:pPr>
              <w:jc w:val="center"/>
              <w:rPr>
                <w:rFonts w:hint="eastAsia" w:ascii="宋体" w:hAnsi="宋体" w:eastAsia="宋体" w:cs="宋体"/>
                <w:color w:val="auto"/>
                <w:sz w:val="24"/>
                <w:highlight w:val="none"/>
              </w:rPr>
            </w:pPr>
          </w:p>
        </w:tc>
        <w:tc>
          <w:tcPr>
            <w:tcW w:w="2008" w:type="dxa"/>
            <w:noWrap w:val="0"/>
            <w:vAlign w:val="center"/>
          </w:tcPr>
          <w:p w14:paraId="1A21A8D5">
            <w:pPr>
              <w:jc w:val="center"/>
              <w:rPr>
                <w:rFonts w:hint="eastAsia" w:ascii="宋体" w:hAnsi="宋体" w:eastAsia="宋体" w:cs="宋体"/>
                <w:color w:val="auto"/>
                <w:sz w:val="24"/>
                <w:highlight w:val="none"/>
              </w:rPr>
            </w:pPr>
          </w:p>
        </w:tc>
        <w:tc>
          <w:tcPr>
            <w:tcW w:w="2458" w:type="dxa"/>
            <w:noWrap w:val="0"/>
            <w:vAlign w:val="center"/>
          </w:tcPr>
          <w:p w14:paraId="05F4FC18">
            <w:pPr>
              <w:jc w:val="center"/>
              <w:rPr>
                <w:rFonts w:hint="eastAsia" w:ascii="宋体" w:hAnsi="宋体" w:eastAsia="宋体" w:cs="宋体"/>
                <w:color w:val="auto"/>
                <w:sz w:val="24"/>
                <w:highlight w:val="none"/>
              </w:rPr>
            </w:pPr>
          </w:p>
        </w:tc>
        <w:tc>
          <w:tcPr>
            <w:tcW w:w="788" w:type="dxa"/>
            <w:noWrap w:val="0"/>
            <w:vAlign w:val="center"/>
          </w:tcPr>
          <w:p w14:paraId="24B26147">
            <w:pPr>
              <w:jc w:val="center"/>
              <w:rPr>
                <w:rFonts w:hint="eastAsia" w:ascii="宋体" w:hAnsi="宋体" w:eastAsia="宋体" w:cs="宋体"/>
                <w:color w:val="auto"/>
                <w:sz w:val="24"/>
                <w:highlight w:val="none"/>
              </w:rPr>
            </w:pPr>
          </w:p>
        </w:tc>
      </w:tr>
      <w:tr w14:paraId="6BF99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6DD35A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301" w:type="dxa"/>
            <w:noWrap w:val="0"/>
            <w:vAlign w:val="center"/>
          </w:tcPr>
          <w:p w14:paraId="3BFB365B">
            <w:pPr>
              <w:jc w:val="center"/>
              <w:rPr>
                <w:rFonts w:hint="eastAsia" w:ascii="宋体" w:hAnsi="宋体" w:eastAsia="宋体" w:cs="宋体"/>
                <w:color w:val="auto"/>
                <w:sz w:val="24"/>
                <w:highlight w:val="none"/>
              </w:rPr>
            </w:pPr>
          </w:p>
        </w:tc>
        <w:tc>
          <w:tcPr>
            <w:tcW w:w="2007" w:type="dxa"/>
            <w:noWrap w:val="0"/>
            <w:vAlign w:val="center"/>
          </w:tcPr>
          <w:p w14:paraId="4C9735F7">
            <w:pPr>
              <w:jc w:val="center"/>
              <w:rPr>
                <w:rFonts w:hint="eastAsia" w:ascii="宋体" w:hAnsi="宋体" w:eastAsia="宋体" w:cs="宋体"/>
                <w:color w:val="auto"/>
                <w:sz w:val="24"/>
                <w:highlight w:val="none"/>
              </w:rPr>
            </w:pPr>
          </w:p>
        </w:tc>
        <w:tc>
          <w:tcPr>
            <w:tcW w:w="2008" w:type="dxa"/>
            <w:noWrap w:val="0"/>
            <w:vAlign w:val="center"/>
          </w:tcPr>
          <w:p w14:paraId="1E358ADD">
            <w:pPr>
              <w:jc w:val="center"/>
              <w:rPr>
                <w:rFonts w:hint="eastAsia" w:ascii="宋体" w:hAnsi="宋体" w:eastAsia="宋体" w:cs="宋体"/>
                <w:color w:val="auto"/>
                <w:sz w:val="24"/>
                <w:highlight w:val="none"/>
              </w:rPr>
            </w:pPr>
          </w:p>
        </w:tc>
        <w:tc>
          <w:tcPr>
            <w:tcW w:w="2458" w:type="dxa"/>
            <w:noWrap w:val="0"/>
            <w:vAlign w:val="center"/>
          </w:tcPr>
          <w:p w14:paraId="5F83B9B7">
            <w:pPr>
              <w:jc w:val="center"/>
              <w:rPr>
                <w:rFonts w:hint="eastAsia" w:ascii="宋体" w:hAnsi="宋体" w:eastAsia="宋体" w:cs="宋体"/>
                <w:color w:val="auto"/>
                <w:sz w:val="24"/>
                <w:highlight w:val="none"/>
              </w:rPr>
            </w:pPr>
          </w:p>
        </w:tc>
        <w:tc>
          <w:tcPr>
            <w:tcW w:w="788" w:type="dxa"/>
            <w:noWrap w:val="0"/>
            <w:vAlign w:val="center"/>
          </w:tcPr>
          <w:p w14:paraId="003EF199">
            <w:pPr>
              <w:jc w:val="center"/>
              <w:rPr>
                <w:rFonts w:hint="eastAsia" w:ascii="宋体" w:hAnsi="宋体" w:eastAsia="宋体" w:cs="宋体"/>
                <w:color w:val="auto"/>
                <w:sz w:val="24"/>
                <w:highlight w:val="none"/>
              </w:rPr>
            </w:pPr>
          </w:p>
        </w:tc>
      </w:tr>
    </w:tbl>
    <w:p w14:paraId="2C2F8F49">
      <w:pPr>
        <w:tabs>
          <w:tab w:val="left" w:pos="1800"/>
          <w:tab w:val="left" w:pos="5580"/>
        </w:tabs>
        <w:jc w:val="left"/>
        <w:rPr>
          <w:rFonts w:hint="eastAsia" w:ascii="宋体" w:hAnsi="宋体" w:eastAsia="宋体" w:cs="宋体"/>
          <w:color w:val="auto"/>
          <w:sz w:val="24"/>
          <w:highlight w:val="none"/>
        </w:rPr>
      </w:pPr>
    </w:p>
    <w:p w14:paraId="19C0B97D">
      <w:pPr>
        <w:tabs>
          <w:tab w:val="left" w:pos="1800"/>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70B9D6CE">
      <w:pPr>
        <w:tabs>
          <w:tab w:val="left" w:pos="1800"/>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对项目要求的所有技术要求，除本表所列明的所有偏离外，均视作投标人已对之理解和响应。</w:t>
      </w:r>
    </w:p>
    <w:p w14:paraId="70B9D50B">
      <w:pPr>
        <w:tabs>
          <w:tab w:val="left" w:pos="1800"/>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“偏离情况”列应据实填写“正偏离”或“负偏离”。</w:t>
      </w:r>
    </w:p>
    <w:p w14:paraId="2390B1E9">
      <w:pPr>
        <w:spacing w:line="360" w:lineRule="auto"/>
        <w:rPr>
          <w:rFonts w:hint="eastAsia" w:ascii="宋体" w:hAnsi="宋体" w:eastAsia="宋体" w:cs="宋体"/>
          <w:color w:val="auto"/>
          <w:sz w:val="24"/>
          <w:szCs w:val="20"/>
          <w:highlight w:val="none"/>
        </w:rPr>
      </w:pPr>
    </w:p>
    <w:p w14:paraId="29470D24">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420730D6">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3C127203">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13A4E438">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cs="宋体"/>
          <w:color w:val="auto"/>
          <w:sz w:val="24"/>
          <w:szCs w:val="20"/>
          <w:highlight w:val="none"/>
          <w:lang w:val="en-US" w:eastAsia="zh-CN"/>
        </w:rPr>
        <w:t>6</w:t>
      </w:r>
      <w:r>
        <w:rPr>
          <w:rFonts w:hint="eastAsia" w:ascii="宋体" w:hAnsi="宋体" w:eastAsia="宋体" w:cs="宋体"/>
          <w:color w:val="auto"/>
          <w:sz w:val="24"/>
          <w:szCs w:val="20"/>
          <w:highlight w:val="none"/>
        </w:rPr>
        <w:t xml:space="preserve">  </w:t>
      </w:r>
      <w:bookmarkEnd w:id="792"/>
      <w:bookmarkEnd w:id="793"/>
      <w:bookmarkEnd w:id="794"/>
      <w:bookmarkEnd w:id="795"/>
      <w:bookmarkEnd w:id="796"/>
      <w:bookmarkEnd w:id="797"/>
      <w:bookmarkEnd w:id="798"/>
      <w:bookmarkEnd w:id="799"/>
      <w:bookmarkEnd w:id="800"/>
      <w:bookmarkEnd w:id="801"/>
      <w:bookmarkEnd w:id="802"/>
      <w:bookmarkEnd w:id="803"/>
      <w:bookmarkEnd w:id="804"/>
      <w:r>
        <w:rPr>
          <w:rFonts w:hint="eastAsia" w:ascii="宋体" w:hAnsi="宋体" w:eastAsia="宋体" w:cs="宋体"/>
          <w:color w:val="auto"/>
          <w:sz w:val="24"/>
          <w:szCs w:val="20"/>
          <w:highlight w:val="none"/>
        </w:rPr>
        <w:t>商务要求响应及偏离表（实质性格式）</w:t>
      </w:r>
    </w:p>
    <w:p w14:paraId="205FED55">
      <w:pPr>
        <w:spacing w:line="360" w:lineRule="auto"/>
        <w:jc w:val="center"/>
        <w:rPr>
          <w:rFonts w:hint="eastAsia" w:ascii="宋体" w:hAnsi="宋体" w:eastAsia="宋体" w:cs="宋体"/>
          <w:b/>
          <w:color w:val="auto"/>
          <w:szCs w:val="21"/>
          <w:highlight w:val="none"/>
        </w:rPr>
      </w:pPr>
    </w:p>
    <w:p w14:paraId="6B8F0149">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商务要求响应及偏离表</w:t>
      </w:r>
    </w:p>
    <w:p w14:paraId="2B06610A">
      <w:pPr>
        <w:tabs>
          <w:tab w:val="left" w:pos="1800"/>
          <w:tab w:val="left" w:pos="5580"/>
        </w:tabs>
        <w:spacing w:line="360" w:lineRule="auto"/>
        <w:ind w:firstLine="36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项目编号/包号：_____________________     项目名称：____________</w:t>
      </w:r>
    </w:p>
    <w:tbl>
      <w:tblPr>
        <w:tblStyle w:val="3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1013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CC8FCD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2" w:type="dxa"/>
            <w:noWrap w:val="0"/>
            <w:vAlign w:val="center"/>
          </w:tcPr>
          <w:p w14:paraId="129FF87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招标文件条目号(页码)</w:t>
            </w:r>
          </w:p>
        </w:tc>
        <w:tc>
          <w:tcPr>
            <w:tcW w:w="2384" w:type="dxa"/>
            <w:noWrap w:val="0"/>
            <w:vAlign w:val="center"/>
          </w:tcPr>
          <w:p w14:paraId="1748827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w:t>
            </w:r>
          </w:p>
        </w:tc>
        <w:tc>
          <w:tcPr>
            <w:tcW w:w="2126" w:type="dxa"/>
            <w:noWrap w:val="0"/>
            <w:vAlign w:val="center"/>
          </w:tcPr>
          <w:p w14:paraId="15D037A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投标响应内容</w:t>
            </w:r>
          </w:p>
        </w:tc>
        <w:tc>
          <w:tcPr>
            <w:tcW w:w="1875" w:type="dxa"/>
            <w:noWrap w:val="0"/>
            <w:vAlign w:val="center"/>
          </w:tcPr>
          <w:p w14:paraId="369D0AE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1009" w:type="dxa"/>
            <w:noWrap w:val="0"/>
            <w:vAlign w:val="center"/>
          </w:tcPr>
          <w:p w14:paraId="33FF8D6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31A33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5B073E8">
            <w:pPr>
              <w:jc w:val="center"/>
              <w:rPr>
                <w:rFonts w:hint="eastAsia" w:ascii="宋体" w:hAnsi="宋体" w:eastAsia="宋体" w:cs="宋体"/>
                <w:color w:val="auto"/>
                <w:sz w:val="24"/>
                <w:highlight w:val="none"/>
              </w:rPr>
            </w:pPr>
          </w:p>
        </w:tc>
        <w:tc>
          <w:tcPr>
            <w:tcW w:w="1482" w:type="dxa"/>
            <w:noWrap w:val="0"/>
            <w:vAlign w:val="center"/>
          </w:tcPr>
          <w:p w14:paraId="345BE318">
            <w:pPr>
              <w:jc w:val="center"/>
              <w:rPr>
                <w:rFonts w:hint="eastAsia" w:ascii="宋体" w:hAnsi="宋体" w:eastAsia="宋体" w:cs="宋体"/>
                <w:color w:val="auto"/>
                <w:sz w:val="24"/>
                <w:highlight w:val="none"/>
              </w:rPr>
            </w:pPr>
          </w:p>
        </w:tc>
        <w:tc>
          <w:tcPr>
            <w:tcW w:w="2384" w:type="dxa"/>
            <w:noWrap w:val="0"/>
            <w:vAlign w:val="center"/>
          </w:tcPr>
          <w:p w14:paraId="745BB8D5">
            <w:pPr>
              <w:jc w:val="center"/>
              <w:rPr>
                <w:rFonts w:hint="eastAsia" w:ascii="宋体" w:hAnsi="宋体" w:eastAsia="宋体" w:cs="宋体"/>
                <w:color w:val="auto"/>
                <w:sz w:val="24"/>
                <w:highlight w:val="none"/>
              </w:rPr>
            </w:pPr>
          </w:p>
        </w:tc>
        <w:tc>
          <w:tcPr>
            <w:tcW w:w="2126" w:type="dxa"/>
            <w:noWrap w:val="0"/>
            <w:vAlign w:val="center"/>
          </w:tcPr>
          <w:p w14:paraId="459E8E0F">
            <w:pPr>
              <w:jc w:val="center"/>
              <w:rPr>
                <w:rFonts w:hint="eastAsia" w:ascii="宋体" w:hAnsi="宋体" w:eastAsia="宋体" w:cs="宋体"/>
                <w:color w:val="auto"/>
                <w:sz w:val="24"/>
                <w:highlight w:val="none"/>
              </w:rPr>
            </w:pPr>
          </w:p>
        </w:tc>
        <w:tc>
          <w:tcPr>
            <w:tcW w:w="1875" w:type="dxa"/>
            <w:noWrap w:val="0"/>
            <w:vAlign w:val="center"/>
          </w:tcPr>
          <w:p w14:paraId="25FCAAEC">
            <w:pPr>
              <w:jc w:val="center"/>
              <w:rPr>
                <w:rFonts w:hint="eastAsia" w:ascii="宋体" w:hAnsi="宋体" w:eastAsia="宋体" w:cs="宋体"/>
                <w:color w:val="auto"/>
                <w:sz w:val="24"/>
                <w:highlight w:val="none"/>
              </w:rPr>
            </w:pPr>
          </w:p>
        </w:tc>
        <w:tc>
          <w:tcPr>
            <w:tcW w:w="1009" w:type="dxa"/>
            <w:noWrap w:val="0"/>
            <w:vAlign w:val="center"/>
          </w:tcPr>
          <w:p w14:paraId="645F2BDF">
            <w:pPr>
              <w:jc w:val="center"/>
              <w:rPr>
                <w:rFonts w:hint="eastAsia" w:ascii="宋体" w:hAnsi="宋体" w:eastAsia="宋体" w:cs="宋体"/>
                <w:color w:val="auto"/>
                <w:sz w:val="24"/>
                <w:highlight w:val="none"/>
              </w:rPr>
            </w:pPr>
          </w:p>
        </w:tc>
      </w:tr>
      <w:tr w14:paraId="2FD0F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E28AD8">
            <w:pPr>
              <w:jc w:val="center"/>
              <w:rPr>
                <w:rFonts w:hint="eastAsia" w:ascii="宋体" w:hAnsi="宋体" w:eastAsia="宋体" w:cs="宋体"/>
                <w:color w:val="auto"/>
                <w:sz w:val="24"/>
                <w:highlight w:val="none"/>
              </w:rPr>
            </w:pPr>
          </w:p>
        </w:tc>
        <w:tc>
          <w:tcPr>
            <w:tcW w:w="1482" w:type="dxa"/>
            <w:noWrap w:val="0"/>
            <w:vAlign w:val="center"/>
          </w:tcPr>
          <w:p w14:paraId="572FA379">
            <w:pPr>
              <w:jc w:val="center"/>
              <w:rPr>
                <w:rFonts w:hint="eastAsia" w:ascii="宋体" w:hAnsi="宋体" w:eastAsia="宋体" w:cs="宋体"/>
                <w:color w:val="auto"/>
                <w:sz w:val="24"/>
                <w:highlight w:val="none"/>
              </w:rPr>
            </w:pPr>
          </w:p>
        </w:tc>
        <w:tc>
          <w:tcPr>
            <w:tcW w:w="2384" w:type="dxa"/>
            <w:noWrap w:val="0"/>
            <w:vAlign w:val="center"/>
          </w:tcPr>
          <w:p w14:paraId="27E26BA7">
            <w:pPr>
              <w:jc w:val="center"/>
              <w:rPr>
                <w:rFonts w:hint="eastAsia" w:ascii="宋体" w:hAnsi="宋体" w:eastAsia="宋体" w:cs="宋体"/>
                <w:color w:val="auto"/>
                <w:sz w:val="24"/>
                <w:highlight w:val="none"/>
              </w:rPr>
            </w:pPr>
          </w:p>
        </w:tc>
        <w:tc>
          <w:tcPr>
            <w:tcW w:w="2126" w:type="dxa"/>
            <w:noWrap w:val="0"/>
            <w:vAlign w:val="center"/>
          </w:tcPr>
          <w:p w14:paraId="1889635E">
            <w:pPr>
              <w:jc w:val="center"/>
              <w:rPr>
                <w:rFonts w:hint="eastAsia" w:ascii="宋体" w:hAnsi="宋体" w:eastAsia="宋体" w:cs="宋体"/>
                <w:color w:val="auto"/>
                <w:sz w:val="24"/>
                <w:highlight w:val="none"/>
              </w:rPr>
            </w:pPr>
          </w:p>
        </w:tc>
        <w:tc>
          <w:tcPr>
            <w:tcW w:w="1875" w:type="dxa"/>
            <w:noWrap w:val="0"/>
            <w:vAlign w:val="center"/>
          </w:tcPr>
          <w:p w14:paraId="3EE7B515">
            <w:pPr>
              <w:jc w:val="center"/>
              <w:rPr>
                <w:rFonts w:hint="eastAsia" w:ascii="宋体" w:hAnsi="宋体" w:eastAsia="宋体" w:cs="宋体"/>
                <w:color w:val="auto"/>
                <w:sz w:val="24"/>
                <w:highlight w:val="none"/>
              </w:rPr>
            </w:pPr>
          </w:p>
        </w:tc>
        <w:tc>
          <w:tcPr>
            <w:tcW w:w="1009" w:type="dxa"/>
            <w:noWrap w:val="0"/>
            <w:vAlign w:val="center"/>
          </w:tcPr>
          <w:p w14:paraId="17C1BA91">
            <w:pPr>
              <w:jc w:val="center"/>
              <w:rPr>
                <w:rFonts w:hint="eastAsia" w:ascii="宋体" w:hAnsi="宋体" w:eastAsia="宋体" w:cs="宋体"/>
                <w:color w:val="auto"/>
                <w:sz w:val="24"/>
                <w:highlight w:val="none"/>
              </w:rPr>
            </w:pPr>
          </w:p>
        </w:tc>
      </w:tr>
      <w:tr w14:paraId="544B1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4891F35">
            <w:pPr>
              <w:jc w:val="center"/>
              <w:rPr>
                <w:rFonts w:hint="eastAsia" w:ascii="宋体" w:hAnsi="宋体" w:eastAsia="宋体" w:cs="宋体"/>
                <w:color w:val="auto"/>
                <w:sz w:val="24"/>
                <w:highlight w:val="none"/>
              </w:rPr>
            </w:pPr>
          </w:p>
        </w:tc>
        <w:tc>
          <w:tcPr>
            <w:tcW w:w="1482" w:type="dxa"/>
            <w:noWrap w:val="0"/>
            <w:vAlign w:val="center"/>
          </w:tcPr>
          <w:p w14:paraId="54A4A072">
            <w:pPr>
              <w:jc w:val="center"/>
              <w:rPr>
                <w:rFonts w:hint="eastAsia" w:ascii="宋体" w:hAnsi="宋体" w:eastAsia="宋体" w:cs="宋体"/>
                <w:color w:val="auto"/>
                <w:sz w:val="24"/>
                <w:highlight w:val="none"/>
              </w:rPr>
            </w:pPr>
          </w:p>
        </w:tc>
        <w:tc>
          <w:tcPr>
            <w:tcW w:w="2384" w:type="dxa"/>
            <w:noWrap w:val="0"/>
            <w:vAlign w:val="center"/>
          </w:tcPr>
          <w:p w14:paraId="6C26E33D">
            <w:pPr>
              <w:jc w:val="center"/>
              <w:rPr>
                <w:rFonts w:hint="eastAsia" w:ascii="宋体" w:hAnsi="宋体" w:eastAsia="宋体" w:cs="宋体"/>
                <w:color w:val="auto"/>
                <w:sz w:val="24"/>
                <w:highlight w:val="none"/>
              </w:rPr>
            </w:pPr>
          </w:p>
        </w:tc>
        <w:tc>
          <w:tcPr>
            <w:tcW w:w="2126" w:type="dxa"/>
            <w:noWrap w:val="0"/>
            <w:vAlign w:val="center"/>
          </w:tcPr>
          <w:p w14:paraId="55E10A00">
            <w:pPr>
              <w:jc w:val="center"/>
              <w:rPr>
                <w:rFonts w:hint="eastAsia" w:ascii="宋体" w:hAnsi="宋体" w:eastAsia="宋体" w:cs="宋体"/>
                <w:color w:val="auto"/>
                <w:sz w:val="24"/>
                <w:highlight w:val="none"/>
              </w:rPr>
            </w:pPr>
          </w:p>
        </w:tc>
        <w:tc>
          <w:tcPr>
            <w:tcW w:w="1875" w:type="dxa"/>
            <w:noWrap w:val="0"/>
            <w:vAlign w:val="center"/>
          </w:tcPr>
          <w:p w14:paraId="61B7F8C6">
            <w:pPr>
              <w:jc w:val="center"/>
              <w:rPr>
                <w:rFonts w:hint="eastAsia" w:ascii="宋体" w:hAnsi="宋体" w:eastAsia="宋体" w:cs="宋体"/>
                <w:color w:val="auto"/>
                <w:sz w:val="24"/>
                <w:highlight w:val="none"/>
              </w:rPr>
            </w:pPr>
          </w:p>
        </w:tc>
        <w:tc>
          <w:tcPr>
            <w:tcW w:w="1009" w:type="dxa"/>
            <w:noWrap w:val="0"/>
            <w:vAlign w:val="center"/>
          </w:tcPr>
          <w:p w14:paraId="66306C19">
            <w:pPr>
              <w:jc w:val="center"/>
              <w:rPr>
                <w:rFonts w:hint="eastAsia" w:ascii="宋体" w:hAnsi="宋体" w:eastAsia="宋体" w:cs="宋体"/>
                <w:color w:val="auto"/>
                <w:sz w:val="24"/>
                <w:highlight w:val="none"/>
              </w:rPr>
            </w:pPr>
          </w:p>
        </w:tc>
      </w:tr>
      <w:tr w14:paraId="1A7E7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DB6D446">
            <w:pPr>
              <w:jc w:val="center"/>
              <w:rPr>
                <w:rFonts w:hint="eastAsia" w:ascii="宋体" w:hAnsi="宋体" w:eastAsia="宋体" w:cs="宋体"/>
                <w:color w:val="auto"/>
                <w:sz w:val="24"/>
                <w:highlight w:val="none"/>
              </w:rPr>
            </w:pPr>
          </w:p>
        </w:tc>
        <w:tc>
          <w:tcPr>
            <w:tcW w:w="1482" w:type="dxa"/>
            <w:noWrap w:val="0"/>
            <w:vAlign w:val="center"/>
          </w:tcPr>
          <w:p w14:paraId="7822B8C4">
            <w:pPr>
              <w:jc w:val="center"/>
              <w:rPr>
                <w:rFonts w:hint="eastAsia" w:ascii="宋体" w:hAnsi="宋体" w:eastAsia="宋体" w:cs="宋体"/>
                <w:color w:val="auto"/>
                <w:sz w:val="24"/>
                <w:highlight w:val="none"/>
              </w:rPr>
            </w:pPr>
          </w:p>
        </w:tc>
        <w:tc>
          <w:tcPr>
            <w:tcW w:w="2384" w:type="dxa"/>
            <w:noWrap w:val="0"/>
            <w:vAlign w:val="center"/>
          </w:tcPr>
          <w:p w14:paraId="6D33B6BF">
            <w:pPr>
              <w:jc w:val="center"/>
              <w:rPr>
                <w:rFonts w:hint="eastAsia" w:ascii="宋体" w:hAnsi="宋体" w:eastAsia="宋体" w:cs="宋体"/>
                <w:color w:val="auto"/>
                <w:sz w:val="24"/>
                <w:highlight w:val="none"/>
              </w:rPr>
            </w:pPr>
          </w:p>
        </w:tc>
        <w:tc>
          <w:tcPr>
            <w:tcW w:w="2126" w:type="dxa"/>
            <w:noWrap w:val="0"/>
            <w:vAlign w:val="center"/>
          </w:tcPr>
          <w:p w14:paraId="0100BF92">
            <w:pPr>
              <w:jc w:val="center"/>
              <w:rPr>
                <w:rFonts w:hint="eastAsia" w:ascii="宋体" w:hAnsi="宋体" w:eastAsia="宋体" w:cs="宋体"/>
                <w:color w:val="auto"/>
                <w:sz w:val="24"/>
                <w:highlight w:val="none"/>
              </w:rPr>
            </w:pPr>
          </w:p>
        </w:tc>
        <w:tc>
          <w:tcPr>
            <w:tcW w:w="1875" w:type="dxa"/>
            <w:noWrap w:val="0"/>
            <w:vAlign w:val="center"/>
          </w:tcPr>
          <w:p w14:paraId="2FDC4DD3">
            <w:pPr>
              <w:jc w:val="center"/>
              <w:rPr>
                <w:rFonts w:hint="eastAsia" w:ascii="宋体" w:hAnsi="宋体" w:eastAsia="宋体" w:cs="宋体"/>
                <w:color w:val="auto"/>
                <w:sz w:val="24"/>
                <w:highlight w:val="none"/>
              </w:rPr>
            </w:pPr>
          </w:p>
        </w:tc>
        <w:tc>
          <w:tcPr>
            <w:tcW w:w="1009" w:type="dxa"/>
            <w:noWrap w:val="0"/>
            <w:vAlign w:val="center"/>
          </w:tcPr>
          <w:p w14:paraId="464A7311">
            <w:pPr>
              <w:jc w:val="center"/>
              <w:rPr>
                <w:rFonts w:hint="eastAsia" w:ascii="宋体" w:hAnsi="宋体" w:eastAsia="宋体" w:cs="宋体"/>
                <w:color w:val="auto"/>
                <w:sz w:val="24"/>
                <w:highlight w:val="none"/>
              </w:rPr>
            </w:pPr>
          </w:p>
        </w:tc>
      </w:tr>
      <w:tr w14:paraId="21AFC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2AA739C">
            <w:pPr>
              <w:jc w:val="center"/>
              <w:rPr>
                <w:rFonts w:hint="eastAsia" w:ascii="宋体" w:hAnsi="宋体" w:eastAsia="宋体" w:cs="宋体"/>
                <w:color w:val="auto"/>
                <w:sz w:val="24"/>
                <w:highlight w:val="none"/>
              </w:rPr>
            </w:pPr>
          </w:p>
        </w:tc>
        <w:tc>
          <w:tcPr>
            <w:tcW w:w="1482" w:type="dxa"/>
            <w:noWrap w:val="0"/>
            <w:vAlign w:val="center"/>
          </w:tcPr>
          <w:p w14:paraId="55D30324">
            <w:pPr>
              <w:jc w:val="center"/>
              <w:rPr>
                <w:rFonts w:hint="eastAsia" w:ascii="宋体" w:hAnsi="宋体" w:eastAsia="宋体" w:cs="宋体"/>
                <w:color w:val="auto"/>
                <w:sz w:val="24"/>
                <w:highlight w:val="none"/>
              </w:rPr>
            </w:pPr>
          </w:p>
        </w:tc>
        <w:tc>
          <w:tcPr>
            <w:tcW w:w="2384" w:type="dxa"/>
            <w:noWrap w:val="0"/>
            <w:vAlign w:val="center"/>
          </w:tcPr>
          <w:p w14:paraId="4DA8E093">
            <w:pPr>
              <w:jc w:val="center"/>
              <w:rPr>
                <w:rFonts w:hint="eastAsia" w:ascii="宋体" w:hAnsi="宋体" w:eastAsia="宋体" w:cs="宋体"/>
                <w:color w:val="auto"/>
                <w:sz w:val="24"/>
                <w:highlight w:val="none"/>
              </w:rPr>
            </w:pPr>
          </w:p>
        </w:tc>
        <w:tc>
          <w:tcPr>
            <w:tcW w:w="2126" w:type="dxa"/>
            <w:noWrap w:val="0"/>
            <w:vAlign w:val="center"/>
          </w:tcPr>
          <w:p w14:paraId="2600AB2B">
            <w:pPr>
              <w:jc w:val="center"/>
              <w:rPr>
                <w:rFonts w:hint="eastAsia" w:ascii="宋体" w:hAnsi="宋体" w:eastAsia="宋体" w:cs="宋体"/>
                <w:color w:val="auto"/>
                <w:sz w:val="24"/>
                <w:highlight w:val="none"/>
              </w:rPr>
            </w:pPr>
          </w:p>
        </w:tc>
        <w:tc>
          <w:tcPr>
            <w:tcW w:w="1875" w:type="dxa"/>
            <w:noWrap w:val="0"/>
            <w:vAlign w:val="center"/>
          </w:tcPr>
          <w:p w14:paraId="22FD7E8D">
            <w:pPr>
              <w:jc w:val="center"/>
              <w:rPr>
                <w:rFonts w:hint="eastAsia" w:ascii="宋体" w:hAnsi="宋体" w:eastAsia="宋体" w:cs="宋体"/>
                <w:color w:val="auto"/>
                <w:sz w:val="24"/>
                <w:highlight w:val="none"/>
              </w:rPr>
            </w:pPr>
          </w:p>
        </w:tc>
        <w:tc>
          <w:tcPr>
            <w:tcW w:w="1009" w:type="dxa"/>
            <w:noWrap w:val="0"/>
            <w:vAlign w:val="center"/>
          </w:tcPr>
          <w:p w14:paraId="1C5636F9">
            <w:pPr>
              <w:jc w:val="center"/>
              <w:rPr>
                <w:rFonts w:hint="eastAsia" w:ascii="宋体" w:hAnsi="宋体" w:eastAsia="宋体" w:cs="宋体"/>
                <w:color w:val="auto"/>
                <w:sz w:val="24"/>
                <w:highlight w:val="none"/>
              </w:rPr>
            </w:pPr>
          </w:p>
        </w:tc>
      </w:tr>
      <w:tr w14:paraId="5599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AC81C2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482" w:type="dxa"/>
            <w:noWrap w:val="0"/>
            <w:vAlign w:val="center"/>
          </w:tcPr>
          <w:p w14:paraId="7BB8D11C">
            <w:pPr>
              <w:jc w:val="center"/>
              <w:rPr>
                <w:rFonts w:hint="eastAsia" w:ascii="宋体" w:hAnsi="宋体" w:eastAsia="宋体" w:cs="宋体"/>
                <w:color w:val="auto"/>
                <w:sz w:val="24"/>
                <w:highlight w:val="none"/>
              </w:rPr>
            </w:pPr>
          </w:p>
        </w:tc>
        <w:tc>
          <w:tcPr>
            <w:tcW w:w="2384" w:type="dxa"/>
            <w:noWrap w:val="0"/>
            <w:vAlign w:val="center"/>
          </w:tcPr>
          <w:p w14:paraId="4BC1E0D9">
            <w:pPr>
              <w:jc w:val="center"/>
              <w:rPr>
                <w:rFonts w:hint="eastAsia" w:ascii="宋体" w:hAnsi="宋体" w:eastAsia="宋体" w:cs="宋体"/>
                <w:color w:val="auto"/>
                <w:sz w:val="24"/>
                <w:highlight w:val="none"/>
              </w:rPr>
            </w:pPr>
          </w:p>
        </w:tc>
        <w:tc>
          <w:tcPr>
            <w:tcW w:w="2126" w:type="dxa"/>
            <w:noWrap w:val="0"/>
            <w:vAlign w:val="center"/>
          </w:tcPr>
          <w:p w14:paraId="7D5C21B9">
            <w:pPr>
              <w:jc w:val="center"/>
              <w:rPr>
                <w:rFonts w:hint="eastAsia" w:ascii="宋体" w:hAnsi="宋体" w:eastAsia="宋体" w:cs="宋体"/>
                <w:color w:val="auto"/>
                <w:sz w:val="24"/>
                <w:highlight w:val="none"/>
              </w:rPr>
            </w:pPr>
          </w:p>
        </w:tc>
        <w:tc>
          <w:tcPr>
            <w:tcW w:w="1875" w:type="dxa"/>
            <w:noWrap w:val="0"/>
            <w:vAlign w:val="center"/>
          </w:tcPr>
          <w:p w14:paraId="155D85CF">
            <w:pPr>
              <w:jc w:val="center"/>
              <w:rPr>
                <w:rFonts w:hint="eastAsia" w:ascii="宋体" w:hAnsi="宋体" w:eastAsia="宋体" w:cs="宋体"/>
                <w:color w:val="auto"/>
                <w:sz w:val="24"/>
                <w:highlight w:val="none"/>
              </w:rPr>
            </w:pPr>
          </w:p>
        </w:tc>
        <w:tc>
          <w:tcPr>
            <w:tcW w:w="1009" w:type="dxa"/>
            <w:noWrap w:val="0"/>
            <w:vAlign w:val="center"/>
          </w:tcPr>
          <w:p w14:paraId="49557F71">
            <w:pPr>
              <w:jc w:val="center"/>
              <w:rPr>
                <w:rFonts w:hint="eastAsia" w:ascii="宋体" w:hAnsi="宋体" w:eastAsia="宋体" w:cs="宋体"/>
                <w:color w:val="auto"/>
                <w:sz w:val="24"/>
                <w:highlight w:val="none"/>
              </w:rPr>
            </w:pPr>
          </w:p>
        </w:tc>
      </w:tr>
    </w:tbl>
    <w:p w14:paraId="4C7B15B5">
      <w:pPr>
        <w:tabs>
          <w:tab w:val="left" w:pos="1800"/>
          <w:tab w:val="left" w:pos="5580"/>
        </w:tabs>
        <w:spacing w:line="360" w:lineRule="auto"/>
        <w:ind w:firstLine="360"/>
        <w:jc w:val="left"/>
        <w:rPr>
          <w:rFonts w:hint="eastAsia" w:ascii="宋体" w:hAnsi="宋体" w:eastAsia="宋体" w:cs="宋体"/>
          <w:color w:val="auto"/>
          <w:sz w:val="24"/>
          <w:highlight w:val="none"/>
          <w:u w:val="single"/>
        </w:rPr>
      </w:pPr>
    </w:p>
    <w:p w14:paraId="0980E796">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571445DA">
      <w:pPr>
        <w:tabs>
          <w:tab w:val="left" w:pos="1800"/>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对招标文件中的所有商务、技术要求，除本表所列明的所有偏离外，均视作投标人已对之理解和响应。此表中若无任何文字说明，内容为空白，</w:t>
      </w:r>
      <w:r>
        <w:rPr>
          <w:rFonts w:hint="eastAsia" w:ascii="宋体" w:hAnsi="宋体" w:eastAsia="宋体" w:cs="宋体"/>
          <w:b/>
          <w:color w:val="auto"/>
          <w:sz w:val="24"/>
          <w:highlight w:val="none"/>
        </w:rPr>
        <w:t>投标无效。</w:t>
      </w:r>
    </w:p>
    <w:p w14:paraId="1CDEB74B">
      <w:pPr>
        <w:tabs>
          <w:tab w:val="left" w:pos="1800"/>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情况”列应据实填写“正偏离”或“负偏离”、“无偏离”，实质性响应条款负偏离的将作为无效投标处理。其他条款的负偏离根据投标人说明的理由经评标委员会评审后确定是否符合本项目要求，不符合的将作无效投标处理。</w:t>
      </w:r>
    </w:p>
    <w:p w14:paraId="581086FD">
      <w:pPr>
        <w:rPr>
          <w:rFonts w:hint="eastAsia" w:ascii="宋体" w:hAnsi="宋体" w:eastAsia="宋体" w:cs="宋体"/>
          <w:color w:val="auto"/>
          <w:sz w:val="24"/>
          <w:szCs w:val="20"/>
          <w:highlight w:val="none"/>
        </w:rPr>
      </w:pPr>
    </w:p>
    <w:p w14:paraId="550A5152">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57386769">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3A09B5B8">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413683DA">
      <w:pPr>
        <w:spacing w:line="360" w:lineRule="auto"/>
        <w:outlineLvl w:val="2"/>
        <w:rPr>
          <w:rFonts w:hint="eastAsia" w:ascii="宋体" w:hAnsi="宋体" w:cs="宋体"/>
          <w:color w:val="auto"/>
          <w:sz w:val="24"/>
          <w:szCs w:val="20"/>
          <w:highlight w:val="none"/>
          <w:lang w:val="en-US" w:eastAsia="zh-CN"/>
        </w:rPr>
      </w:pPr>
    </w:p>
    <w:p w14:paraId="5942D16A">
      <w:pPr>
        <w:spacing w:line="360" w:lineRule="auto"/>
        <w:outlineLvl w:val="2"/>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  中小企业声明函</w:t>
      </w:r>
    </w:p>
    <w:p w14:paraId="2566D590">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226D8C5C">
      <w:pPr>
        <w:spacing w:line="360" w:lineRule="auto"/>
        <w:jc w:val="left"/>
        <w:outlineLvl w:val="1"/>
        <w:rPr>
          <w:rFonts w:hint="eastAsia" w:ascii="宋体" w:hAnsi="宋体" w:eastAsia="宋体" w:cs="宋体"/>
          <w:bCs/>
          <w:color w:val="auto"/>
          <w:sz w:val="24"/>
          <w:highlight w:val="none"/>
        </w:rPr>
      </w:pPr>
      <w:bookmarkStart w:id="805" w:name="_Toc140670493"/>
      <w:bookmarkStart w:id="806" w:name="_Toc140670356"/>
      <w:bookmarkStart w:id="807" w:name="_Toc169226745"/>
      <w:r>
        <w:rPr>
          <w:rFonts w:hint="eastAsia" w:ascii="宋体" w:hAnsi="宋体" w:eastAsia="宋体" w:cs="宋体"/>
          <w:bCs/>
          <w:color w:val="auto"/>
          <w:sz w:val="24"/>
          <w:highlight w:val="none"/>
        </w:rPr>
        <w:t>（1）如本项目（包）专门面向中小/小微企业采购，必须提供《中小企业声明函》，此时声明函属于实质性格式。</w:t>
      </w:r>
      <w:bookmarkEnd w:id="805"/>
      <w:bookmarkEnd w:id="806"/>
      <w:bookmarkEnd w:id="807"/>
    </w:p>
    <w:p w14:paraId="1B18E73D">
      <w:pPr>
        <w:spacing w:line="360" w:lineRule="auto"/>
        <w:jc w:val="left"/>
        <w:outlineLvl w:val="1"/>
        <w:rPr>
          <w:rFonts w:hint="eastAsia" w:ascii="宋体" w:hAnsi="宋体" w:eastAsia="宋体" w:cs="宋体"/>
          <w:bCs/>
          <w:color w:val="auto"/>
          <w:sz w:val="24"/>
          <w:highlight w:val="none"/>
        </w:rPr>
      </w:pPr>
      <w:bookmarkStart w:id="808" w:name="_Toc169226746"/>
      <w:bookmarkStart w:id="809" w:name="_Toc140670357"/>
      <w:bookmarkStart w:id="810" w:name="_Toc140670494"/>
      <w:r>
        <w:rPr>
          <w:rFonts w:hint="eastAsia" w:ascii="宋体" w:hAnsi="宋体" w:eastAsia="宋体" w:cs="宋体"/>
          <w:bCs/>
          <w:color w:val="auto"/>
          <w:sz w:val="24"/>
          <w:highlight w:val="none"/>
        </w:rPr>
        <w:t>（2）如本项目（包）不专门面向中小企业预留采购份额，资格证明文件部分无需提供《中小企业声明函》。</w:t>
      </w:r>
      <w:bookmarkEnd w:id="808"/>
      <w:bookmarkEnd w:id="809"/>
      <w:bookmarkEnd w:id="810"/>
    </w:p>
    <w:p w14:paraId="78D5BFDC">
      <w:pPr>
        <w:spacing w:line="360" w:lineRule="auto"/>
        <w:jc w:val="left"/>
        <w:outlineLvl w:val="1"/>
        <w:rPr>
          <w:rFonts w:hint="eastAsia" w:ascii="宋体" w:hAnsi="宋体" w:eastAsia="宋体" w:cs="宋体"/>
          <w:bCs/>
          <w:color w:val="auto"/>
          <w:sz w:val="24"/>
          <w:highlight w:val="none"/>
        </w:rPr>
      </w:pPr>
      <w:bookmarkStart w:id="811" w:name="_Toc140670358"/>
      <w:bookmarkStart w:id="812" w:name="_Toc140670495"/>
      <w:bookmarkStart w:id="813" w:name="_Toc169226747"/>
      <w:r>
        <w:rPr>
          <w:rFonts w:hint="eastAsia" w:ascii="宋体" w:hAnsi="宋体" w:eastAsia="宋体" w:cs="宋体"/>
          <w:bCs/>
          <w:color w:val="auto"/>
          <w:sz w:val="24"/>
          <w:highlight w:val="none"/>
        </w:rPr>
        <w:t>（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类型一）》。</w:t>
      </w:r>
      <w:bookmarkEnd w:id="811"/>
      <w:bookmarkEnd w:id="812"/>
      <w:bookmarkEnd w:id="813"/>
    </w:p>
    <w:p w14:paraId="61645188">
      <w:pPr>
        <w:spacing w:line="360" w:lineRule="auto"/>
        <w:jc w:val="left"/>
        <w:outlineLvl w:val="1"/>
        <w:rPr>
          <w:rFonts w:hint="eastAsia" w:ascii="宋体" w:hAnsi="宋体" w:eastAsia="宋体" w:cs="宋体"/>
          <w:bCs/>
          <w:color w:val="auto"/>
          <w:sz w:val="24"/>
          <w:highlight w:val="none"/>
        </w:rPr>
      </w:pPr>
      <w:bookmarkStart w:id="814" w:name="_Toc140670496"/>
      <w:bookmarkStart w:id="815" w:name="_Toc140670359"/>
      <w:bookmarkStart w:id="816" w:name="_Toc169226748"/>
      <w:r>
        <w:rPr>
          <w:rFonts w:hint="eastAsia" w:ascii="宋体" w:hAnsi="宋体" w:eastAsia="宋体" w:cs="宋体"/>
          <w:bCs/>
          <w:color w:val="auto"/>
          <w:sz w:val="24"/>
          <w:highlight w:val="none"/>
        </w:rPr>
        <w:t>（4）其他</w:t>
      </w:r>
      <w:bookmarkEnd w:id="814"/>
      <w:bookmarkEnd w:id="815"/>
      <w:bookmarkEnd w:id="816"/>
    </w:p>
    <w:p w14:paraId="61743C12">
      <w:pPr>
        <w:spacing w:line="360" w:lineRule="auto"/>
        <w:jc w:val="left"/>
        <w:outlineLvl w:val="1"/>
        <w:rPr>
          <w:rFonts w:hint="eastAsia" w:ascii="宋体" w:hAnsi="宋体" w:eastAsia="宋体" w:cs="宋体"/>
          <w:bCs/>
          <w:color w:val="auto"/>
          <w:sz w:val="24"/>
          <w:highlight w:val="none"/>
        </w:rPr>
      </w:pPr>
      <w:bookmarkStart w:id="817" w:name="_Toc169226749"/>
      <w:bookmarkStart w:id="818" w:name="_Toc140670360"/>
      <w:bookmarkStart w:id="819" w:name="_Toc140670497"/>
      <w:r>
        <w:rPr>
          <w:rFonts w:hint="eastAsia" w:ascii="宋体" w:hAnsi="宋体" w:eastAsia="宋体" w:cs="宋体"/>
          <w:bCs/>
          <w:color w:val="auto"/>
          <w:sz w:val="24"/>
          <w:highlight w:val="none"/>
        </w:rPr>
        <w:t>1）中小企业、残疾人福利性单位参加政府采购活动，应当出具此格式文件，未提供的将不享受有关政策。《中小企业声明函》由参加政府采购活动的投标人出具。联合体投标的，《中小企业声明函》由牵头人出具。</w:t>
      </w:r>
      <w:bookmarkEnd w:id="817"/>
      <w:bookmarkEnd w:id="818"/>
      <w:bookmarkEnd w:id="819"/>
    </w:p>
    <w:p w14:paraId="050A750A">
      <w:pPr>
        <w:spacing w:line="360" w:lineRule="auto"/>
        <w:jc w:val="left"/>
        <w:outlineLvl w:val="1"/>
        <w:rPr>
          <w:rFonts w:hint="eastAsia" w:ascii="宋体" w:hAnsi="宋体" w:eastAsia="宋体" w:cs="宋体"/>
          <w:bCs/>
          <w:color w:val="auto"/>
          <w:sz w:val="24"/>
          <w:highlight w:val="none"/>
        </w:rPr>
      </w:pPr>
      <w:bookmarkStart w:id="820" w:name="_Toc140670361"/>
      <w:bookmarkStart w:id="821" w:name="_Toc140670498"/>
      <w:bookmarkStart w:id="822" w:name="_Toc169226750"/>
      <w:r>
        <w:rPr>
          <w:rFonts w:hint="eastAsia" w:ascii="宋体" w:hAnsi="宋体" w:eastAsia="宋体" w:cs="宋体"/>
          <w:bCs/>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bookmarkEnd w:id="820"/>
      <w:bookmarkEnd w:id="821"/>
      <w:bookmarkEnd w:id="822"/>
    </w:p>
    <w:p w14:paraId="00D77B85">
      <w:pPr>
        <w:spacing w:line="360" w:lineRule="auto"/>
        <w:jc w:val="left"/>
        <w:outlineLvl w:val="1"/>
        <w:rPr>
          <w:rFonts w:hint="eastAsia" w:ascii="宋体" w:hAnsi="宋体" w:eastAsia="宋体" w:cs="宋体"/>
          <w:bCs/>
          <w:color w:val="auto"/>
          <w:sz w:val="24"/>
          <w:highlight w:val="none"/>
        </w:rPr>
      </w:pPr>
      <w:bookmarkStart w:id="823" w:name="_Toc140670499"/>
      <w:bookmarkStart w:id="824" w:name="_Toc140670362"/>
      <w:bookmarkStart w:id="825" w:name="_Toc169226751"/>
      <w:r>
        <w:rPr>
          <w:rFonts w:hint="eastAsia" w:ascii="宋体" w:hAnsi="宋体" w:eastAsia="宋体" w:cs="宋体"/>
          <w:bCs/>
          <w:color w:val="auto"/>
          <w:sz w:val="24"/>
          <w:highlight w:val="none"/>
        </w:rPr>
        <w:t>3）对于多标的的采购项目，投标人应充分、准确地了解所投产品制造企业信息。对相关情况了解不清楚的，不建议填报本声明函。</w:t>
      </w:r>
      <w:bookmarkEnd w:id="823"/>
      <w:bookmarkEnd w:id="824"/>
      <w:bookmarkEnd w:id="825"/>
    </w:p>
    <w:p w14:paraId="514164C8">
      <w:pPr>
        <w:spacing w:line="360" w:lineRule="auto"/>
        <w:jc w:val="left"/>
        <w:outlineLvl w:val="1"/>
        <w:rPr>
          <w:rFonts w:hint="eastAsia" w:ascii="宋体" w:hAnsi="宋体" w:eastAsia="宋体" w:cs="宋体"/>
          <w:bCs/>
          <w:color w:val="auto"/>
          <w:sz w:val="24"/>
          <w:highlight w:val="none"/>
        </w:rPr>
      </w:pPr>
      <w:bookmarkStart w:id="826" w:name="_Toc140670500"/>
      <w:bookmarkStart w:id="827" w:name="_Toc140670363"/>
      <w:bookmarkStart w:id="828" w:name="_Toc169226752"/>
      <w:r>
        <w:rPr>
          <w:rFonts w:hint="eastAsia" w:ascii="宋体" w:hAnsi="宋体" w:eastAsia="宋体" w:cs="宋体"/>
          <w:bCs/>
          <w:color w:val="auto"/>
          <w:sz w:val="24"/>
          <w:highlight w:val="none"/>
        </w:rPr>
        <w:t>4）中小企业认定标准以《关于印发中小企业划型标准规定的通知》（工信部联企业〔2011〕300号）文件规定为准。</w:t>
      </w:r>
      <w:bookmarkEnd w:id="826"/>
      <w:bookmarkEnd w:id="827"/>
      <w:bookmarkEnd w:id="828"/>
    </w:p>
    <w:p w14:paraId="4E5E6084">
      <w:pPr>
        <w:spacing w:line="360" w:lineRule="auto"/>
        <w:jc w:val="left"/>
        <w:outlineLvl w:val="1"/>
        <w:rPr>
          <w:rFonts w:hint="eastAsia" w:ascii="宋体" w:hAnsi="宋体" w:eastAsia="宋体" w:cs="宋体"/>
          <w:bCs/>
          <w:color w:val="auto"/>
          <w:sz w:val="24"/>
          <w:highlight w:val="none"/>
        </w:rPr>
      </w:pPr>
      <w:bookmarkStart w:id="829" w:name="_Toc140670501"/>
      <w:bookmarkStart w:id="830" w:name="_Toc140670364"/>
      <w:bookmarkStart w:id="831" w:name="_Toc169226753"/>
      <w:r>
        <w:rPr>
          <w:rFonts w:hint="eastAsia" w:ascii="宋体" w:hAnsi="宋体" w:eastAsia="宋体" w:cs="宋体"/>
          <w:bCs/>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"http://202.106.120.146/baosong/appweb/orgScale.html" </w:instrText>
      </w:r>
      <w:r>
        <w:rPr>
          <w:rFonts w:hint="eastAsia" w:ascii="宋体" w:hAnsi="宋体" w:eastAsia="宋体" w:cs="宋体"/>
          <w:bCs/>
          <w:color w:val="auto"/>
          <w:sz w:val="24"/>
          <w:highlight w:val="none"/>
        </w:rPr>
        <w:fldChar w:fldCharType="separate"/>
      </w:r>
      <w:r>
        <w:rPr>
          <w:rStyle w:val="270"/>
          <w:rFonts w:hint="eastAsia" w:ascii="宋体" w:hAnsi="宋体" w:eastAsia="宋体" w:cs="宋体"/>
          <w:bCs/>
          <w:color w:val="auto"/>
          <w:sz w:val="24"/>
          <w:highlight w:val="none"/>
        </w:rPr>
        <w:t>http://202.106.120.146/baosong/appweb/orgScale.html</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w:t>
      </w:r>
      <w:bookmarkEnd w:id="829"/>
      <w:bookmarkEnd w:id="830"/>
      <w:bookmarkEnd w:id="831"/>
    </w:p>
    <w:p w14:paraId="201FFDE8">
      <w:pPr>
        <w:spacing w:line="360" w:lineRule="auto"/>
        <w:jc w:val="left"/>
        <w:outlineLvl w:val="1"/>
        <w:rPr>
          <w:rFonts w:hint="eastAsia" w:ascii="宋体" w:hAnsi="宋体" w:eastAsia="宋体" w:cs="宋体"/>
          <w:bCs/>
          <w:color w:val="auto"/>
          <w:sz w:val="24"/>
          <w:highlight w:val="none"/>
        </w:rPr>
      </w:pPr>
      <w:bookmarkStart w:id="832" w:name="_Toc169226754"/>
      <w:bookmarkStart w:id="833" w:name="_Toc140670502"/>
      <w:bookmarkStart w:id="834" w:name="_Toc140670365"/>
      <w:r>
        <w:rPr>
          <w:rFonts w:hint="eastAsia" w:ascii="宋体" w:hAnsi="宋体" w:eastAsia="宋体" w:cs="宋体"/>
          <w:bCs/>
          <w:color w:val="auto"/>
          <w:sz w:val="24"/>
          <w:highlight w:val="none"/>
        </w:rPr>
        <w:t>6）小微企业、残疾人福利性单位未提供声明函的，监狱企业未提供证明的，价格分评审不予价格扣除。</w:t>
      </w:r>
      <w:bookmarkEnd w:id="832"/>
      <w:bookmarkEnd w:id="833"/>
      <w:bookmarkEnd w:id="834"/>
    </w:p>
    <w:p w14:paraId="0B5ACB16">
      <w:pPr>
        <w:spacing w:line="360" w:lineRule="auto"/>
        <w:jc w:val="left"/>
        <w:outlineLvl w:val="1"/>
        <w:rPr>
          <w:rFonts w:hint="eastAsia" w:ascii="宋体" w:hAnsi="宋体" w:eastAsia="宋体" w:cs="宋体"/>
          <w:bCs/>
          <w:color w:val="auto"/>
          <w:sz w:val="24"/>
          <w:highlight w:val="none"/>
        </w:rPr>
      </w:pPr>
      <w:bookmarkStart w:id="835" w:name="_Toc140670366"/>
      <w:bookmarkStart w:id="836" w:name="_Toc169226755"/>
      <w:bookmarkStart w:id="837" w:name="_Toc140670503"/>
      <w:r>
        <w:rPr>
          <w:rFonts w:hint="eastAsia" w:ascii="宋体" w:hAnsi="宋体" w:eastAsia="宋体" w:cs="宋体"/>
          <w:bCs/>
          <w:color w:val="auto"/>
          <w:sz w:val="24"/>
          <w:highlight w:val="none"/>
        </w:rPr>
        <w:t>7）在货物采购项目中，供应商提供的货物既有大中型企业制造货物，也有小微企业制造货物的，不享受小微企业扶持政策，不予价格扣除。</w:t>
      </w:r>
      <w:bookmarkEnd w:id="835"/>
      <w:bookmarkEnd w:id="836"/>
      <w:bookmarkEnd w:id="837"/>
    </w:p>
    <w:p w14:paraId="5130283F">
      <w:pPr>
        <w:tabs>
          <w:tab w:val="left" w:pos="5580"/>
        </w:tabs>
        <w:spacing w:line="360" w:lineRule="auto"/>
        <w:rPr>
          <w:rFonts w:hint="eastAsia" w:ascii="宋体" w:hAnsi="宋体" w:eastAsia="宋体" w:cs="宋体"/>
          <w:b/>
          <w:color w:val="auto"/>
          <w:sz w:val="24"/>
          <w:highlight w:val="none"/>
        </w:rPr>
      </w:pPr>
    </w:p>
    <w:p w14:paraId="7EEA7B6D">
      <w:pPr>
        <w:widowControl/>
        <w:jc w:val="left"/>
        <w:rPr>
          <w:rFonts w:hint="eastAsia" w:ascii="宋体" w:hAnsi="宋体" w:eastAsia="宋体" w:cs="宋体"/>
          <w:b/>
          <w:bCs/>
          <w:color w:val="auto"/>
          <w:sz w:val="24"/>
          <w:highlight w:val="none"/>
        </w:rPr>
      </w:pPr>
    </w:p>
    <w:p w14:paraId="6A84BBCC">
      <w:pPr>
        <w:spacing w:before="240" w:after="240" w:line="36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32"/>
          <w:szCs w:val="32"/>
          <w:highlight w:val="none"/>
        </w:rPr>
        <w:t>中小企业声明函（服务）格式</w:t>
      </w:r>
    </w:p>
    <w:p w14:paraId="5F5F31E2">
      <w:pPr>
        <w:spacing w:line="360" w:lineRule="auto"/>
        <w:ind w:firstLine="50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6D834284">
      <w:pPr>
        <w:spacing w:line="360" w:lineRule="auto"/>
        <w:ind w:firstLine="50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，属于（中型企业、小型企业、微型企业）；</w:t>
      </w:r>
    </w:p>
    <w:p w14:paraId="5D3D6C96">
      <w:pPr>
        <w:spacing w:line="360" w:lineRule="auto"/>
        <w:ind w:firstLine="50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37259D16">
      <w:pPr>
        <w:spacing w:line="360" w:lineRule="auto"/>
        <w:ind w:firstLine="504"/>
        <w:jc w:val="left"/>
        <w:rPr>
          <w:rFonts w:hint="eastAsia" w:ascii="宋体" w:hAnsi="宋体" w:eastAsia="宋体" w:cs="宋体"/>
          <w:color w:val="auto"/>
          <w:spacing w:val="6"/>
          <w:sz w:val="24"/>
          <w:highlight w:val="none"/>
        </w:rPr>
      </w:pPr>
    </w:p>
    <w:p w14:paraId="771F4A8F">
      <w:pPr>
        <w:spacing w:line="360" w:lineRule="auto"/>
        <w:ind w:firstLine="50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285303ED">
      <w:pPr>
        <w:spacing w:line="360" w:lineRule="auto"/>
        <w:ind w:firstLine="50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2999D020">
      <w:pPr>
        <w:spacing w:line="360" w:lineRule="auto"/>
        <w:ind w:firstLine="50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355421CA">
      <w:pPr>
        <w:spacing w:line="360" w:lineRule="auto"/>
        <w:ind w:right="360" w:firstLine="480"/>
        <w:jc w:val="left"/>
        <w:rPr>
          <w:rFonts w:hint="eastAsia" w:ascii="宋体" w:hAnsi="宋体" w:eastAsia="宋体" w:cs="宋体"/>
          <w:color w:val="auto"/>
          <w:sz w:val="24"/>
          <w:highlight w:val="none"/>
        </w:rPr>
      </w:pPr>
    </w:p>
    <w:p w14:paraId="704027DE">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企业名称（加盖公章）：________</w:t>
      </w:r>
    </w:p>
    <w:p w14:paraId="2248007B">
      <w:pPr>
        <w:spacing w:line="360" w:lineRule="auto"/>
        <w:ind w:right="360" w:firstLine="480"/>
        <w:jc w:val="right"/>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t>日 期：________</w:t>
      </w:r>
    </w:p>
    <w:p w14:paraId="508AC270">
      <w:pPr>
        <w:spacing w:line="360" w:lineRule="auto"/>
        <w:jc w:val="left"/>
        <w:rPr>
          <w:rFonts w:hint="eastAsia" w:ascii="宋体" w:hAnsi="宋体" w:eastAsia="宋体" w:cs="宋体"/>
          <w:color w:val="auto"/>
          <w:sz w:val="22"/>
          <w:szCs w:val="22"/>
          <w:highlight w:val="none"/>
        </w:rPr>
      </w:pPr>
    </w:p>
    <w:p w14:paraId="159A20DD">
      <w:pPr>
        <w:spacing w:line="360" w:lineRule="auto"/>
        <w:jc w:val="left"/>
        <w:rPr>
          <w:rFonts w:hint="eastAsia" w:ascii="宋体" w:hAnsi="宋体" w:eastAsia="宋体" w:cs="宋体"/>
          <w:color w:val="auto"/>
          <w:sz w:val="22"/>
          <w:szCs w:val="22"/>
          <w:highlight w:val="none"/>
        </w:rPr>
      </w:pPr>
    </w:p>
    <w:tbl>
      <w:tblPr>
        <w:tblStyle w:val="3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2C6ACE66">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2BE1C11F">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vertAlign w:val="superscript"/>
              </w:rPr>
              <w:t>1</w:t>
            </w:r>
            <w:r>
              <w:rPr>
                <w:rFonts w:hint="eastAsia" w:ascii="宋体" w:hAnsi="宋体" w:eastAsia="宋体" w:cs="宋体"/>
                <w:color w:val="auto"/>
                <w:sz w:val="22"/>
                <w:szCs w:val="22"/>
                <w:highlight w:val="none"/>
              </w:rPr>
              <w:t>从业人员、营业收入、资产总额填报上一年度数据，无上一年度数据的新成立企业可不填报。</w:t>
            </w:r>
          </w:p>
        </w:tc>
      </w:tr>
    </w:tbl>
    <w:p w14:paraId="4BF260AD">
      <w:pPr>
        <w:ind w:firstLine="420"/>
        <w:jc w:val="left"/>
        <w:rPr>
          <w:rFonts w:hint="eastAsia" w:ascii="宋体" w:hAnsi="宋体" w:eastAsia="宋体" w:cs="宋体"/>
          <w:color w:val="auto"/>
          <w:sz w:val="24"/>
          <w:highlight w:val="none"/>
        </w:rPr>
      </w:pPr>
    </w:p>
    <w:p w14:paraId="7036D3C7">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br w:type="page" w:clear="all"/>
      </w:r>
    </w:p>
    <w:p w14:paraId="09071F9A">
      <w:pPr>
        <w:spacing w:before="240" w:after="240" w:line="360" w:lineRule="auto"/>
        <w:jc w:val="center"/>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残疾人福利性单位声明函格式</w:t>
      </w:r>
      <w:r>
        <w:rPr>
          <w:rFonts w:hint="eastAsia" w:ascii="宋体" w:hAnsi="宋体" w:eastAsia="宋体" w:cs="宋体"/>
          <w:color w:val="auto"/>
          <w:sz w:val="36"/>
          <w:szCs w:val="36"/>
          <w:highlight w:val="none"/>
        </w:rPr>
        <w:t xml:space="preserve"> </w:t>
      </w:r>
    </w:p>
    <w:p w14:paraId="68AC3540">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〔2017〕141</w:t>
      </w:r>
      <w:r>
        <w:rPr>
          <w:rFonts w:hint="eastAsia" w:ascii="宋体" w:hAnsi="宋体" w:eastAsia="宋体" w:cs="宋体"/>
          <w:color w:val="auto"/>
          <w:spacing w:val="6"/>
          <w:sz w:val="24"/>
          <w:highlight w:val="none"/>
        </w:rPr>
        <w:t>号）的规定，本单位</w:t>
      </w:r>
      <w:r>
        <w:rPr>
          <w:rFonts w:hint="eastAsia" w:ascii="宋体" w:hAnsi="宋体" w:eastAsia="宋体" w:cs="宋体"/>
          <w:b/>
          <w:color w:val="auto"/>
          <w:sz w:val="24"/>
          <w:highlight w:val="none"/>
        </w:rPr>
        <w:t>（请进行勾选）</w:t>
      </w:r>
      <w:r>
        <w:rPr>
          <w:rFonts w:hint="eastAsia" w:ascii="宋体" w:hAnsi="宋体" w:eastAsia="宋体" w:cs="宋体"/>
          <w:color w:val="auto"/>
          <w:spacing w:val="6"/>
          <w:sz w:val="24"/>
          <w:highlight w:val="none"/>
        </w:rPr>
        <w:t>：</w:t>
      </w:r>
    </w:p>
    <w:p w14:paraId="2B6CB6AB">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不属于符合条件的残疾人福利性单位。</w:t>
      </w:r>
    </w:p>
    <w:p w14:paraId="3BF91603">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283E277">
      <w:pPr>
        <w:spacing w:line="588" w:lineRule="exact"/>
        <w:ind w:firstLine="506"/>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14:paraId="200EB94A">
      <w:pPr>
        <w:spacing w:line="588" w:lineRule="exact"/>
        <w:ind w:firstLine="504"/>
        <w:rPr>
          <w:rFonts w:hint="eastAsia" w:ascii="宋体" w:hAnsi="宋体" w:eastAsia="宋体" w:cs="宋体"/>
          <w:color w:val="auto"/>
          <w:spacing w:val="6"/>
          <w:sz w:val="24"/>
          <w:highlight w:val="none"/>
        </w:rPr>
      </w:pPr>
    </w:p>
    <w:p w14:paraId="1785C6C2">
      <w:pPr>
        <w:spacing w:line="588" w:lineRule="exact"/>
        <w:ind w:firstLine="504"/>
        <w:rPr>
          <w:rFonts w:hint="eastAsia" w:ascii="宋体" w:hAnsi="宋体" w:eastAsia="宋体" w:cs="宋体"/>
          <w:color w:val="auto"/>
          <w:spacing w:val="6"/>
          <w:sz w:val="24"/>
          <w:highlight w:val="none"/>
        </w:rPr>
      </w:pPr>
    </w:p>
    <w:p w14:paraId="2070D3A6">
      <w:pPr>
        <w:tabs>
          <w:tab w:val="left" w:pos="4860"/>
        </w:tabs>
        <w:spacing w:line="588" w:lineRule="exact"/>
        <w:ind w:right="1560" w:firstLine="504"/>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单位名称（加盖公章）：</w:t>
      </w:r>
    </w:p>
    <w:p w14:paraId="0E9C7955">
      <w:pPr>
        <w:tabs>
          <w:tab w:val="left" w:pos="4860"/>
        </w:tabs>
        <w:spacing w:line="588" w:lineRule="exact"/>
        <w:ind w:right="1560" w:firstLine="504"/>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19E9CDF7">
      <w:pPr>
        <w:spacing w:line="360" w:lineRule="auto"/>
        <w:outlineLvl w:val="2"/>
        <w:rPr>
          <w:rFonts w:hint="eastAsia" w:ascii="宋体" w:hAnsi="宋体" w:eastAsia="宋体" w:cs="宋体"/>
          <w:b/>
          <w:color w:val="auto"/>
          <w:sz w:val="24"/>
          <w:highlight w:val="none"/>
        </w:rPr>
      </w:pPr>
    </w:p>
    <w:p w14:paraId="1ABDE0E3">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p>
    <w:p w14:paraId="70A10E86">
      <w:pPr>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8</w:t>
      </w:r>
      <w:r>
        <w:rPr>
          <w:rFonts w:hint="eastAsia" w:ascii="宋体" w:hAnsi="宋体" w:eastAsia="宋体" w:cs="宋体"/>
          <w:color w:val="auto"/>
          <w:sz w:val="24"/>
          <w:szCs w:val="20"/>
          <w:highlight w:val="none"/>
        </w:rPr>
        <w:t xml:space="preserve">  项目实施方案等，包括但不限于如下主题：</w:t>
      </w:r>
    </w:p>
    <w:p w14:paraId="4B1F30AC">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1）项目组织实施方案；</w:t>
      </w:r>
    </w:p>
    <w:p w14:paraId="440BC636">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2）项目管理方案；</w:t>
      </w:r>
    </w:p>
    <w:p w14:paraId="185CC7F8">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3）拟达到的标准，配备的人员、设备配置等；</w:t>
      </w:r>
    </w:p>
    <w:p w14:paraId="6B75D953">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4）培训方案、技术支持等方案；</w:t>
      </w:r>
    </w:p>
    <w:p w14:paraId="11F6D01F">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5）优惠条款或承诺；</w:t>
      </w:r>
    </w:p>
    <w:p w14:paraId="135F6B23">
      <w:pPr>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6）其他。</w:t>
      </w:r>
    </w:p>
    <w:p w14:paraId="19E9477F">
      <w:pPr>
        <w:spacing w:line="560" w:lineRule="exact"/>
        <w:ind w:firstLine="482"/>
        <w:rPr>
          <w:rFonts w:hint="eastAsia"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本项内容可根据评审方法和评审标准要求拟制。</w:t>
      </w:r>
    </w:p>
    <w:p w14:paraId="5545255B">
      <w:pPr>
        <w:spacing w:line="360" w:lineRule="auto"/>
        <w:outlineLvl w:val="2"/>
        <w:rPr>
          <w:rFonts w:hint="eastAsia" w:ascii="宋体" w:hAnsi="宋体" w:eastAsia="宋体" w:cs="宋体"/>
          <w:color w:val="auto"/>
          <w:sz w:val="24"/>
          <w:szCs w:val="20"/>
          <w:highlight w:val="none"/>
        </w:rPr>
      </w:pPr>
    </w:p>
    <w:p w14:paraId="013C53D0">
      <w:pPr>
        <w:spacing w:line="360" w:lineRule="auto"/>
        <w:outlineLvl w:val="2"/>
        <w:rPr>
          <w:rFonts w:hint="eastAsia" w:ascii="宋体" w:hAnsi="宋体" w:eastAsia="宋体" w:cs="宋体"/>
          <w:color w:val="auto"/>
          <w:sz w:val="24"/>
          <w:szCs w:val="20"/>
          <w:highlight w:val="none"/>
        </w:rPr>
      </w:pPr>
    </w:p>
    <w:p w14:paraId="03DA09F5">
      <w:pPr>
        <w:spacing w:line="360" w:lineRule="auto"/>
        <w:outlineLvl w:val="2"/>
        <w:rPr>
          <w:rFonts w:hint="eastAsia" w:ascii="宋体" w:hAnsi="宋体" w:eastAsia="宋体" w:cs="宋体"/>
          <w:color w:val="auto"/>
          <w:sz w:val="24"/>
          <w:szCs w:val="20"/>
          <w:highlight w:val="none"/>
        </w:rPr>
      </w:pPr>
    </w:p>
    <w:p w14:paraId="7A1459AD">
      <w:pPr>
        <w:spacing w:line="360" w:lineRule="auto"/>
        <w:outlineLvl w:val="2"/>
        <w:rPr>
          <w:rFonts w:hint="eastAsia" w:ascii="宋体" w:hAnsi="宋体" w:eastAsia="宋体" w:cs="宋体"/>
          <w:color w:val="auto"/>
          <w:sz w:val="24"/>
          <w:szCs w:val="20"/>
          <w:highlight w:val="none"/>
        </w:rPr>
      </w:pPr>
    </w:p>
    <w:p w14:paraId="2CA2E906">
      <w:pPr>
        <w:spacing w:line="360" w:lineRule="auto"/>
        <w:outlineLvl w:val="2"/>
        <w:rPr>
          <w:rFonts w:hint="eastAsia" w:ascii="宋体" w:hAnsi="宋体" w:eastAsia="宋体" w:cs="宋体"/>
          <w:color w:val="auto"/>
          <w:sz w:val="24"/>
          <w:szCs w:val="20"/>
          <w:highlight w:val="none"/>
        </w:rPr>
      </w:pPr>
    </w:p>
    <w:p w14:paraId="4CCD3217">
      <w:pPr>
        <w:spacing w:line="360" w:lineRule="auto"/>
        <w:outlineLvl w:val="2"/>
        <w:rPr>
          <w:rFonts w:hint="eastAsia" w:ascii="宋体" w:hAnsi="宋体" w:eastAsia="宋体" w:cs="宋体"/>
          <w:color w:val="auto"/>
          <w:sz w:val="24"/>
          <w:szCs w:val="20"/>
          <w:highlight w:val="none"/>
        </w:rPr>
      </w:pPr>
    </w:p>
    <w:p w14:paraId="419FD6AC">
      <w:pPr>
        <w:spacing w:line="360" w:lineRule="auto"/>
        <w:outlineLvl w:val="2"/>
        <w:rPr>
          <w:rFonts w:hint="eastAsia" w:ascii="宋体" w:hAnsi="宋体" w:eastAsia="宋体" w:cs="宋体"/>
          <w:color w:val="auto"/>
          <w:sz w:val="24"/>
          <w:szCs w:val="20"/>
          <w:highlight w:val="none"/>
        </w:rPr>
      </w:pPr>
    </w:p>
    <w:p w14:paraId="1A6463A6">
      <w:pPr>
        <w:spacing w:line="360" w:lineRule="auto"/>
        <w:outlineLvl w:val="2"/>
        <w:rPr>
          <w:rFonts w:hint="eastAsia" w:ascii="宋体" w:hAnsi="宋体" w:eastAsia="宋体" w:cs="宋体"/>
          <w:color w:val="auto"/>
          <w:sz w:val="24"/>
          <w:szCs w:val="20"/>
          <w:highlight w:val="none"/>
        </w:rPr>
      </w:pPr>
    </w:p>
    <w:p w14:paraId="42E563E3">
      <w:pPr>
        <w:spacing w:line="360" w:lineRule="auto"/>
        <w:outlineLvl w:val="2"/>
        <w:rPr>
          <w:rFonts w:hint="eastAsia" w:ascii="宋体" w:hAnsi="宋体" w:eastAsia="宋体" w:cs="宋体"/>
          <w:color w:val="auto"/>
          <w:sz w:val="24"/>
          <w:szCs w:val="20"/>
          <w:highlight w:val="none"/>
        </w:rPr>
      </w:pPr>
    </w:p>
    <w:p w14:paraId="5391A0FE">
      <w:pPr>
        <w:spacing w:line="360" w:lineRule="auto"/>
        <w:outlineLvl w:val="2"/>
        <w:rPr>
          <w:rFonts w:hint="eastAsia" w:ascii="宋体" w:hAnsi="宋体" w:eastAsia="宋体" w:cs="宋体"/>
          <w:color w:val="auto"/>
          <w:sz w:val="24"/>
          <w:szCs w:val="20"/>
          <w:highlight w:val="none"/>
        </w:rPr>
      </w:pPr>
    </w:p>
    <w:p w14:paraId="0776F821">
      <w:pPr>
        <w:spacing w:line="360" w:lineRule="auto"/>
        <w:outlineLvl w:val="2"/>
        <w:rPr>
          <w:rFonts w:hint="eastAsia" w:ascii="宋体" w:hAnsi="宋体" w:eastAsia="宋体" w:cs="宋体"/>
          <w:color w:val="auto"/>
          <w:sz w:val="24"/>
          <w:szCs w:val="20"/>
          <w:highlight w:val="none"/>
        </w:rPr>
      </w:pPr>
    </w:p>
    <w:p w14:paraId="1F1E4ADD">
      <w:pPr>
        <w:spacing w:line="360" w:lineRule="auto"/>
        <w:outlineLvl w:val="2"/>
        <w:rPr>
          <w:rFonts w:hint="eastAsia" w:ascii="宋体" w:hAnsi="宋体" w:eastAsia="宋体" w:cs="宋体"/>
          <w:color w:val="auto"/>
          <w:sz w:val="24"/>
          <w:szCs w:val="20"/>
          <w:highlight w:val="none"/>
        </w:rPr>
      </w:pPr>
    </w:p>
    <w:p w14:paraId="58C6F903">
      <w:pPr>
        <w:spacing w:line="360" w:lineRule="auto"/>
        <w:outlineLvl w:val="2"/>
        <w:rPr>
          <w:rFonts w:hint="eastAsia" w:ascii="宋体" w:hAnsi="宋体" w:eastAsia="宋体" w:cs="宋体"/>
          <w:color w:val="auto"/>
          <w:sz w:val="24"/>
          <w:szCs w:val="20"/>
          <w:highlight w:val="none"/>
        </w:rPr>
      </w:pPr>
    </w:p>
    <w:p w14:paraId="1276B7E6">
      <w:pPr>
        <w:spacing w:line="360" w:lineRule="auto"/>
        <w:outlineLvl w:val="2"/>
        <w:rPr>
          <w:rFonts w:hint="eastAsia" w:ascii="宋体" w:hAnsi="宋体" w:eastAsia="宋体" w:cs="宋体"/>
          <w:color w:val="auto"/>
          <w:sz w:val="24"/>
          <w:szCs w:val="20"/>
          <w:highlight w:val="none"/>
        </w:rPr>
      </w:pPr>
    </w:p>
    <w:p w14:paraId="7D3B6C56">
      <w:pPr>
        <w:spacing w:line="360" w:lineRule="auto"/>
        <w:outlineLvl w:val="2"/>
        <w:rPr>
          <w:rFonts w:hint="eastAsia" w:ascii="宋体" w:hAnsi="宋体" w:eastAsia="宋体" w:cs="宋体"/>
          <w:color w:val="auto"/>
          <w:sz w:val="24"/>
          <w:szCs w:val="20"/>
          <w:highlight w:val="none"/>
        </w:rPr>
      </w:pPr>
    </w:p>
    <w:p w14:paraId="3AFC5C49">
      <w:pPr>
        <w:spacing w:line="360" w:lineRule="auto"/>
        <w:outlineLvl w:val="2"/>
        <w:rPr>
          <w:rFonts w:hint="eastAsia" w:ascii="宋体" w:hAnsi="宋体" w:eastAsia="宋体" w:cs="宋体"/>
          <w:color w:val="auto"/>
          <w:sz w:val="24"/>
          <w:szCs w:val="20"/>
          <w:highlight w:val="none"/>
        </w:rPr>
      </w:pPr>
    </w:p>
    <w:p w14:paraId="6A30C71B">
      <w:pPr>
        <w:spacing w:line="360" w:lineRule="auto"/>
        <w:outlineLvl w:val="2"/>
        <w:rPr>
          <w:rFonts w:hint="eastAsia" w:ascii="宋体" w:hAnsi="宋体" w:eastAsia="宋体" w:cs="宋体"/>
          <w:color w:val="auto"/>
          <w:sz w:val="24"/>
          <w:szCs w:val="20"/>
          <w:highlight w:val="none"/>
        </w:rPr>
      </w:pPr>
    </w:p>
    <w:p w14:paraId="3AFC9E9B">
      <w:pPr>
        <w:spacing w:line="360" w:lineRule="auto"/>
        <w:outlineLvl w:val="2"/>
        <w:rPr>
          <w:rFonts w:hint="eastAsia" w:ascii="宋体" w:hAnsi="宋体" w:eastAsia="宋体" w:cs="宋体"/>
          <w:color w:val="auto"/>
          <w:sz w:val="24"/>
          <w:szCs w:val="20"/>
          <w:highlight w:val="none"/>
        </w:rPr>
      </w:pPr>
    </w:p>
    <w:p w14:paraId="7E088ABA">
      <w:pPr>
        <w:spacing w:line="360" w:lineRule="auto"/>
        <w:outlineLvl w:val="2"/>
        <w:rPr>
          <w:rFonts w:hint="eastAsia" w:ascii="宋体" w:hAnsi="宋体" w:eastAsia="宋体" w:cs="宋体"/>
          <w:color w:val="auto"/>
          <w:sz w:val="24"/>
          <w:szCs w:val="20"/>
          <w:highlight w:val="none"/>
        </w:rPr>
      </w:pPr>
    </w:p>
    <w:p w14:paraId="3A8BC9BF">
      <w:pPr>
        <w:spacing w:line="360" w:lineRule="auto"/>
        <w:outlineLvl w:val="2"/>
        <w:rPr>
          <w:rFonts w:hint="eastAsia" w:ascii="宋体" w:hAnsi="宋体" w:eastAsia="宋体" w:cs="宋体"/>
          <w:color w:val="auto"/>
          <w:sz w:val="24"/>
          <w:szCs w:val="20"/>
          <w:highlight w:val="none"/>
        </w:rPr>
      </w:pPr>
    </w:p>
    <w:p w14:paraId="1645FC48">
      <w:pPr>
        <w:rPr>
          <w:rFonts w:hint="eastAsia" w:ascii="宋体" w:hAnsi="宋体" w:eastAsia="宋体" w:cs="宋体"/>
          <w:color w:val="auto"/>
          <w:sz w:val="24"/>
          <w:szCs w:val="20"/>
          <w:highlight w:val="none"/>
        </w:rPr>
      </w:pPr>
    </w:p>
    <w:p w14:paraId="3301DAAF">
      <w:pPr>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rPr>
        <w:t xml:space="preserve">  参加本项目人员一览表</w:t>
      </w:r>
    </w:p>
    <w:p w14:paraId="67C917BD">
      <w:pPr>
        <w:spacing w:line="360" w:lineRule="auto"/>
        <w:jc w:val="center"/>
        <w:rPr>
          <w:rFonts w:hint="eastAsia" w:ascii="宋体" w:hAnsi="宋体" w:eastAsia="宋体" w:cs="宋体"/>
          <w:b/>
          <w:color w:val="auto"/>
          <w:sz w:val="32"/>
          <w:szCs w:val="32"/>
          <w:highlight w:val="none"/>
        </w:rPr>
      </w:pPr>
    </w:p>
    <w:p w14:paraId="0050253D">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参加本项目人员一览表</w:t>
      </w:r>
    </w:p>
    <w:p w14:paraId="43024841">
      <w:pPr>
        <w:spacing w:line="360" w:lineRule="auto"/>
        <w:rPr>
          <w:rFonts w:hint="eastAsia" w:ascii="宋体" w:hAnsi="宋体" w:eastAsia="宋体" w:cs="宋体"/>
          <w:color w:val="auto"/>
          <w:sz w:val="22"/>
          <w:highlight w:val="none"/>
        </w:rPr>
      </w:pPr>
    </w:p>
    <w:p w14:paraId="74F9B26B">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项目编号/包号：</w:t>
      </w:r>
      <w:r>
        <w:rPr>
          <w:rFonts w:hint="eastAsia" w:ascii="宋体" w:hAnsi="宋体" w:eastAsia="宋体" w:cs="宋体"/>
          <w:color w:val="auto"/>
          <w:sz w:val="24"/>
          <w:highlight w:val="none"/>
          <w:u w:val="single"/>
        </w:rPr>
        <w:t xml:space="preserve">                     </w:t>
      </w:r>
    </w:p>
    <w:p w14:paraId="0AB9240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tbl>
      <w:tblPr>
        <w:tblStyle w:val="30"/>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046246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noWrap w:val="0"/>
            <w:vAlign w:val="center"/>
          </w:tcPr>
          <w:p w14:paraId="0053BC06">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945" w:type="dxa"/>
            <w:noWrap w:val="0"/>
            <w:vAlign w:val="center"/>
          </w:tcPr>
          <w:p w14:paraId="12D73E9E">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945" w:type="dxa"/>
            <w:noWrap w:val="0"/>
            <w:vAlign w:val="center"/>
          </w:tcPr>
          <w:p w14:paraId="3BF613BB">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945" w:type="dxa"/>
            <w:noWrap w:val="0"/>
            <w:vAlign w:val="center"/>
          </w:tcPr>
          <w:p w14:paraId="1330F3EC">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945" w:type="dxa"/>
            <w:noWrap w:val="0"/>
            <w:vAlign w:val="center"/>
          </w:tcPr>
          <w:p w14:paraId="02B137F0">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毕业学校和学历</w:t>
            </w:r>
          </w:p>
        </w:tc>
        <w:tc>
          <w:tcPr>
            <w:tcW w:w="945" w:type="dxa"/>
            <w:noWrap w:val="0"/>
            <w:vAlign w:val="center"/>
          </w:tcPr>
          <w:p w14:paraId="3C5D6632">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w:t>
            </w:r>
          </w:p>
        </w:tc>
        <w:tc>
          <w:tcPr>
            <w:tcW w:w="945" w:type="dxa"/>
            <w:noWrap w:val="0"/>
            <w:vAlign w:val="center"/>
          </w:tcPr>
          <w:p w14:paraId="3097CA55">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945" w:type="dxa"/>
            <w:noWrap w:val="0"/>
            <w:vAlign w:val="center"/>
          </w:tcPr>
          <w:p w14:paraId="1ACDB0F0">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专业培训及证书</w:t>
            </w:r>
          </w:p>
        </w:tc>
        <w:tc>
          <w:tcPr>
            <w:tcW w:w="945" w:type="dxa"/>
            <w:noWrap w:val="0"/>
            <w:vAlign w:val="center"/>
          </w:tcPr>
          <w:p w14:paraId="2FADE216">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责任</w:t>
            </w:r>
          </w:p>
          <w:p w14:paraId="1977A55D">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或分工</w:t>
            </w:r>
          </w:p>
        </w:tc>
        <w:tc>
          <w:tcPr>
            <w:tcW w:w="945" w:type="dxa"/>
            <w:noWrap w:val="0"/>
            <w:vAlign w:val="center"/>
          </w:tcPr>
          <w:p w14:paraId="0961FB41">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项目经历或主要工作</w:t>
            </w:r>
          </w:p>
          <w:p w14:paraId="69985B7E">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业绩</w:t>
            </w:r>
          </w:p>
        </w:tc>
      </w:tr>
      <w:tr w14:paraId="3DF943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noWrap w:val="0"/>
            <w:vAlign w:val="top"/>
          </w:tcPr>
          <w:p w14:paraId="40454938">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527288F6">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5A33E8F6">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2C766B77">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4F1F2413">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2A02128B">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55EA9415">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4498A5E">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3B82B15D">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76C09999">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0392A8E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noWrap w:val="0"/>
            <w:vAlign w:val="top"/>
          </w:tcPr>
          <w:p w14:paraId="2082B47C">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707EE459">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3F470E1E">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9D4A859">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2869B722">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7B9D259A">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2181E8E1">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D3993B8">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47A0306C">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18B3D7A0">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67A051B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noWrap w:val="0"/>
            <w:vAlign w:val="top"/>
          </w:tcPr>
          <w:p w14:paraId="2B8CB109">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2941D90D">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6DAA37C5">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10F95FFF">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0FC3A444">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0E7FDD98">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69DD127B">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54362D14">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093A366F">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6C2E5A9E">
            <w:pPr>
              <w:tabs>
                <w:tab w:val="left" w:pos="9765"/>
              </w:tabs>
              <w:spacing w:line="360" w:lineRule="auto"/>
              <w:rPr>
                <w:rFonts w:hint="eastAsia" w:ascii="宋体" w:hAnsi="宋体" w:eastAsia="宋体" w:cs="宋体"/>
                <w:color w:val="auto"/>
                <w:sz w:val="24"/>
                <w:highlight w:val="none"/>
              </w:rPr>
            </w:pPr>
          </w:p>
        </w:tc>
      </w:tr>
      <w:tr w14:paraId="4D4EB24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noWrap w:val="0"/>
            <w:vAlign w:val="top"/>
          </w:tcPr>
          <w:p w14:paraId="5A2C4033">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632FBF9F">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29DF32CE">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7E64DFF7">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7E73D318">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161E9271">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4BD5CBE3">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5B5EB66F">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2B76BA38">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5648F8EB">
            <w:pPr>
              <w:tabs>
                <w:tab w:val="left" w:pos="9765"/>
              </w:tabs>
              <w:spacing w:line="360" w:lineRule="auto"/>
              <w:rPr>
                <w:rFonts w:hint="eastAsia" w:ascii="宋体" w:hAnsi="宋体" w:eastAsia="宋体" w:cs="宋体"/>
                <w:color w:val="auto"/>
                <w:sz w:val="24"/>
                <w:highlight w:val="none"/>
              </w:rPr>
            </w:pPr>
          </w:p>
        </w:tc>
      </w:tr>
      <w:tr w14:paraId="0F1915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noWrap w:val="0"/>
            <w:vAlign w:val="top"/>
          </w:tcPr>
          <w:p w14:paraId="1F67F947">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4A8A1EF6">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36914515">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261E1ABD">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1D17CB70">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31CCFDDA">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6F362221">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14765EAC">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756FD965">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5BC0A436">
            <w:pPr>
              <w:tabs>
                <w:tab w:val="left" w:pos="9765"/>
              </w:tabs>
              <w:spacing w:line="360" w:lineRule="auto"/>
              <w:rPr>
                <w:rFonts w:hint="eastAsia" w:ascii="宋体" w:hAnsi="宋体" w:eastAsia="宋体" w:cs="宋体"/>
                <w:color w:val="auto"/>
                <w:sz w:val="24"/>
                <w:highlight w:val="none"/>
              </w:rPr>
            </w:pPr>
          </w:p>
        </w:tc>
      </w:tr>
      <w:tr w14:paraId="59922A2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noWrap w:val="0"/>
            <w:vAlign w:val="top"/>
          </w:tcPr>
          <w:p w14:paraId="71AEB7E8">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765D1065">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4E208E65">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220CCF8F">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67091294">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980D326">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175960BD">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B808103">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770F5921">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6CD487FE">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bl>
    <w:p w14:paraId="6D4EE359">
      <w:pPr>
        <w:tabs>
          <w:tab w:val="left" w:pos="9765"/>
        </w:tabs>
        <w:rPr>
          <w:rFonts w:hint="eastAsia" w:ascii="宋体" w:hAnsi="宋体" w:eastAsia="宋体" w:cs="宋体"/>
          <w:b/>
          <w:color w:val="auto"/>
          <w:sz w:val="24"/>
          <w:highlight w:val="none"/>
          <w:lang w:val="zh-CN"/>
        </w:rPr>
      </w:pPr>
    </w:p>
    <w:p w14:paraId="42C93499">
      <w:pPr>
        <w:tabs>
          <w:tab w:val="left" w:pos="9765"/>
        </w:tabs>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注：参加本项目人员须是投标人正式职工，须同时提供</w:t>
      </w:r>
      <w:r>
        <w:rPr>
          <w:rFonts w:hint="eastAsia" w:ascii="宋体" w:hAnsi="宋体" w:eastAsia="宋体" w:cs="宋体"/>
          <w:b/>
          <w:color w:val="auto"/>
          <w:sz w:val="24"/>
          <w:highlight w:val="none"/>
        </w:rPr>
        <w:t>投标人</w:t>
      </w:r>
      <w:r>
        <w:rPr>
          <w:rFonts w:hint="eastAsia" w:ascii="宋体" w:hAnsi="宋体" w:eastAsia="宋体" w:cs="宋体"/>
          <w:b/>
          <w:color w:val="auto"/>
          <w:sz w:val="24"/>
          <w:highlight w:val="none"/>
          <w:lang w:val="zh-CN"/>
        </w:rPr>
        <w:t>为其缴纳的</w:t>
      </w:r>
      <w:r>
        <w:rPr>
          <w:rFonts w:hint="eastAsia" w:ascii="宋体" w:hAnsi="宋体" w:eastAsia="宋体" w:cs="宋体"/>
          <w:b/>
          <w:color w:val="auto"/>
          <w:sz w:val="24"/>
          <w:highlight w:val="none"/>
        </w:rPr>
        <w:t>投标截止时间</w:t>
      </w:r>
      <w:r>
        <w:rPr>
          <w:rFonts w:hint="eastAsia" w:ascii="宋体" w:hAnsi="宋体" w:eastAsia="宋体" w:cs="宋体"/>
          <w:b/>
          <w:color w:val="auto"/>
          <w:sz w:val="24"/>
          <w:highlight w:val="none"/>
          <w:lang w:val="zh-CN"/>
        </w:rPr>
        <w:t>前连续三个月社保证明材料。</w:t>
      </w:r>
    </w:p>
    <w:p w14:paraId="5CEE15F8">
      <w:pPr>
        <w:spacing w:line="360" w:lineRule="auto"/>
        <w:rPr>
          <w:rFonts w:hint="eastAsia" w:ascii="宋体" w:hAnsi="宋体" w:eastAsia="宋体" w:cs="宋体"/>
          <w:color w:val="auto"/>
          <w:sz w:val="24"/>
          <w:highlight w:val="none"/>
        </w:rPr>
      </w:pPr>
    </w:p>
    <w:p w14:paraId="381A139A">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    ____________</w:t>
      </w:r>
    </w:p>
    <w:p w14:paraId="3BA1DF63">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562CEB7F">
      <w:pPr>
        <w:rPr>
          <w:rFonts w:hint="eastAsia" w:ascii="宋体" w:hAnsi="宋体" w:eastAsia="宋体" w:cs="宋体"/>
          <w:color w:val="auto"/>
          <w:sz w:val="22"/>
          <w:highlight w:val="none"/>
        </w:rPr>
      </w:pPr>
      <w:r>
        <w:rPr>
          <w:rFonts w:hint="eastAsia" w:ascii="宋体" w:hAnsi="宋体" w:eastAsia="宋体" w:cs="宋体"/>
          <w:color w:val="auto"/>
          <w:sz w:val="22"/>
          <w:highlight w:val="none"/>
        </w:rPr>
        <w:br w:type="page" w:clear="all"/>
      </w:r>
      <w:bookmarkStart w:id="838" w:name="_Toc288738397"/>
      <w:bookmarkStart w:id="839" w:name="_Toc288738839"/>
    </w:p>
    <w:p w14:paraId="2B98C368">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val="en-US" w:eastAsia="zh-CN"/>
        </w:rPr>
        <w:t>0</w:t>
      </w:r>
      <w:r>
        <w:rPr>
          <w:rFonts w:hint="eastAsia" w:ascii="宋体" w:hAnsi="宋体" w:eastAsia="宋体" w:cs="宋体"/>
          <w:color w:val="auto"/>
          <w:sz w:val="24"/>
          <w:szCs w:val="20"/>
          <w:highlight w:val="none"/>
        </w:rPr>
        <w:t xml:space="preserve">  相关业绩案例一览表</w:t>
      </w:r>
    </w:p>
    <w:p w14:paraId="0309733D">
      <w:pPr>
        <w:rPr>
          <w:rFonts w:hint="eastAsia" w:ascii="宋体" w:hAnsi="宋体" w:eastAsia="宋体" w:cs="宋体"/>
          <w:color w:val="auto"/>
          <w:sz w:val="24"/>
          <w:szCs w:val="20"/>
          <w:highlight w:val="none"/>
        </w:rPr>
      </w:pPr>
    </w:p>
    <w:p w14:paraId="4D68C0B7">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相关业绩案例一览表</w:t>
      </w:r>
      <w:bookmarkEnd w:id="838"/>
      <w:bookmarkEnd w:id="839"/>
    </w:p>
    <w:p w14:paraId="36A12151">
      <w:pPr>
        <w:spacing w:line="360" w:lineRule="auto"/>
        <w:jc w:val="center"/>
        <w:rPr>
          <w:rFonts w:hint="eastAsia" w:ascii="宋体" w:hAnsi="宋体" w:eastAsia="宋体" w:cs="宋体"/>
          <w:b/>
          <w:color w:val="auto"/>
          <w:sz w:val="28"/>
          <w:szCs w:val="30"/>
          <w:highlight w:val="none"/>
        </w:rPr>
      </w:pPr>
    </w:p>
    <w:p w14:paraId="39B1B3FE">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项目编号/包号：</w:t>
      </w:r>
      <w:r>
        <w:rPr>
          <w:rFonts w:hint="eastAsia" w:ascii="宋体" w:hAnsi="宋体" w:eastAsia="宋体" w:cs="宋体"/>
          <w:color w:val="auto"/>
          <w:sz w:val="24"/>
          <w:highlight w:val="none"/>
          <w:u w:val="single"/>
        </w:rPr>
        <w:t xml:space="preserve">                     </w:t>
      </w:r>
    </w:p>
    <w:p w14:paraId="3ED0F44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tbl>
      <w:tblPr>
        <w:tblStyle w:val="3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569E9D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1374CA5">
            <w:pPr>
              <w:tabs>
                <w:tab w:val="left" w:pos="9765"/>
              </w:tabs>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F7A1445">
            <w:pPr>
              <w:tabs>
                <w:tab w:val="left" w:pos="9765"/>
              </w:tabs>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8C39A2B">
            <w:pPr>
              <w:tabs>
                <w:tab w:val="left" w:pos="9765"/>
              </w:tabs>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CA8138A">
            <w:pPr>
              <w:tabs>
                <w:tab w:val="left" w:pos="9765"/>
              </w:tabs>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1FC6B1B">
            <w:pPr>
              <w:tabs>
                <w:tab w:val="left" w:pos="9765"/>
              </w:tabs>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6D7AFA5">
            <w:pPr>
              <w:tabs>
                <w:tab w:val="left" w:pos="9765"/>
              </w:tabs>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联系电话</w:t>
            </w:r>
          </w:p>
        </w:tc>
      </w:tr>
      <w:tr w14:paraId="5A9E2F7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720E96D">
            <w:pPr>
              <w:tabs>
                <w:tab w:val="left" w:pos="9765"/>
              </w:tabs>
              <w:spacing w:line="360" w:lineRule="auto"/>
              <w:jc w:val="center"/>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06D2D64">
            <w:pPr>
              <w:tabs>
                <w:tab w:val="left" w:pos="9765"/>
              </w:tabs>
              <w:spacing w:line="360" w:lineRule="auto"/>
              <w:jc w:val="center"/>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42E8D53">
            <w:pPr>
              <w:tabs>
                <w:tab w:val="left" w:pos="9765"/>
              </w:tabs>
              <w:spacing w:line="360" w:lineRule="auto"/>
              <w:jc w:val="center"/>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26C0129">
            <w:pPr>
              <w:tabs>
                <w:tab w:val="left" w:pos="9765"/>
              </w:tabs>
              <w:spacing w:line="360" w:lineRule="auto"/>
              <w:jc w:val="center"/>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6111285">
            <w:pPr>
              <w:tabs>
                <w:tab w:val="left" w:pos="9765"/>
              </w:tabs>
              <w:spacing w:line="360" w:lineRule="auto"/>
              <w:ind w:hanging="523"/>
              <w:jc w:val="center"/>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907F81C">
            <w:pPr>
              <w:tabs>
                <w:tab w:val="left" w:pos="9765"/>
              </w:tabs>
              <w:spacing w:line="360" w:lineRule="auto"/>
              <w:ind w:hanging="523"/>
              <w:jc w:val="center"/>
              <w:rPr>
                <w:rFonts w:hint="eastAsia" w:ascii="宋体" w:hAnsi="宋体" w:eastAsia="宋体" w:cs="宋体"/>
                <w:color w:val="auto"/>
                <w:sz w:val="24"/>
                <w:highlight w:val="none"/>
              </w:rPr>
            </w:pPr>
          </w:p>
        </w:tc>
      </w:tr>
      <w:tr w14:paraId="77E206A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A7C7A65">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261691D">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2186DF2">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35E740B">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E52EB52">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CC27424">
            <w:pPr>
              <w:tabs>
                <w:tab w:val="left" w:pos="9765"/>
              </w:tabs>
              <w:spacing w:line="360" w:lineRule="auto"/>
              <w:rPr>
                <w:rFonts w:hint="eastAsia" w:ascii="宋体" w:hAnsi="宋体" w:eastAsia="宋体" w:cs="宋体"/>
                <w:color w:val="auto"/>
                <w:sz w:val="24"/>
                <w:highlight w:val="none"/>
              </w:rPr>
            </w:pPr>
          </w:p>
        </w:tc>
      </w:tr>
      <w:tr w14:paraId="332328E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984DD1B">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2FCD5B">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4AD19B">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8E65B1A">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9AC3A3D">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843F7AE">
            <w:pPr>
              <w:tabs>
                <w:tab w:val="left" w:pos="9765"/>
              </w:tabs>
              <w:spacing w:line="360" w:lineRule="auto"/>
              <w:rPr>
                <w:rFonts w:hint="eastAsia" w:ascii="宋体" w:hAnsi="宋体" w:eastAsia="宋体" w:cs="宋体"/>
                <w:color w:val="auto"/>
                <w:sz w:val="24"/>
                <w:highlight w:val="none"/>
              </w:rPr>
            </w:pPr>
          </w:p>
        </w:tc>
      </w:tr>
      <w:tr w14:paraId="6061DC1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B121D1">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4B91DC8">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EB69032">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9999228">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C06285D">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322B5FE">
            <w:pPr>
              <w:tabs>
                <w:tab w:val="left" w:pos="9765"/>
              </w:tabs>
              <w:spacing w:line="360" w:lineRule="auto"/>
              <w:rPr>
                <w:rFonts w:hint="eastAsia" w:ascii="宋体" w:hAnsi="宋体" w:eastAsia="宋体" w:cs="宋体"/>
                <w:color w:val="auto"/>
                <w:sz w:val="24"/>
                <w:highlight w:val="none"/>
              </w:rPr>
            </w:pPr>
          </w:p>
        </w:tc>
      </w:tr>
      <w:tr w14:paraId="120B42B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1831578">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2BEC4B6">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2FDFE62">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952E6C9">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8F1AAC">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0898D41">
            <w:pPr>
              <w:tabs>
                <w:tab w:val="left" w:pos="9765"/>
              </w:tabs>
              <w:spacing w:line="360" w:lineRule="auto"/>
              <w:rPr>
                <w:rFonts w:hint="eastAsia" w:ascii="宋体" w:hAnsi="宋体" w:eastAsia="宋体" w:cs="宋体"/>
                <w:color w:val="auto"/>
                <w:sz w:val="24"/>
                <w:highlight w:val="none"/>
              </w:rPr>
            </w:pPr>
          </w:p>
        </w:tc>
      </w:tr>
      <w:tr w14:paraId="6DC5B12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5B8C97">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8647D79">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8E208ED">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02CF40B">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1EE675">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4927797">
            <w:pPr>
              <w:tabs>
                <w:tab w:val="left" w:pos="9765"/>
              </w:tabs>
              <w:spacing w:line="360" w:lineRule="auto"/>
              <w:rPr>
                <w:rFonts w:hint="eastAsia" w:ascii="宋体" w:hAnsi="宋体" w:eastAsia="宋体" w:cs="宋体"/>
                <w:color w:val="auto"/>
                <w:sz w:val="24"/>
                <w:highlight w:val="none"/>
              </w:rPr>
            </w:pPr>
          </w:p>
        </w:tc>
      </w:tr>
      <w:tr w14:paraId="757C4E5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5FC153F">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1EE97A0">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46886E8">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D624C51">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17B7591">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27A16A5">
            <w:pPr>
              <w:tabs>
                <w:tab w:val="left" w:pos="9765"/>
              </w:tabs>
              <w:spacing w:line="360" w:lineRule="auto"/>
              <w:rPr>
                <w:rFonts w:hint="eastAsia" w:ascii="宋体" w:hAnsi="宋体" w:eastAsia="宋体" w:cs="宋体"/>
                <w:color w:val="auto"/>
                <w:sz w:val="24"/>
                <w:highlight w:val="none"/>
              </w:rPr>
            </w:pPr>
          </w:p>
        </w:tc>
      </w:tr>
      <w:tr w14:paraId="0616ADA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B513469">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7E1E54E">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5472F8B">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66D135">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45277AF">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8FE1A05">
            <w:pPr>
              <w:tabs>
                <w:tab w:val="left" w:pos="9765"/>
              </w:tabs>
              <w:spacing w:line="360" w:lineRule="auto"/>
              <w:rPr>
                <w:rFonts w:hint="eastAsia" w:ascii="宋体" w:hAnsi="宋体" w:eastAsia="宋体" w:cs="宋体"/>
                <w:color w:val="auto"/>
                <w:sz w:val="24"/>
                <w:highlight w:val="none"/>
              </w:rPr>
            </w:pPr>
          </w:p>
        </w:tc>
      </w:tr>
      <w:tr w14:paraId="29A5A5E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56E6C53">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48BF456">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D522805">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138775C">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6A222B3">
            <w:pPr>
              <w:tabs>
                <w:tab w:val="left" w:pos="9765"/>
              </w:tabs>
              <w:spacing w:line="360" w:lineRule="auto"/>
              <w:rPr>
                <w:rFonts w:hint="eastAsia" w:ascii="宋体" w:hAnsi="宋体" w:eastAsia="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235894B">
            <w:pPr>
              <w:tabs>
                <w:tab w:val="left" w:pos="9765"/>
              </w:tabs>
              <w:spacing w:line="360" w:lineRule="auto"/>
              <w:rPr>
                <w:rFonts w:hint="eastAsia" w:ascii="宋体" w:hAnsi="宋体" w:eastAsia="宋体" w:cs="宋体"/>
                <w:color w:val="auto"/>
                <w:sz w:val="24"/>
                <w:highlight w:val="none"/>
              </w:rPr>
            </w:pPr>
          </w:p>
        </w:tc>
      </w:tr>
    </w:tbl>
    <w:p w14:paraId="30A78405">
      <w:pPr>
        <w:spacing w:line="360" w:lineRule="auto"/>
        <w:jc w:val="left"/>
        <w:rPr>
          <w:rFonts w:hint="eastAsia" w:ascii="宋体" w:hAnsi="宋体" w:eastAsia="宋体" w:cs="宋体"/>
          <w:color w:val="auto"/>
          <w:szCs w:val="21"/>
          <w:highlight w:val="none"/>
        </w:rPr>
      </w:pPr>
    </w:p>
    <w:p w14:paraId="289285E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根据项目具体情况，本表格式可自拟。</w:t>
      </w:r>
    </w:p>
    <w:p w14:paraId="2BC86538">
      <w:pPr>
        <w:tabs>
          <w:tab w:val="left" w:pos="9765"/>
        </w:tabs>
        <w:rPr>
          <w:rFonts w:hint="eastAsia" w:ascii="宋体" w:hAnsi="宋体" w:eastAsia="宋体" w:cs="宋体"/>
          <w:color w:val="auto"/>
          <w:sz w:val="24"/>
          <w:highlight w:val="none"/>
          <w:lang w:val="zh-CN"/>
        </w:rPr>
      </w:pPr>
    </w:p>
    <w:p w14:paraId="15B3DDB0">
      <w:pPr>
        <w:spacing w:line="360" w:lineRule="auto"/>
        <w:rPr>
          <w:rFonts w:hint="eastAsia" w:ascii="宋体" w:hAnsi="宋体" w:eastAsia="宋体" w:cs="宋体"/>
          <w:color w:val="auto"/>
          <w:sz w:val="24"/>
          <w:highlight w:val="none"/>
        </w:rPr>
      </w:pPr>
    </w:p>
    <w:p w14:paraId="291D6D5A">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    ____________</w:t>
      </w:r>
    </w:p>
    <w:p w14:paraId="00BCBFED">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5A55F9AA">
      <w:pPr>
        <w:rPr>
          <w:rFonts w:hint="eastAsia" w:ascii="宋体" w:hAnsi="宋体" w:eastAsia="宋体" w:cs="宋体"/>
          <w:color w:val="auto"/>
          <w:highlight w:val="none"/>
        </w:rPr>
      </w:pPr>
    </w:p>
    <w:p w14:paraId="45D76D58">
      <w:pPr>
        <w:rPr>
          <w:rFonts w:hint="eastAsia" w:ascii="宋体" w:hAnsi="宋体" w:eastAsia="宋体" w:cs="宋体"/>
          <w:color w:val="auto"/>
          <w:highlight w:val="none"/>
        </w:rPr>
      </w:pPr>
    </w:p>
    <w:p w14:paraId="63458D0A">
      <w:pPr>
        <w:rPr>
          <w:rFonts w:hint="eastAsia" w:ascii="宋体" w:hAnsi="宋体" w:eastAsia="宋体" w:cs="宋体"/>
          <w:color w:val="auto"/>
          <w:highlight w:val="none"/>
        </w:rPr>
      </w:pPr>
    </w:p>
    <w:p w14:paraId="7FDB3EC0">
      <w:pPr>
        <w:rPr>
          <w:rFonts w:hint="eastAsia" w:ascii="宋体" w:hAnsi="宋体" w:eastAsia="宋体" w:cs="宋体"/>
          <w:color w:val="auto"/>
          <w:highlight w:val="none"/>
        </w:rPr>
      </w:pPr>
    </w:p>
    <w:p w14:paraId="61BF7B7C">
      <w:pPr>
        <w:rPr>
          <w:rFonts w:hint="eastAsia" w:ascii="宋体" w:hAnsi="宋体" w:eastAsia="宋体" w:cs="宋体"/>
          <w:color w:val="auto"/>
          <w:highlight w:val="none"/>
        </w:rPr>
      </w:pPr>
    </w:p>
    <w:p w14:paraId="23765CEC">
      <w:pPr>
        <w:spacing w:line="360" w:lineRule="auto"/>
        <w:outlineLvl w:val="2"/>
        <w:rPr>
          <w:rFonts w:hint="eastAsia" w:ascii="宋体" w:hAnsi="宋体" w:eastAsia="宋体" w:cs="宋体"/>
          <w:color w:val="auto"/>
          <w:sz w:val="24"/>
          <w:szCs w:val="20"/>
          <w:highlight w:val="none"/>
        </w:rPr>
      </w:pPr>
    </w:p>
    <w:p w14:paraId="31E18E31">
      <w:pPr>
        <w:spacing w:line="360" w:lineRule="auto"/>
        <w:outlineLvl w:val="2"/>
        <w:rPr>
          <w:rFonts w:hint="eastAsia" w:ascii="宋体" w:hAnsi="宋体" w:eastAsia="宋体" w:cs="宋体"/>
          <w:color w:val="auto"/>
          <w:sz w:val="24"/>
          <w:szCs w:val="20"/>
          <w:highlight w:val="none"/>
        </w:rPr>
      </w:pPr>
    </w:p>
    <w:p w14:paraId="17FE8064">
      <w:pPr>
        <w:spacing w:line="360" w:lineRule="auto"/>
        <w:outlineLvl w:val="2"/>
        <w:rPr>
          <w:rFonts w:hint="eastAsia" w:ascii="宋体" w:hAnsi="宋体" w:eastAsia="宋体" w:cs="宋体"/>
          <w:color w:val="auto"/>
          <w:sz w:val="24"/>
          <w:szCs w:val="20"/>
          <w:highlight w:val="none"/>
        </w:rPr>
      </w:pPr>
    </w:p>
    <w:p w14:paraId="565D52F6">
      <w:pPr>
        <w:spacing w:line="360" w:lineRule="auto"/>
        <w:outlineLvl w:val="2"/>
        <w:rPr>
          <w:rFonts w:hint="eastAsia" w:ascii="宋体" w:hAnsi="宋体" w:eastAsia="宋体" w:cs="宋体"/>
          <w:color w:val="auto"/>
          <w:sz w:val="24"/>
          <w:szCs w:val="20"/>
          <w:highlight w:val="none"/>
        </w:rPr>
      </w:pPr>
    </w:p>
    <w:p w14:paraId="382E6321">
      <w:pPr>
        <w:spacing w:line="360" w:lineRule="auto"/>
        <w:outlineLvl w:val="2"/>
        <w:rPr>
          <w:rFonts w:hint="eastAsia" w:ascii="宋体" w:hAnsi="宋体" w:eastAsia="宋体" w:cs="宋体"/>
          <w:color w:val="auto"/>
          <w:sz w:val="24"/>
          <w:szCs w:val="20"/>
          <w:highlight w:val="none"/>
        </w:rPr>
      </w:pPr>
    </w:p>
    <w:p w14:paraId="6F9ADE76">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val="en-US" w:eastAsia="zh-CN"/>
        </w:rPr>
        <w:t>1</w:t>
      </w:r>
      <w:r>
        <w:rPr>
          <w:rFonts w:hint="eastAsia" w:ascii="宋体" w:hAnsi="宋体" w:eastAsia="宋体" w:cs="宋体"/>
          <w:color w:val="auto"/>
          <w:sz w:val="24"/>
          <w:szCs w:val="20"/>
          <w:highlight w:val="none"/>
        </w:rPr>
        <w:t xml:space="preserve">  招标文件要求提供或投标人认为应附的其他材料</w:t>
      </w:r>
    </w:p>
    <w:sectPr>
      <w:headerReference r:id="rId14" w:type="first"/>
      <w:footerReference r:id="rId16" w:type="first"/>
      <w:headerReference r:id="rId13" w:type="even"/>
      <w:footerReference r:id="rId15" w:type="even"/>
      <w:pgSz w:w="11907" w:h="16840"/>
      <w:pgMar w:top="1418" w:right="1134" w:bottom="1418" w:left="1417"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5D85">
    <w:pPr>
      <w:pStyle w:val="23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51E70">
    <w:pPr>
      <w:pStyle w:val="232"/>
      <w:framePr w:wrap="around" w:vAnchor="text" w:hAnchor="margin" w:xAlign="right" w:y="1"/>
      <w:rPr>
        <w:rStyle w:val="256"/>
      </w:rPr>
    </w:pPr>
  </w:p>
  <w:p w14:paraId="2AED4A13">
    <w:pPr>
      <w:pStyle w:val="232"/>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C251E">
    <w:pPr>
      <w:pStyle w:val="23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136CDF">
                          <w:pPr>
                            <w:pStyle w:val="232"/>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367A336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3136CDF">
                    <w:pPr>
                      <w:pStyle w:val="232"/>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367A336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BB787">
    <w:pPr>
      <w:pStyle w:val="232"/>
      <w:framePr w:wrap="around" w:vAnchor="text" w:hAnchor="margin" w:xAlign="right" w:y="1"/>
      <w:rPr>
        <w:rStyle w:val="256"/>
      </w:rPr>
    </w:pPr>
  </w:p>
  <w:p w14:paraId="622EFC69">
    <w:pPr>
      <w:pStyle w:val="232"/>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45BB4">
    <w:pPr>
      <w:pStyle w:val="23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7A8CE8">
                          <w:pPr>
                            <w:pStyle w:val="232"/>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34</w:t>
                          </w:r>
                          <w:r>
                            <w:rPr>
                              <w:rFonts w:ascii="Times New Roman"/>
                            </w:rPr>
                            <w:fldChar w:fldCharType="end"/>
                          </w:r>
                        </w:p>
                        <w:p w14:paraId="587B7FB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427A8CE8">
                    <w:pPr>
                      <w:pStyle w:val="232"/>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34</w:t>
                    </w:r>
                    <w:r>
                      <w:rPr>
                        <w:rFonts w:ascii="Times New Roman"/>
                      </w:rPr>
                      <w:fldChar w:fldCharType="end"/>
                    </w:r>
                  </w:p>
                  <w:p w14:paraId="587B7FB9"/>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9E71E">
    <w:pPr>
      <w:pStyle w:val="232"/>
      <w:rPr>
        <w:rStyle w:val="256"/>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741957">
                          <w:pPr>
                            <w:pStyle w:val="232"/>
                            <w:tabs>
                              <w:tab w:val="clear" w:pos="4153"/>
                              <w:tab w:val="clear" w:pos="8306"/>
                            </w:tabs>
                          </w:pPr>
                          <w:r>
                            <w:fldChar w:fldCharType="begin"/>
                          </w:r>
                          <w:r>
                            <w:instrText xml:space="preserve"> PAGE  \* MERGEFORMAT </w:instrText>
                          </w:r>
                          <w:r>
                            <w:fldChar w:fldCharType="separate"/>
                          </w:r>
                          <w:r>
                            <w:t>1</w:t>
                          </w:r>
                          <w:r>
                            <w:fldChar w:fldCharType="end"/>
                          </w:r>
                        </w:p>
                        <w:p w14:paraId="5E12879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32741957">
                    <w:pPr>
                      <w:pStyle w:val="232"/>
                      <w:tabs>
                        <w:tab w:val="clear" w:pos="4153"/>
                        <w:tab w:val="clear" w:pos="8306"/>
                      </w:tabs>
                    </w:pPr>
                    <w:r>
                      <w:fldChar w:fldCharType="begin"/>
                    </w:r>
                    <w:r>
                      <w:instrText xml:space="preserve"> PAGE  \* MERGEFORMAT </w:instrText>
                    </w:r>
                    <w:r>
                      <w:fldChar w:fldCharType="separate"/>
                    </w:r>
                    <w:r>
                      <w:t>1</w:t>
                    </w:r>
                    <w:r>
                      <w:fldChar w:fldCharType="end"/>
                    </w:r>
                  </w:p>
                  <w:p w14:paraId="5E128796"/>
                </w:txbxContent>
              </v:textbox>
            </v:shape>
          </w:pict>
        </mc:Fallback>
      </mc:AlternateContent>
    </w:r>
  </w:p>
  <w:p w14:paraId="7C0D3EDD">
    <w:pPr>
      <w:pStyle w:val="232"/>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E84FF">
    <w:pPr>
      <w:widowControl w:val="0"/>
      <w:tabs>
        <w:tab w:val="center" w:pos="4153"/>
        <w:tab w:val="right" w:pos="8306"/>
      </w:tabs>
      <w:jc w:val="left"/>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11D71">
                          <w:pPr>
                            <w:widowControl w:val="0"/>
                            <w:tabs>
                              <w:tab w:val="center" w:pos="4153"/>
                              <w:tab w:val="right" w:pos="8306"/>
                            </w:tabs>
                            <w:snapToGrid w:val="0"/>
                            <w:jc w:val="left"/>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22</w:t>
                          </w:r>
                          <w:r>
                            <w:rPr>
                              <w:rFonts w:ascii="Times New Roman" w:hAnsi="Times New Roman" w:eastAsia="宋体" w:cs="Times New Roman"/>
                              <w:sz w:val="18"/>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V5Q0wAgAAY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MQJs+ysNMP&#10;lkfoKI+362OAnEnlKEqnBLoTD5i91Kd+T+Jw/3lOUY//Da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A8V5Q0wAgAAYwQAAA4AAAAAAAAAAQAgAAAAHwEAAGRycy9lMm9Eb2MueG1sUEsFBgAA&#10;AAAGAAYAWQEAAMEFAAAAAA==&#10;">
              <v:fill on="f" focussize="0,0"/>
              <v:stroke on="f" weight="0.5pt"/>
              <v:imagedata o:title=""/>
              <o:lock v:ext="edit" aspectratio="f"/>
              <v:textbox inset="0mm,0mm,0mm,0mm" style="mso-fit-shape-to-text:t;">
                <w:txbxContent>
                  <w:p w14:paraId="6C211D71">
                    <w:pPr>
                      <w:widowControl w:val="0"/>
                      <w:tabs>
                        <w:tab w:val="center" w:pos="4153"/>
                        <w:tab w:val="right" w:pos="8306"/>
                      </w:tabs>
                      <w:snapToGrid w:val="0"/>
                      <w:jc w:val="left"/>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22</w:t>
                    </w:r>
                    <w:r>
                      <w:rPr>
                        <w:rFonts w:ascii="Times New Roman" w:hAnsi="Times New Roman" w:eastAsia="宋体" w:cs="Times New Roman"/>
                        <w:sz w:val="18"/>
                        <w:szCs w:val="24"/>
                        <w:lang w:val="en-US" w:eastAsia="zh-CN"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AB1C0">
    <w:pPr>
      <w:widowControl w:val="0"/>
      <w:tabs>
        <w:tab w:val="center" w:pos="4153"/>
        <w:tab w:val="right" w:pos="8306"/>
      </w:tabs>
      <w:jc w:val="left"/>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F6D4B">
                          <w:pPr>
                            <w:widowControl w:val="0"/>
                            <w:tabs>
                              <w:tab w:val="center" w:pos="4153"/>
                              <w:tab w:val="right" w:pos="8306"/>
                            </w:tabs>
                            <w:snapToGrid w:val="0"/>
                            <w:jc w:val="left"/>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22</w:t>
                          </w:r>
                          <w:r>
                            <w:rPr>
                              <w:rFonts w:ascii="Times New Roman" w:hAnsi="Times New Roman" w:eastAsia="宋体" w:cs="Times New Roman"/>
                              <w:sz w:val="18"/>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5F8F6D4B">
                    <w:pPr>
                      <w:widowControl w:val="0"/>
                      <w:tabs>
                        <w:tab w:val="center" w:pos="4153"/>
                        <w:tab w:val="right" w:pos="8306"/>
                      </w:tabs>
                      <w:snapToGrid w:val="0"/>
                      <w:jc w:val="left"/>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22</w:t>
                    </w:r>
                    <w:r>
                      <w:rPr>
                        <w:rFonts w:ascii="Times New Roman" w:hAnsi="Times New Roman" w:eastAsia="宋体" w:cs="Times New Roman"/>
                        <w:sz w:val="18"/>
                        <w:szCs w:val="24"/>
                        <w:lang w:val="en-US" w:eastAsia="zh-CN" w:bidi="ar-S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09C7A">
    <w:pPr>
      <w:pStyle w:val="232"/>
      <w:framePr w:wrap="around" w:vAnchor="text" w:hAnchor="margin" w:xAlign="right" w:y="1"/>
      <w:rPr>
        <w:rStyle w:val="256"/>
      </w:rPr>
    </w:pPr>
    <w:r>
      <w:rPr>
        <w:rStyle w:val="256"/>
      </w:rPr>
      <w:fldChar w:fldCharType="begin"/>
    </w:r>
    <w:r>
      <w:rPr>
        <w:rStyle w:val="256"/>
      </w:rPr>
      <w:instrText xml:space="preserve">PAGE  </w:instrText>
    </w:r>
    <w:r>
      <w:rPr>
        <w:rStyle w:val="256"/>
      </w:rPr>
      <w:fldChar w:fldCharType="end"/>
    </w:r>
  </w:p>
  <w:p w14:paraId="60FE47F7">
    <w:pPr>
      <w:pStyle w:val="232"/>
      <w:ind w:right="360"/>
    </w:pPr>
  </w:p>
  <w:p w14:paraId="5615AED5"/>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EBE4A">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7411F">
    <w:pPr>
      <w:pStyle w:val="234"/>
      <w:jc w:val="right"/>
    </w:pPr>
    <w:r>
      <w:rPr>
        <w:rFonts w:hint="eastAsia"/>
      </w:rPr>
      <w:t xml:space="preserve">                                                          </w:t>
    </w:r>
    <w:r>
      <w:rPr>
        <w:rFonts w:hint="eastAsia" w:ascii="宋体" w:hAnsi="宋体" w:eastAsia="宋体" w:cs="宋体"/>
      </w:rPr>
      <w:t xml:space="preserve"> 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F5152">
    <w:pPr>
      <w:pStyle w:val="234"/>
      <w:jc w:val="right"/>
      <w:rPr>
        <w:rFonts w:hint="eastAsia" w:ascii="宋体" w:hAnsi="宋体" w:eastAsia="宋体" w:cs="宋体"/>
      </w:rPr>
    </w:pPr>
    <w:r>
      <w:rPr>
        <w:rFonts w:hint="eastAsia"/>
      </w:rPr>
      <w:t xml:space="preserve">                                                          </w:t>
    </w:r>
    <w:r>
      <w:rPr>
        <w:rFonts w:hint="eastAsia" w:ascii="宋体" w:hAnsi="宋体" w:eastAsia="宋体" w:cs="宋体"/>
      </w:rPr>
      <w:t xml:space="preserve"> 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A64A7">
    <w:pPr>
      <w:pStyle w:val="234"/>
    </w:pPr>
  </w:p>
  <w:p w14:paraId="3AEEB4A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D6C56">
    <w:pPr>
      <w:pStyle w:val="2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46"/>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30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95"/>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4"/>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1"/>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30"/>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9"/>
      <w:suff w:val="nothing"/>
      <w:lvlText w:val="%1.%2.%3.%4.%5.%6　"/>
      <w:lvlJc w:val="left"/>
      <w:pPr>
        <w:ind w:left="-25" w:firstLine="0"/>
      </w:pPr>
      <w:rPr>
        <w:rFonts w:ascii="Times New Roman" w:hAnsi="Times New Roman" w:eastAsia="宋体"/>
        <w:b/>
        <w:i w:val="0"/>
        <w:sz w:val="28"/>
      </w:rPr>
    </w:lvl>
    <w:lvl w:ilvl="6" w:tentative="0">
      <w:start w:val="1"/>
      <w:numFmt w:val="lowerLetter"/>
      <w:pStyle w:val="352"/>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5"/>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3D62ECE"/>
    <w:multiLevelType w:val="multilevel"/>
    <w:tmpl w:val="03D62ECE"/>
    <w:lvl w:ilvl="0" w:tentative="0">
      <w:start w:val="1"/>
      <w:numFmt w:val="lowerLetter"/>
      <w:pStyle w:val="375"/>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12E5328"/>
    <w:multiLevelType w:val="singleLevel"/>
    <w:tmpl w:val="212E5328"/>
    <w:lvl w:ilvl="0" w:tentative="0">
      <w:start w:val="1"/>
      <w:numFmt w:val="decimal"/>
      <w:suff w:val="nothing"/>
      <w:lvlText w:val="%1、"/>
      <w:lvlJc w:val="left"/>
    </w:lvl>
  </w:abstractNum>
  <w:abstractNum w:abstractNumId="8">
    <w:nsid w:val="25B654F3"/>
    <w:multiLevelType w:val="multilevel"/>
    <w:tmpl w:val="25B654F3"/>
    <w:lvl w:ilvl="0" w:tentative="0">
      <w:start w:val="1"/>
      <w:numFmt w:val="decimal"/>
      <w:pStyle w:val="400"/>
      <w:lvlText w:val="%1"/>
      <w:lvlJc w:val="left"/>
      <w:pPr>
        <w:ind w:left="680" w:hanging="680"/>
      </w:pPr>
      <w:rPr>
        <w:rFonts w:hint="eastAsia" w:ascii="宋体" w:hAnsi="宋体" w:eastAsia="宋体"/>
      </w:rPr>
    </w:lvl>
    <w:lvl w:ilvl="1" w:tentative="0">
      <w:start w:val="1"/>
      <w:numFmt w:val="decimal"/>
      <w:pStyle w:val="401"/>
      <w:lvlText w:val="%1.%2"/>
      <w:lvlJc w:val="left"/>
      <w:pPr>
        <w:ind w:left="851" w:hanging="851"/>
      </w:pPr>
      <w:rPr>
        <w:rFonts w:hint="eastAsia" w:ascii="宋体" w:hAnsi="宋体" w:eastAsia="宋体"/>
        <w:color w:val="000000"/>
      </w:rPr>
    </w:lvl>
    <w:lvl w:ilvl="2" w:tentative="0">
      <w:start w:val="1"/>
      <w:numFmt w:val="decimal"/>
      <w:pStyle w:val="40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59ADCABA"/>
    <w:multiLevelType w:val="multilevel"/>
    <w:tmpl w:val="59ADCABA"/>
    <w:lvl w:ilvl="0" w:tentative="0">
      <w:start w:val="1"/>
      <w:numFmt w:val="decimal"/>
      <w:pStyle w:val="30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8"/>
  </w:num>
  <w:num w:numId="8">
    <w:abstractNumId w:val="10"/>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50CDF"/>
    <w:rsid w:val="02777BFD"/>
    <w:rsid w:val="037551C3"/>
    <w:rsid w:val="04043713"/>
    <w:rsid w:val="040A684F"/>
    <w:rsid w:val="04C10BA6"/>
    <w:rsid w:val="0563090D"/>
    <w:rsid w:val="064965BC"/>
    <w:rsid w:val="067150F2"/>
    <w:rsid w:val="06FF4665"/>
    <w:rsid w:val="096B2D0D"/>
    <w:rsid w:val="0A922957"/>
    <w:rsid w:val="0A9B5EC4"/>
    <w:rsid w:val="0B095AB3"/>
    <w:rsid w:val="0D0504FC"/>
    <w:rsid w:val="0D2C6EA6"/>
    <w:rsid w:val="0DD9513E"/>
    <w:rsid w:val="169914CE"/>
    <w:rsid w:val="174D25E4"/>
    <w:rsid w:val="175C51BC"/>
    <w:rsid w:val="17A96653"/>
    <w:rsid w:val="184D1562"/>
    <w:rsid w:val="18B3316F"/>
    <w:rsid w:val="18F90F15"/>
    <w:rsid w:val="1ABE378E"/>
    <w:rsid w:val="1AFD18B3"/>
    <w:rsid w:val="1D6152DA"/>
    <w:rsid w:val="1D8E1E10"/>
    <w:rsid w:val="1E240BEF"/>
    <w:rsid w:val="1F13707D"/>
    <w:rsid w:val="1F501AAA"/>
    <w:rsid w:val="213B35E2"/>
    <w:rsid w:val="21481C7F"/>
    <w:rsid w:val="21AC6256"/>
    <w:rsid w:val="21C34799"/>
    <w:rsid w:val="26EA27E4"/>
    <w:rsid w:val="278443C1"/>
    <w:rsid w:val="28373807"/>
    <w:rsid w:val="297F5466"/>
    <w:rsid w:val="2A4D10C0"/>
    <w:rsid w:val="2C4958B7"/>
    <w:rsid w:val="2CEC23DE"/>
    <w:rsid w:val="2D746964"/>
    <w:rsid w:val="2F0C34E0"/>
    <w:rsid w:val="30335D48"/>
    <w:rsid w:val="30470E27"/>
    <w:rsid w:val="3105120B"/>
    <w:rsid w:val="319475D5"/>
    <w:rsid w:val="31B25CAD"/>
    <w:rsid w:val="34E72111"/>
    <w:rsid w:val="37057CDD"/>
    <w:rsid w:val="391E3729"/>
    <w:rsid w:val="393F5C66"/>
    <w:rsid w:val="3AD15B5D"/>
    <w:rsid w:val="3B8E1539"/>
    <w:rsid w:val="3B936CF5"/>
    <w:rsid w:val="3D7A671D"/>
    <w:rsid w:val="3DE94533"/>
    <w:rsid w:val="3E084153"/>
    <w:rsid w:val="3E090637"/>
    <w:rsid w:val="3F1B7587"/>
    <w:rsid w:val="40CF681D"/>
    <w:rsid w:val="40F005A0"/>
    <w:rsid w:val="410858E9"/>
    <w:rsid w:val="42A621D3"/>
    <w:rsid w:val="42E00B67"/>
    <w:rsid w:val="44323C7B"/>
    <w:rsid w:val="453A2F88"/>
    <w:rsid w:val="46364CA7"/>
    <w:rsid w:val="477E4B57"/>
    <w:rsid w:val="47900D87"/>
    <w:rsid w:val="497A134E"/>
    <w:rsid w:val="497D499A"/>
    <w:rsid w:val="4981448B"/>
    <w:rsid w:val="49D251F8"/>
    <w:rsid w:val="4AEA0781"/>
    <w:rsid w:val="4B7677C1"/>
    <w:rsid w:val="4C2C1093"/>
    <w:rsid w:val="4C516927"/>
    <w:rsid w:val="4C7D362F"/>
    <w:rsid w:val="4CFD720C"/>
    <w:rsid w:val="4D0E0191"/>
    <w:rsid w:val="4D6245D3"/>
    <w:rsid w:val="4E046DDE"/>
    <w:rsid w:val="5043693E"/>
    <w:rsid w:val="504D156B"/>
    <w:rsid w:val="51AC0513"/>
    <w:rsid w:val="538232D9"/>
    <w:rsid w:val="5427440A"/>
    <w:rsid w:val="56F60F76"/>
    <w:rsid w:val="577C44E3"/>
    <w:rsid w:val="57D910A0"/>
    <w:rsid w:val="58E22459"/>
    <w:rsid w:val="59E760C9"/>
    <w:rsid w:val="5B8D4F11"/>
    <w:rsid w:val="5BDB5A35"/>
    <w:rsid w:val="5CB57BF0"/>
    <w:rsid w:val="5DD45E00"/>
    <w:rsid w:val="60101E51"/>
    <w:rsid w:val="602A0546"/>
    <w:rsid w:val="6045400C"/>
    <w:rsid w:val="609942E9"/>
    <w:rsid w:val="61397237"/>
    <w:rsid w:val="62B64D4D"/>
    <w:rsid w:val="64E5191A"/>
    <w:rsid w:val="64EB26E1"/>
    <w:rsid w:val="662A3D4A"/>
    <w:rsid w:val="66B21C05"/>
    <w:rsid w:val="675A259E"/>
    <w:rsid w:val="675F6777"/>
    <w:rsid w:val="679338AF"/>
    <w:rsid w:val="69CB5EA5"/>
    <w:rsid w:val="6BCF0C2E"/>
    <w:rsid w:val="6CC61F0F"/>
    <w:rsid w:val="6E977A6A"/>
    <w:rsid w:val="6ED4500A"/>
    <w:rsid w:val="70F30A85"/>
    <w:rsid w:val="74F21CE7"/>
    <w:rsid w:val="75104791"/>
    <w:rsid w:val="759A405B"/>
    <w:rsid w:val="75F37673"/>
    <w:rsid w:val="764B6A4A"/>
    <w:rsid w:val="77A13472"/>
    <w:rsid w:val="791560CE"/>
    <w:rsid w:val="797D671E"/>
    <w:rsid w:val="7A977AA0"/>
    <w:rsid w:val="7B2C483C"/>
    <w:rsid w:val="7C985013"/>
    <w:rsid w:val="7D8A0E59"/>
    <w:rsid w:val="7DF475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4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9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200"/>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pPr>
      <w:spacing w:before="120" w:line="22" w:lineRule="atLeast"/>
    </w:pPr>
    <w:rPr>
      <w:rFonts w:ascii="宋体" w:hAnsi="宋体"/>
      <w:sz w:val="24"/>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qFormat/>
    <w:uiPriority w:val="99"/>
    <w:pPr>
      <w:widowControl w:val="0"/>
      <w:jc w:val="both"/>
    </w:pPr>
    <w:rPr>
      <w:rFonts w:ascii="宋体" w:hAnsi="Courier New" w:eastAsia="宋体" w:cs="Times New Roman"/>
      <w:kern w:val="2"/>
      <w:sz w:val="21"/>
      <w:szCs w:val="24"/>
      <w:lang w:val="en-US" w:eastAsia="zh-CN" w:bidi="ar-SA"/>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2 Char"/>
    <w:link w:val="4"/>
    <w:qFormat/>
    <w:uiPriority w:val="9"/>
    <w:rPr>
      <w:rFonts w:ascii="Arial" w:hAnsi="Arial" w:eastAsia="Arial" w:cs="Arial"/>
      <w:sz w:val="34"/>
    </w:rPr>
  </w:style>
  <w:style w:type="character" w:customStyle="1" w:styleId="39">
    <w:name w:val="Heading 3 Char"/>
    <w:link w:val="5"/>
    <w:qFormat/>
    <w:uiPriority w:val="9"/>
    <w:rPr>
      <w:rFonts w:ascii="Arial" w:hAnsi="Arial" w:eastAsia="Arial" w:cs="Arial"/>
      <w:sz w:val="30"/>
      <w:szCs w:val="30"/>
    </w:rPr>
  </w:style>
  <w:style w:type="character" w:customStyle="1" w:styleId="40">
    <w:name w:val="Heading 4 Char"/>
    <w:link w:val="2"/>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正文缩进111"/>
    <w:basedOn w:val="1"/>
    <w:next w:val="1"/>
    <w:link w:val="199"/>
    <w:qFormat/>
    <w:uiPriority w:val="0"/>
    <w:pPr>
      <w:ind w:firstLine="420"/>
      <w:jc w:val="left"/>
    </w:pPr>
    <w:rPr>
      <w:rFonts w:ascii="宋体"/>
      <w:sz w:val="24"/>
    </w:rPr>
  </w:style>
  <w:style w:type="paragraph" w:customStyle="1" w:styleId="188">
    <w:name w:val="标题 31"/>
    <w:basedOn w:val="1"/>
    <w:next w:val="187"/>
    <w:qFormat/>
    <w:uiPriority w:val="0"/>
    <w:pPr>
      <w:keepNext/>
      <w:keepLines/>
      <w:spacing w:before="360" w:after="120"/>
      <w:jc w:val="left"/>
      <w:outlineLvl w:val="2"/>
    </w:pPr>
    <w:rPr>
      <w:rFonts w:ascii="宋体"/>
      <w:b/>
      <w:sz w:val="24"/>
      <w:szCs w:val="20"/>
      <w:u w:val="single"/>
    </w:rPr>
  </w:style>
  <w:style w:type="paragraph" w:customStyle="1" w:styleId="189">
    <w:name w:val="标题 41"/>
    <w:basedOn w:val="1"/>
    <w:next w:val="1"/>
    <w:link w:val="201"/>
    <w:qFormat/>
    <w:uiPriority w:val="0"/>
    <w:pPr>
      <w:keepNext/>
      <w:keepLines/>
      <w:spacing w:before="280" w:after="290" w:line="376" w:lineRule="atLeast"/>
      <w:outlineLvl w:val="3"/>
    </w:pPr>
    <w:rPr>
      <w:rFonts w:ascii="Arial" w:hAnsi="Arial" w:eastAsia="黑体"/>
      <w:b/>
      <w:sz w:val="28"/>
      <w:szCs w:val="20"/>
    </w:rPr>
  </w:style>
  <w:style w:type="paragraph" w:customStyle="1" w:styleId="190">
    <w:name w:val="标题 51"/>
    <w:basedOn w:val="1"/>
    <w:next w:val="1"/>
    <w:link w:val="202"/>
    <w:qFormat/>
    <w:uiPriority w:val="0"/>
    <w:pPr>
      <w:keepNext/>
      <w:keepLines/>
      <w:spacing w:before="280" w:after="290" w:line="376" w:lineRule="atLeast"/>
      <w:outlineLvl w:val="4"/>
    </w:pPr>
    <w:rPr>
      <w:b/>
      <w:sz w:val="28"/>
      <w:szCs w:val="20"/>
    </w:rPr>
  </w:style>
  <w:style w:type="paragraph" w:customStyle="1" w:styleId="191">
    <w:name w:val="标题 61"/>
    <w:basedOn w:val="1"/>
    <w:next w:val="1"/>
    <w:link w:val="203"/>
    <w:qFormat/>
    <w:uiPriority w:val="0"/>
    <w:pPr>
      <w:keepNext/>
      <w:keepLines/>
      <w:spacing w:before="240" w:after="64" w:line="320" w:lineRule="atLeast"/>
      <w:outlineLvl w:val="5"/>
    </w:pPr>
    <w:rPr>
      <w:rFonts w:ascii="Arial" w:hAnsi="Arial" w:eastAsia="黑体"/>
      <w:b/>
      <w:sz w:val="24"/>
      <w:szCs w:val="20"/>
    </w:rPr>
  </w:style>
  <w:style w:type="paragraph" w:customStyle="1" w:styleId="192">
    <w:name w:val="标题 71"/>
    <w:basedOn w:val="1"/>
    <w:next w:val="1"/>
    <w:link w:val="204"/>
    <w:qFormat/>
    <w:uiPriority w:val="0"/>
    <w:pPr>
      <w:keepNext/>
      <w:keepLines/>
      <w:spacing w:before="240" w:after="64" w:line="320" w:lineRule="atLeast"/>
      <w:outlineLvl w:val="6"/>
    </w:pPr>
    <w:rPr>
      <w:b/>
      <w:sz w:val="24"/>
      <w:szCs w:val="20"/>
    </w:rPr>
  </w:style>
  <w:style w:type="paragraph" w:customStyle="1" w:styleId="193">
    <w:name w:val="标题 81"/>
    <w:basedOn w:val="1"/>
    <w:next w:val="1"/>
    <w:link w:val="205"/>
    <w:qFormat/>
    <w:uiPriority w:val="0"/>
    <w:pPr>
      <w:keepNext/>
      <w:keepLines/>
      <w:spacing w:before="240" w:after="64" w:line="320" w:lineRule="atLeast"/>
      <w:outlineLvl w:val="7"/>
    </w:pPr>
    <w:rPr>
      <w:rFonts w:ascii="Arial" w:hAnsi="Arial" w:eastAsia="黑体"/>
      <w:sz w:val="24"/>
      <w:szCs w:val="20"/>
    </w:rPr>
  </w:style>
  <w:style w:type="paragraph" w:customStyle="1" w:styleId="194">
    <w:name w:val="标题 91"/>
    <w:basedOn w:val="1"/>
    <w:next w:val="1"/>
    <w:link w:val="206"/>
    <w:qFormat/>
    <w:uiPriority w:val="0"/>
    <w:pPr>
      <w:keepNext/>
      <w:keepLines/>
      <w:spacing w:before="240" w:after="64" w:line="320" w:lineRule="atLeast"/>
      <w:outlineLvl w:val="8"/>
    </w:pPr>
    <w:rPr>
      <w:rFonts w:ascii="Arial" w:hAnsi="Arial" w:eastAsia="黑体"/>
      <w:szCs w:val="20"/>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字符"/>
    <w:link w:val="185"/>
    <w:qFormat/>
    <w:uiPriority w:val="0"/>
    <w:rPr>
      <w:rFonts w:ascii="宋体"/>
      <w:b/>
      <w:sz w:val="32"/>
    </w:rPr>
  </w:style>
  <w:style w:type="character" w:customStyle="1" w:styleId="198">
    <w:name w:val="标题 2 字符"/>
    <w:link w:val="4"/>
    <w:qFormat/>
    <w:uiPriority w:val="0"/>
    <w:rPr>
      <w:rFonts w:ascii="Arial" w:hAnsi="Arial" w:eastAsia="黑体"/>
      <w:b/>
      <w:sz w:val="30"/>
      <w:lang w:val="en-US" w:eastAsia="zh-CN" w:bidi="ar-SA"/>
    </w:rPr>
  </w:style>
  <w:style w:type="character" w:customStyle="1" w:styleId="199">
    <w:name w:val="正文缩进 字符"/>
    <w:link w:val="187"/>
    <w:qFormat/>
    <w:uiPriority w:val="0"/>
    <w:rPr>
      <w:rFonts w:ascii="宋体" w:eastAsia="宋体"/>
      <w:sz w:val="24"/>
      <w:szCs w:val="24"/>
      <w:lang w:val="en-US" w:eastAsia="zh-CN" w:bidi="ar-SA"/>
    </w:rPr>
  </w:style>
  <w:style w:type="character" w:customStyle="1" w:styleId="200">
    <w:name w:val="标题 3 字符"/>
    <w:link w:val="5"/>
    <w:qFormat/>
    <w:uiPriority w:val="0"/>
    <w:rPr>
      <w:rFonts w:ascii="宋体" w:eastAsia="宋体"/>
      <w:b/>
      <w:sz w:val="24"/>
      <w:u w:val="single"/>
      <w:lang w:val="en-US" w:eastAsia="zh-CN" w:bidi="ar-SA"/>
    </w:rPr>
  </w:style>
  <w:style w:type="character" w:customStyle="1" w:styleId="201">
    <w:name w:val="标题 4 字符"/>
    <w:link w:val="189"/>
    <w:qFormat/>
    <w:uiPriority w:val="0"/>
    <w:rPr>
      <w:rFonts w:ascii="Arial" w:hAnsi="Arial" w:eastAsia="黑体"/>
      <w:b/>
      <w:sz w:val="28"/>
    </w:rPr>
  </w:style>
  <w:style w:type="character" w:customStyle="1" w:styleId="202">
    <w:name w:val="标题 5 字符"/>
    <w:link w:val="190"/>
    <w:qFormat/>
    <w:uiPriority w:val="0"/>
    <w:rPr>
      <w:b/>
      <w:sz w:val="28"/>
    </w:rPr>
  </w:style>
  <w:style w:type="character" w:customStyle="1" w:styleId="203">
    <w:name w:val="标题 6 字符"/>
    <w:link w:val="191"/>
    <w:qFormat/>
    <w:uiPriority w:val="0"/>
    <w:rPr>
      <w:rFonts w:ascii="Arial" w:hAnsi="Arial" w:eastAsia="黑体"/>
      <w:b/>
      <w:sz w:val="24"/>
    </w:rPr>
  </w:style>
  <w:style w:type="character" w:customStyle="1" w:styleId="204">
    <w:name w:val="标题 7 字符"/>
    <w:link w:val="192"/>
    <w:qFormat/>
    <w:uiPriority w:val="0"/>
    <w:rPr>
      <w:b/>
      <w:sz w:val="24"/>
    </w:rPr>
  </w:style>
  <w:style w:type="character" w:customStyle="1" w:styleId="205">
    <w:name w:val="标题 8 字符"/>
    <w:link w:val="193"/>
    <w:qFormat/>
    <w:uiPriority w:val="0"/>
    <w:rPr>
      <w:rFonts w:ascii="Arial" w:hAnsi="Arial" w:eastAsia="黑体"/>
      <w:sz w:val="24"/>
    </w:rPr>
  </w:style>
  <w:style w:type="character" w:customStyle="1" w:styleId="206">
    <w:name w:val="标题 9 字符"/>
    <w:link w:val="194"/>
    <w:qFormat/>
    <w:uiPriority w:val="0"/>
    <w:rPr>
      <w:rFonts w:ascii="Arial" w:hAnsi="Arial" w:eastAsia="黑体"/>
      <w:sz w:val="21"/>
    </w:rPr>
  </w:style>
  <w:style w:type="paragraph" w:customStyle="1" w:styleId="207">
    <w:name w:val="目录 71"/>
    <w:basedOn w:val="1"/>
    <w:next w:val="1"/>
    <w:qFormat/>
    <w:uiPriority w:val="0"/>
    <w:pPr>
      <w:ind w:left="2520"/>
    </w:pPr>
  </w:style>
  <w:style w:type="paragraph" w:customStyle="1" w:styleId="208">
    <w:name w:val="题注1"/>
    <w:basedOn w:val="1"/>
    <w:next w:val="1"/>
    <w:qFormat/>
    <w:uiPriority w:val="0"/>
    <w:pPr>
      <w:spacing w:line="480" w:lineRule="auto"/>
    </w:pPr>
    <w:rPr>
      <w:rFonts w:ascii="华文中宋" w:hAnsi="华文中宋" w:eastAsia="华文中宋"/>
      <w:sz w:val="36"/>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字符"/>
    <w:link w:val="209"/>
    <w:qFormat/>
    <w:uiPriority w:val="0"/>
    <w:rPr>
      <w:sz w:val="21"/>
      <w:szCs w:val="24"/>
      <w:shd w:val="clear" w:color="auto" w:fill="000080"/>
    </w:rPr>
  </w:style>
  <w:style w:type="paragraph" w:customStyle="1" w:styleId="211">
    <w:name w:val="批注文字1"/>
    <w:basedOn w:val="1"/>
    <w:link w:val="212"/>
    <w:qFormat/>
    <w:uiPriority w:val="99"/>
    <w:pPr>
      <w:jc w:val="left"/>
    </w:pPr>
  </w:style>
  <w:style w:type="character" w:customStyle="1" w:styleId="212">
    <w:name w:val="批注文字 字符1"/>
    <w:link w:val="211"/>
    <w:qFormat/>
    <w:uiPriority w:val="99"/>
    <w:rPr>
      <w:sz w:val="21"/>
      <w:szCs w:val="24"/>
    </w:rPr>
  </w:style>
  <w:style w:type="paragraph" w:customStyle="1" w:styleId="213">
    <w:name w:val="正文文本 31"/>
    <w:basedOn w:val="1"/>
    <w:link w:val="214"/>
    <w:qFormat/>
    <w:uiPriority w:val="0"/>
    <w:pPr>
      <w:spacing w:after="120"/>
    </w:pPr>
    <w:rPr>
      <w:sz w:val="16"/>
      <w:szCs w:val="16"/>
    </w:rPr>
  </w:style>
  <w:style w:type="character" w:customStyle="1" w:styleId="214">
    <w:name w:val="正文文本 3 字符"/>
    <w:link w:val="213"/>
    <w:qFormat/>
    <w:uiPriority w:val="0"/>
    <w:rPr>
      <w:sz w:val="16"/>
      <w:szCs w:val="16"/>
    </w:rPr>
  </w:style>
  <w:style w:type="paragraph" w:customStyle="1" w:styleId="215">
    <w:name w:val="正文文本1"/>
    <w:basedOn w:val="1"/>
    <w:next w:val="1"/>
    <w:link w:val="216"/>
    <w:qFormat/>
    <w:uiPriority w:val="0"/>
    <w:pPr>
      <w:tabs>
        <w:tab w:val="left" w:pos="567"/>
      </w:tabs>
      <w:spacing w:before="120" w:line="22" w:lineRule="atLeast"/>
    </w:pPr>
    <w:rPr>
      <w:rFonts w:ascii="宋体" w:hAnsi="宋体"/>
      <w:sz w:val="24"/>
    </w:rPr>
  </w:style>
  <w:style w:type="character" w:customStyle="1" w:styleId="216">
    <w:name w:val="正文文本 字符"/>
    <w:link w:val="215"/>
    <w:qFormat/>
    <w:uiPriority w:val="0"/>
    <w:rPr>
      <w:rFonts w:ascii="宋体" w:hAnsi="宋体"/>
      <w:sz w:val="24"/>
      <w:szCs w:val="24"/>
    </w:rPr>
  </w:style>
  <w:style w:type="paragraph" w:customStyle="1" w:styleId="217">
    <w:name w:val="正文文本缩进11"/>
    <w:basedOn w:val="1"/>
    <w:link w:val="218"/>
    <w:qFormat/>
    <w:uiPriority w:val="0"/>
    <w:pPr>
      <w:spacing w:line="360" w:lineRule="auto"/>
      <w:ind w:firstLine="570"/>
    </w:pPr>
    <w:rPr>
      <w:sz w:val="24"/>
    </w:rPr>
  </w:style>
  <w:style w:type="character" w:customStyle="1" w:styleId="218">
    <w:name w:val="正文文本缩进 字符"/>
    <w:link w:val="217"/>
    <w:qFormat/>
    <w:uiPriority w:val="0"/>
    <w:rPr>
      <w:rFonts w:eastAsia="宋体"/>
      <w:sz w:val="24"/>
      <w:szCs w:val="24"/>
      <w:lang w:val="en-US" w:eastAsia="zh-CN" w:bidi="ar-SA"/>
    </w:rPr>
  </w:style>
  <w:style w:type="paragraph" w:customStyle="1" w:styleId="219">
    <w:name w:val="列表 21"/>
    <w:basedOn w:val="1"/>
    <w:qFormat/>
    <w:uiPriority w:val="0"/>
    <w:pPr>
      <w:ind w:left="100" w:hanging="200"/>
    </w:pPr>
  </w:style>
  <w:style w:type="paragraph" w:customStyle="1" w:styleId="220">
    <w:name w:val="文本块1"/>
    <w:basedOn w:val="1"/>
    <w:qFormat/>
    <w:uiPriority w:val="0"/>
    <w:pPr>
      <w:widowControl/>
      <w:ind w:left="480" w:right="-341" w:firstLine="513"/>
    </w:pPr>
    <w:rPr>
      <w:sz w:val="24"/>
      <w:szCs w:val="20"/>
    </w:rPr>
  </w:style>
  <w:style w:type="paragraph" w:customStyle="1" w:styleId="221">
    <w:name w:val="目录 51"/>
    <w:basedOn w:val="1"/>
    <w:next w:val="1"/>
    <w:qFormat/>
    <w:uiPriority w:val="0"/>
    <w:pPr>
      <w:ind w:left="1680"/>
    </w:pPr>
  </w:style>
  <w:style w:type="paragraph" w:customStyle="1" w:styleId="222">
    <w:name w:val="目录 31"/>
    <w:basedOn w:val="1"/>
    <w:next w:val="1"/>
    <w:qFormat/>
    <w:uiPriority w:val="39"/>
    <w:pPr>
      <w:ind w:left="840"/>
    </w:pPr>
  </w:style>
  <w:style w:type="paragraph" w:customStyle="1" w:styleId="223">
    <w:name w:val="纯文本1"/>
    <w:basedOn w:val="1"/>
    <w:link w:val="224"/>
    <w:qFormat/>
    <w:uiPriority w:val="0"/>
    <w:rPr>
      <w:rFonts w:hint="eastAsia" w:ascii="宋体" w:hAnsi="Courier New"/>
      <w:szCs w:val="20"/>
    </w:rPr>
  </w:style>
  <w:style w:type="character" w:customStyle="1" w:styleId="224">
    <w:name w:val="纯文本 字符2"/>
    <w:link w:val="223"/>
    <w:qFormat/>
    <w:uiPriority w:val="0"/>
    <w:rPr>
      <w:rFonts w:hint="eastAsia" w:ascii="宋体" w:hAnsi="Courier New" w:eastAsia="宋体" w:cs="宋体"/>
      <w:sz w:val="21"/>
    </w:rPr>
  </w:style>
  <w:style w:type="paragraph" w:customStyle="1" w:styleId="225">
    <w:name w:val="目录 81"/>
    <w:basedOn w:val="1"/>
    <w:next w:val="1"/>
    <w:qFormat/>
    <w:uiPriority w:val="0"/>
    <w:pPr>
      <w:ind w:left="2940"/>
    </w:pPr>
  </w:style>
  <w:style w:type="paragraph" w:customStyle="1" w:styleId="226">
    <w:name w:val="日期1"/>
    <w:basedOn w:val="1"/>
    <w:next w:val="1"/>
    <w:link w:val="227"/>
    <w:qFormat/>
    <w:uiPriority w:val="0"/>
    <w:pPr>
      <w:ind w:left="100"/>
    </w:pPr>
    <w:rPr>
      <w:rFonts w:ascii="仿宋_GB2312" w:hAnsi="宋体" w:eastAsia="仿宋_GB2312"/>
      <w:color w:val="000000"/>
      <w:sz w:val="24"/>
    </w:rPr>
  </w:style>
  <w:style w:type="character" w:customStyle="1" w:styleId="227">
    <w:name w:val="日期 字符"/>
    <w:link w:val="226"/>
    <w:qFormat/>
    <w:uiPriority w:val="0"/>
    <w:rPr>
      <w:rFonts w:ascii="仿宋_GB2312" w:hAnsi="宋体" w:eastAsia="仿宋_GB2312"/>
      <w:color w:val="000000"/>
      <w:sz w:val="24"/>
      <w:szCs w:val="24"/>
    </w:rPr>
  </w:style>
  <w:style w:type="paragraph" w:customStyle="1" w:styleId="228">
    <w:name w:val="正文文本缩进 21"/>
    <w:basedOn w:val="1"/>
    <w:link w:val="229"/>
    <w:qFormat/>
    <w:uiPriority w:val="0"/>
    <w:pPr>
      <w:ind w:firstLine="480"/>
    </w:pPr>
    <w:rPr>
      <w:rFonts w:ascii="仿宋_GB2312" w:eastAsia="仿宋_GB2312"/>
      <w:sz w:val="24"/>
    </w:rPr>
  </w:style>
  <w:style w:type="character" w:customStyle="1" w:styleId="229">
    <w:name w:val="正文文本缩进 2 字符"/>
    <w:link w:val="228"/>
    <w:qFormat/>
    <w:uiPriority w:val="0"/>
    <w:rPr>
      <w:rFonts w:ascii="仿宋_GB2312" w:eastAsia="仿宋_GB2312"/>
      <w:sz w:val="24"/>
      <w:szCs w:val="24"/>
    </w:rPr>
  </w:style>
  <w:style w:type="paragraph" w:customStyle="1" w:styleId="230">
    <w:name w:val="批注框文本1"/>
    <w:basedOn w:val="1"/>
    <w:link w:val="231"/>
    <w:qFormat/>
    <w:uiPriority w:val="0"/>
    <w:rPr>
      <w:sz w:val="18"/>
      <w:szCs w:val="18"/>
    </w:rPr>
  </w:style>
  <w:style w:type="character" w:customStyle="1" w:styleId="231">
    <w:name w:val="批注框文本 字符"/>
    <w:link w:val="230"/>
    <w:qFormat/>
    <w:uiPriority w:val="0"/>
    <w:rPr>
      <w:sz w:val="18"/>
      <w:szCs w:val="18"/>
    </w:rPr>
  </w:style>
  <w:style w:type="paragraph" w:customStyle="1" w:styleId="232">
    <w:name w:val="页脚1"/>
    <w:basedOn w:val="1"/>
    <w:link w:val="233"/>
    <w:qFormat/>
    <w:uiPriority w:val="99"/>
    <w:pPr>
      <w:tabs>
        <w:tab w:val="center" w:pos="4153"/>
        <w:tab w:val="right" w:pos="8306"/>
      </w:tabs>
      <w:jc w:val="left"/>
    </w:pPr>
    <w:rPr>
      <w:rFonts w:ascii="宋体"/>
      <w:sz w:val="18"/>
      <w:szCs w:val="20"/>
    </w:rPr>
  </w:style>
  <w:style w:type="character" w:customStyle="1" w:styleId="233">
    <w:name w:val="页脚 字符"/>
    <w:link w:val="232"/>
    <w:qFormat/>
    <w:uiPriority w:val="99"/>
    <w:rPr>
      <w:rFonts w:ascii="宋体" w:eastAsia="宋体"/>
      <w:sz w:val="18"/>
      <w:lang w:val="en-US" w:eastAsia="zh-CN" w:bidi="ar-SA"/>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字符"/>
    <w:link w:val="234"/>
    <w:qFormat/>
    <w:uiPriority w:val="0"/>
    <w:rPr>
      <w:rFonts w:eastAsia="宋体"/>
      <w:sz w:val="18"/>
      <w:szCs w:val="18"/>
      <w:lang w:val="en-US" w:eastAsia="zh-CN" w:bidi="ar-SA"/>
    </w:rPr>
  </w:style>
  <w:style w:type="paragraph" w:customStyle="1" w:styleId="236">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7">
    <w:name w:val="目录 41"/>
    <w:basedOn w:val="1"/>
    <w:next w:val="1"/>
    <w:qFormat/>
    <w:uiPriority w:val="0"/>
    <w:pPr>
      <w:ind w:left="1260"/>
    </w:pPr>
  </w:style>
  <w:style w:type="paragraph" w:customStyle="1" w:styleId="238">
    <w:name w:val="目录 61"/>
    <w:basedOn w:val="1"/>
    <w:next w:val="1"/>
    <w:qFormat/>
    <w:uiPriority w:val="0"/>
    <w:pPr>
      <w:ind w:left="2100"/>
    </w:pPr>
  </w:style>
  <w:style w:type="paragraph" w:customStyle="1" w:styleId="239">
    <w:name w:val="正文文本缩进 31"/>
    <w:basedOn w:val="1"/>
    <w:link w:val="240"/>
    <w:qFormat/>
    <w:uiPriority w:val="0"/>
    <w:pPr>
      <w:spacing w:before="120" w:line="22" w:lineRule="atLeast"/>
      <w:ind w:left="720" w:firstLine="480"/>
      <w:jc w:val="left"/>
    </w:pPr>
    <w:rPr>
      <w:rFonts w:ascii="宋体"/>
      <w:sz w:val="24"/>
      <w:szCs w:val="20"/>
    </w:rPr>
  </w:style>
  <w:style w:type="character" w:customStyle="1" w:styleId="240">
    <w:name w:val="正文文本缩进 3 字符"/>
    <w:link w:val="239"/>
    <w:qFormat/>
    <w:uiPriority w:val="0"/>
    <w:rPr>
      <w:rFonts w:ascii="宋体"/>
      <w:sz w:val="24"/>
    </w:rPr>
  </w:style>
  <w:style w:type="paragraph" w:customStyle="1" w:styleId="241">
    <w:name w:val="目录 21"/>
    <w:basedOn w:val="1"/>
    <w:next w:val="1"/>
    <w:qFormat/>
    <w:uiPriority w:val="39"/>
    <w:pPr>
      <w:tabs>
        <w:tab w:val="right" w:leader="dot" w:pos="8937"/>
      </w:tabs>
      <w:spacing w:line="312" w:lineRule="auto"/>
      <w:ind w:left="420"/>
    </w:pPr>
  </w:style>
  <w:style w:type="paragraph" w:customStyle="1" w:styleId="242">
    <w:name w:val="目录 91"/>
    <w:basedOn w:val="1"/>
    <w:next w:val="1"/>
    <w:qFormat/>
    <w:uiPriority w:val="0"/>
    <w:pPr>
      <w:ind w:left="3360"/>
    </w:pPr>
  </w:style>
  <w:style w:type="paragraph" w:customStyle="1" w:styleId="243">
    <w:name w:val="HTML 预设格式1"/>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4">
    <w:name w:val="HTML 预设格式 字符"/>
    <w:link w:val="243"/>
    <w:qFormat/>
    <w:uiPriority w:val="0"/>
    <w:rPr>
      <w:rFonts w:ascii="宋体" w:hAnsi="宋体" w:cs="宋体"/>
      <w:sz w:val="24"/>
      <w:szCs w:val="24"/>
    </w:rPr>
  </w:style>
  <w:style w:type="paragraph" w:customStyle="1" w:styleId="24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6">
    <w:name w:val="索引 11"/>
    <w:basedOn w:val="1"/>
    <w:next w:val="1"/>
    <w:qFormat/>
    <w:uiPriority w:val="0"/>
    <w:rPr>
      <w:szCs w:val="20"/>
    </w:rPr>
  </w:style>
  <w:style w:type="paragraph" w:customStyle="1" w:styleId="247">
    <w:name w:val="标题1"/>
    <w:basedOn w:val="1"/>
    <w:link w:val="248"/>
    <w:qFormat/>
    <w:uiPriority w:val="0"/>
    <w:pPr>
      <w:jc w:val="center"/>
      <w:outlineLvl w:val="0"/>
    </w:pPr>
    <w:rPr>
      <w:b/>
      <w:sz w:val="32"/>
      <w:szCs w:val="20"/>
    </w:rPr>
  </w:style>
  <w:style w:type="character" w:customStyle="1" w:styleId="248">
    <w:name w:val="标题 字符"/>
    <w:link w:val="247"/>
    <w:qFormat/>
    <w:uiPriority w:val="0"/>
    <w:rPr>
      <w:b/>
      <w:sz w:val="32"/>
    </w:rPr>
  </w:style>
  <w:style w:type="paragraph" w:customStyle="1" w:styleId="249">
    <w:name w:val="批注主题1"/>
    <w:basedOn w:val="211"/>
    <w:next w:val="211"/>
    <w:link w:val="250"/>
    <w:qFormat/>
    <w:uiPriority w:val="0"/>
    <w:rPr>
      <w:b/>
      <w:bCs/>
    </w:rPr>
  </w:style>
  <w:style w:type="character" w:customStyle="1" w:styleId="250">
    <w:name w:val="批注主题 字符"/>
    <w:link w:val="249"/>
    <w:qFormat/>
    <w:uiPriority w:val="0"/>
    <w:rPr>
      <w:rFonts w:ascii="Times New Roman" w:hAnsi="Times New Roman" w:eastAsia="宋体" w:cs="Times New Roman"/>
      <w:b/>
      <w:bCs/>
      <w:sz w:val="21"/>
      <w:szCs w:val="24"/>
      <w:lang w:val="en-US" w:eastAsia="zh-CN" w:bidi="ar-SA"/>
    </w:rPr>
  </w:style>
  <w:style w:type="paragraph" w:customStyle="1" w:styleId="251">
    <w:name w:val="正文首行缩进 21"/>
    <w:basedOn w:val="217"/>
    <w:link w:val="252"/>
    <w:qFormat/>
    <w:uiPriority w:val="0"/>
    <w:pPr>
      <w:spacing w:after="120" w:line="480" w:lineRule="exact"/>
      <w:ind w:left="420" w:firstLine="420"/>
    </w:pPr>
    <w:rPr>
      <w:szCs w:val="20"/>
    </w:rPr>
  </w:style>
  <w:style w:type="character" w:customStyle="1" w:styleId="252">
    <w:name w:val="正文首行缩进 2 字符"/>
    <w:link w:val="251"/>
    <w:qFormat/>
    <w:uiPriority w:val="0"/>
    <w:rPr>
      <w:rFonts w:eastAsia="宋体"/>
      <w:sz w:val="24"/>
      <w:szCs w:val="24"/>
      <w:lang w:val="en-US" w:eastAsia="zh-CN" w:bidi="ar-SA"/>
    </w:rPr>
  </w:style>
  <w:style w:type="table" w:customStyle="1" w:styleId="253">
    <w:name w:val="网格型1"/>
    <w:basedOn w:val="196"/>
    <w:qFormat/>
    <w:uiPriority w:val="39"/>
  </w:style>
  <w:style w:type="table" w:customStyle="1" w:styleId="254">
    <w:name w:val="中等深浅网格 1 - 强调文字颜色 21"/>
    <w:basedOn w:val="196"/>
    <w:qFormat/>
    <w:uiPriority w:val="0"/>
    <w:rPr>
      <w:sz w:val="21"/>
      <w:szCs w:val="24"/>
    </w:rPr>
  </w:style>
  <w:style w:type="character" w:customStyle="1" w:styleId="255">
    <w:name w:val="要点1"/>
    <w:link w:val="1"/>
    <w:qFormat/>
    <w:uiPriority w:val="0"/>
    <w:rPr>
      <w:b/>
      <w:bCs/>
    </w:rPr>
  </w:style>
  <w:style w:type="character" w:customStyle="1" w:styleId="256">
    <w:name w:val="页码1"/>
    <w:link w:val="1"/>
    <w:qFormat/>
    <w:uiPriority w:val="0"/>
  </w:style>
  <w:style w:type="character" w:customStyle="1" w:styleId="257">
    <w:name w:val="已访问的超链接1"/>
    <w:link w:val="1"/>
    <w:qFormat/>
    <w:uiPriority w:val="0"/>
    <w:rPr>
      <w:color w:val="800080"/>
      <w:u w:val="none"/>
    </w:rPr>
  </w:style>
  <w:style w:type="character" w:customStyle="1" w:styleId="258">
    <w:name w:val="强调1"/>
    <w:link w:val="1"/>
    <w:qFormat/>
    <w:uiPriority w:val="0"/>
    <w:rPr>
      <w:color w:val="CC0033"/>
    </w:rPr>
  </w:style>
  <w:style w:type="character" w:customStyle="1" w:styleId="259">
    <w:name w:val="HTML 定义1"/>
    <w:link w:val="1"/>
    <w:qFormat/>
    <w:uiPriority w:val="0"/>
  </w:style>
  <w:style w:type="character" w:customStyle="1" w:styleId="260">
    <w:name w:val="HTML 打字机1"/>
    <w:link w:val="1"/>
    <w:qFormat/>
    <w:uiPriority w:val="0"/>
    <w:rPr>
      <w:rFonts w:ascii="monospace" w:hAnsi="monospace" w:eastAsia="monospace" w:cs="monospace"/>
      <w:sz w:val="20"/>
    </w:rPr>
  </w:style>
  <w:style w:type="character" w:customStyle="1" w:styleId="261">
    <w:name w:val="HTML 缩写1"/>
    <w:link w:val="1"/>
    <w:qFormat/>
    <w:uiPriority w:val="0"/>
  </w:style>
  <w:style w:type="character" w:customStyle="1" w:styleId="262">
    <w:name w:val="HTML 变量1"/>
    <w:link w:val="1"/>
    <w:qFormat/>
    <w:uiPriority w:val="0"/>
  </w:style>
  <w:style w:type="character" w:customStyle="1" w:styleId="263">
    <w:name w:val="超链接11"/>
    <w:link w:val="1"/>
    <w:qFormat/>
    <w:uiPriority w:val="99"/>
    <w:rPr>
      <w:color w:val="0000FF"/>
      <w:u w:val="none"/>
    </w:rPr>
  </w:style>
  <w:style w:type="character" w:customStyle="1" w:styleId="264">
    <w:name w:val="HTML 代码1"/>
    <w:link w:val="1"/>
    <w:qFormat/>
    <w:uiPriority w:val="0"/>
    <w:rPr>
      <w:rFonts w:ascii="monospace" w:hAnsi="monospace" w:eastAsia="monospace" w:cs="monospace"/>
      <w:sz w:val="20"/>
    </w:rPr>
  </w:style>
  <w:style w:type="character" w:customStyle="1" w:styleId="265">
    <w:name w:val="批注引用1"/>
    <w:link w:val="1"/>
    <w:qFormat/>
    <w:uiPriority w:val="99"/>
    <w:rPr>
      <w:sz w:val="21"/>
      <w:szCs w:val="21"/>
    </w:rPr>
  </w:style>
  <w:style w:type="character" w:customStyle="1" w:styleId="266">
    <w:name w:val="HTML 引文1"/>
    <w:link w:val="1"/>
    <w:qFormat/>
    <w:uiPriority w:val="0"/>
    <w:rPr>
      <w:i/>
      <w:iCs/>
    </w:rPr>
  </w:style>
  <w:style w:type="character" w:customStyle="1" w:styleId="267">
    <w:name w:val="HTML 键盘1"/>
    <w:link w:val="1"/>
    <w:qFormat/>
    <w:uiPriority w:val="0"/>
    <w:rPr>
      <w:rFonts w:ascii="monospace" w:hAnsi="monospace" w:eastAsia="monospace" w:cs="monospace"/>
      <w:sz w:val="20"/>
    </w:rPr>
  </w:style>
  <w:style w:type="character" w:customStyle="1" w:styleId="268">
    <w:name w:val="HTML 样本1"/>
    <w:link w:val="1"/>
    <w:qFormat/>
    <w:uiPriority w:val="0"/>
    <w:rPr>
      <w:rFonts w:ascii="monospace" w:hAnsi="monospace" w:eastAsia="monospace" w:cs="monospace"/>
    </w:rPr>
  </w:style>
  <w:style w:type="character" w:customStyle="1" w:styleId="269">
    <w:name w:val="批注文字 字符"/>
    <w:link w:val="1"/>
    <w:qFormat/>
    <w:uiPriority w:val="99"/>
    <w:rPr>
      <w:rFonts w:ascii="Times New Roman" w:hAnsi="Times New Roman" w:eastAsia="宋体" w:cs="Times New Roman"/>
      <w:sz w:val="24"/>
      <w:lang w:val="en-US" w:eastAsia="zh-CN" w:bidi="ar-SA"/>
    </w:rPr>
  </w:style>
  <w:style w:type="character" w:customStyle="1" w:styleId="270">
    <w:name w:val="超链接1"/>
    <w:link w:val="1"/>
    <w:qFormat/>
    <w:uiPriority w:val="99"/>
    <w:rPr>
      <w:sz w:val="21"/>
      <w:szCs w:val="24"/>
      <w:lang w:val="en-US" w:eastAsia="zh-CN" w:bidi="ar-SA"/>
    </w:rPr>
  </w:style>
  <w:style w:type="character" w:customStyle="1" w:styleId="271">
    <w:name w:val="正文缩进 Char"/>
    <w:link w:val="1"/>
    <w:qFormat/>
    <w:uiPriority w:val="0"/>
    <w:rPr>
      <w:sz w:val="21"/>
      <w:szCs w:val="24"/>
      <w:lang w:val="en-US" w:eastAsia="zh-CN" w:bidi="ar-SA"/>
    </w:rPr>
  </w:style>
  <w:style w:type="character" w:customStyle="1" w:styleId="272">
    <w:name w:val="c21"/>
    <w:link w:val="1"/>
    <w:qFormat/>
    <w:uiPriority w:val="0"/>
    <w:rPr>
      <w:rFonts w:ascii="ˎ̥" w:hAnsi="ˎ̥"/>
      <w:color w:val="000000"/>
      <w:sz w:val="20"/>
      <w:szCs w:val="20"/>
      <w:u w:val="none"/>
    </w:rPr>
  </w:style>
  <w:style w:type="character" w:customStyle="1" w:styleId="273">
    <w:name w:val="title4"/>
    <w:link w:val="1"/>
    <w:qFormat/>
    <w:uiPriority w:val="0"/>
    <w:rPr>
      <w:b/>
      <w:bCs/>
      <w:color w:val="1D87B3"/>
      <w:sz w:val="15"/>
      <w:szCs w:val="15"/>
    </w:rPr>
  </w:style>
  <w:style w:type="character" w:customStyle="1" w:styleId="274">
    <w:name w:val="标题 2 Char Char"/>
    <w:link w:val="1"/>
    <w:qFormat/>
    <w:uiPriority w:val="0"/>
    <w:rPr>
      <w:rFonts w:ascii="Arial" w:hAnsi="Arial" w:eastAsia="黑体"/>
      <w:b/>
      <w:bCs/>
      <w:sz w:val="32"/>
      <w:szCs w:val="32"/>
      <w:lang w:val="en-US" w:eastAsia="zh-CN" w:bidi="ar-SA"/>
    </w:rPr>
  </w:style>
  <w:style w:type="character" w:customStyle="1" w:styleId="275">
    <w:name w:val="black1"/>
    <w:link w:val="1"/>
    <w:qFormat/>
    <w:uiPriority w:val="0"/>
    <w:rPr>
      <w:color w:val="000000"/>
    </w:rPr>
  </w:style>
  <w:style w:type="character" w:customStyle="1" w:styleId="276">
    <w:name w:val="street-address"/>
    <w:link w:val="1"/>
    <w:qFormat/>
    <w:uiPriority w:val="0"/>
  </w:style>
  <w:style w:type="character" w:customStyle="1" w:styleId="277">
    <w:name w:val="locality"/>
    <w:link w:val="1"/>
    <w:qFormat/>
    <w:uiPriority w:val="0"/>
  </w:style>
  <w:style w:type="character" w:customStyle="1" w:styleId="278">
    <w:name w:val="正文文本缩进 Char1"/>
    <w:link w:val="279"/>
    <w:qFormat/>
    <w:uiPriority w:val="0"/>
    <w:rPr>
      <w:rFonts w:ascii="宋体" w:hAnsi="宋体" w:eastAsia="宋体"/>
      <w:sz w:val="24"/>
      <w:szCs w:val="24"/>
      <w:lang w:bidi="ar-SA"/>
    </w:rPr>
  </w:style>
  <w:style w:type="paragraph" w:customStyle="1" w:styleId="279">
    <w:name w:val="正文文本缩进1"/>
    <w:basedOn w:val="1"/>
    <w:link w:val="278"/>
    <w:qFormat/>
    <w:uiPriority w:val="0"/>
    <w:pPr>
      <w:spacing w:line="480" w:lineRule="exact"/>
      <w:ind w:firstLine="480"/>
    </w:pPr>
    <w:rPr>
      <w:rFonts w:ascii="宋体" w:hAnsi="宋体"/>
      <w:sz w:val="24"/>
    </w:rPr>
  </w:style>
  <w:style w:type="character" w:customStyle="1" w:styleId="280">
    <w:name w:val="Char Char11"/>
    <w:link w:val="1"/>
    <w:qFormat/>
    <w:uiPriority w:val="0"/>
    <w:rPr>
      <w:rFonts w:ascii="宋体" w:eastAsia="宋体"/>
      <w:b/>
      <w:sz w:val="24"/>
      <w:u w:val="single"/>
      <w:lang w:val="en-US" w:eastAsia="zh-CN" w:bidi="ar-SA"/>
    </w:rPr>
  </w:style>
  <w:style w:type="character" w:customStyle="1" w:styleId="281">
    <w:name w:val="txt"/>
    <w:link w:val="1"/>
    <w:qFormat/>
    <w:uiPriority w:val="0"/>
  </w:style>
  <w:style w:type="character" w:customStyle="1" w:styleId="282">
    <w:name w:val="正文缩进 Char Char"/>
    <w:link w:val="283"/>
    <w:qFormat/>
    <w:uiPriority w:val="0"/>
    <w:rPr>
      <w:rFonts w:ascii="宋体" w:eastAsia="宋体"/>
      <w:color w:val="000000"/>
      <w:sz w:val="28"/>
      <w:lang w:bidi="ar-SA"/>
    </w:rPr>
  </w:style>
  <w:style w:type="paragraph" w:customStyle="1" w:styleId="283">
    <w:name w:val="正文缩进1"/>
    <w:basedOn w:val="1"/>
    <w:link w:val="282"/>
    <w:qFormat/>
    <w:uiPriority w:val="0"/>
    <w:pPr>
      <w:widowControl/>
      <w:spacing w:line="480" w:lineRule="exact"/>
      <w:ind w:firstLine="567"/>
    </w:pPr>
    <w:rPr>
      <w:rFonts w:ascii="宋体"/>
      <w:color w:val="000000"/>
      <w:sz w:val="28"/>
      <w:szCs w:val="20"/>
    </w:rPr>
  </w:style>
  <w:style w:type="character" w:customStyle="1" w:styleId="284">
    <w:name w:val="普通文字1 Char1"/>
    <w:link w:val="1"/>
    <w:qFormat/>
    <w:uiPriority w:val="0"/>
    <w:rPr>
      <w:rFonts w:ascii="宋体" w:hAnsi="Courier New" w:eastAsia="宋体"/>
      <w:sz w:val="21"/>
      <w:lang w:val="en-US" w:eastAsia="zh-CN" w:bidi="ar-SA"/>
    </w:rPr>
  </w:style>
  <w:style w:type="character" w:customStyle="1" w:styleId="285">
    <w:name w:val="chanpin1"/>
    <w:link w:val="1"/>
    <w:qFormat/>
    <w:uiPriority w:val="0"/>
    <w:rPr>
      <w:rFonts w:ascii="ˎ̥" w:hAnsi="ˎ̥"/>
      <w:color w:val="000000"/>
      <w:sz w:val="20"/>
      <w:szCs w:val="20"/>
      <w:u w:val="none"/>
    </w:rPr>
  </w:style>
  <w:style w:type="character" w:customStyle="1" w:styleId="286">
    <w:name w:val="列出段落 字符"/>
    <w:link w:val="287"/>
    <w:qFormat/>
    <w:uiPriority w:val="34"/>
    <w:rPr>
      <w:rFonts w:ascii="Calibri" w:hAnsi="Calibri" w:eastAsia="宋体"/>
      <w:sz w:val="21"/>
      <w:szCs w:val="22"/>
      <w:lang w:val="en-US" w:eastAsia="zh-CN" w:bidi="ar-SA"/>
    </w:rPr>
  </w:style>
  <w:style w:type="paragraph" w:customStyle="1" w:styleId="287">
    <w:name w:val="列出段落"/>
    <w:basedOn w:val="1"/>
    <w:link w:val="286"/>
    <w:qFormat/>
    <w:uiPriority w:val="34"/>
    <w:pPr>
      <w:ind w:firstLine="420"/>
    </w:pPr>
    <w:rPr>
      <w:rFonts w:ascii="Calibri" w:hAnsi="Calibri"/>
      <w:szCs w:val="22"/>
    </w:rPr>
  </w:style>
  <w:style w:type="character" w:customStyle="1" w:styleId="288">
    <w:name w:val="标题 3 Char Char"/>
    <w:link w:val="1"/>
    <w:qFormat/>
    <w:uiPriority w:val="0"/>
    <w:rPr>
      <w:rFonts w:eastAsia="宋体"/>
      <w:b/>
      <w:bCs/>
      <w:sz w:val="32"/>
      <w:szCs w:val="32"/>
      <w:lang w:val="en-US" w:eastAsia="zh-CN" w:bidi="ar-SA"/>
    </w:rPr>
  </w:style>
  <w:style w:type="character" w:customStyle="1" w:styleId="289">
    <w:name w:val="段1 Char"/>
    <w:link w:val="1"/>
    <w:qFormat/>
    <w:uiPriority w:val="0"/>
    <w:rPr>
      <w:rFonts w:ascii="宋体" w:eastAsia="宋体"/>
      <w:sz w:val="24"/>
      <w:lang w:val="en-US" w:eastAsia="zh-CN" w:bidi="ar-SA"/>
    </w:rPr>
  </w:style>
  <w:style w:type="character" w:customStyle="1" w:styleId="290">
    <w:name w:val="chanpin拷贝"/>
    <w:link w:val="1"/>
    <w:qFormat/>
    <w:uiPriority w:val="0"/>
  </w:style>
  <w:style w:type="character" w:customStyle="1" w:styleId="291">
    <w:name w:val="纯文本 Char1"/>
    <w:link w:val="1"/>
    <w:qFormat/>
    <w:uiPriority w:val="0"/>
    <w:rPr>
      <w:rFonts w:ascii="宋体" w:hAnsi="Courier New" w:eastAsia="宋体"/>
      <w:sz w:val="21"/>
      <w:lang w:val="en-US" w:eastAsia="zh-CN" w:bidi="ar-SA"/>
    </w:rPr>
  </w:style>
  <w:style w:type="character" w:customStyle="1" w:styleId="292">
    <w:name w:val="apple-style-span"/>
    <w:link w:val="1"/>
    <w:qFormat/>
    <w:uiPriority w:val="0"/>
    <w:rPr>
      <w:rFonts w:cs="Times New Roman"/>
    </w:rPr>
  </w:style>
  <w:style w:type="paragraph" w:customStyle="1" w:styleId="293">
    <w:name w:val="二级条标题"/>
    <w:basedOn w:val="29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4">
    <w:name w:val="一级条标题"/>
    <w:basedOn w:val="295"/>
    <w:next w:val="1"/>
    <w:qFormat/>
    <w:uiPriority w:val="0"/>
    <w:pPr>
      <w:numPr>
        <w:ilvl w:val="1"/>
      </w:numPr>
      <w:tabs>
        <w:tab w:val="left" w:pos="360"/>
        <w:tab w:val="left" w:pos="840"/>
      </w:tabs>
      <w:ind w:left="0" w:hanging="840"/>
      <w:outlineLvl w:val="1"/>
    </w:pPr>
  </w:style>
  <w:style w:type="paragraph" w:customStyle="1" w:styleId="295">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6">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7">
    <w:name w:val="字元 字元"/>
    <w:basedOn w:val="1"/>
    <w:qFormat/>
    <w:uiPriority w:val="0"/>
    <w:rPr>
      <w:rFonts w:ascii="Tahoma" w:hAnsi="Tahoma"/>
      <w:sz w:val="24"/>
      <w:szCs w:val="20"/>
    </w:rPr>
  </w:style>
  <w:style w:type="paragraph" w:customStyle="1" w:styleId="298">
    <w:name w:val="Char3 Char Char Char"/>
    <w:basedOn w:val="1"/>
    <w:qFormat/>
    <w:uiPriority w:val="0"/>
    <w:rPr>
      <w:rFonts w:ascii="Tahoma" w:hAnsi="Tahoma"/>
      <w:sz w:val="24"/>
      <w:szCs w:val="20"/>
    </w:rPr>
  </w:style>
  <w:style w:type="paragraph" w:customStyle="1" w:styleId="299">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0">
    <w:name w:val="项目编号2"/>
    <w:basedOn w:val="301"/>
    <w:qFormat/>
    <w:uiPriority w:val="0"/>
    <w:pPr>
      <w:numPr>
        <w:numId w:val="2"/>
      </w:numPr>
    </w:pPr>
  </w:style>
  <w:style w:type="paragraph" w:customStyle="1" w:styleId="30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2">
    <w:name w:val="图中文字"/>
    <w:basedOn w:val="1"/>
    <w:qFormat/>
    <w:uiPriority w:val="0"/>
    <w:pPr>
      <w:spacing w:line="0" w:lineRule="atLeast"/>
      <w:jc w:val="center"/>
    </w:pPr>
    <w:rPr>
      <w:sz w:val="24"/>
      <w:szCs w:val="20"/>
    </w:rPr>
  </w:style>
  <w:style w:type="paragraph" w:customStyle="1" w:styleId="303">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5">
    <w:name w:val="Char2"/>
    <w:basedOn w:val="1"/>
    <w:qFormat/>
    <w:uiPriority w:val="0"/>
    <w:rPr>
      <w:rFonts w:ascii="Tahoma" w:hAnsi="Tahoma"/>
      <w:sz w:val="24"/>
      <w:szCs w:val="20"/>
    </w:rPr>
  </w:style>
  <w:style w:type="paragraph" w:customStyle="1" w:styleId="30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9">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0">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1">
    <w:name w:val="Char Char Char Char Char Char Char"/>
    <w:basedOn w:val="1"/>
    <w:qFormat/>
    <w:uiPriority w:val="0"/>
    <w:pPr>
      <w:spacing w:line="360" w:lineRule="auto"/>
      <w:ind w:firstLine="200"/>
    </w:pPr>
    <w:rPr>
      <w:rFonts w:eastAsia="仿宋_GB2312"/>
      <w:sz w:val="24"/>
    </w:rPr>
  </w:style>
  <w:style w:type="paragraph" w:customStyle="1" w:styleId="31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4">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5">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9">
    <w:name w:val="font8"/>
    <w:basedOn w:val="1"/>
    <w:qFormat/>
    <w:uiPriority w:val="0"/>
    <w:pPr>
      <w:widowControl/>
      <w:spacing w:before="100" w:beforeAutospacing="1" w:after="100" w:afterAutospacing="1"/>
      <w:jc w:val="left"/>
    </w:pPr>
    <w:rPr>
      <w:sz w:val="36"/>
      <w:szCs w:val="36"/>
    </w:rPr>
  </w:style>
  <w:style w:type="paragraph" w:customStyle="1" w:styleId="320">
    <w:name w:val="Char"/>
    <w:basedOn w:val="1"/>
    <w:qFormat/>
    <w:uiPriority w:val="0"/>
    <w:pPr>
      <w:tabs>
        <w:tab w:val="left" w:pos="360"/>
      </w:tabs>
    </w:pPr>
    <w:rPr>
      <w:sz w:val="24"/>
    </w:rPr>
  </w:style>
  <w:style w:type="paragraph" w:customStyle="1" w:styleId="321">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2">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3">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4">
    <w:name w:val="Char Char1"/>
    <w:basedOn w:val="209"/>
    <w:qFormat/>
    <w:uiPriority w:val="0"/>
    <w:rPr>
      <w:rFonts w:ascii="Tahoma" w:hAnsi="Tahoma"/>
      <w:sz w:val="24"/>
    </w:rPr>
  </w:style>
  <w:style w:type="paragraph" w:customStyle="1" w:styleId="32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7">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8">
    <w:name w:val="样式 宋体 五号 行距: 单倍行距"/>
    <w:basedOn w:val="1"/>
    <w:qFormat/>
    <w:uiPriority w:val="0"/>
    <w:pPr>
      <w:jc w:val="left"/>
    </w:pPr>
    <w:rPr>
      <w:rFonts w:ascii="宋体" w:hAnsi="宋体"/>
      <w:szCs w:val="20"/>
    </w:rPr>
  </w:style>
  <w:style w:type="paragraph" w:customStyle="1" w:styleId="329">
    <w:name w:val="Char1 Char Char Char1"/>
    <w:basedOn w:val="1"/>
    <w:qFormat/>
    <w:uiPriority w:val="0"/>
    <w:rPr>
      <w:rFonts w:ascii="Tahoma" w:hAnsi="Tahoma" w:cs="仿宋_GB2312"/>
      <w:sz w:val="24"/>
      <w:szCs w:val="28"/>
    </w:rPr>
  </w:style>
  <w:style w:type="paragraph" w:customStyle="1" w:styleId="330">
    <w:name w:val="四级条标题"/>
    <w:basedOn w:val="331"/>
    <w:next w:val="1"/>
    <w:qFormat/>
    <w:uiPriority w:val="0"/>
    <w:pPr>
      <w:numPr>
        <w:ilvl w:val="4"/>
      </w:numPr>
      <w:tabs>
        <w:tab w:val="left" w:pos="360"/>
        <w:tab w:val="left" w:pos="840"/>
      </w:tabs>
      <w:ind w:left="0" w:hanging="840"/>
      <w:outlineLvl w:val="4"/>
    </w:pPr>
  </w:style>
  <w:style w:type="paragraph" w:customStyle="1" w:styleId="331">
    <w:name w:val="三级条标题"/>
    <w:basedOn w:val="293"/>
    <w:next w:val="1"/>
    <w:qFormat/>
    <w:uiPriority w:val="0"/>
    <w:pPr>
      <w:numPr>
        <w:ilvl w:val="3"/>
        <w:numId w:val="1"/>
      </w:numPr>
      <w:ind w:left="0" w:hanging="840"/>
      <w:outlineLvl w:val="3"/>
    </w:pPr>
  </w:style>
  <w:style w:type="paragraph" w:customStyle="1" w:styleId="332">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3">
    <w:name w:val="样式 标题 2 + 宋体 五号 行距: 单倍行距"/>
    <w:basedOn w:val="186"/>
    <w:qFormat/>
    <w:uiPriority w:val="0"/>
    <w:pPr>
      <w:numPr>
        <w:ilvl w:val="1"/>
        <w:numId w:val="4"/>
      </w:numPr>
      <w:spacing w:before="260" w:after="260" w:line="240" w:lineRule="auto"/>
      <w:jc w:val="left"/>
    </w:pPr>
    <w:rPr>
      <w:rFonts w:ascii="宋体" w:hAnsi="宋体" w:eastAsia="宋体"/>
      <w:bCs/>
      <w:sz w:val="21"/>
    </w:rPr>
  </w:style>
  <w:style w:type="paragraph" w:customStyle="1" w:styleId="334">
    <w:name w:val="List Paragraph1"/>
    <w:basedOn w:val="1"/>
    <w:qFormat/>
    <w:uiPriority w:val="0"/>
    <w:pPr>
      <w:ind w:firstLine="420"/>
    </w:pPr>
    <w:rPr>
      <w:rFonts w:ascii="Calibri" w:hAnsi="Calibri"/>
      <w:szCs w:val="22"/>
    </w:rPr>
  </w:style>
  <w:style w:type="paragraph" w:customStyle="1" w:styleId="335">
    <w:name w:val="项目符号1"/>
    <w:basedOn w:val="336"/>
    <w:qFormat/>
    <w:uiPriority w:val="0"/>
    <w:pPr>
      <w:ind w:left="-25" w:firstLine="0"/>
    </w:pPr>
  </w:style>
  <w:style w:type="paragraph" w:customStyle="1" w:styleId="336">
    <w:name w:val="正文文本样式"/>
    <w:basedOn w:val="1"/>
    <w:qFormat/>
    <w:uiPriority w:val="0"/>
    <w:pPr>
      <w:spacing w:line="360" w:lineRule="auto"/>
      <w:ind w:firstLine="482"/>
    </w:pPr>
    <w:rPr>
      <w:rFonts w:cs="宋体"/>
      <w:sz w:val="24"/>
      <w:szCs w:val="20"/>
    </w:rPr>
  </w:style>
  <w:style w:type="paragraph" w:customStyle="1" w:styleId="33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8">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9">
    <w:name w:val="五级条标题"/>
    <w:basedOn w:val="330"/>
    <w:next w:val="1"/>
    <w:qFormat/>
    <w:uiPriority w:val="0"/>
    <w:pPr>
      <w:numPr>
        <w:ilvl w:val="5"/>
      </w:numPr>
      <w:ind w:left="0" w:hanging="840"/>
      <w:outlineLvl w:val="5"/>
    </w:pPr>
  </w:style>
  <w:style w:type="paragraph" w:customStyle="1" w:styleId="34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1">
    <w:name w:val="文档正文"/>
    <w:basedOn w:val="1"/>
    <w:qFormat/>
    <w:uiPriority w:val="0"/>
    <w:pPr>
      <w:spacing w:before="120" w:after="120" w:line="180" w:lineRule="auto"/>
    </w:pPr>
    <w:rPr>
      <w:rFonts w:ascii="Arial" w:hAnsi="Arial"/>
      <w:szCs w:val="20"/>
    </w:rPr>
  </w:style>
  <w:style w:type="paragraph" w:customStyle="1" w:styleId="34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3">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4">
    <w:name w:val="Char Char Char1 Char"/>
    <w:basedOn w:val="1"/>
    <w:qFormat/>
    <w:uiPriority w:val="0"/>
    <w:rPr>
      <w:rFonts w:ascii="Tahoma" w:hAnsi="Tahoma"/>
      <w:sz w:val="24"/>
      <w:szCs w:val="20"/>
    </w:rPr>
  </w:style>
  <w:style w:type="paragraph" w:customStyle="1" w:styleId="345">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6">
    <w:name w:val="1名"/>
    <w:basedOn w:val="1"/>
    <w:qFormat/>
    <w:uiPriority w:val="0"/>
    <w:pPr>
      <w:numPr>
        <w:ilvl w:val="0"/>
        <w:numId w:val="5"/>
      </w:numPr>
      <w:spacing w:before="120"/>
    </w:pPr>
    <w:rPr>
      <w:rFonts w:ascii="宋体"/>
      <w:sz w:val="28"/>
      <w:szCs w:val="20"/>
    </w:rPr>
  </w:style>
  <w:style w:type="paragraph" w:customStyle="1" w:styleId="347">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8">
    <w:name w:val="Char Char Char1 Char1"/>
    <w:basedOn w:val="1"/>
    <w:qFormat/>
    <w:uiPriority w:val="0"/>
    <w:rPr>
      <w:rFonts w:ascii="Tahoma" w:hAnsi="Tahoma"/>
      <w:sz w:val="24"/>
      <w:szCs w:val="20"/>
    </w:rPr>
  </w:style>
  <w:style w:type="paragraph" w:customStyle="1" w:styleId="349">
    <w:name w:val="Char Char Char Char Char Char Char Char Char Char"/>
    <w:basedOn w:val="1"/>
    <w:qFormat/>
    <w:uiPriority w:val="0"/>
  </w:style>
  <w:style w:type="paragraph" w:customStyle="1" w:styleId="350">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1">
    <w:name w:val="Char1"/>
    <w:basedOn w:val="1"/>
    <w:qFormat/>
    <w:uiPriority w:val="0"/>
    <w:pPr>
      <w:tabs>
        <w:tab w:val="left" w:pos="360"/>
      </w:tabs>
    </w:pPr>
    <w:rPr>
      <w:sz w:val="24"/>
    </w:rPr>
  </w:style>
  <w:style w:type="paragraph" w:customStyle="1" w:styleId="352">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4">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5">
    <w:name w:val="默认段落字体 Para Char Char Char Char"/>
    <w:basedOn w:val="1"/>
    <w:qFormat/>
    <w:uiPriority w:val="0"/>
    <w:rPr>
      <w:rFonts w:ascii="Arial" w:hAnsi="Arial" w:cs="Arial"/>
      <w:szCs w:val="21"/>
    </w:rPr>
  </w:style>
  <w:style w:type="paragraph" w:customStyle="1" w:styleId="35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9">
    <w:name w:val="Char Char Char"/>
    <w:basedOn w:val="1"/>
    <w:qFormat/>
    <w:uiPriority w:val="0"/>
    <w:rPr>
      <w:rFonts w:ascii="Tahoma" w:hAnsi="Tahoma"/>
      <w:sz w:val="24"/>
      <w:szCs w:val="20"/>
    </w:rPr>
  </w:style>
  <w:style w:type="paragraph" w:customStyle="1" w:styleId="36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1">
    <w:name w:val="缺省文本"/>
    <w:basedOn w:val="1"/>
    <w:qFormat/>
    <w:uiPriority w:val="0"/>
    <w:pPr>
      <w:jc w:val="left"/>
    </w:pPr>
    <w:rPr>
      <w:sz w:val="24"/>
    </w:rPr>
  </w:style>
  <w:style w:type="paragraph" w:customStyle="1" w:styleId="362">
    <w:name w:val="Char Char Char1"/>
    <w:basedOn w:val="1"/>
    <w:qFormat/>
    <w:uiPriority w:val="0"/>
    <w:rPr>
      <w:rFonts w:ascii="Tahoma" w:hAnsi="Tahoma"/>
      <w:sz w:val="24"/>
      <w:szCs w:val="20"/>
    </w:rPr>
  </w:style>
  <w:style w:type="paragraph" w:customStyle="1" w:styleId="363">
    <w:name w:val="Char Char Char Char Char Char Char1"/>
    <w:basedOn w:val="1"/>
    <w:qFormat/>
    <w:uiPriority w:val="0"/>
    <w:pPr>
      <w:spacing w:line="360" w:lineRule="auto"/>
      <w:ind w:firstLine="200"/>
    </w:pPr>
    <w:rPr>
      <w:rFonts w:eastAsia="仿宋_GB2312"/>
      <w:sz w:val="24"/>
    </w:rPr>
  </w:style>
  <w:style w:type="paragraph" w:customStyle="1" w:styleId="364">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5">
    <w:name w:val="样式2"/>
    <w:basedOn w:val="246"/>
    <w:qFormat/>
    <w:uiPriority w:val="0"/>
    <w:pPr>
      <w:spacing w:line="360" w:lineRule="auto"/>
      <w:jc w:val="center"/>
    </w:pPr>
    <w:rPr>
      <w:sz w:val="24"/>
    </w:rPr>
  </w:style>
  <w:style w:type="paragraph" w:customStyle="1" w:styleId="36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8">
    <w:name w:val="正文 + 楷体_GB2312"/>
    <w:basedOn w:val="1"/>
    <w:qFormat/>
    <w:uiPriority w:val="0"/>
    <w:pPr>
      <w:widowControl/>
      <w:jc w:val="left"/>
    </w:pPr>
    <w:rPr>
      <w:rFonts w:ascii="楷体_GB2312" w:eastAsia="楷体_GB2312" w:cs="Arial"/>
      <w:sz w:val="24"/>
    </w:rPr>
  </w:style>
  <w:style w:type="paragraph" w:customStyle="1" w:styleId="36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0">
    <w:name w:val="1 Char Char Char Char"/>
    <w:basedOn w:val="1"/>
    <w:qFormat/>
    <w:uiPriority w:val="0"/>
    <w:rPr>
      <w:rFonts w:ascii="Tahoma" w:hAnsi="Tahoma"/>
      <w:sz w:val="24"/>
      <w:szCs w:val="20"/>
    </w:rPr>
  </w:style>
  <w:style w:type="paragraph" w:customStyle="1" w:styleId="371">
    <w:name w:val="列出段落1"/>
    <w:basedOn w:val="1"/>
    <w:qFormat/>
    <w:uiPriority w:val="0"/>
    <w:pPr>
      <w:ind w:firstLine="420"/>
    </w:pPr>
    <w:rPr>
      <w:rFonts w:ascii="Calibri" w:hAnsi="Calibri"/>
      <w:szCs w:val="22"/>
    </w:rPr>
  </w:style>
  <w:style w:type="paragraph" w:customStyle="1" w:styleId="372">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3">
    <w:name w:val="字元 字元1"/>
    <w:basedOn w:val="1"/>
    <w:qFormat/>
    <w:uiPriority w:val="0"/>
    <w:rPr>
      <w:rFonts w:ascii="Tahoma" w:hAnsi="Tahoma"/>
      <w:sz w:val="24"/>
      <w:szCs w:val="20"/>
    </w:rPr>
  </w:style>
  <w:style w:type="paragraph" w:customStyle="1" w:styleId="374">
    <w:name w:val="_Style 160"/>
    <w:qFormat/>
    <w:uiPriority w:val="0"/>
    <w:rPr>
      <w:rFonts w:hint="default" w:ascii="Times New Roman" w:hAnsi="Times New Roman" w:eastAsia="宋体" w:cs="Times New Roman"/>
      <w:sz w:val="21"/>
      <w:szCs w:val="24"/>
      <w:lang w:val="en-US" w:eastAsia="zh-CN" w:bidi="ar-SA"/>
    </w:rPr>
  </w:style>
  <w:style w:type="paragraph" w:customStyle="1" w:styleId="375">
    <w:name w:val="项目编号3"/>
    <w:basedOn w:val="336"/>
    <w:qFormat/>
    <w:uiPriority w:val="0"/>
    <w:pPr>
      <w:numPr>
        <w:ilvl w:val="0"/>
        <w:numId w:val="6"/>
      </w:numPr>
    </w:pPr>
  </w:style>
  <w:style w:type="paragraph" w:customStyle="1" w:styleId="376">
    <w:name w:val="Char21"/>
    <w:basedOn w:val="1"/>
    <w:qFormat/>
    <w:uiPriority w:val="0"/>
    <w:rPr>
      <w:rFonts w:ascii="Tahoma" w:hAnsi="Tahoma"/>
      <w:sz w:val="24"/>
      <w:szCs w:val="20"/>
    </w:rPr>
  </w:style>
  <w:style w:type="paragraph" w:customStyle="1" w:styleId="377">
    <w:name w:val="表格文字"/>
    <w:basedOn w:val="217"/>
    <w:qFormat/>
    <w:uiPriority w:val="0"/>
    <w:pPr>
      <w:spacing w:before="20" w:after="20" w:line="240" w:lineRule="auto"/>
      <w:ind w:firstLine="0"/>
    </w:pPr>
    <w:rPr>
      <w:rFonts w:ascii="Century Gothic" w:hAnsi="Century Gothic"/>
      <w:sz w:val="20"/>
      <w:szCs w:val="20"/>
    </w:rPr>
  </w:style>
  <w:style w:type="paragraph" w:customStyle="1" w:styleId="378">
    <w:name w:val="Char Char Char Char Char Char Char Char Char Char1"/>
    <w:basedOn w:val="1"/>
    <w:qFormat/>
    <w:uiPriority w:val="0"/>
    <w:rPr>
      <w:rFonts w:ascii="宋体" w:hAnsi="宋体" w:cs="Courier New"/>
      <w:sz w:val="32"/>
      <w:szCs w:val="32"/>
    </w:rPr>
  </w:style>
  <w:style w:type="paragraph" w:customStyle="1" w:styleId="379">
    <w:name w:val="正文文本样式 加粗"/>
    <w:basedOn w:val="336"/>
    <w:qFormat/>
    <w:uiPriority w:val="0"/>
    <w:rPr>
      <w:b/>
    </w:rPr>
  </w:style>
  <w:style w:type="paragraph" w:customStyle="1" w:styleId="380">
    <w:name w:val="Char2 Char Char Char Char Char Char"/>
    <w:basedOn w:val="1"/>
    <w:qFormat/>
    <w:uiPriority w:val="0"/>
    <w:pPr>
      <w:widowControl/>
      <w:spacing w:line="400" w:lineRule="exact"/>
      <w:jc w:val="center"/>
    </w:pPr>
  </w:style>
  <w:style w:type="paragraph" w:customStyle="1" w:styleId="381">
    <w:name w:val="Char Char4"/>
    <w:basedOn w:val="1"/>
    <w:qFormat/>
    <w:uiPriority w:val="0"/>
    <w:pPr>
      <w:widowControl/>
      <w:spacing w:line="400" w:lineRule="exact"/>
      <w:jc w:val="center"/>
    </w:pPr>
  </w:style>
  <w:style w:type="paragraph" w:customStyle="1" w:styleId="382">
    <w:name w:val="Char3 Char Char Char1"/>
    <w:basedOn w:val="1"/>
    <w:qFormat/>
    <w:uiPriority w:val="0"/>
    <w:rPr>
      <w:rFonts w:ascii="Tahoma" w:hAnsi="Tahoma"/>
      <w:sz w:val="24"/>
      <w:szCs w:val="20"/>
    </w:rPr>
  </w:style>
  <w:style w:type="paragraph" w:customStyle="1" w:styleId="383">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4">
    <w:name w:val="22222222222222"/>
    <w:basedOn w:val="1"/>
    <w:qFormat/>
    <w:uiPriority w:val="0"/>
    <w:pPr>
      <w:widowControl/>
      <w:spacing w:line="360" w:lineRule="auto"/>
      <w:ind w:firstLine="480"/>
      <w:jc w:val="left"/>
    </w:pPr>
    <w:rPr>
      <w:color w:val="FF0000"/>
      <w:sz w:val="24"/>
      <w:szCs w:val="20"/>
    </w:rPr>
  </w:style>
  <w:style w:type="character" w:customStyle="1" w:styleId="385">
    <w:name w:val="中等深浅网格 1 - 强调文字颜色 2 Char"/>
    <w:link w:val="386"/>
    <w:qFormat/>
    <w:uiPriority w:val="0"/>
    <w:rPr>
      <w:sz w:val="21"/>
      <w:szCs w:val="24"/>
      <w:lang w:val="zh-CN" w:eastAsia="zh-CN" w:bidi="ar-SA"/>
    </w:rPr>
  </w:style>
  <w:style w:type="paragraph" w:customStyle="1" w:styleId="386">
    <w:name w:val="1"/>
    <w:link w:val="385"/>
    <w:qFormat/>
    <w:uiPriority w:val="0"/>
    <w:rPr>
      <w:rFonts w:hint="default" w:ascii="Times New Roman" w:hAnsi="Times New Roman" w:eastAsia="宋体" w:cs="Times New Roman"/>
      <w:sz w:val="21"/>
      <w:szCs w:val="24"/>
      <w:lang w:val="zh-CN" w:eastAsia="zh-CN" w:bidi="ar-SA"/>
    </w:rPr>
  </w:style>
  <w:style w:type="paragraph" w:customStyle="1" w:styleId="387">
    <w:name w:val="图文"/>
    <w:basedOn w:val="1"/>
    <w:qFormat/>
    <w:uiPriority w:val="0"/>
    <w:pPr>
      <w:spacing w:after="50" w:line="360" w:lineRule="auto"/>
    </w:pPr>
    <w:rPr>
      <w:sz w:val="24"/>
    </w:rPr>
  </w:style>
  <w:style w:type="paragraph" w:customStyle="1" w:styleId="388">
    <w:name w:val="xl23"/>
    <w:basedOn w:val="1"/>
    <w:qFormat/>
    <w:uiPriority w:val="0"/>
    <w:pPr>
      <w:widowControl/>
      <w:spacing w:before="100" w:beforeAutospacing="1" w:after="100" w:afterAutospacing="1" w:line="360" w:lineRule="auto"/>
    </w:pPr>
    <w:rPr>
      <w:sz w:val="24"/>
      <w:szCs w:val="20"/>
    </w:rPr>
  </w:style>
  <w:style w:type="paragraph" w:customStyle="1" w:styleId="389">
    <w:name w:val="正文表格"/>
    <w:basedOn w:val="1"/>
    <w:link w:val="390"/>
    <w:qFormat/>
    <w:uiPriority w:val="0"/>
    <w:pPr>
      <w:jc w:val="left"/>
    </w:pPr>
    <w:rPr>
      <w:rFonts w:ascii="宋体" w:hAnsi="宋体"/>
      <w:color w:val="000000"/>
      <w:szCs w:val="21"/>
    </w:rPr>
  </w:style>
  <w:style w:type="character" w:customStyle="1" w:styleId="390">
    <w:name w:val="正文表格 Char"/>
    <w:link w:val="389"/>
    <w:qFormat/>
    <w:uiPriority w:val="0"/>
    <w:rPr>
      <w:rFonts w:ascii="宋体" w:hAnsi="宋体"/>
      <w:color w:val="000000"/>
      <w:sz w:val="21"/>
      <w:szCs w:val="21"/>
    </w:rPr>
  </w:style>
  <w:style w:type="paragraph" w:customStyle="1" w:styleId="391">
    <w:name w:val="正文重点"/>
    <w:basedOn w:val="1"/>
    <w:link w:val="392"/>
    <w:qFormat/>
    <w:uiPriority w:val="0"/>
    <w:pPr>
      <w:spacing w:line="360" w:lineRule="auto"/>
      <w:ind w:firstLine="482"/>
      <w:jc w:val="left"/>
    </w:pPr>
    <w:rPr>
      <w:b/>
      <w:sz w:val="24"/>
      <w:szCs w:val="20"/>
    </w:rPr>
  </w:style>
  <w:style w:type="character" w:customStyle="1" w:styleId="392">
    <w:name w:val="正文重点 Char"/>
    <w:link w:val="391"/>
    <w:qFormat/>
    <w:uiPriority w:val="0"/>
    <w:rPr>
      <w:b/>
      <w:sz w:val="24"/>
    </w:rPr>
  </w:style>
  <w:style w:type="paragraph" w:customStyle="1" w:styleId="393">
    <w:name w:val="标题1-附件"/>
    <w:basedOn w:val="185"/>
    <w:qFormat/>
    <w:uiPriority w:val="0"/>
    <w:pPr>
      <w:jc w:val="left"/>
    </w:pPr>
    <w:rPr>
      <w:sz w:val="24"/>
      <w:szCs w:val="24"/>
    </w:rPr>
  </w:style>
  <w:style w:type="paragraph" w:customStyle="1" w:styleId="394">
    <w:name w:val="正文小标题"/>
    <w:basedOn w:val="1"/>
    <w:next w:val="187"/>
    <w:link w:val="395"/>
    <w:qFormat/>
    <w:uiPriority w:val="0"/>
    <w:pPr>
      <w:spacing w:before="312" w:after="312"/>
      <w:ind w:firstLine="482"/>
      <w:jc w:val="left"/>
    </w:pPr>
    <w:rPr>
      <w:rFonts w:ascii="宋体" w:hAnsi="宋体"/>
      <w:b/>
      <w:i/>
      <w:color w:val="FF0000"/>
      <w:sz w:val="24"/>
      <w:szCs w:val="20"/>
    </w:rPr>
  </w:style>
  <w:style w:type="character" w:customStyle="1" w:styleId="395">
    <w:name w:val="正文小标题 Char"/>
    <w:link w:val="394"/>
    <w:qFormat/>
    <w:uiPriority w:val="0"/>
    <w:rPr>
      <w:rFonts w:ascii="宋体" w:hAnsi="宋体"/>
      <w:b/>
      <w:i/>
      <w:color w:val="FF0000"/>
      <w:sz w:val="24"/>
    </w:rPr>
  </w:style>
  <w:style w:type="paragraph" w:customStyle="1" w:styleId="396">
    <w:name w:val="正文大标题"/>
    <w:basedOn w:val="394"/>
    <w:next w:val="187"/>
    <w:link w:val="397"/>
    <w:qFormat/>
    <w:uiPriority w:val="0"/>
    <w:pPr>
      <w:jc w:val="center"/>
    </w:pPr>
    <w:rPr>
      <w:i w:val="0"/>
      <w:color w:val="000000"/>
      <w:sz w:val="28"/>
      <w:szCs w:val="21"/>
    </w:rPr>
  </w:style>
  <w:style w:type="character" w:customStyle="1" w:styleId="397">
    <w:name w:val="正文大标题 Char"/>
    <w:link w:val="396"/>
    <w:qFormat/>
    <w:uiPriority w:val="0"/>
    <w:rPr>
      <w:rFonts w:ascii="宋体" w:hAnsi="宋体"/>
      <w:b/>
      <w:color w:val="000000"/>
      <w:sz w:val="28"/>
      <w:szCs w:val="21"/>
    </w:rPr>
  </w:style>
  <w:style w:type="paragraph" w:customStyle="1" w:styleId="398">
    <w:name w:val="注释"/>
    <w:basedOn w:val="1"/>
    <w:link w:val="399"/>
    <w:qFormat/>
    <w:uiPriority w:val="0"/>
    <w:pPr>
      <w:ind w:left="420" w:hanging="420"/>
      <w:jc w:val="left"/>
    </w:pPr>
    <w:rPr>
      <w:rFonts w:ascii="宋体" w:hAnsi="宋体"/>
      <w:szCs w:val="21"/>
    </w:rPr>
  </w:style>
  <w:style w:type="character" w:customStyle="1" w:styleId="399">
    <w:name w:val="注释 Char"/>
    <w:link w:val="398"/>
    <w:qFormat/>
    <w:uiPriority w:val="0"/>
    <w:rPr>
      <w:rFonts w:ascii="宋体" w:hAnsi="宋体"/>
      <w:sz w:val="21"/>
      <w:szCs w:val="21"/>
    </w:rPr>
  </w:style>
  <w:style w:type="paragraph" w:customStyle="1" w:styleId="400">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1">
    <w:name w:val="正文须知-2级"/>
    <w:basedOn w:val="1"/>
    <w:qFormat/>
    <w:uiPriority w:val="0"/>
    <w:pPr>
      <w:numPr>
        <w:ilvl w:val="1"/>
        <w:numId w:val="7"/>
      </w:numPr>
      <w:spacing w:line="300" w:lineRule="auto"/>
    </w:pPr>
    <w:rPr>
      <w:rFonts w:ascii="宋体" w:hAnsi="Calibri"/>
      <w:sz w:val="24"/>
      <w:szCs w:val="21"/>
    </w:rPr>
  </w:style>
  <w:style w:type="paragraph" w:customStyle="1" w:styleId="402">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3">
    <w:name w:val="纯文本 字符"/>
    <w:link w:val="1"/>
    <w:qFormat/>
    <w:uiPriority w:val="99"/>
    <w:rPr>
      <w:rFonts w:ascii="宋体" w:hAnsi="Courier New" w:eastAsia="宋体" w:cs="Times New Roman"/>
      <w:sz w:val="21"/>
      <w:szCs w:val="21"/>
      <w:lang w:val="en-US" w:eastAsia="zh-CN" w:bidi="ar-SA"/>
    </w:rPr>
  </w:style>
  <w:style w:type="paragraph" w:customStyle="1" w:styleId="404">
    <w:name w:val="表格1"/>
    <w:basedOn w:val="1"/>
    <w:qFormat/>
    <w:uiPriority w:val="0"/>
    <w:pPr>
      <w:ind w:firstLine="480"/>
      <w:jc w:val="center"/>
    </w:pPr>
    <w:rPr>
      <w:sz w:val="24"/>
      <w:szCs w:val="20"/>
    </w:rPr>
  </w:style>
  <w:style w:type="character" w:customStyle="1" w:styleId="405">
    <w:name w:val="纯文本 字符1"/>
    <w:link w:val="1"/>
    <w:qFormat/>
    <w:uiPriority w:val="0"/>
    <w:rPr>
      <w:rFonts w:ascii="宋体" w:hAnsi="Courier New"/>
    </w:rPr>
  </w:style>
  <w:style w:type="character" w:customStyle="1" w:styleId="406">
    <w:name w:val="bjh-p"/>
    <w:link w:val="1"/>
    <w:qFormat/>
    <w:uiPriority w:val="0"/>
  </w:style>
  <w:style w:type="paragraph" w:customStyle="1" w:styleId="407">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8">
    <w:name w:val="正文格式 Char"/>
    <w:link w:val="409"/>
    <w:qFormat/>
    <w:uiPriority w:val="0"/>
    <w:rPr>
      <w:rFonts w:ascii="宋体" w:hAnsi="宋体"/>
      <w:sz w:val="24"/>
      <w:szCs w:val="24"/>
      <w:lang w:val="en-GB"/>
    </w:rPr>
  </w:style>
  <w:style w:type="paragraph" w:customStyle="1" w:styleId="409">
    <w:name w:val="正文格式"/>
    <w:basedOn w:val="1"/>
    <w:link w:val="408"/>
    <w:qFormat/>
    <w:uiPriority w:val="0"/>
    <w:pPr>
      <w:spacing w:line="360" w:lineRule="auto"/>
      <w:ind w:firstLine="480"/>
    </w:pPr>
    <w:rPr>
      <w:rFonts w:ascii="宋体" w:hAnsi="宋体"/>
      <w:sz w:val="24"/>
      <w:lang w:val="en-GB"/>
    </w:rPr>
  </w:style>
  <w:style w:type="character" w:customStyle="1" w:styleId="410">
    <w:name w:val="标题 3 Char"/>
    <w:link w:val="1"/>
    <w:qFormat/>
    <w:uiPriority w:val="0"/>
    <w:rPr>
      <w:rFonts w:ascii="宋体" w:eastAsia="宋体"/>
      <w:b/>
      <w:sz w:val="24"/>
      <w:u w:val="single"/>
      <w:lang w:val="en-US" w:eastAsia="zh-CN" w:bidi="ar-SA"/>
    </w:rPr>
  </w:style>
  <w:style w:type="character" w:customStyle="1" w:styleId="411">
    <w:name w:val="Char Char111"/>
    <w:link w:val="1"/>
    <w:qFormat/>
    <w:uiPriority w:val="0"/>
    <w:rPr>
      <w:rFonts w:ascii="宋体" w:eastAsia="宋体"/>
      <w:b/>
      <w:sz w:val="24"/>
      <w:u w:val="single"/>
      <w:lang w:val="en-US" w:eastAsia="zh-CN" w:bidi="ar-SA"/>
    </w:rPr>
  </w:style>
  <w:style w:type="character" w:customStyle="1" w:styleId="412">
    <w:name w:val="正文文本缩进 Char"/>
    <w:link w:val="1"/>
    <w:qFormat/>
    <w:uiPriority w:val="0"/>
    <w:rPr>
      <w:rFonts w:eastAsia="宋体"/>
      <w:sz w:val="24"/>
      <w:szCs w:val="24"/>
      <w:lang w:val="en-US" w:eastAsia="zh-CN" w:bidi="ar-SA"/>
    </w:rPr>
  </w:style>
  <w:style w:type="character" w:customStyle="1" w:styleId="413">
    <w:name w:val="列出段落 Char"/>
    <w:link w:val="1"/>
    <w:qFormat/>
    <w:uiPriority w:val="0"/>
    <w:rPr>
      <w:rFonts w:ascii="Calibri" w:hAnsi="Calibri" w:eastAsia="宋体"/>
      <w:sz w:val="21"/>
      <w:szCs w:val="22"/>
      <w:lang w:val="en-US" w:eastAsia="zh-CN" w:bidi="ar-SA"/>
    </w:rPr>
  </w:style>
  <w:style w:type="character" w:customStyle="1" w:styleId="414">
    <w:name w:val="页眉 Char"/>
    <w:link w:val="1"/>
    <w:qFormat/>
    <w:uiPriority w:val="0"/>
    <w:rPr>
      <w:rFonts w:eastAsia="宋体"/>
      <w:sz w:val="18"/>
      <w:szCs w:val="18"/>
      <w:lang w:val="en-US" w:eastAsia="zh-CN" w:bidi="ar-SA"/>
    </w:rPr>
  </w:style>
  <w:style w:type="character" w:customStyle="1" w:styleId="415">
    <w:name w:val="标题 2 Char"/>
    <w:link w:val="1"/>
    <w:qFormat/>
    <w:uiPriority w:val="0"/>
    <w:rPr>
      <w:rFonts w:ascii="Arial" w:hAnsi="Arial" w:eastAsia="黑体"/>
      <w:b/>
      <w:sz w:val="30"/>
      <w:lang w:val="en-US" w:eastAsia="zh-CN" w:bidi="ar-SA"/>
    </w:rPr>
  </w:style>
  <w:style w:type="paragraph" w:customStyle="1" w:styleId="416">
    <w:name w:val="字元 字元2"/>
    <w:basedOn w:val="1"/>
    <w:qFormat/>
    <w:uiPriority w:val="0"/>
    <w:rPr>
      <w:rFonts w:ascii="Tahoma" w:hAnsi="Tahoma"/>
      <w:sz w:val="24"/>
      <w:szCs w:val="20"/>
    </w:rPr>
  </w:style>
  <w:style w:type="paragraph" w:customStyle="1" w:styleId="417">
    <w:name w:val="Char3 Char Char Char2"/>
    <w:basedOn w:val="1"/>
    <w:qFormat/>
    <w:uiPriority w:val="0"/>
    <w:rPr>
      <w:rFonts w:ascii="Tahoma" w:hAnsi="Tahoma"/>
      <w:sz w:val="24"/>
      <w:szCs w:val="20"/>
    </w:rPr>
  </w:style>
  <w:style w:type="paragraph" w:customStyle="1" w:styleId="418">
    <w:name w:val="正文文本缩进2"/>
    <w:basedOn w:val="1"/>
    <w:qFormat/>
    <w:uiPriority w:val="0"/>
    <w:pPr>
      <w:spacing w:line="480" w:lineRule="exact"/>
      <w:ind w:firstLine="480"/>
    </w:pPr>
    <w:rPr>
      <w:rFonts w:ascii="宋体" w:hAnsi="宋体"/>
      <w:sz w:val="24"/>
      <w:lang w:val="zh-CN" w:eastAsia="zh-CN"/>
    </w:rPr>
  </w:style>
  <w:style w:type="paragraph" w:customStyle="1" w:styleId="419">
    <w:name w:val="Char3"/>
    <w:basedOn w:val="1"/>
    <w:qFormat/>
    <w:uiPriority w:val="0"/>
    <w:pPr>
      <w:tabs>
        <w:tab w:val="left" w:pos="360"/>
      </w:tabs>
    </w:pPr>
    <w:rPr>
      <w:sz w:val="24"/>
    </w:rPr>
  </w:style>
  <w:style w:type="paragraph" w:customStyle="1" w:styleId="420">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1">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2">
    <w:name w:val="列出段落2"/>
    <w:basedOn w:val="1"/>
    <w:qFormat/>
    <w:uiPriority w:val="0"/>
    <w:pPr>
      <w:ind w:firstLine="420"/>
    </w:pPr>
    <w:rPr>
      <w:rFonts w:ascii="Calibri" w:hAnsi="Calibri"/>
      <w:szCs w:val="22"/>
    </w:rPr>
  </w:style>
  <w:style w:type="paragraph" w:customStyle="1" w:styleId="423">
    <w:name w:val="Char Char Char1 Char2"/>
    <w:basedOn w:val="1"/>
    <w:qFormat/>
    <w:uiPriority w:val="0"/>
    <w:rPr>
      <w:rFonts w:ascii="Tahoma" w:hAnsi="Tahoma"/>
      <w:sz w:val="24"/>
      <w:szCs w:val="20"/>
    </w:rPr>
  </w:style>
  <w:style w:type="paragraph" w:customStyle="1" w:styleId="424">
    <w:name w:val="Char Char Char2"/>
    <w:basedOn w:val="1"/>
    <w:qFormat/>
    <w:uiPriority w:val="0"/>
    <w:rPr>
      <w:rFonts w:ascii="Tahoma" w:hAnsi="Tahoma"/>
      <w:sz w:val="24"/>
      <w:szCs w:val="20"/>
    </w:rPr>
  </w:style>
  <w:style w:type="paragraph" w:customStyle="1" w:styleId="425">
    <w:name w:val="Char Char Char Char Char Char Char2"/>
    <w:basedOn w:val="1"/>
    <w:qFormat/>
    <w:uiPriority w:val="0"/>
    <w:pPr>
      <w:spacing w:line="360" w:lineRule="auto"/>
      <w:ind w:firstLine="200"/>
    </w:pPr>
    <w:rPr>
      <w:rFonts w:eastAsia="仿宋_GB2312"/>
      <w:sz w:val="24"/>
    </w:rPr>
  </w:style>
  <w:style w:type="paragraph" w:customStyle="1" w:styleId="426">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7">
    <w:name w:val="Revision"/>
    <w:qFormat/>
    <w:uiPriority w:val="0"/>
    <w:rPr>
      <w:rFonts w:hint="default" w:ascii="Times New Roman" w:hAnsi="Times New Roman" w:eastAsia="宋体" w:cs="Times New Roman"/>
      <w:sz w:val="21"/>
      <w:szCs w:val="24"/>
      <w:lang w:val="en-US" w:eastAsia="zh-CN" w:bidi="ar-SA"/>
    </w:rPr>
  </w:style>
  <w:style w:type="paragraph" w:customStyle="1" w:styleId="428">
    <w:name w:val="Char22"/>
    <w:basedOn w:val="1"/>
    <w:qFormat/>
    <w:uiPriority w:val="0"/>
    <w:rPr>
      <w:rFonts w:ascii="Tahoma" w:hAnsi="Tahoma"/>
      <w:sz w:val="24"/>
      <w:szCs w:val="20"/>
    </w:rPr>
  </w:style>
  <w:style w:type="paragraph" w:customStyle="1" w:styleId="429">
    <w:name w:val="Char Char Char Char Char Char Char Char Char Char2"/>
    <w:basedOn w:val="1"/>
    <w:qFormat/>
    <w:uiPriority w:val="0"/>
    <w:rPr>
      <w:rFonts w:ascii="宋体" w:hAnsi="宋体" w:cs="Courier New"/>
      <w:sz w:val="32"/>
      <w:szCs w:val="32"/>
    </w:rPr>
  </w:style>
  <w:style w:type="paragraph" w:customStyle="1" w:styleId="430">
    <w:name w:val="Char2 Char Char Char Char Char Char1"/>
    <w:basedOn w:val="1"/>
    <w:qFormat/>
    <w:uiPriority w:val="0"/>
    <w:pPr>
      <w:widowControl/>
      <w:spacing w:line="400" w:lineRule="exact"/>
      <w:jc w:val="center"/>
    </w:pPr>
  </w:style>
  <w:style w:type="character" w:customStyle="1" w:styleId="431">
    <w:name w:val="页脚 Char"/>
    <w:link w:val="1"/>
    <w:qFormat/>
    <w:uiPriority w:val="0"/>
    <w:rPr>
      <w:rFonts w:ascii="宋体" w:eastAsia="宋体"/>
      <w:sz w:val="18"/>
      <w:lang w:val="en-US" w:eastAsia="zh-CN" w:bidi="ar-SA"/>
    </w:rPr>
  </w:style>
  <w:style w:type="paragraph" w:customStyle="1" w:styleId="432">
    <w:name w:val="Char Char41"/>
    <w:basedOn w:val="1"/>
    <w:qFormat/>
    <w:uiPriority w:val="0"/>
    <w:pPr>
      <w:widowControl/>
      <w:spacing w:line="400" w:lineRule="exact"/>
      <w:jc w:val="center"/>
    </w:pPr>
  </w:style>
  <w:style w:type="character" w:customStyle="1" w:styleId="433">
    <w:name w:val="批注文字 Char"/>
    <w:link w:val="1"/>
    <w:qFormat/>
    <w:uiPriority w:val="99"/>
    <w:rPr>
      <w:sz w:val="21"/>
      <w:szCs w:val="24"/>
    </w:rPr>
  </w:style>
  <w:style w:type="character" w:customStyle="1" w:styleId="434">
    <w:name w:val="标题 Char"/>
    <w:link w:val="1"/>
    <w:qFormat/>
    <w:uiPriority w:val="0"/>
    <w:rPr>
      <w:b/>
      <w:sz w:val="32"/>
    </w:rPr>
  </w:style>
  <w:style w:type="paragraph" w:customStyle="1" w:styleId="435">
    <w:name w:val="图例"/>
    <w:basedOn w:val="1"/>
    <w:qFormat/>
    <w:uiPriority w:val="0"/>
    <w:pPr>
      <w:spacing w:before="120" w:after="120" w:line="360" w:lineRule="auto"/>
      <w:jc w:val="center"/>
    </w:pPr>
    <w:rPr>
      <w:rFonts w:eastAsia="仿宋_GB2312"/>
      <w:b/>
      <w:sz w:val="24"/>
      <w:szCs w:val="20"/>
    </w:rPr>
  </w:style>
  <w:style w:type="table" w:customStyle="1" w:styleId="436">
    <w:name w:val="Table Normal"/>
    <w:unhideWhenUsed/>
    <w:qFormat/>
    <w:uiPriority w:val="2"/>
    <w:pPr>
      <w:widowControl w:val="0"/>
    </w:pPr>
    <w:rPr>
      <w:rFonts w:ascii="Calibri" w:hAnsi="Calibri"/>
      <w:sz w:val="22"/>
      <w:szCs w:val="22"/>
      <w:lang w:val="en-US" w:eastAsia="en-US" w:bidi="ar-SA"/>
    </w:rPr>
  </w:style>
  <w:style w:type="paragraph" w:customStyle="1" w:styleId="437">
    <w:name w:val="Table Paragraph"/>
    <w:basedOn w:val="1"/>
    <w:qFormat/>
    <w:uiPriority w:val="1"/>
    <w:pPr>
      <w:jc w:val="left"/>
    </w:pPr>
    <w:rPr>
      <w:rFonts w:ascii="宋体" w:hAnsi="宋体" w:cs="宋体"/>
      <w:sz w:val="22"/>
      <w:szCs w:val="22"/>
      <w:lang w:eastAsia="en-US"/>
    </w:rPr>
  </w:style>
  <w:style w:type="paragraph" w:customStyle="1" w:styleId="438">
    <w:name w:val="成文日期"/>
    <w:basedOn w:val="1"/>
    <w:link w:val="439"/>
    <w:qFormat/>
    <w:uiPriority w:val="0"/>
    <w:pPr>
      <w:spacing w:line="570" w:lineRule="exact"/>
      <w:ind w:right="400" w:firstLine="200"/>
      <w:jc w:val="right"/>
    </w:pPr>
    <w:rPr>
      <w:rFonts w:ascii="仿宋_GB2312" w:eastAsia="仿宋_GB2312"/>
      <w:sz w:val="32"/>
      <w:szCs w:val="20"/>
    </w:rPr>
  </w:style>
  <w:style w:type="character" w:customStyle="1" w:styleId="439">
    <w:name w:val="成文日期 Char"/>
    <w:link w:val="438"/>
    <w:qFormat/>
    <w:uiPriority w:val="0"/>
    <w:rPr>
      <w:rFonts w:ascii="仿宋_GB2312" w:eastAsia="仿宋_GB2312"/>
      <w:sz w:val="32"/>
    </w:rPr>
  </w:style>
  <w:style w:type="paragraph" w:customStyle="1" w:styleId="440">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41">
    <w:name w:val="正文缩进11"/>
    <w:basedOn w:val="1"/>
    <w:qFormat/>
    <w:uiPriority w:val="0"/>
    <w:pPr>
      <w:ind w:firstLine="420"/>
      <w:jc w:val="left"/>
    </w:pPr>
    <w:rPr>
      <w:rFonts w:ascii="宋体"/>
      <w:sz w:val="24"/>
    </w:rPr>
  </w:style>
  <w:style w:type="character" w:customStyle="1" w:styleId="442">
    <w:name w:val="15"/>
    <w:link w:val="1"/>
    <w:qFormat/>
    <w:uiPriority w:val="0"/>
    <w:rPr>
      <w:sz w:val="21"/>
      <w:szCs w:val="24"/>
      <w:lang w:val="en-US" w:eastAsia="zh-CN" w:bidi="ar-SA"/>
    </w:rPr>
  </w:style>
  <w:style w:type="paragraph" w:customStyle="1" w:styleId="443">
    <w:name w:val="列表段落"/>
    <w:basedOn w:val="1"/>
    <w:qFormat/>
    <w:uiPriority w:val="34"/>
    <w:pPr>
      <w:widowControl/>
      <w:ind w:left="720"/>
      <w:contextualSpacing/>
      <w:jc w:val="left"/>
    </w:pPr>
    <w:rPr>
      <w:rFonts w:ascii="Calibri" w:hAnsi="Calibri"/>
      <w:sz w:val="24"/>
      <w:szCs w:val="24"/>
      <w:lang w:eastAsia="en-US" w:bidi="en-US"/>
    </w:rPr>
  </w:style>
  <w:style w:type="character" w:customStyle="1" w:styleId="444">
    <w:name w:val="font01"/>
    <w:link w:val="1"/>
    <w:qFormat/>
    <w:uiPriority w:val="0"/>
    <w:rPr>
      <w:rFonts w:hint="eastAsia" w:ascii="宋体" w:hAnsi="宋体" w:eastAsia="宋体" w:cs="宋体"/>
      <w:color w:val="000000"/>
      <w:sz w:val="24"/>
      <w:szCs w:val="24"/>
      <w:u w:val="none"/>
    </w:rPr>
  </w:style>
  <w:style w:type="character" w:customStyle="1" w:styleId="445">
    <w:name w:val="font51"/>
    <w:link w:val="1"/>
    <w:qFormat/>
    <w:uiPriority w:val="0"/>
    <w:rPr>
      <w:rFonts w:hint="eastAsia" w:ascii="宋体" w:hAnsi="宋体" w:eastAsia="宋体" w:cs="宋体"/>
      <w:color w:val="FF0000"/>
      <w:sz w:val="24"/>
      <w:szCs w:val="24"/>
      <w:u w:val="none"/>
    </w:rPr>
  </w:style>
  <w:style w:type="paragraph" w:customStyle="1" w:styleId="446">
    <w:name w:val="首行缩进"/>
    <w:qFormat/>
    <w:uiPriority w:val="0"/>
    <w:pPr>
      <w:widowControl w:val="0"/>
      <w:ind w:firstLine="480"/>
      <w:jc w:val="both"/>
    </w:pPr>
    <w:rPr>
      <w:rFonts w:hint="default" w:ascii="Times New Roman" w:hAnsi="Times New Roman" w:eastAsia="宋体" w:cs="Times New Roman"/>
      <w:sz w:val="21"/>
      <w:szCs w:val="24"/>
      <w:lang w:val="zh-CN" w:eastAsia="zh-CN" w:bidi="ar-SA"/>
    </w:rPr>
  </w:style>
  <w:style w:type="character" w:customStyle="1" w:styleId="447">
    <w:name w:val="font21"/>
    <w:basedOn w:val="32"/>
    <w:qFormat/>
    <w:uiPriority w:val="0"/>
    <w:rPr>
      <w:rFonts w:hint="eastAsia" w:ascii="宋体" w:hAnsi="宋体" w:eastAsia="宋体" w:cs="宋体"/>
      <w:color w:val="000000"/>
      <w:sz w:val="20"/>
      <w:szCs w:val="20"/>
      <w:u w:val="none"/>
    </w:rPr>
  </w:style>
  <w:style w:type="character" w:customStyle="1" w:styleId="448">
    <w:name w:val="font31"/>
    <w:basedOn w:val="32"/>
    <w:qFormat/>
    <w:uiPriority w:val="0"/>
    <w:rPr>
      <w:rFonts w:hint="eastAsia" w:ascii="宋体" w:hAnsi="宋体" w:eastAsia="宋体" w:cs="宋体"/>
      <w:b/>
      <w:bCs/>
      <w:color w:val="000000"/>
      <w:sz w:val="20"/>
      <w:szCs w:val="20"/>
      <w:u w:val="none"/>
    </w:rPr>
  </w:style>
  <w:style w:type="table" w:customStyle="1" w:styleId="449">
    <w:name w:val="Grid Table Light"/>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63</Pages>
  <Words>12911</Words>
  <Characters>13932</Characters>
  <TotalTime>29</TotalTime>
  <ScaleCrop>false</ScaleCrop>
  <LinksUpToDate>false</LinksUpToDate>
  <CharactersWithSpaces>14075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zhao</cp:lastModifiedBy>
  <dcterms:modified xsi:type="dcterms:W3CDTF">2026-04-03T07:25:31Z</dcterms:modified>
  <dc:title>02年杜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6B9D602927674F8C8C2557DB2CE4B9A1_13</vt:lpwstr>
  </property>
  <property fmtid="{D5CDD505-2E9C-101B-9397-08002B2CF9AE}" pid="4" name="KSOTemplateDocerSaveRecord">
    <vt:lpwstr>eyJoZGlkIjoiNDdlMDJkMWY0NzMwOTMyNjM3YWM1MjE4YWZjMjliZmIiLCJ1c2VySWQiOiI2ODQyMTMzNDQifQ==</vt:lpwstr>
  </property>
</Properties>
</file>