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84"/>
        <w:jc w:val="right"/>
        <w:rPr>
          <w:rFonts w:hint="default" w:ascii="宋体" w:hAnsi="宋体"/>
          <w:color w:val="000000" w:themeColor="text1"/>
          <w:sz w:val="28"/>
          <w:szCs w:val="28"/>
          <w:highlight w:val="none"/>
          <w:lang w:val="en-US" w:eastAsia="zh-CN"/>
          <w14:textFill>
            <w14:solidFill>
              <w14:schemeClr w14:val="tx1"/>
            </w14:solidFill>
          </w14:textFill>
        </w:rPr>
      </w:pPr>
      <w:r/>
      <w:bookmarkStart w:id="0" w:name="_Hlk69393945"/>
      <w:r/>
      <w:bookmarkStart w:id="1" w:name="_Toc528771312"/>
      <w:r/>
      <w:bookmarkStart w:id="2" w:name="_Toc27744861"/>
      <w:r>
        <w:rPr>
          <w:rFonts w:hint="eastAsia" w:ascii="宋体" w:hAnsi="宋体"/>
          <w:color w:val="000000" w:themeColor="text1"/>
          <w:sz w:val="28"/>
          <w:szCs w:val="28"/>
          <w:highlight w:val="none"/>
          <w:lang w:val="en-US" w:eastAsia="zh-CN"/>
          <w14:textFill>
            <w14:solidFill>
              <w14:schemeClr w14:val="tx1"/>
            </w14:solidFill>
          </w14:textFill>
        </w:rPr>
        <w:t xml:space="preserve">项目编号：</w:t>
      </w:r>
      <w:r>
        <w:rPr>
          <w:rFonts w:hint="eastAsia" w:ascii="宋体" w:hAnsi="宋体"/>
          <w:color w:val="000000" w:themeColor="text1"/>
          <w:sz w:val="28"/>
          <w:szCs w:val="28"/>
          <w:highlight w:val="none"/>
          <w:lang w:val="en-US" w:eastAsia="zh-CN"/>
          <w14:textFill>
            <w14:solidFill>
              <w14:schemeClr w14:val="tx1"/>
            </w14:solidFill>
          </w14:textFill>
        </w:rPr>
        <w:t xml:space="preserve">JSZC-321012-SHBZ-C2026-0005</w:t>
      </w:r>
      <w:r/>
    </w:p>
    <w:p>
      <w:pPr>
        <w:ind w:right="84"/>
        <w:jc w:val="right"/>
        <w:rPr>
          <w:rFonts w:hint="eastAsia" w:ascii="宋体" w:hAnsi="宋体" w:eastAsia="宋体"/>
          <w:color w:val="000000" w:themeColor="text1"/>
          <w:sz w:val="40"/>
          <w:szCs w:val="36"/>
          <w:highlight w:val="none"/>
          <w:lang w:eastAsia="zh-CN"/>
          <w14:textFill>
            <w14:solidFill>
              <w14:schemeClr w14:val="tx1"/>
            </w14:solidFill>
          </w14:textFill>
        </w:rPr>
      </w:pPr>
      <w:r>
        <w:rPr>
          <w:rFonts w:hint="eastAsia" w:ascii="宋体" w:hAnsi="宋体" w:eastAsia="宋体"/>
          <w:color w:val="000000" w:themeColor="text1"/>
          <w:sz w:val="40"/>
          <w:szCs w:val="36"/>
          <w:highlight w:val="none"/>
          <w:lang w:eastAsia="zh-CN"/>
          <w14:textFill>
            <w14:solidFill>
              <w14:schemeClr w14:val="tx1"/>
            </w14:solidFill>
          </w14:textFill>
        </w:rPr>
      </w:r>
      <w:r/>
    </w:p>
    <w:p>
      <w:pPr>
        <w:ind w:right="84"/>
        <w:jc w:val="center"/>
        <w:rPr>
          <w:rFonts w:hint="eastAsia" w:ascii="宋体" w:hAnsi="宋体"/>
          <w:color w:val="000000" w:themeColor="text1"/>
          <w:sz w:val="40"/>
          <w:szCs w:val="36"/>
          <w:highlight w:val="none"/>
          <w14:textFill>
            <w14:solidFill>
              <w14:schemeClr w14:val="tx1"/>
            </w14:solidFill>
          </w14:textFill>
        </w:rPr>
      </w:pPr>
      <w:r>
        <w:rPr>
          <w:rFonts w:hint="eastAsia" w:ascii="宋体" w:hAnsi="宋体"/>
          <w:color w:val="000000" w:themeColor="text1"/>
          <w:sz w:val="40"/>
          <w:szCs w:val="36"/>
          <w:highlight w:val="none"/>
          <w14:textFill>
            <w14:solidFill>
              <w14:schemeClr w14:val="tx1"/>
            </w14:solidFill>
          </w14:textFill>
        </w:rPr>
      </w:r>
      <w:r/>
    </w:p>
    <w:p>
      <w:pPr>
        <w:ind w:right="84"/>
        <w:jc w:val="center"/>
        <w:spacing w:line="360" w:lineRule="auto"/>
        <w:rPr>
          <w:rFonts w:hint="eastAsia" w:ascii="宋体" w:hAnsi="宋体"/>
          <w:color w:val="000000" w:themeColor="text1"/>
          <w:sz w:val="40"/>
          <w:szCs w:val="36"/>
          <w:highlight w:val="none"/>
          <w:lang w:val="en-US" w:eastAsia="zh-CN"/>
          <w14:textFill>
            <w14:solidFill>
              <w14:schemeClr w14:val="tx1"/>
            </w14:solidFill>
          </w14:textFill>
        </w:rPr>
        <w:outlineLvl w:val="0"/>
      </w:pPr>
      <w:r>
        <w:rPr>
          <w:rFonts w:hint="eastAsia" w:ascii="宋体" w:hAnsi="宋体"/>
          <w:color w:val="000000" w:themeColor="text1"/>
          <w:sz w:val="40"/>
          <w:szCs w:val="36"/>
          <w:highlight w:val="none"/>
          <w:lang w:val="en-US" w:eastAsia="zh-CN"/>
          <w14:textFill>
            <w14:solidFill>
              <w14:schemeClr w14:val="tx1"/>
            </w14:solidFill>
          </w14:textFill>
        </w:rPr>
        <w:t xml:space="preserve">扬州市江都区樊川镇常春藤书屋改造及周边环境整治工程</w:t>
      </w:r>
      <w:r/>
    </w:p>
    <w:p>
      <w:pPr>
        <w:ind w:right="84"/>
        <w:jc w:val="center"/>
        <w:spacing w:line="360" w:lineRule="auto"/>
        <w:rPr>
          <w:rFonts w:hint="eastAsia" w:ascii="宋体" w:hAnsi="宋体"/>
          <w:color w:val="000000" w:themeColor="text1"/>
          <w:sz w:val="40"/>
          <w:szCs w:val="36"/>
          <w:highlight w:val="none"/>
          <w14:textFill>
            <w14:solidFill>
              <w14:schemeClr w14:val="tx1"/>
            </w14:solidFill>
          </w14:textFill>
        </w:rPr>
        <w:outlineLvl w:val="0"/>
      </w:pPr>
      <w:r/>
      <w:bookmarkStart w:id="3" w:name="_Toc888"/>
      <w:r>
        <w:rPr>
          <w:rFonts w:hint="eastAsia" w:ascii="宋体" w:hAnsi="宋体"/>
          <w:color w:val="000000" w:themeColor="text1"/>
          <w:sz w:val="40"/>
          <w:szCs w:val="36"/>
          <w:highlight w:val="none"/>
          <w14:textFill>
            <w14:solidFill>
              <w14:schemeClr w14:val="tx1"/>
            </w14:solidFill>
          </w14:textFill>
        </w:rPr>
        <w:t xml:space="preserve">竞争性磋商文件</w:t>
      </w:r>
      <w:bookmarkEnd w:id="3"/>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jc w:val="center"/>
        <w:rPr>
          <w:rFonts w:hint="eastAsia"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r>
      <w:r/>
    </w:p>
    <w:p>
      <w:pPr>
        <w:jc w:val="center"/>
        <w:rPr>
          <w:rFonts w:ascii="宋体" w:hAnsi="宋体"/>
          <w:color w:val="000000" w:themeColor="text1"/>
          <w:sz w:val="36"/>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mc:AlternateContent>
          <mc:Choice Requires="wpg">
            <w:drawing>
              <wp:inline xmlns:wp="http://schemas.openxmlformats.org/drawingml/2006/wordprocessingDrawing" distT="0" distB="0" distL="0" distR="0">
                <wp:extent cx="2065655" cy="2065655"/>
                <wp:effectExtent l="0" t="0" r="6985" b="6985"/>
                <wp:docPr id="5" name="图片 7"/>
                <wp:cNvGraphicFramePr/>
                <a:graphic xmlns:a="http://schemas.openxmlformats.org/drawingml/2006/main">
                  <a:graphicData uri="http://schemas.openxmlformats.org/drawingml/2006/picture">
                    <pic:pic xmlns:pic="http://schemas.openxmlformats.org/drawingml/2006/picture">
                      <pic:nvPicPr>
                        <pic:cNvPr id="5" name="图片 7"/>
                        <pic:cNvPicPr/>
                        <pic:nvPr/>
                      </pic:nvPicPr>
                      <pic:blipFill>
                        <a:blip r:embed="rId18"/>
                        <a:stretch/>
                      </pic:blipFill>
                      <pic:spPr bwMode="auto">
                        <a:xfrm>
                          <a:off x="0" y="0"/>
                          <a:ext cx="2065744" cy="20657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7pt;height:162.7pt;mso-wrap-distance-left:0.0pt;mso-wrap-distance-top:0.0pt;mso-wrap-distance-right:0.0pt;mso-wrap-distance-bottom:0.0pt;" stroked="f">
                <v:path textboxrect="0,0,0,0"/>
                <v:imagedata r:id="rId18" o:title=""/>
              </v:shape>
            </w:pict>
          </mc:Fallback>
        </mc:AlternateContent>
      </w:r>
      <w:r/>
    </w:p>
    <w:p>
      <w:pPr>
        <w:pStyle w:val="1035"/>
        <w:rPr>
          <w:rFonts w:ascii="宋体" w:hAnsi="宋体"/>
          <w:color w:val="000000" w:themeColor="text1"/>
          <w:sz w:val="36"/>
          <w:szCs w:val="36"/>
          <w:highlight w:val="none"/>
          <w14:textFill>
            <w14:solidFill>
              <w14:schemeClr w14:val="tx1"/>
            </w14:solidFill>
          </w14:textFill>
        </w:rPr>
      </w:pPr>
      <w:r>
        <w:rPr>
          <w:rFonts w:ascii="宋体" w:hAnsi="宋体"/>
          <w:color w:val="000000" w:themeColor="text1"/>
          <w:sz w:val="36"/>
          <w:szCs w:val="36"/>
          <w:highlight w:val="none"/>
          <w14:textFill>
            <w14:solidFill>
              <w14:schemeClr w14:val="tx1"/>
            </w14:solidFill>
          </w14:textFill>
        </w:rPr>
      </w:r>
      <w:r/>
    </w:p>
    <w:p>
      <w:pPr>
        <w:rPr>
          <w:rFonts w:hint="eastAsia"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r>
      <w:r/>
    </w:p>
    <w:p>
      <w:pPr>
        <w:rPr>
          <w:rFonts w:hint="eastAsia"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r>
      <w:r/>
    </w:p>
    <w:p>
      <w:pPr>
        <w:rPr>
          <w:rFonts w:hint="eastAsia" w:ascii="宋体" w:hAnsi="宋体"/>
          <w:color w:val="000000" w:themeColor="text1"/>
          <w:sz w:val="32"/>
          <w:szCs w:val="36"/>
          <w:highlight w:val="none"/>
          <w14:textFill>
            <w14:solidFill>
              <w14:schemeClr w14:val="tx1"/>
            </w14:solidFill>
          </w14:textFill>
        </w:rPr>
      </w:pPr>
      <w:r>
        <w:rPr>
          <w:rFonts w:hint="eastAsia" w:ascii="宋体" w:hAnsi="宋体"/>
          <w:color w:val="000000" w:themeColor="text1"/>
          <w:sz w:val="32"/>
          <w:szCs w:val="36"/>
          <w:highlight w:val="none"/>
          <w14:textFill>
            <w14:solidFill>
              <w14:schemeClr w14:val="tx1"/>
            </w14:solidFill>
          </w14:textFill>
        </w:rPr>
      </w:r>
      <w:r/>
    </w:p>
    <w:p>
      <w:pPr>
        <w:ind w:right="84" w:firstLine="360"/>
        <w:jc w:val="both"/>
        <w:spacing w:line="360" w:lineRule="auto"/>
        <w:rPr>
          <w:rFonts w:hint="eastAsia" w:ascii="宋体" w:hAnsi="宋体" w:cs="Times New Roman"/>
          <w:color w:val="000000" w:themeColor="text1"/>
          <w:sz w:val="36"/>
          <w:szCs w:val="36"/>
          <w:highlight w:val="none"/>
          <w14:textFill>
            <w14:solidFill>
              <w14:schemeClr w14:val="tx1"/>
            </w14:solidFill>
          </w14:textFill>
        </w:rPr>
      </w:pPr>
      <w:r>
        <w:rPr>
          <w:rFonts w:hint="eastAsia" w:ascii="宋体" w:hAnsi="宋体" w:eastAsia="宋体" w:cs="Times New Roman"/>
          <w:color w:val="000000" w:themeColor="text1"/>
          <w:sz w:val="36"/>
          <w:szCs w:val="36"/>
          <w:highlight w:val="none"/>
          <w14:textFill>
            <w14:solidFill>
              <w14:schemeClr w14:val="tx1"/>
            </w14:solidFill>
          </w14:textFill>
        </w:rPr>
        <w:t xml:space="preserve">采购人：</w:t>
      </w:r>
      <w:r>
        <w:rPr>
          <w:rFonts w:hint="eastAsia" w:ascii="宋体" w:hAnsi="宋体" w:cs="Times New Roman"/>
          <w:color w:val="000000" w:themeColor="text1"/>
          <w:sz w:val="36"/>
          <w:szCs w:val="36"/>
          <w:highlight w:val="none"/>
          <w:lang w:eastAsia="zh-CN"/>
          <w14:textFill>
            <w14:solidFill>
              <w14:schemeClr w14:val="tx1"/>
            </w14:solidFill>
          </w14:textFill>
        </w:rPr>
        <w:t xml:space="preserve">扬州市江都区樊川镇人民政府</w:t>
      </w:r>
      <w:r/>
    </w:p>
    <w:p>
      <w:pPr>
        <w:ind w:right="84"/>
        <w:jc w:val="center"/>
        <w:spacing w:line="360" w:lineRule="auto"/>
        <w:rPr>
          <w:rFonts w:hint="eastAsia" w:ascii="宋体" w:hAnsi="宋体" w:eastAsia="宋体" w:cs="Times New Roman"/>
          <w:color w:val="000000" w:themeColor="text1"/>
          <w:sz w:val="40"/>
          <w:szCs w:val="40"/>
          <w:highlight w:val="none"/>
          <w:lang w:eastAsia="zh-CN"/>
          <w14:textFill>
            <w14:solidFill>
              <w14:schemeClr w14:val="tx1"/>
            </w14:solidFill>
          </w14:textFill>
        </w:rPr>
      </w:pPr>
      <w:r>
        <w:rPr>
          <w:rFonts w:hint="eastAsia" w:ascii="宋体" w:hAnsi="宋体" w:eastAsia="宋体" w:cs="Times New Roman"/>
          <w:color w:val="000000" w:themeColor="text1"/>
          <w:sz w:val="36"/>
          <w:szCs w:val="36"/>
          <w:highlight w:val="none"/>
          <w14:textFill>
            <w14:solidFill>
              <w14:schemeClr w14:val="tx1"/>
            </w14:solidFill>
          </w14:textFill>
        </w:rPr>
        <w:t xml:space="preserve">代理机构：</w:t>
      </w:r>
      <w:r>
        <w:rPr>
          <w:rFonts w:hint="eastAsia" w:ascii="宋体" w:hAnsi="宋体" w:cs="Times New Roman"/>
          <w:color w:val="000000" w:themeColor="text1"/>
          <w:sz w:val="36"/>
          <w:szCs w:val="36"/>
          <w:highlight w:val="none"/>
          <w:lang w:val="en-US" w:eastAsia="zh-CN"/>
          <w14:textFill>
            <w14:solidFill>
              <w14:schemeClr w14:val="tx1"/>
            </w14:solidFill>
          </w14:textFill>
        </w:rPr>
        <w:t xml:space="preserve">苏合邦筑工程咨询集团股份有限公司</w:t>
      </w:r>
      <w:r/>
    </w:p>
    <w:p>
      <w:pPr>
        <w:pStyle w:val="851"/>
        <w:ind w:right="298"/>
        <w:spacing w:before="192"/>
        <w:rPr>
          <w:rFonts w:hint="eastAsia" w:ascii="宋体" w:hAnsi="宋体" w:eastAsia="宋体" w:cs="Times New Roman"/>
          <w:b w:val="0"/>
          <w:bCs w:val="0"/>
          <w:color w:val="000000" w:themeColor="text1"/>
          <w:sz w:val="40"/>
          <w:szCs w:val="36"/>
          <w:highlight w:val="none"/>
          <w14:textFill>
            <w14:solidFill>
              <w14:schemeClr w14:val="tx1"/>
            </w14:solidFill>
          </w14:textFill>
        </w:rPr>
        <w:sectPr>
          <w:headerReference w:type="default" r:id="rId9"/>
          <w:footerReference w:type="first" r:id="rId11"/>
          <w:footnotePr/>
          <w:endnotePr/>
          <w:type w:val="nextPage"/>
          <w:pgSz w:w="11906" w:h="16838" w:orient="portrait"/>
          <w:pgMar w:top="1440" w:right="1803" w:bottom="1440" w:left="1803" w:header="851" w:footer="992" w:gutter="0"/>
          <w:pgNumType w:start="1"/>
          <w:cols w:num="1" w:sep="0" w:space="720" w:equalWidth="1"/>
          <w:docGrid w:linePitch="360"/>
          <w:titlePg/>
        </w:sectPr>
      </w:pPr>
      <w:r/>
      <w:bookmarkStart w:id="4" w:name="_Toc18536"/>
      <w:r>
        <w:rPr>
          <w:rFonts w:hint="eastAsia" w:ascii="宋体" w:hAnsi="宋体" w:eastAsia="宋体" w:cs="Times New Roman"/>
          <w:b w:val="0"/>
          <w:bCs w:val="0"/>
          <w:color w:val="000000" w:themeColor="text1"/>
          <w:sz w:val="40"/>
          <w:szCs w:val="36"/>
          <w:highlight w:val="none"/>
          <w14:textFill>
            <w14:solidFill>
              <w14:schemeClr w14:val="tx1"/>
            </w14:solidFill>
          </w14:textFill>
        </w:rPr>
        <w:t xml:space="preserve">二〇二</w:t>
      </w:r>
      <w:r>
        <w:rPr>
          <w:rFonts w:hint="eastAsia" w:cs="Times New Roman"/>
          <w:b w:val="0"/>
          <w:bCs w:val="0"/>
          <w:color w:val="000000" w:themeColor="text1"/>
          <w:sz w:val="40"/>
          <w:szCs w:val="36"/>
          <w:highlight w:val="none"/>
          <w:lang w:val="en-US" w:eastAsia="zh-CN"/>
          <w14:textFill>
            <w14:solidFill>
              <w14:schemeClr w14:val="tx1"/>
            </w14:solidFill>
          </w14:textFill>
        </w:rPr>
        <w:t xml:space="preserve">六</w:t>
      </w:r>
      <w:r>
        <w:rPr>
          <w:rFonts w:hint="eastAsia" w:ascii="宋体" w:hAnsi="宋体" w:eastAsia="宋体" w:cs="Times New Roman"/>
          <w:b w:val="0"/>
          <w:bCs w:val="0"/>
          <w:color w:val="000000" w:themeColor="text1"/>
          <w:sz w:val="40"/>
          <w:szCs w:val="36"/>
          <w:highlight w:val="none"/>
          <w14:textFill>
            <w14:solidFill>
              <w14:schemeClr w14:val="tx1"/>
            </w14:solidFill>
          </w14:textFill>
        </w:rPr>
        <w:t xml:space="preserve">年</w:t>
      </w:r>
      <w:bookmarkEnd w:id="4"/>
      <w:r>
        <w:rPr>
          <w:rFonts w:hint="eastAsia" w:cs="Times New Roman"/>
          <w:b w:val="0"/>
          <w:bCs w:val="0"/>
          <w:color w:val="000000" w:themeColor="text1"/>
          <w:sz w:val="40"/>
          <w:szCs w:val="36"/>
          <w:highlight w:val="none"/>
          <w:lang w:val="en-US" w:eastAsia="zh-CN"/>
          <w14:textFill>
            <w14:solidFill>
              <w14:schemeClr w14:val="tx1"/>
            </w14:solidFill>
          </w14:textFill>
        </w:rPr>
        <w:t xml:space="preserve">四月</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dt>
      <w:sdtPr>
        <w15:appearance w15:val="boundingBox"/>
        <w15:color w:val="dbdbdb"/>
        <w:id w:val="147464493"/>
        <w:docPartObj>
          <w:docPartGallery w:val="Table of Contents"/>
          <w:docPartUnique w:val="true"/>
        </w:docPartObj>
        <w:rPr>
          <w:rFonts w:hint="default" w:ascii="宋体" w:hAnsi="宋体" w:eastAsia="宋体" w:cs="Times New Roman"/>
          <w:color w:val="000000" w:themeColor="text1"/>
          <w:sz w:val="21"/>
          <w:szCs w:val="22"/>
          <w:highlight w:val="none"/>
          <w:lang w:val="en-US" w:eastAsia="zh-CN" w:bidi="ar-SA"/>
          <w14:textFill>
            <w14:solidFill>
              <w14:schemeClr w14:val="tx1"/>
            </w14:solidFill>
          </w14:textFill>
        </w:rPr>
      </w:sdtPr>
      <w:sdtContent>
        <w:p>
          <w:pPr>
            <w:ind w:left="0" w:right="0" w:firstLine="0"/>
            <w:jc w:val="center"/>
            <w:spacing w:before="0" w:after="0" w:line="240" w:lineRule="auto"/>
            <w:rPr>
              <w:color w:val="000000" w:themeColor="text1"/>
              <w:highlight w:val="none"/>
              <w14:textFill>
                <w14:solidFill>
                  <w14:schemeClr w14:val="tx1"/>
                </w14:solidFill>
              </w14:textFill>
            </w:rPr>
          </w:pPr>
          <w:r>
            <w:rPr>
              <w:rFonts w:ascii="宋体" w:hAnsi="宋体" w:eastAsia="宋体"/>
              <w:color w:val="000000" w:themeColor="text1"/>
              <w:sz w:val="28"/>
              <w:szCs w:val="32"/>
              <w:highlight w:val="none"/>
              <w14:textFill>
                <w14:solidFill>
                  <w14:schemeClr w14:val="tx1"/>
                </w14:solidFill>
              </w14:textFill>
            </w:rPr>
            <w:t xml:space="preserve">目</w:t>
          </w:r>
          <w:r>
            <w:rPr>
              <w:rFonts w:hint="eastAsia" w:ascii="宋体" w:hAnsi="宋体" w:eastAsia="宋体"/>
              <w:color w:val="000000" w:themeColor="text1"/>
              <w:sz w:val="28"/>
              <w:szCs w:val="32"/>
              <w:highlight w:val="none"/>
              <w:lang w:val="en-US" w:eastAsia="zh-CN"/>
              <w14:textFill>
                <w14:solidFill>
                  <w14:schemeClr w14:val="tx1"/>
                </w14:solidFill>
              </w14:textFill>
            </w:rPr>
            <w:t xml:space="preserve">  </w:t>
          </w:r>
          <w:r>
            <w:rPr>
              <w:rFonts w:ascii="宋体" w:hAnsi="宋体" w:eastAsia="宋体"/>
              <w:color w:val="000000" w:themeColor="text1"/>
              <w:sz w:val="28"/>
              <w:szCs w:val="32"/>
              <w:highlight w:val="none"/>
              <w14:textFill>
                <w14:solidFill>
                  <w14:schemeClr w14:val="tx1"/>
                </w14:solidFill>
              </w14:textFill>
            </w:rPr>
            <w:t xml:space="preserve">录</w:t>
          </w:r>
          <w:r/>
        </w:p>
        <w:p>
          <w:pPr>
            <w:pStyle w:val="871"/>
            <w:tabs>
              <w:tab w:val="right" w:pos="83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TOC \o "1-1" \h \u </w:instrText>
          </w:r>
          <w:r>
            <w:rPr>
              <w:color w:val="000000" w:themeColor="text1"/>
              <w:highlight w:val="none"/>
              <w14:textFill>
                <w14:solidFill>
                  <w14:schemeClr w14:val="tx1"/>
                </w14:solidFill>
              </w14:textFill>
            </w:rPr>
            <w:fldChar w:fldCharType="separate"/>
          </w:r>
          <w:r/>
        </w:p>
        <w:p>
          <w:pPr>
            <w:pStyle w:val="871"/>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HYPERLINK \l _Toc29 </w:instrText>
          </w:r>
          <w:r>
            <w:rPr>
              <w:color w:val="000000" w:themeColor="text1"/>
              <w:sz w:val="32"/>
              <w:szCs w:val="32"/>
              <w:highlight w:val="none"/>
              <w14:textFill>
                <w14:solidFill>
                  <w14:schemeClr w14:val="tx1"/>
                </w14:solidFill>
              </w14:textFill>
            </w:rPr>
            <w:fldChar w:fldCharType="separate"/>
          </w:r>
          <w:r>
            <w:rPr>
              <w:rFonts w:hint="eastAsia" w:ascii="宋体" w:hAnsi="宋体"/>
              <w:color w:val="000000" w:themeColor="text1"/>
              <w:sz w:val="32"/>
              <w:szCs w:val="40"/>
              <w:highlight w:val="none"/>
              <w14:textFill>
                <w14:solidFill>
                  <w14:schemeClr w14:val="tx1"/>
                </w14:solidFill>
              </w14:textFill>
            </w:rPr>
            <w:t xml:space="preserve">第一章 公告</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_Toc29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1</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871"/>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HYPERLINK \l _Toc20913 </w:instrText>
          </w:r>
          <w:r>
            <w:rPr>
              <w:color w:val="000000" w:themeColor="text1"/>
              <w:sz w:val="32"/>
              <w:szCs w:val="32"/>
              <w:highlight w:val="none"/>
              <w14:textFill>
                <w14:solidFill>
                  <w14:schemeClr w14:val="tx1"/>
                </w14:solidFill>
              </w14:textFill>
            </w:rPr>
            <w:fldChar w:fldCharType="separate"/>
          </w:r>
          <w:r>
            <w:rPr>
              <w:rFonts w:hint="eastAsia" w:ascii="宋体" w:hAnsi="宋体"/>
              <w:color w:val="000000" w:themeColor="text1"/>
              <w:sz w:val="32"/>
              <w:szCs w:val="32"/>
              <w:highlight w:val="none"/>
              <w14:textFill>
                <w14:solidFill>
                  <w14:schemeClr w14:val="tx1"/>
                </w14:solidFill>
              </w14:textFill>
            </w:rPr>
            <w:t xml:space="preserve">第二章 磋商须知</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_Toc20913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5</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871"/>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HYPERLINK \l _Toc21358 </w:instrText>
          </w:r>
          <w:r>
            <w:rPr>
              <w:color w:val="000000" w:themeColor="text1"/>
              <w:sz w:val="32"/>
              <w:szCs w:val="32"/>
              <w:highlight w:val="none"/>
              <w14:textFill>
                <w14:solidFill>
                  <w14:schemeClr w14:val="tx1"/>
                </w14:solidFill>
              </w14:textFill>
            </w:rPr>
            <w:fldChar w:fldCharType="separate"/>
          </w:r>
          <w:r>
            <w:rPr>
              <w:rFonts w:hint="eastAsia" w:ascii="宋体" w:hAnsi="宋体"/>
              <w:color w:val="000000" w:themeColor="text1"/>
              <w:sz w:val="32"/>
              <w:szCs w:val="32"/>
              <w:highlight w:val="none"/>
              <w14:textFill>
                <w14:solidFill>
                  <w14:schemeClr w14:val="tx1"/>
                </w14:solidFill>
              </w14:textFill>
            </w:rPr>
            <w:t xml:space="preserve">第三章 合同条款及格式</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_Toc21358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16</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871"/>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HYPERLINK \l _Toc1188 </w:instrText>
          </w:r>
          <w:r>
            <w:rPr>
              <w:color w:val="000000" w:themeColor="text1"/>
              <w:sz w:val="32"/>
              <w:szCs w:val="32"/>
              <w:highlight w:val="none"/>
              <w14:textFill>
                <w14:solidFill>
                  <w14:schemeClr w14:val="tx1"/>
                </w14:solidFill>
              </w14:textFill>
            </w:rPr>
            <w:fldChar w:fldCharType="separate"/>
          </w:r>
          <w:r>
            <w:rPr>
              <w:rFonts w:hint="eastAsia"/>
              <w:color w:val="000000" w:themeColor="text1"/>
              <w:sz w:val="32"/>
              <w:szCs w:val="32"/>
              <w:highlight w:val="none"/>
              <w14:textFill>
                <w14:solidFill>
                  <w14:schemeClr w14:val="tx1"/>
                </w14:solidFill>
              </w14:textFill>
            </w:rPr>
            <w:t xml:space="preserve">第四章 项目需求</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_Toc1188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44</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871"/>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HYPERLINK \l _Toc11897 </w:instrText>
          </w:r>
          <w:r>
            <w:rPr>
              <w:color w:val="000000" w:themeColor="text1"/>
              <w:sz w:val="32"/>
              <w:szCs w:val="32"/>
              <w:highlight w:val="none"/>
              <w14:textFill>
                <w14:solidFill>
                  <w14:schemeClr w14:val="tx1"/>
                </w14:solidFill>
              </w14:textFill>
            </w:rPr>
            <w:fldChar w:fldCharType="separate"/>
          </w:r>
          <w:r>
            <w:rPr>
              <w:rFonts w:hint="eastAsia" w:ascii="宋体" w:hAnsi="宋体"/>
              <w:color w:val="000000" w:themeColor="text1"/>
              <w:sz w:val="32"/>
              <w:szCs w:val="32"/>
              <w:highlight w:val="none"/>
              <w14:textFill>
                <w14:solidFill>
                  <w14:schemeClr w14:val="tx1"/>
                </w14:solidFill>
              </w14:textFill>
            </w:rPr>
            <w:t xml:space="preserve">第五章 评审方法及评审标准</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_Toc11897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46</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871"/>
            <w:spacing w:line="480" w:lineRule="auto"/>
            <w:tabs>
              <w:tab w:val="right" w:pos="8300" w:leader="dot"/>
            </w:tabs>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HYPERLINK \l _Toc8140 </w:instrText>
          </w:r>
          <w:r>
            <w:rPr>
              <w:color w:val="000000" w:themeColor="text1"/>
              <w:sz w:val="32"/>
              <w:szCs w:val="32"/>
              <w:highlight w:val="none"/>
              <w14:textFill>
                <w14:solidFill>
                  <w14:schemeClr w14:val="tx1"/>
                </w14:solidFill>
              </w14:textFill>
            </w:rPr>
            <w:fldChar w:fldCharType="separate"/>
          </w:r>
          <w:r>
            <w:rPr>
              <w:rFonts w:hint="eastAsia" w:ascii="宋体" w:hAnsi="宋体"/>
              <w:color w:val="000000" w:themeColor="text1"/>
              <w:sz w:val="32"/>
              <w:szCs w:val="32"/>
              <w:highlight w:val="none"/>
              <w14:textFill>
                <w14:solidFill>
                  <w14:schemeClr w14:val="tx1"/>
                </w14:solidFill>
              </w14:textFill>
            </w:rPr>
            <w:t xml:space="preserve">第六章 竞争性磋商响应文件格式</w:t>
          </w:r>
          <w:r>
            <w:rPr>
              <w:color w:val="000000" w:themeColor="text1"/>
              <w:sz w:val="32"/>
              <w:szCs w:val="32"/>
              <w:highlight w:val="none"/>
              <w14:textFill>
                <w14:solidFill>
                  <w14:schemeClr w14:val="tx1"/>
                </w14:solidFill>
              </w14:textFill>
            </w:rPr>
            <w:tab/>
          </w:r>
          <w:r>
            <w:rPr>
              <w:color w:val="000000" w:themeColor="text1"/>
              <w:sz w:val="32"/>
              <w:szCs w:val="32"/>
              <w:highlight w:val="none"/>
              <w14:textFill>
                <w14:solidFill>
                  <w14:schemeClr w14:val="tx1"/>
                </w14:solidFill>
              </w14:textFill>
            </w:rPr>
            <w:fldChar w:fldCharType="begin"/>
          </w:r>
          <w:r>
            <w:rPr>
              <w:color w:val="000000" w:themeColor="text1"/>
              <w:sz w:val="32"/>
              <w:szCs w:val="32"/>
              <w:highlight w:val="none"/>
              <w14:textFill>
                <w14:solidFill>
                  <w14:schemeClr w14:val="tx1"/>
                </w14:solidFill>
              </w14:textFill>
            </w:rPr>
            <w:instrText xml:space="preserve"> PAGEREF _Toc8140 \h </w:instrText>
          </w:r>
          <w:r>
            <w:rPr>
              <w:color w:val="000000" w:themeColor="text1"/>
              <w:sz w:val="32"/>
              <w:szCs w:val="32"/>
              <w:highlight w:val="none"/>
              <w14:textFill>
                <w14:solidFill>
                  <w14:schemeClr w14:val="tx1"/>
                </w14:solidFill>
              </w14:textFill>
            </w:rPr>
            <w:fldChar w:fldCharType="separate"/>
          </w:r>
          <w:r>
            <w:rPr>
              <w:color w:val="000000" w:themeColor="text1"/>
              <w:sz w:val="32"/>
              <w:szCs w:val="32"/>
              <w:highlight w:val="none"/>
              <w14:textFill>
                <w14:solidFill>
                  <w14:schemeClr w14:val="tx1"/>
                </w14:solidFill>
              </w14:textFill>
            </w:rPr>
            <w:t xml:space="preserve">51</w:t>
          </w:r>
          <w:r>
            <w:rPr>
              <w:color w:val="000000" w:themeColor="text1"/>
              <w:sz w:val="32"/>
              <w:szCs w:val="32"/>
              <w:highlight w:val="none"/>
              <w14:textFill>
                <w14:solidFill>
                  <w14:schemeClr w14:val="tx1"/>
                </w14:solidFill>
              </w14:textFill>
            </w:rPr>
            <w:fldChar w:fldCharType="end"/>
          </w:r>
          <w:r>
            <w:rPr>
              <w:color w:val="000000" w:themeColor="text1"/>
              <w:sz w:val="32"/>
              <w:szCs w:val="32"/>
              <w:highlight w:val="none"/>
              <w14:textFill>
                <w14:solidFill>
                  <w14:schemeClr w14:val="tx1"/>
                </w14:solidFill>
              </w14:textFill>
            </w:rPr>
            <w:fldChar w:fldCharType="end"/>
          </w:r>
          <w:r/>
        </w:p>
        <w:p>
          <w:pPr>
            <w:pStyle w:val="871"/>
            <w:tabs>
              <w:tab w:val="right" w:pos="8300" w:leader="dot"/>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71"/>
            <w:spacing w:before="4" w:line="360" w:lineRule="auto"/>
            <w:tabs>
              <w:tab w:val="right" w:pos="8300" w:leader="dot"/>
            </w:tabs>
            <w:rPr>
              <w:rFonts w:hint="default" w:eastAsia="宋体"/>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fldChar w:fldCharType="end"/>
          </w:r>
          <w:r/>
        </w:p>
      </w:sdtContent>
    </w:sdt>
    <w:p>
      <w:pPr>
        <w:spacing w:line="360" w:lineRule="auto"/>
        <w:rPr>
          <w:rFonts w:ascii="宋体" w:hAnsi="宋体"/>
          <w:color w:val="000000" w:themeColor="text1"/>
          <w:sz w:val="28"/>
          <w:szCs w:val="28"/>
          <w:highlight w:val="none"/>
          <w14:textFill>
            <w14:solidFill>
              <w14:schemeClr w14:val="tx1"/>
            </w14:solidFill>
          </w14:textFill>
        </w:rPr>
      </w:pPr>
      <w:r>
        <w:rPr>
          <w:rFonts w:ascii="宋体" w:hAnsi="宋体"/>
          <w:color w:val="000000" w:themeColor="text1"/>
          <w:sz w:val="28"/>
          <w:szCs w:val="28"/>
          <w:highlight w:val="none"/>
          <w14:textFill>
            <w14:solidFill>
              <w14:schemeClr w14:val="tx1"/>
            </w14:solidFill>
          </w14:textFill>
        </w:rPr>
      </w:r>
      <w:r/>
    </w:p>
    <w:p>
      <w:pPr>
        <w:pStyle w:val="1037"/>
        <w:spacing w:line="360" w:lineRule="auto"/>
        <w:rPr>
          <w:rFonts w:hint="eastAsia" w:ascii="宋体" w:hAnsi="宋体"/>
          <w:color w:val="000000" w:themeColor="text1"/>
          <w:szCs w:val="36"/>
          <w:highlight w:val="none"/>
          <w14:textFill>
            <w14:solidFill>
              <w14:schemeClr w14:val="tx1"/>
            </w14:solidFill>
          </w14:textFill>
        </w:rPr>
        <w:sectPr>
          <w:footerReference w:type="default" r:id="rId12"/>
          <w:footerReference w:type="first" r:id="rId13"/>
          <w:footnotePr/>
          <w:endnotePr/>
          <w:type w:val="nextPage"/>
          <w:pgSz w:w="11906" w:h="16838" w:orient="portrait"/>
          <w:pgMar w:top="1440" w:right="1803" w:bottom="1440" w:left="1803" w:header="851" w:footer="850" w:gutter="0"/>
          <w:pgNumType w:start="1"/>
          <w:cols w:num="1" w:sep="0" w:space="720" w:equalWidth="1"/>
          <w:docGrid w:linePitch="360"/>
        </w:sectPr>
      </w:pPr>
      <w:r/>
      <w:bookmarkStart w:id="5" w:name="_Toc109304965"/>
      <w:r/>
      <w:r/>
    </w:p>
    <w:p>
      <w:pPr>
        <w:pStyle w:val="1037"/>
        <w:jc w:val="center"/>
        <w:spacing w:line="360" w:lineRule="auto"/>
        <w:rPr>
          <w:rFonts w:hint="eastAsia" w:ascii="宋体" w:hAnsi="宋体"/>
          <w:color w:val="000000" w:themeColor="text1"/>
          <w:sz w:val="36"/>
          <w:szCs w:val="36"/>
          <w:highlight w:val="none"/>
          <w14:textFill>
            <w14:solidFill>
              <w14:schemeClr w14:val="tx1"/>
            </w14:solidFill>
          </w14:textFill>
        </w:rPr>
      </w:pPr>
      <w:r/>
      <w:bookmarkStart w:id="6" w:name="_Toc152"/>
      <w:r/>
      <w:bookmarkStart w:id="7" w:name="_Toc24299"/>
      <w:r/>
      <w:bookmarkStart w:id="8" w:name="_Toc29"/>
      <w:r>
        <w:rPr>
          <w:rFonts w:hint="eastAsia" w:ascii="宋体" w:hAnsi="宋体"/>
          <w:color w:val="000000" w:themeColor="text1"/>
          <w:szCs w:val="36"/>
          <w:highlight w:val="none"/>
          <w14:textFill>
            <w14:solidFill>
              <w14:schemeClr w14:val="tx1"/>
            </w14:solidFill>
          </w14:textFill>
        </w:rPr>
        <w:t xml:space="preserve">第一章 </w:t>
      </w:r>
      <w:bookmarkEnd w:id="0"/>
      <w:r/>
      <w:bookmarkEnd w:id="5"/>
      <w:r/>
      <w:bookmarkEnd w:id="6"/>
      <w:r/>
      <w:bookmarkEnd w:id="7"/>
      <w:r/>
      <w:bookmarkStart w:id="9" w:name="_Toc25416"/>
      <w:r/>
      <w:bookmarkStart w:id="10" w:name="_Toc23352"/>
      <w:r>
        <w:rPr>
          <w:rFonts w:hint="eastAsia" w:ascii="宋体" w:hAnsi="宋体"/>
          <w:color w:val="000000" w:themeColor="text1"/>
          <w:szCs w:val="36"/>
          <w:highlight w:val="none"/>
          <w:lang w:val="en-US" w:eastAsia="zh-CN"/>
          <w14:textFill>
            <w14:solidFill>
              <w14:schemeClr w14:val="tx1"/>
            </w14:solidFill>
          </w14:textFill>
        </w:rPr>
        <w:t xml:space="preserve">扬州市江都区樊川镇常春藤书屋改造及周边环境整治工程</w:t>
      </w:r>
      <w:r>
        <w:rPr>
          <w:rFonts w:hint="eastAsia" w:ascii="宋体" w:hAnsi="宋体"/>
          <w:color w:val="000000" w:themeColor="text1"/>
          <w:szCs w:val="36"/>
          <w:highlight w:val="none"/>
          <w14:textFill>
            <w14:solidFill>
              <w14:schemeClr w14:val="tx1"/>
            </w14:solidFill>
          </w14:textFill>
        </w:rPr>
        <w:t xml:space="preserve">竞争性磋商采购公告</w:t>
      </w:r>
      <w:bookmarkEnd w:id="8"/>
      <w:r/>
      <w:r/>
    </w:p>
    <w:p>
      <w:pPr>
        <w:ind w:firstLine="480"/>
        <w:jc w:val="left"/>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受</w:t>
      </w:r>
      <w:r>
        <w:rPr>
          <w:rFonts w:hint="eastAsia" w:ascii="宋体" w:hAnsi="宋体" w:cs="宋体"/>
          <w:color w:val="000000" w:themeColor="text1"/>
          <w:szCs w:val="21"/>
          <w:highlight w:val="none"/>
          <w:lang w:val="en-US" w:eastAsia="zh-CN"/>
          <w14:textFill>
            <w14:solidFill>
              <w14:schemeClr w14:val="tx1"/>
            </w14:solidFill>
          </w14:textFill>
        </w:rPr>
        <w:t xml:space="preserve">扬州市江都区樊川镇人民政府</w:t>
      </w:r>
      <w:r>
        <w:rPr>
          <w:rFonts w:hint="eastAsia" w:ascii="宋体" w:hAnsi="宋体" w:cs="宋体"/>
          <w:color w:val="000000" w:themeColor="text1"/>
          <w:szCs w:val="21"/>
          <w:highlight w:val="none"/>
          <w14:textFill>
            <w14:solidFill>
              <w14:schemeClr w14:val="tx1"/>
            </w14:solidFill>
          </w14:textFill>
        </w:rPr>
        <w:t xml:space="preserve">的委托，</w:t>
      </w:r>
      <w:r>
        <w:rPr>
          <w:rFonts w:hint="eastAsia" w:ascii="宋体" w:hAnsi="宋体" w:cs="宋体"/>
          <w:color w:val="000000" w:themeColor="text1"/>
          <w:szCs w:val="21"/>
          <w:highlight w:val="none"/>
          <w:lang w:val="en-US" w:eastAsia="zh-CN"/>
          <w14:textFill>
            <w14:solidFill>
              <w14:schemeClr w14:val="tx1"/>
            </w14:solidFill>
          </w14:textFill>
        </w:rPr>
        <w:t xml:space="preserve">苏合邦筑工程咨询集团股份有限公司</w:t>
      </w:r>
      <w:r>
        <w:rPr>
          <w:rFonts w:hint="eastAsia" w:ascii="宋体" w:hAnsi="宋体" w:cs="宋体"/>
          <w:color w:val="000000" w:themeColor="text1"/>
          <w:szCs w:val="21"/>
          <w:highlight w:val="none"/>
          <w14:textFill>
            <w14:solidFill>
              <w14:schemeClr w14:val="tx1"/>
            </w14:solidFill>
          </w14:textFill>
        </w:rPr>
        <w:t xml:space="preserve">关于</w:t>
      </w:r>
      <w:r>
        <w:rPr>
          <w:rFonts w:hint="eastAsia" w:ascii="宋体" w:hAnsi="宋体" w:cs="宋体"/>
          <w:color w:val="000000" w:themeColor="text1"/>
          <w:szCs w:val="21"/>
          <w:highlight w:val="none"/>
          <w:lang w:val="en-US" w:eastAsia="zh-CN"/>
          <w14:textFill>
            <w14:solidFill>
              <w14:schemeClr w14:val="tx1"/>
            </w14:solidFill>
          </w14:textFill>
        </w:rPr>
        <w:t xml:space="preserve">扬州市江都区樊川镇常春藤书屋改造及周边环境整治工程</w:t>
      </w:r>
      <w:r>
        <w:rPr>
          <w:rFonts w:hint="eastAsia" w:ascii="宋体" w:hAnsi="宋体" w:cs="宋体"/>
          <w:color w:val="000000" w:themeColor="text1"/>
          <w:szCs w:val="21"/>
          <w:highlight w:val="none"/>
          <w14:textFill>
            <w14:solidFill>
              <w14:schemeClr w14:val="tx1"/>
            </w14:solidFill>
          </w14:textFill>
        </w:rPr>
        <w:t xml:space="preserve">实施政府采购，本次采购采用竞争性磋商方式，欢迎符合条件的供应商参加磋商。</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highlight w:val="none"/>
          <w:u w:val="single"/>
          <w:lang w:val="en-US" w:eastAsia="zh-CN"/>
          <w14:textFill>
            <w14:solidFill>
              <w14:schemeClr w14:val="tx1"/>
            </w14:solidFill>
          </w14:textFill>
        </w:rPr>
        <w:t xml:space="preserve">扬州市江都区樊川镇常春藤书屋改造及周边环境整治工程</w:t>
      </w:r>
      <w:r>
        <w:rPr>
          <w:rFonts w:hint="eastAsia" w:ascii="宋体" w:hAnsi="宋体" w:cs="宋体"/>
          <w:color w:val="000000" w:themeColor="text1"/>
          <w:szCs w:val="21"/>
          <w:highlight w:val="none"/>
          <w14:textFill>
            <w14:solidFill>
              <w14:schemeClr w14:val="tx1"/>
            </w14:solidFill>
          </w14:textFill>
        </w:rPr>
        <w:t xml:space="preserve">采购项目的潜在供应商</w:t>
      </w:r>
      <w:r>
        <w:rPr>
          <w:rFonts w:hint="eastAsia" w:ascii="宋体" w:hAnsi="宋体" w:cs="宋体"/>
          <w:color w:val="000000" w:themeColor="text1"/>
          <w:szCs w:val="21"/>
          <w:highlight w:val="none"/>
          <w:u w:val="single"/>
          <w14:textFill>
            <w14:solidFill>
              <w14:schemeClr w14:val="tx1"/>
            </w14:solidFill>
          </w14:textFill>
        </w:rPr>
        <w:t xml:space="preserve">可在“扬州市政府采购网”“江苏省政府采购网”、自行免费下载</w:t>
      </w:r>
      <w:r>
        <w:rPr>
          <w:rFonts w:hint="eastAsia" w:ascii="宋体" w:hAnsi="宋体" w:cs="宋体"/>
          <w:color w:val="000000" w:themeColor="text1"/>
          <w:szCs w:val="21"/>
          <w:highlight w:val="none"/>
          <w14:textFill>
            <w14:solidFill>
              <w14:schemeClr w14:val="tx1"/>
            </w14:solidFill>
          </w14:textFill>
        </w:rPr>
        <w:t xml:space="preserve">采购文件，并于</w:t>
      </w:r>
      <w:r>
        <w:rPr>
          <w:rFonts w:hint="eastAsia" w:ascii="宋体" w:hAnsi="宋体" w:cs="宋体"/>
          <w:bCs/>
          <w:color w:val="000000" w:themeColor="text1"/>
          <w:szCs w:val="21"/>
          <w:highlight w:val="none"/>
          <w:u w:val="single"/>
          <w:lang w:eastAsia="zh-CN"/>
          <w14:textFill>
            <w14:solidFill>
              <w14:schemeClr w14:val="tx1"/>
            </w14:solidFill>
          </w14:textFill>
        </w:rPr>
        <w:t xml:space="preserve">2026年4月27日</w:t>
      </w:r>
      <w:r>
        <w:rPr>
          <w:rFonts w:hint="eastAsia" w:ascii="宋体" w:hAnsi="宋体" w:cs="宋体"/>
          <w:bCs/>
          <w:color w:val="000000" w:themeColor="text1"/>
          <w:szCs w:val="21"/>
          <w:highlight w:val="none"/>
          <w:u w:val="single"/>
          <w14:textFill>
            <w14:solidFill>
              <w14:schemeClr w14:val="tx1"/>
            </w14:solidFill>
          </w14:textFill>
        </w:rPr>
        <w:t xml:space="preserve">09点30分</w:t>
      </w:r>
      <w:r>
        <w:rPr>
          <w:rFonts w:hint="eastAsia" w:ascii="宋体" w:hAnsi="宋体" w:cs="宋体"/>
          <w:bCs/>
          <w:color w:val="000000" w:themeColor="text1"/>
          <w:szCs w:val="21"/>
          <w:highlight w:val="none"/>
          <w14:textFill>
            <w14:solidFill>
              <w14:schemeClr w14:val="tx1"/>
            </w14:solidFill>
          </w14:textFill>
        </w:rPr>
        <w:t xml:space="preserve">（北京时间）前提交响应文件</w:t>
      </w:r>
      <w:r>
        <w:rPr>
          <w:rFonts w:hint="eastAsia" w:ascii="宋体" w:hAnsi="宋体" w:cs="宋体"/>
          <w:color w:val="000000" w:themeColor="text1"/>
          <w:szCs w:val="21"/>
          <w:highlight w:val="none"/>
          <w14:textFill>
            <w14:solidFill>
              <w14:schemeClr w14:val="tx1"/>
            </w14:solidFill>
          </w14:textFill>
        </w:rPr>
        <w:t xml:space="preserve">。</w:t>
      </w:r>
      <w:r/>
    </w:p>
    <w:p>
      <w:pPr>
        <w:pStyle w:val="1038"/>
        <w:spacing w:before="0" w:after="0" w:line="360" w:lineRule="auto"/>
        <w:rPr>
          <w:rFonts w:hint="eastAsia" w:ascii="宋体" w:hAnsi="宋体" w:cs="宋体"/>
          <w:bCs w:val="0"/>
          <w:color w:val="000000" w:themeColor="text1"/>
          <w:sz w:val="21"/>
          <w:szCs w:val="21"/>
          <w:highlight w:val="none"/>
          <w14:textFill>
            <w14:solidFill>
              <w14:schemeClr w14:val="tx1"/>
            </w14:solidFill>
          </w14:textFill>
        </w:rPr>
      </w:pPr>
      <w:r/>
      <w:bookmarkStart w:id="11" w:name="_Toc109304963"/>
      <w:r/>
      <w:bookmarkStart w:id="12" w:name="_Toc30774"/>
      <w:r>
        <w:rPr>
          <w:rFonts w:hint="eastAsia" w:ascii="宋体" w:hAnsi="宋体" w:cs="宋体"/>
          <w:bCs w:val="0"/>
          <w:color w:val="000000" w:themeColor="text1"/>
          <w:sz w:val="21"/>
          <w:szCs w:val="21"/>
          <w:highlight w:val="none"/>
          <w14:textFill>
            <w14:solidFill>
              <w14:schemeClr w14:val="tx1"/>
            </w14:solidFill>
          </w14:textFill>
        </w:rPr>
        <w:t xml:space="preserve">一、项目基本情况</w:t>
      </w:r>
      <w:bookmarkEnd w:id="11"/>
      <w:r/>
      <w:bookmarkEnd w:id="12"/>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1.项目编号：</w:t>
      </w:r>
      <w:r>
        <w:rPr>
          <w:rFonts w:hint="eastAsia" w:ascii="宋体" w:hAnsi="宋体" w:cs="宋体"/>
          <w:color w:val="000000" w:themeColor="text1"/>
          <w:szCs w:val="21"/>
          <w:highlight w:val="none"/>
          <w:lang w:val="en-US" w:eastAsia="zh-CN"/>
          <w14:textFill>
            <w14:solidFill>
              <w14:schemeClr w14:val="tx1"/>
            </w14:solidFill>
          </w14:textFill>
        </w:rPr>
        <w:t xml:space="preserve">JSZC-321012-SHBZ-C2026-0005</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2.项目名称：</w:t>
      </w:r>
      <w:r>
        <w:rPr>
          <w:rFonts w:hint="eastAsia" w:ascii="宋体" w:hAnsi="宋体" w:cs="宋体"/>
          <w:color w:val="000000" w:themeColor="text1"/>
          <w:szCs w:val="21"/>
          <w:highlight w:val="none"/>
          <w:lang w:val="en-US" w:eastAsia="zh-CN"/>
          <w14:textFill>
            <w14:solidFill>
              <w14:schemeClr w14:val="tx1"/>
            </w14:solidFill>
          </w14:textFill>
        </w:rPr>
        <w:t xml:space="preserve">扬州市江都区樊川镇常春藤书屋改造及周边环境整治工程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3.采购方式：竞争性磋商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4.最高限价：</w:t>
      </w:r>
      <w:r>
        <w:rPr>
          <w:rFonts w:hint="eastAsia" w:ascii="宋体" w:hAnsi="宋体" w:cs="宋体"/>
          <w:color w:val="000000" w:themeColor="text1"/>
          <w:szCs w:val="21"/>
          <w:highlight w:val="none"/>
          <w:lang w:val="en-US" w:eastAsia="zh-CN"/>
          <w14:textFill>
            <w14:solidFill>
              <w14:schemeClr w14:val="tx1"/>
            </w14:solidFill>
          </w14:textFill>
        </w:rPr>
        <w:t xml:space="preserve">313.5万</w:t>
      </w:r>
      <w:r>
        <w:rPr>
          <w:rFonts w:hint="eastAsia" w:ascii="宋体" w:hAnsi="宋体" w:cs="宋体"/>
          <w:color w:val="000000" w:themeColor="text1"/>
          <w:szCs w:val="21"/>
          <w:highlight w:val="none"/>
          <w14:textFill>
            <w14:solidFill>
              <w14:schemeClr w14:val="tx1"/>
            </w14:solidFill>
          </w14:textFill>
        </w:rPr>
        <w:t xml:space="preserve">元，报价高于最高限价的为无效标。</w:t>
      </w:r>
      <w:r/>
    </w:p>
    <w:p>
      <w:pPr>
        <w:ind w:firstLine="42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5.采购需求：见采购文件第四章</w:t>
      </w:r>
      <w:r/>
    </w:p>
    <w:p>
      <w:pPr>
        <w:ind w:firstLine="420"/>
        <w:spacing w:line="360" w:lineRule="auto"/>
        <w:rPr>
          <w:rFonts w:hint="default"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6.合同履行期限：</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90</w:t>
      </w:r>
      <w:r>
        <w:rPr>
          <w:rFonts w:hint="eastAsia" w:ascii="宋体" w:hAnsi="宋体" w:cs="宋体"/>
          <w:color w:val="000000" w:themeColor="text1"/>
          <w:szCs w:val="21"/>
          <w:highlight w:val="none"/>
          <w:u w:val="single"/>
          <w14:textFill>
            <w14:solidFill>
              <w14:schemeClr w14:val="tx1"/>
            </w14:solidFill>
          </w14:textFill>
        </w:rPr>
        <w:t xml:space="preserve">日历天</w:t>
      </w:r>
      <w:r>
        <w:rPr>
          <w:rFonts w:hint="eastAsia" w:ascii="宋体" w:hAnsi="宋体" w:cs="宋体"/>
          <w:color w:val="000000" w:themeColor="text1"/>
          <w:szCs w:val="21"/>
          <w:highlight w:val="none"/>
          <w:u w:val="none"/>
          <w:lang w:eastAsia="zh-CN"/>
          <w14:textFill>
            <w14:solidFill>
              <w14:schemeClr w14:val="tx1"/>
            </w14:solidFill>
          </w14:textFill>
        </w:rPr>
        <w:t xml:space="preserve">，</w:t>
      </w:r>
      <w:r>
        <w:rPr>
          <w:rFonts w:hint="eastAsia" w:ascii="宋体" w:hAnsi="宋体" w:cs="宋体"/>
          <w:color w:val="000000" w:themeColor="text1"/>
          <w:szCs w:val="21"/>
          <w:highlight w:val="none"/>
          <w:u w:val="none"/>
          <w:lang w:val="en-US" w:eastAsia="zh-CN"/>
          <w14:textFill>
            <w14:solidFill>
              <w14:schemeClr w14:val="tx1"/>
            </w14:solidFill>
          </w14:textFill>
        </w:rPr>
        <w:t xml:space="preserve">质保期：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2年</w:t>
      </w:r>
      <w:r>
        <w:rPr>
          <w:rFonts w:hint="eastAsia" w:ascii="宋体" w:hAnsi="宋体" w:cs="宋体"/>
          <w:color w:val="000000" w:themeColor="text1"/>
          <w:szCs w:val="21"/>
          <w:highlight w:val="none"/>
          <w:u w:val="none"/>
          <w:lang w:val="en-US" w:eastAsia="zh-CN"/>
          <w14:textFill>
            <w14:solidFill>
              <w14:schemeClr w14:val="tx1"/>
            </w14:solidFill>
          </w14:textFill>
        </w:rPr>
        <w:t xml:space="preserve">，绿化养护期：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1年</w:t>
      </w:r>
      <w:r>
        <w:rPr>
          <w:rFonts w:hint="eastAsia" w:ascii="宋体" w:hAnsi="宋体" w:cs="宋体"/>
          <w:color w:val="000000" w:themeColor="text1"/>
          <w:szCs w:val="21"/>
          <w:highlight w:val="none"/>
          <w:u w:val="none"/>
          <w:lang w:val="en-US" w:eastAsia="zh-CN"/>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7.本项目不接受联合体投标。</w:t>
      </w:r>
      <w:r/>
    </w:p>
    <w:p>
      <w:pPr>
        <w:pStyle w:val="1038"/>
        <w:spacing w:before="0" w:after="0" w:line="360" w:lineRule="auto"/>
        <w:rPr>
          <w:rFonts w:hint="eastAsia" w:ascii="宋体" w:hAnsi="宋体" w:cs="宋体"/>
          <w:bCs w:val="0"/>
          <w:color w:val="000000" w:themeColor="text1"/>
          <w:sz w:val="21"/>
          <w:szCs w:val="21"/>
          <w:highlight w:val="none"/>
          <w14:textFill>
            <w14:solidFill>
              <w14:schemeClr w14:val="tx1"/>
            </w14:solidFill>
          </w14:textFill>
        </w:rPr>
      </w:pPr>
      <w:r/>
      <w:bookmarkStart w:id="13" w:name="_Toc109304964"/>
      <w:r/>
      <w:bookmarkStart w:id="14" w:name="_Toc32345"/>
      <w:r>
        <w:rPr>
          <w:rFonts w:hint="eastAsia" w:ascii="宋体" w:hAnsi="宋体" w:cs="宋体"/>
          <w:bCs w:val="0"/>
          <w:color w:val="000000" w:themeColor="text1"/>
          <w:sz w:val="21"/>
          <w:szCs w:val="21"/>
          <w:highlight w:val="none"/>
          <w14:textFill>
            <w14:solidFill>
              <w14:schemeClr w14:val="tx1"/>
            </w14:solidFill>
          </w14:textFill>
        </w:rPr>
        <w:t xml:space="preserve">二、申请人的资格要求：</w:t>
      </w:r>
      <w:bookmarkEnd w:id="13"/>
      <w:r/>
      <w:bookmarkEnd w:id="1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1.满足《中华人民共和国政府采购法》第二十二条规定，并提供下列材料：</w:t>
      </w:r>
      <w:r/>
    </w:p>
    <w:p>
      <w:pPr>
        <w:ind w:firstLine="420"/>
        <w:spacing w:line="360" w:lineRule="auto"/>
        <w:rPr>
          <w:rFonts w:hint="eastAsia"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1.1法人或者其他组织的营业执照等证明文件，自然人的身份证明（身份证为正、反面）</w:t>
      </w:r>
      <w:r/>
    </w:p>
    <w:p>
      <w:pPr>
        <w:ind w:firstLine="420"/>
        <w:spacing w:line="360" w:lineRule="auto"/>
        <w:rPr>
          <w:rFonts w:hint="eastAsia"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1.2 依法缴纳职工社会保障资金的证明材料</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hint="eastAsia"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1.3 依法纳税的缴款凭证</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hint="eastAsia"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1.4 具有良好的商业信誉和健全的财务会计制度</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hint="eastAsia"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1.5 具备履行合同所必需的设备和专业技术能力</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hint="eastAsia"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1.6 参加本次政府采购活动前3年内在经营活动中没有重大违法记录的书面声明</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hint="eastAsia"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1.7未被“信用中国”网站（www.creditchina.gov.cn）、“中国政府采购网”(www.ccgp.gov.cn)列入失信被执行人、重大税收违</w:t>
      </w:r>
      <w:bookmarkStart w:id="595" w:name="_GoBack"/>
      <w:r/>
      <w:bookmarkEnd w:id="595"/>
      <w:r>
        <w:rPr>
          <w:rFonts w:hint="eastAsia" w:ascii="宋体" w:hAnsi="宋体" w:cs="宋体"/>
          <w:i/>
          <w:iCs/>
          <w:color w:val="000000" w:themeColor="text1"/>
          <w:szCs w:val="21"/>
          <w:highlight w:val="none"/>
          <w:u w:val="single"/>
          <w14:textFill>
            <w14:solidFill>
              <w14:schemeClr w14:val="tx1"/>
            </w14:solidFill>
          </w14:textFill>
        </w:rPr>
        <w:t xml:space="preserve">法案件当事人名单、政府采购严重违法失信行为记录名单</w:t>
      </w:r>
      <w:r>
        <w:rPr>
          <w:rFonts w:hint="eastAsia" w:ascii="宋体" w:hAnsi="宋体" w:cs="宋体"/>
          <w:b/>
          <w:bCs/>
          <w:i/>
          <w:iCs/>
          <w:color w:val="000000" w:themeColor="text1"/>
          <w:szCs w:val="21"/>
          <w:highlight w:val="none"/>
          <w:u w:val="single"/>
          <w14:textFill>
            <w14:solidFill>
              <w14:schemeClr w14:val="tx1"/>
            </w14:solidFill>
          </w14:textFill>
        </w:rPr>
        <w:t xml:space="preserve">（可提供“基本资格条件承诺函”）</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1.8供应商信用承诺函</w:t>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cs="宋体"/>
          <w:b/>
          <w:bCs/>
          <w:i/>
          <w:iCs/>
          <w:color w:val="000000" w:themeColor="text1"/>
          <w:szCs w:val="21"/>
          <w:highlight w:val="none"/>
          <w:u w:val="single"/>
          <w14:textFill>
            <w14:solidFill>
              <w14:schemeClr w14:val="tx1"/>
            </w14:solidFill>
          </w14:textFill>
        </w:rPr>
        <w:t xml:space="preserve">根据《政府采购促进中小企业发展管理办法》的规定，本项目专门面向中小企业采购，供应商投标时须提供《中小企业声明函》，《中小企业声明函》不符合要求或未提供的，投标文件无效。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3.本项目的特定资格要求：</w:t>
      </w:r>
      <w:r/>
    </w:p>
    <w:p>
      <w:pPr>
        <w:pStyle w:val="879"/>
        <w:ind w:firstLine="368"/>
        <w:jc w:val="both"/>
        <w:spacing w:before="0" w:beforeAutospacing="0" w:after="0" w:afterAutospacing="0" w:line="360" w:lineRule="auto"/>
        <w:shd w:val="clear" w:color="auto" w:fill="ffffff"/>
        <w:rPr>
          <w:rFonts w:hint="eastAsia"/>
          <w:i/>
          <w:iCs/>
          <w:color w:val="000000" w:themeColor="text1"/>
          <w:sz w:val="21"/>
          <w:szCs w:val="21"/>
          <w:highlight w:val="none"/>
          <w:u w:val="single"/>
          <w14:textFill>
            <w14:solidFill>
              <w14:schemeClr w14:val="tx1"/>
            </w14:solidFill>
          </w14:textFill>
        </w:rPr>
      </w:pPr>
      <w:r/>
      <w:bookmarkStart w:id="15" w:name="_Toc17557"/>
      <w:r>
        <w:rPr>
          <w:rFonts w:hint="eastAsia"/>
          <w:i/>
          <w:iCs/>
          <w:color w:val="000000" w:themeColor="text1"/>
          <w:sz w:val="21"/>
          <w:szCs w:val="21"/>
          <w:highlight w:val="none"/>
          <w:u w:val="single"/>
          <w14:textFill>
            <w14:solidFill>
              <w14:schemeClr w14:val="tx1"/>
            </w14:solidFill>
          </w14:textFill>
        </w:rPr>
        <w:t xml:space="preserve">（1）投标人具有</w:t>
      </w:r>
      <w:r>
        <w:rPr>
          <w:rFonts w:hint="eastAsia"/>
          <w:i/>
          <w:iCs/>
          <w:color w:val="000000" w:themeColor="text1"/>
          <w:sz w:val="21"/>
          <w:szCs w:val="21"/>
          <w:highlight w:val="none"/>
          <w:u w:val="single"/>
          <w:lang w:eastAsia="zh-CN"/>
          <w14:textFill>
            <w14:solidFill>
              <w14:schemeClr w14:val="tx1"/>
            </w14:solidFill>
          </w14:textFill>
        </w:rPr>
        <w:t xml:space="preserve">建筑工程施工总承包叁级</w:t>
      </w:r>
      <w:r>
        <w:rPr>
          <w:rFonts w:hint="eastAsia"/>
          <w:i/>
          <w:iCs/>
          <w:color w:val="000000" w:themeColor="text1"/>
          <w:sz w:val="21"/>
          <w:szCs w:val="21"/>
          <w:highlight w:val="none"/>
          <w:u w:val="single"/>
          <w14:textFill>
            <w14:solidFill>
              <w14:schemeClr w14:val="tx1"/>
            </w14:solidFill>
          </w14:textFill>
        </w:rPr>
        <w:t xml:space="preserve">（含）以上资质。</w:t>
      </w:r>
      <w:r>
        <w:rPr>
          <w:rFonts w:hint="eastAsia"/>
          <w:i/>
          <w:iCs/>
          <w:color w:val="000000" w:themeColor="text1"/>
          <w:sz w:val="21"/>
          <w:szCs w:val="21"/>
          <w:highlight w:val="none"/>
          <w:u w:val="single"/>
          <w:lang w:val="en-US" w:eastAsia="zh-CN"/>
          <w14:textFill>
            <w14:solidFill>
              <w14:schemeClr w14:val="tx1"/>
            </w14:solidFill>
          </w14:textFill>
        </w:rPr>
        <w:t xml:space="preserve">(证书原件扫描上传)</w:t>
      </w:r>
      <w:r/>
    </w:p>
    <w:p>
      <w:pPr>
        <w:pStyle w:val="879"/>
        <w:ind w:firstLine="368"/>
        <w:jc w:val="both"/>
        <w:spacing w:before="0" w:beforeAutospacing="0" w:after="0" w:afterAutospacing="0" w:line="360" w:lineRule="auto"/>
        <w:shd w:val="clear" w:color="auto" w:fill="ffffff"/>
        <w:rPr>
          <w:rFonts w:hint="eastAsia"/>
          <w:b/>
          <w:bCs/>
          <w:i/>
          <w:iCs/>
          <w:color w:val="000000" w:themeColor="text1"/>
          <w:sz w:val="21"/>
          <w:szCs w:val="21"/>
          <w:highlight w:val="none"/>
          <w:u w:val="singl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（2）拟派项目负责人具</w:t>
      </w:r>
      <w:r>
        <w:rPr>
          <w:rFonts w:hint="eastAsia"/>
          <w:i/>
          <w:iCs/>
          <w:color w:val="000000" w:themeColor="text1"/>
          <w:sz w:val="21"/>
          <w:szCs w:val="21"/>
          <w:highlight w:val="none"/>
          <w:u w:val="single"/>
          <w14:textFill>
            <w14:solidFill>
              <w14:schemeClr w14:val="tx1"/>
            </w14:solidFill>
          </w14:textFill>
        </w:rPr>
        <w:t xml:space="preserve">有</w:t>
      </w:r>
      <w:r>
        <w:rPr>
          <w:rFonts w:hint="eastAsia"/>
          <w:i/>
          <w:iCs/>
          <w:color w:val="000000" w:themeColor="text1"/>
          <w:sz w:val="21"/>
          <w:szCs w:val="21"/>
          <w:highlight w:val="none"/>
          <w:u w:val="single"/>
          <w:lang w:eastAsia="zh-CN"/>
          <w14:textFill>
            <w14:solidFill>
              <w14:schemeClr w14:val="tx1"/>
            </w14:solidFill>
          </w14:textFill>
        </w:rPr>
        <w:t xml:space="preserve">建筑工程</w:t>
      </w:r>
      <w:r>
        <w:rPr>
          <w:rFonts w:hint="eastAsia"/>
          <w:i/>
          <w:iCs/>
          <w:color w:val="000000" w:themeColor="text1"/>
          <w:sz w:val="21"/>
          <w:szCs w:val="21"/>
          <w:highlight w:val="none"/>
          <w:u w:val="single"/>
          <w14:textFill>
            <w14:solidFill>
              <w14:schemeClr w14:val="tx1"/>
            </w14:solidFill>
          </w14:textFill>
        </w:rPr>
        <w:t xml:space="preserve">专业二级（含）</w:t>
      </w:r>
      <w:r>
        <w:rPr>
          <w:rFonts w:hint="eastAsia"/>
          <w:i/>
          <w:iCs/>
          <w:color w:val="000000" w:themeColor="text1"/>
          <w:sz w:val="21"/>
          <w:szCs w:val="21"/>
          <w:highlight w:val="none"/>
          <w:u w:val="single"/>
          <w14:textFill>
            <w14:solidFill>
              <w14:schemeClr w14:val="tx1"/>
            </w14:solidFill>
          </w14:textFill>
        </w:rPr>
        <w:t xml:space="preserve">以上注册建造师资格并具备有效的安全生产考核合格证书（B证），且项目负责人无在建工程。</w:t>
      </w:r>
      <w:r>
        <w:rPr>
          <w:rFonts w:hint="eastAsia"/>
          <w:b/>
          <w:bCs/>
          <w:i/>
          <w:iCs/>
          <w:color w:val="000000" w:themeColor="text1"/>
          <w:sz w:val="21"/>
          <w:szCs w:val="21"/>
          <w:highlight w:val="none"/>
          <w:u w:val="single"/>
          <w14:textFill>
            <w14:solidFill>
              <w14:schemeClr w14:val="tx1"/>
            </w14:solidFill>
          </w14:textFill>
        </w:rPr>
        <w:t xml:space="preserve">（证书、无在建承诺书原件扫描上传）</w:t>
      </w:r>
      <w:r/>
    </w:p>
    <w:p>
      <w:pPr>
        <w:pStyle w:val="879"/>
        <w:ind w:firstLine="368"/>
        <w:jc w:val="both"/>
        <w:spacing w:before="0" w:beforeAutospacing="0" w:after="0" w:afterAutospacing="0" w:line="360" w:lineRule="auto"/>
        <w:shd w:val="clear" w:color="auto" w:fill="ffffff"/>
        <w:rPr>
          <w:rFonts w:hint="eastAsia"/>
          <w:b/>
          <w:bCs/>
          <w:i/>
          <w:iCs/>
          <w:color w:val="000000" w:themeColor="text1"/>
          <w:sz w:val="21"/>
          <w:szCs w:val="21"/>
          <w:highlight w:val="none"/>
          <w:u w:val="single"/>
          <w14:textFill>
            <w14:solidFill>
              <w14:schemeClr w14:val="tx1"/>
            </w14:solidFill>
          </w14:textFill>
        </w:rPr>
      </w:pPr>
      <w:r>
        <w:rPr>
          <w:rFonts w:hint="eastAsia"/>
          <w:i/>
          <w:iCs/>
          <w:color w:val="000000" w:themeColor="text1"/>
          <w:sz w:val="21"/>
          <w:szCs w:val="21"/>
          <w:highlight w:val="none"/>
          <w:u w:val="single"/>
          <w14:textFill>
            <w14:solidFill>
              <w14:schemeClr w14:val="tx1"/>
            </w14:solidFill>
          </w14:textFill>
        </w:rPr>
        <w:t xml:space="preserve">（3）投标人具备安全生产条件，并取得有效期内的</w:t>
      </w:r>
      <w:r>
        <w:rPr>
          <w:rFonts w:hint="eastAsia"/>
          <w:i/>
          <w:iCs/>
          <w:color w:val="000000" w:themeColor="text1"/>
          <w:sz w:val="21"/>
          <w:szCs w:val="21"/>
          <w:highlight w:val="none"/>
          <w:u w:val="single"/>
          <w14:textFill>
            <w14:solidFill>
              <w14:schemeClr w14:val="tx1"/>
            </w14:solidFill>
          </w14:textFill>
        </w:rPr>
        <w:t xml:space="preserve">安全生产许可证</w:t>
      </w:r>
      <w:r>
        <w:rPr>
          <w:rFonts w:hint="eastAsia"/>
          <w:i/>
          <w:iCs/>
          <w:color w:val="000000" w:themeColor="text1"/>
          <w:sz w:val="21"/>
          <w:szCs w:val="21"/>
          <w:highlight w:val="none"/>
          <w:u w:val="single"/>
          <w14:textFill>
            <w14:solidFill>
              <w14:schemeClr w14:val="tx1"/>
            </w14:solidFill>
          </w14:textFill>
        </w:rPr>
        <w:t xml:space="preserve">。</w:t>
      </w:r>
      <w:r>
        <w:rPr>
          <w:rFonts w:hint="eastAsia"/>
          <w:b/>
          <w:bCs/>
          <w:i/>
          <w:iCs/>
          <w:color w:val="000000" w:themeColor="text1"/>
          <w:sz w:val="21"/>
          <w:szCs w:val="21"/>
          <w:highlight w:val="none"/>
          <w:u w:val="single"/>
          <w:lang w:val="en-US" w:eastAsia="zh-CN"/>
          <w14:textFill>
            <w14:solidFill>
              <w14:schemeClr w14:val="tx1"/>
            </w14:solidFill>
          </w14:textFill>
        </w:rPr>
        <w:t xml:space="preserve">(证书原件扫描上传)</w:t>
      </w:r>
      <w:r/>
    </w:p>
    <w:p>
      <w:pPr>
        <w:pStyle w:val="1038"/>
        <w:spacing w:before="0" w:after="0" w:line="360" w:lineRule="auto"/>
        <w:rPr>
          <w:rFonts w:hint="eastAsia" w:ascii="宋体" w:hAnsi="宋体" w:cs="宋体"/>
          <w:bCs w:val="0"/>
          <w:color w:val="000000" w:themeColor="text1"/>
          <w:sz w:val="21"/>
          <w:szCs w:val="21"/>
          <w:highlight w:val="none"/>
          <w14:textFill>
            <w14:solidFill>
              <w14:schemeClr w14:val="tx1"/>
            </w14:solidFill>
          </w14:textFill>
        </w:rPr>
      </w:pPr>
      <w:r>
        <w:rPr>
          <w:rFonts w:hint="eastAsia" w:ascii="宋体" w:hAnsi="宋体" w:cs="宋体"/>
          <w:bCs w:val="0"/>
          <w:color w:val="000000" w:themeColor="text1"/>
          <w:sz w:val="21"/>
          <w:szCs w:val="21"/>
          <w:highlight w:val="none"/>
          <w14:textFill>
            <w14:solidFill>
              <w14:schemeClr w14:val="tx1"/>
            </w14:solidFill>
          </w14:textFill>
        </w:rPr>
        <w:t xml:space="preserve">三、获取采购文件</w:t>
      </w:r>
      <w:bookmarkEnd w:id="15"/>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w:t>
      </w:r>
      <w:r>
        <w:rPr>
          <w:rFonts w:hint="eastAsia" w:ascii="宋体" w:hAnsi="宋体" w:cs="宋体"/>
          <w:color w:val="000000" w:themeColor="text1"/>
          <w:highlight w:val="none"/>
          <w14:textFill>
            <w14:solidFill>
              <w14:schemeClr w14:val="tx1"/>
            </w14:solidFill>
          </w14:textFill>
        </w:rPr>
        <w:t xml:space="preserve">自磋商公告发布之日起5个工作日。5个工作日后仍可下载采购文件，但不作为供应商权益受到损害的证明材料和依据</w:t>
      </w:r>
      <w:r/>
    </w:p>
    <w:p>
      <w:pPr>
        <w:ind w:firstLine="54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2.获取方式：</w:t>
      </w:r>
      <w:r>
        <w:rPr>
          <w:rFonts w:hint="eastAsia" w:ascii="宋体" w:hAnsi="宋体"/>
          <w:b/>
          <w:bCs/>
          <w:color w:val="000000" w:themeColor="text1"/>
          <w:szCs w:val="21"/>
          <w:highlight w:val="none"/>
          <w14:textFill>
            <w14:solidFill>
              <w14:schemeClr w14:val="tx1"/>
            </w14:solidFill>
          </w14:textFill>
        </w:rPr>
        <w:t xml:space="preserve">本项目采用网上注册登记方式。</w:t>
      </w:r>
      <w:r/>
    </w:p>
    <w:p>
      <w:pPr>
        <w:ind w:firstLine="54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3.潜在供应商访问政府采购管理交易系统（苏采云）的网络地址和方法：</w:t>
      </w:r>
      <w:r/>
    </w:p>
    <w:p>
      <w:pPr>
        <w:ind w:firstLine="54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（3）“CA数字证书”的办理材料以及供应商操作手册详见：</w:t>
      </w:r>
      <w:r/>
    </w:p>
    <w:p>
      <w:pPr>
        <w:ind w:firstLine="54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http://zfcg.yangzhou.gov.cn/zfcg/xzzx/202309/4d7de1f7865f4a2894fc22bc452f94d8.shtml。</w:t>
      </w:r>
      <w:r/>
    </w:p>
    <w:p>
      <w:pPr>
        <w:ind w:firstLine="54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（4）潜在供应商访问“苏采云”系统的网络地址和方法：“苏采云”系统的网址：http://jszfcg.jsczt.cn/。</w:t>
      </w:r>
      <w:r/>
    </w:p>
    <w:p>
      <w:pPr>
        <w:ind w:firstLine="54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54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（7）苏采云系统使用谷歌浏览器参与不见面开标。</w:t>
      </w:r>
      <w:r/>
    </w:p>
    <w:p>
      <w:pPr>
        <w:pStyle w:val="1038"/>
        <w:spacing w:before="0" w:after="0" w:line="360" w:lineRule="auto"/>
        <w:rPr>
          <w:rFonts w:ascii="宋体" w:hAnsi="宋体" w:cs="宋体"/>
          <w:bCs w:val="0"/>
          <w:color w:val="000000" w:themeColor="text1"/>
          <w:sz w:val="21"/>
          <w:szCs w:val="21"/>
          <w:highlight w:val="none"/>
          <w14:textFill>
            <w14:solidFill>
              <w14:schemeClr w14:val="tx1"/>
            </w14:solidFill>
          </w14:textFill>
        </w:rPr>
      </w:pPr>
      <w:r/>
      <w:bookmarkStart w:id="16" w:name="_Toc109304966"/>
      <w:r/>
      <w:bookmarkStart w:id="17" w:name="_Toc15334"/>
      <w:r>
        <w:rPr>
          <w:rFonts w:hint="eastAsia" w:ascii="宋体" w:hAnsi="宋体" w:cs="宋体"/>
          <w:bCs w:val="0"/>
          <w:color w:val="000000" w:themeColor="text1"/>
          <w:sz w:val="21"/>
          <w:szCs w:val="21"/>
          <w:highlight w:val="none"/>
          <w14:textFill>
            <w14:solidFill>
              <w14:schemeClr w14:val="tx1"/>
            </w14:solidFill>
          </w14:textFill>
        </w:rPr>
        <w:t xml:space="preserve">四、响应文件提交</w:t>
      </w:r>
      <w:bookmarkEnd w:id="16"/>
      <w:r/>
      <w:bookmarkEnd w:id="17"/>
      <w:r/>
      <w:r/>
    </w:p>
    <w:p>
      <w:pPr>
        <w:ind w:firstLine="420"/>
        <w:spacing w:line="360" w:lineRule="auto"/>
        <w:rPr>
          <w:rFonts w:hint="eastAsia"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1.截止时间：</w:t>
      </w:r>
      <w:r>
        <w:rPr>
          <w:rFonts w:hint="eastAsia" w:ascii="宋体" w:hAnsi="宋体" w:cs="宋体"/>
          <w:bCs/>
          <w:color w:val="000000" w:themeColor="text1"/>
          <w:szCs w:val="21"/>
          <w:highlight w:val="none"/>
          <w:u w:val="single"/>
          <w:lang w:eastAsia="zh-CN"/>
          <w14:textFill>
            <w14:solidFill>
              <w14:schemeClr w14:val="tx1"/>
            </w14:solidFill>
          </w14:textFill>
        </w:rPr>
        <w:t xml:space="preserve">2026年4月27日</w:t>
      </w:r>
      <w:r>
        <w:rPr>
          <w:rFonts w:hint="eastAsia" w:ascii="宋体" w:hAnsi="宋体" w:cs="宋体"/>
          <w:bCs/>
          <w:color w:val="000000" w:themeColor="text1"/>
          <w:szCs w:val="21"/>
          <w:highlight w:val="none"/>
          <w:u w:val="single"/>
          <w14:textFill>
            <w14:solidFill>
              <w14:schemeClr w14:val="tx1"/>
            </w14:solidFill>
          </w14:textFill>
        </w:rPr>
        <w:t xml:space="preserve">09点30分</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422"/>
        <w:spacing w:line="360" w:lineRule="auto"/>
        <w:rPr>
          <w:rFonts w:hint="eastAsia" w:ascii="宋体" w:hAnsi="宋体" w:cs="宋体"/>
          <w:bCs/>
          <w:color w:val="000000" w:themeColor="text1"/>
          <w:szCs w:val="21"/>
          <w:highlight w:val="none"/>
          <w:u w:val="single"/>
          <w14:textFill>
            <w14:solidFill>
              <w14:schemeClr w14:val="tx1"/>
            </w14:solidFill>
          </w14:textFill>
        </w:rPr>
      </w:pPr>
      <w:r/>
      <w:bookmarkStart w:id="18" w:name="_Toc109304967"/>
      <w:r>
        <w:rPr>
          <w:rFonts w:hint="eastAsia" w:ascii="宋体" w:hAnsi="宋体" w:cs="宋体"/>
          <w:b/>
          <w:bCs/>
          <w:color w:val="000000" w:themeColor="text1"/>
          <w:szCs w:val="21"/>
          <w:highlight w:val="none"/>
          <w14:textFill>
            <w14:solidFill>
              <w14:schemeClr w14:val="tx1"/>
            </w14:solidFill>
          </w14:textFill>
        </w:rPr>
        <w:t xml:space="preserve">2.投标地点：“苏采云”系统（网址： http://jszfcg.jsczt.cn/）“报名详情”</w:t>
      </w:r>
      <w:r/>
    </w:p>
    <w:p>
      <w:pPr>
        <w:pStyle w:val="1038"/>
        <w:spacing w:before="0" w:after="0" w:line="360" w:lineRule="auto"/>
        <w:rPr>
          <w:rFonts w:hint="eastAsia" w:ascii="宋体" w:hAnsi="宋体" w:cs="宋体"/>
          <w:bCs w:val="0"/>
          <w:color w:val="000000" w:themeColor="text1"/>
          <w:sz w:val="21"/>
          <w:szCs w:val="21"/>
          <w:highlight w:val="none"/>
          <w14:textFill>
            <w14:solidFill>
              <w14:schemeClr w14:val="tx1"/>
            </w14:solidFill>
          </w14:textFill>
        </w:rPr>
      </w:pPr>
      <w:r/>
      <w:bookmarkStart w:id="19" w:name="_Toc15383"/>
      <w:r>
        <w:rPr>
          <w:rFonts w:hint="eastAsia" w:ascii="宋体" w:hAnsi="宋体" w:cs="宋体"/>
          <w:bCs w:val="0"/>
          <w:color w:val="000000" w:themeColor="text1"/>
          <w:sz w:val="21"/>
          <w:szCs w:val="21"/>
          <w:highlight w:val="none"/>
          <w14:textFill>
            <w14:solidFill>
              <w14:schemeClr w14:val="tx1"/>
            </w14:solidFill>
          </w14:textFill>
        </w:rPr>
        <w:t xml:space="preserve">五、开启</w:t>
      </w:r>
      <w:bookmarkEnd w:id="18"/>
      <w:r/>
      <w:bookmarkEnd w:id="19"/>
      <w:r/>
      <w:r/>
    </w:p>
    <w:p>
      <w:pPr>
        <w:pStyle w:val="1039"/>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1.时间：</w:t>
      </w:r>
      <w:r>
        <w:rPr>
          <w:rFonts w:hint="eastAsia" w:ascii="宋体" w:hAnsi="宋体" w:cs="宋体"/>
          <w:bCs/>
          <w:color w:val="000000" w:themeColor="text1"/>
          <w:szCs w:val="21"/>
          <w:highlight w:val="none"/>
          <w:u w:val="single"/>
          <w:lang w:eastAsia="zh-CN"/>
          <w14:textFill>
            <w14:solidFill>
              <w14:schemeClr w14:val="tx1"/>
            </w14:solidFill>
          </w14:textFill>
        </w:rPr>
        <w:t xml:space="preserve">2026年4月27日</w:t>
      </w:r>
      <w:r>
        <w:rPr>
          <w:rFonts w:hint="eastAsia" w:ascii="宋体" w:hAnsi="宋体" w:cs="宋体"/>
          <w:bCs/>
          <w:color w:val="000000" w:themeColor="text1"/>
          <w:szCs w:val="21"/>
          <w:highlight w:val="none"/>
          <w:u w:val="single"/>
          <w14:textFill>
            <w14:solidFill>
              <w14:schemeClr w14:val="tx1"/>
            </w14:solidFill>
          </w14:textFill>
        </w:rPr>
        <w:t xml:space="preserve">09点30分</w:t>
      </w:r>
      <w:r>
        <w:rPr>
          <w:rFonts w:hint="eastAsia" w:ascii="宋体" w:hAnsi="宋体" w:cs="宋体"/>
          <w:bCs/>
          <w:color w:val="000000" w:themeColor="text1"/>
          <w:szCs w:val="21"/>
          <w:highlight w:val="none"/>
          <w14:textFill>
            <w14:solidFill>
              <w14:schemeClr w14:val="tx1"/>
            </w14:solidFill>
          </w14:textFill>
        </w:rPr>
        <w:t xml:space="preserve">（北京时间）</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bookmarkStart w:id="20" w:name="_Toc109304968"/>
      <w:r>
        <w:rPr>
          <w:rFonts w:hint="eastAsia" w:ascii="宋体" w:hAnsi="宋体" w:cs="宋体"/>
          <w:b/>
          <w:color w:val="000000" w:themeColor="text1"/>
          <w:szCs w:val="21"/>
          <w:highlight w:val="none"/>
          <w14:textFill>
            <w14:solidFill>
              <w14:schemeClr w14:val="tx1"/>
            </w14:solidFill>
          </w14:textFill>
        </w:rPr>
        <w:t xml:space="preserve">2.开标地点：“苏采云”系统（网址： http://jszfcg.jsczt.cn/）“开标大厅”</w:t>
      </w:r>
      <w:r/>
    </w:p>
    <w:p>
      <w:pPr>
        <w:pStyle w:val="1038"/>
        <w:spacing w:before="0" w:after="0" w:line="360" w:lineRule="auto"/>
        <w:rPr>
          <w:rFonts w:hint="eastAsia" w:ascii="宋体" w:hAnsi="宋体" w:cs="宋体"/>
          <w:bCs w:val="0"/>
          <w:color w:val="000000" w:themeColor="text1"/>
          <w:sz w:val="21"/>
          <w:szCs w:val="21"/>
          <w:highlight w:val="none"/>
          <w14:textFill>
            <w14:solidFill>
              <w14:schemeClr w14:val="tx1"/>
            </w14:solidFill>
          </w14:textFill>
        </w:rPr>
      </w:pPr>
      <w:r/>
      <w:bookmarkStart w:id="21" w:name="_Toc31874"/>
      <w:r>
        <w:rPr>
          <w:rFonts w:hint="eastAsia" w:ascii="宋体" w:hAnsi="宋体" w:cs="宋体"/>
          <w:bCs w:val="0"/>
          <w:color w:val="000000" w:themeColor="text1"/>
          <w:sz w:val="21"/>
          <w:szCs w:val="21"/>
          <w:highlight w:val="none"/>
          <w14:textFill>
            <w14:solidFill>
              <w14:schemeClr w14:val="tx1"/>
            </w14:solidFill>
          </w14:textFill>
        </w:rPr>
        <w:t xml:space="preserve">六、公告期限</w:t>
      </w:r>
      <w:bookmarkEnd w:id="20"/>
      <w:r/>
      <w:bookmarkEnd w:id="21"/>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自本公告发布之日起5个工作日。</w:t>
      </w:r>
      <w:r/>
    </w:p>
    <w:p>
      <w:pPr>
        <w:pStyle w:val="1038"/>
        <w:spacing w:before="0" w:after="0" w:line="360" w:lineRule="auto"/>
        <w:rPr>
          <w:rFonts w:hint="eastAsia" w:ascii="宋体" w:hAnsi="宋体" w:cs="宋体"/>
          <w:color w:val="000000" w:themeColor="text1"/>
          <w:sz w:val="21"/>
          <w:szCs w:val="21"/>
          <w:highlight w:val="none"/>
          <w14:textFill>
            <w14:solidFill>
              <w14:schemeClr w14:val="tx1"/>
            </w14:solidFill>
          </w14:textFill>
        </w:rPr>
      </w:pPr>
      <w:r/>
      <w:bookmarkStart w:id="22" w:name="_Toc109304969"/>
      <w:r/>
      <w:bookmarkStart w:id="23" w:name="_Toc24056"/>
      <w:r>
        <w:rPr>
          <w:rFonts w:hint="eastAsia" w:ascii="宋体" w:hAnsi="宋体" w:cs="宋体"/>
          <w:color w:val="000000" w:themeColor="text1"/>
          <w:sz w:val="21"/>
          <w:szCs w:val="21"/>
          <w:highlight w:val="none"/>
          <w14:textFill>
            <w14:solidFill>
              <w14:schemeClr w14:val="tx1"/>
            </w14:solidFill>
          </w14:textFill>
        </w:rPr>
        <w:t xml:space="preserve">七、其他补充事宜</w:t>
      </w:r>
      <w:bookmarkEnd w:id="22"/>
      <w:r/>
      <w:bookmarkEnd w:id="2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无</w:t>
      </w:r>
      <w:r/>
    </w:p>
    <w:p>
      <w:pPr>
        <w:pStyle w:val="1038"/>
        <w:spacing w:before="0" w:after="0" w:line="360" w:lineRule="auto"/>
        <w:rPr>
          <w:rFonts w:hint="eastAsia" w:ascii="宋体" w:hAnsi="宋体" w:cs="宋体"/>
          <w:bCs w:val="0"/>
          <w:color w:val="000000" w:themeColor="text1"/>
          <w:sz w:val="21"/>
          <w:szCs w:val="21"/>
          <w:highlight w:val="none"/>
          <w14:textFill>
            <w14:solidFill>
              <w14:schemeClr w14:val="tx1"/>
            </w14:solidFill>
          </w14:textFill>
        </w:rPr>
      </w:pPr>
      <w:r/>
      <w:bookmarkStart w:id="24" w:name="_Toc109304970"/>
      <w:r/>
      <w:bookmarkStart w:id="25" w:name="_Toc24673"/>
      <w:r>
        <w:rPr>
          <w:rFonts w:hint="eastAsia" w:ascii="宋体" w:hAnsi="宋体" w:cs="宋体"/>
          <w:bCs w:val="0"/>
          <w:color w:val="000000" w:themeColor="text1"/>
          <w:sz w:val="21"/>
          <w:szCs w:val="21"/>
          <w:highlight w:val="none"/>
          <w14:textFill>
            <w14:solidFill>
              <w14:schemeClr w14:val="tx1"/>
            </w14:solidFill>
          </w14:textFill>
        </w:rPr>
        <w:t xml:space="preserve">八、本次竞争性磋商联系方式</w:t>
      </w:r>
      <w:bookmarkEnd w:id="24"/>
      <w:r/>
      <w:bookmarkEnd w:id="25"/>
      <w:r/>
      <w:r/>
    </w:p>
    <w:p>
      <w:pPr>
        <w:pStyle w:val="1040"/>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1.采购人信息</w:t>
      </w:r>
      <w:r/>
    </w:p>
    <w:p>
      <w:pPr>
        <w:ind w:firstLine="420"/>
        <w:jc w:val="left"/>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称：</w:t>
      </w:r>
      <w:r>
        <w:rPr>
          <w:rFonts w:hint="eastAsia" w:ascii="宋体" w:hAnsi="宋体" w:cs="宋体"/>
          <w:color w:val="000000" w:themeColor="text1"/>
          <w:szCs w:val="21"/>
          <w:highlight w:val="none"/>
          <w:u w:val="single"/>
          <w:lang w:eastAsia="zh-CN"/>
          <w14:textFill>
            <w14:solidFill>
              <w14:schemeClr w14:val="tx1"/>
            </w14:solidFill>
          </w14:textFill>
        </w:rPr>
        <w:t xml:space="preserve">扬州市江都区樊川镇人民政府</w:t>
      </w:r>
      <w:r/>
    </w:p>
    <w:p>
      <w:pPr>
        <w:ind w:firstLine="420"/>
        <w:jc w:val="left"/>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址：</w:t>
      </w:r>
      <w:r>
        <w:rPr>
          <w:rFonts w:hint="eastAsia" w:ascii="宋体" w:hAnsi="宋体" w:cs="宋体"/>
          <w:color w:val="000000" w:themeColor="text1"/>
          <w:szCs w:val="21"/>
          <w:highlight w:val="none"/>
          <w:u w:val="single"/>
          <w:lang w:eastAsia="zh-CN"/>
          <w14:textFill>
            <w14:solidFill>
              <w14:schemeClr w14:val="tx1"/>
            </w14:solidFill>
          </w14:textFill>
        </w:rPr>
        <w:t xml:space="preserve">扬州市江都区樊川镇振兴路1号</w:t>
      </w:r>
      <w:r/>
    </w:p>
    <w:p>
      <w:pPr>
        <w:ind w:firstLine="420"/>
        <w:jc w:val="left"/>
        <w:spacing w:line="360" w:lineRule="auto"/>
        <w:rPr>
          <w:rFonts w:hint="eastAsia"/>
          <w:color w:val="000000" w:themeColor="text1"/>
          <w:highlight w:val="none"/>
          <w:u w:val="singl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联</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系</w:t>
      </w:r>
      <w:r>
        <w:rPr>
          <w:rFonts w:hint="eastAsia"/>
          <w:color w:val="000000" w:themeColor="text1"/>
          <w:highlight w:val="none"/>
          <w:lang w:val="en-US" w:eastAsia="zh-CN"/>
          <w14:textFill>
            <w14:solidFill>
              <w14:schemeClr w14:val="tx1"/>
            </w14:solidFill>
          </w14:textFill>
        </w:rPr>
        <w:t xml:space="preserve"> </w:t>
      </w:r>
      <w:r>
        <w:rPr>
          <w:rFonts w:hint="eastAsia"/>
          <w:color w:val="000000" w:themeColor="text1"/>
          <w:highlight w:val="none"/>
          <w:lang w:eastAsia="zh-CN"/>
          <w14:textFill>
            <w14:solidFill>
              <w14:schemeClr w14:val="tx1"/>
            </w14:solidFill>
          </w14:textFill>
        </w:rPr>
        <w:t xml:space="preserve">人：</w:t>
      </w:r>
      <w:r>
        <w:rPr>
          <w:rFonts w:hint="eastAsia"/>
          <w:color w:val="000000" w:themeColor="text1"/>
          <w:highlight w:val="none"/>
          <w:u w:val="single"/>
          <w:lang w:val="en-US" w:eastAsia="zh-CN"/>
          <w14:textFill>
            <w14:solidFill>
              <w14:schemeClr w14:val="tx1"/>
            </w14:solidFill>
          </w14:textFill>
        </w:rPr>
        <w:t xml:space="preserve">阚先生</w:t>
      </w:r>
      <w:r>
        <w:rPr>
          <w:rFonts w:hint="eastAsia"/>
          <w:color w:val="000000" w:themeColor="text1"/>
          <w:highlight w:val="none"/>
          <w:u w:val="single"/>
          <w:lang w:eastAsia="zh-CN"/>
          <w14:textFill>
            <w14:solidFill>
              <w14:schemeClr w14:val="tx1"/>
            </w14:solidFill>
          </w14:textFill>
        </w:rPr>
        <w:t xml:space="preserve"> </w:t>
      </w:r>
      <w:r/>
    </w:p>
    <w:p>
      <w:pPr>
        <w:pStyle w:val="1033"/>
        <w:ind w:left="0" w:firstLine="420"/>
        <w:rPr>
          <w:rFonts w:hint="default"/>
          <w:color w:val="000000" w:themeColor="text1"/>
          <w:highlight w:val="none"/>
          <w:u w:val="none"/>
          <w:lang w:val="en-US" w:eastAsia="zh-CN"/>
          <w14:textFill>
            <w14:solidFill>
              <w14:schemeClr w14:val="tx1"/>
            </w14:solidFill>
          </w14:textFill>
        </w:rPr>
      </w:pPr>
      <w:r>
        <w:rPr>
          <w:rFonts w:hint="eastAsia"/>
          <w:color w:val="000000" w:themeColor="text1"/>
          <w:highlight w:val="none"/>
          <w:u w:val="none"/>
          <w:lang w:val="en-US" w:eastAsia="zh-CN"/>
          <w14:textFill>
            <w14:solidFill>
              <w14:schemeClr w14:val="tx1"/>
            </w14:solidFill>
          </w14:textFill>
        </w:rPr>
        <w:t xml:space="preserve">联系方式：</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15205254184</w:t>
      </w:r>
      <w:r/>
    </w:p>
    <w:p>
      <w:pPr>
        <w:pStyle w:val="1040"/>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2.采购代理机构信息</w:t>
      </w:r>
      <w:r/>
    </w:p>
    <w:p>
      <w:pPr>
        <w:pStyle w:val="1040"/>
        <w:ind w:firstLine="420"/>
        <w:spacing w:line="360" w:lineRule="auto"/>
        <w:rPr>
          <w:rFonts w:hint="default" w:hAnsi="宋体" w:eastAsia="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名    称：</w:t>
      </w:r>
      <w:r>
        <w:rPr>
          <w:rFonts w:hint="eastAsia" w:hAnsi="宋体" w:cs="宋体"/>
          <w:color w:val="000000" w:themeColor="text1"/>
          <w:sz w:val="21"/>
          <w:szCs w:val="21"/>
          <w:highlight w:val="none"/>
          <w:lang w:val="en-US" w:eastAsia="zh-CN"/>
          <w14:textFill>
            <w14:solidFill>
              <w14:schemeClr w14:val="tx1"/>
            </w14:solidFill>
          </w14:textFill>
        </w:rPr>
        <w:t xml:space="preserve">苏合邦筑工程咨询集团股份有限公司</w:t>
      </w:r>
      <w:r/>
    </w:p>
    <w:p>
      <w:pPr>
        <w:pStyle w:val="1040"/>
        <w:ind w:firstLine="420"/>
        <w:spacing w:line="360" w:lineRule="auto"/>
        <w:rPr>
          <w:rFonts w:hint="eastAsia"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地　　址：</w:t>
      </w:r>
      <w:r>
        <w:rPr>
          <w:rFonts w:hint="eastAsia" w:hAnsi="宋体" w:cs="宋体"/>
          <w:color w:val="000000" w:themeColor="text1"/>
          <w:sz w:val="21"/>
          <w:szCs w:val="21"/>
          <w:highlight w:val="none"/>
          <w:lang w:val="en-US" w:eastAsia="zh-CN"/>
          <w14:textFill>
            <w14:solidFill>
              <w14:schemeClr w14:val="tx1"/>
            </w14:solidFill>
          </w14:textFill>
        </w:rPr>
        <w:t xml:space="preserve">浦江路439号园林大厦5楼</w:t>
      </w:r>
      <w:r/>
    </w:p>
    <w:p>
      <w:pPr>
        <w:pStyle w:val="1040"/>
        <w:ind w:firstLine="420"/>
        <w:spacing w:line="360" w:lineRule="auto"/>
        <w:rPr>
          <w:rFonts w:hint="default" w:hAnsi="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lang w:val="en-US" w:eastAsia="zh-CN"/>
          <w14:textFill>
            <w14:solidFill>
              <w14:schemeClr w14:val="tx1"/>
            </w14:solidFill>
          </w14:textFill>
        </w:rPr>
        <w:t xml:space="preserve">联 系 人：吴宇</w:t>
      </w:r>
      <w:r/>
    </w:p>
    <w:p>
      <w:pPr>
        <w:pStyle w:val="1040"/>
        <w:ind w:firstLine="420"/>
        <w:spacing w:line="360" w:lineRule="auto"/>
        <w:rPr>
          <w:rFonts w:hint="default" w:hAnsi="宋体" w:eastAsia="宋体" w:cs="宋体"/>
          <w:color w:val="000000" w:themeColor="text1"/>
          <w:sz w:val="21"/>
          <w:szCs w:val="21"/>
          <w:highlight w:val="none"/>
          <w:lang w:val="en-US"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联系方式：0514-80335676</w:t>
      </w:r>
      <w:r/>
    </w:p>
    <w:p>
      <w:pPr>
        <w:pStyle w:val="1040"/>
        <w:ind w:firstLine="42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邮    箱：531356327@qq.com</w:t>
      </w:r>
      <w:r/>
    </w:p>
    <w:p>
      <w:pPr>
        <w:pStyle w:val="1040"/>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 xml:space="preserve">九、为提升政</w:t>
      </w:r>
      <w:r>
        <w:rPr>
          <w:rFonts w:hint="eastAsia" w:hAnsi="宋体" w:cs="宋体"/>
          <w:b/>
          <w:color w:val="000000" w:themeColor="text1"/>
          <w:sz w:val="21"/>
          <w:szCs w:val="21"/>
          <w:highlight w:val="none"/>
          <w14:textFill>
            <w14:solidFill>
              <w14:schemeClr w14:val="tx1"/>
            </w14:solidFill>
          </w14:textFill>
        </w:rPr>
        <w:t xml:space="preserve">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38"/>
        <w:spacing w:before="0" w:after="0" w:line="360" w:lineRule="auto"/>
        <w:rPr>
          <w:rFonts w:hint="eastAsia" w:ascii="宋体" w:hAnsi="宋体" w:cs="宋体"/>
          <w:color w:val="000000" w:themeColor="text1"/>
          <w:sz w:val="21"/>
          <w:szCs w:val="21"/>
          <w:highlight w:val="none"/>
          <w14:textFill>
            <w14:solidFill>
              <w14:schemeClr w14:val="tx1"/>
            </w14:solidFill>
          </w14:textFill>
        </w:rPr>
      </w:pPr>
      <w:r/>
      <w:bookmarkStart w:id="26" w:name="_Toc109304971"/>
      <w:r/>
      <w:bookmarkStart w:id="27" w:name="_Toc30711"/>
      <w:r>
        <w:rPr>
          <w:rFonts w:hint="eastAsia" w:ascii="宋体" w:hAnsi="宋体" w:cs="宋体"/>
          <w:color w:val="000000" w:themeColor="text1"/>
          <w:sz w:val="21"/>
          <w:szCs w:val="21"/>
          <w:highlight w:val="none"/>
          <w14:textFill>
            <w14:solidFill>
              <w14:schemeClr w14:val="tx1"/>
            </w14:solidFill>
          </w14:textFill>
        </w:rPr>
        <w:t xml:space="preserve">十、其他</w:t>
      </w:r>
      <w:bookmarkEnd w:id="26"/>
      <w:r/>
      <w:bookmarkEnd w:id="27"/>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2.供应商如确定参加磋商，可自行下载采购文件及有关资料，按照《操作手册》进行注册，领取CA和办理电子签章，并按《操作手册》要求制作、上传电子投标文件，技术支持联系方式：13813140731。</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4.供应商对于投标产品的包装应按照“财办库〔2020〕123号《关于印发《商品包装政府采购需求标准（试行）》、《快递包装政府采购需求标准（试行）》的通知》”执行。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5.落实好政府采购履约资金扶持政策。中标/成交供应商可凭政府采购合同办理融资贷款，详见江苏政府采购网“政采贷”专栏。</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6.严格执行政府采购关于支持</w:t>
      </w:r>
      <w:r>
        <w:rPr>
          <w:rFonts w:hint="eastAsia" w:ascii="宋体" w:hAnsi="宋体"/>
          <w:b/>
          <w:bCs/>
          <w:color w:val="000000" w:themeColor="text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7.潜在供应商对采购文件项目需求部分的询问、质疑请向采购人提出，由采购人负责答复。</w:t>
      </w:r>
      <w:r/>
    </w:p>
    <w:p>
      <w:pPr>
        <w:jc w:val="left"/>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8.本次采购不收取保证金。</w:t>
      </w:r>
      <w:r/>
    </w:p>
    <w:p>
      <w:pP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9.有关本次采购的事项若存在变动或修改，敬请及时关注“扬州市政府采购网”、”江苏省政府采购网”发布的信息。</w:t>
      </w:r>
      <w:r/>
    </w:p>
    <w:p>
      <w:pPr>
        <w:spacing w:line="360" w:lineRule="auto"/>
        <w:rPr>
          <w:rFonts w:hint="eastAsia" w:ascii="宋体" w:hAnsi="宋体" w:cs="宋体"/>
          <w:b/>
          <w:i/>
          <w:iCs/>
          <w:color w:val="000000" w:themeColor="text1"/>
          <w:highlight w:val="none"/>
          <w:u w:val="singl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10.本项目采购文件中所有斜体下划线部分为实质性条款，如不满足，则为无效响应。</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37"/>
        <w:jc w:val="cente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1037"/>
        <w:jc w:val="center"/>
        <w:spacing w:line="360" w:lineRule="auto"/>
        <w:rPr>
          <w:rFonts w:hint="eastAsia" w:ascii="宋体" w:hAnsi="宋体"/>
          <w:color w:val="000000" w:themeColor="text1"/>
          <w:highlight w:val="none"/>
          <w14:textFill>
            <w14:solidFill>
              <w14:schemeClr w14:val="tx1"/>
            </w14:solidFill>
          </w14:textFill>
        </w:rPr>
      </w:pPr>
      <w:r/>
      <w:bookmarkStart w:id="28" w:name="_Toc20913"/>
      <w:r>
        <w:rPr>
          <w:rFonts w:hint="eastAsia" w:ascii="宋体" w:hAnsi="宋体"/>
          <w:color w:val="000000" w:themeColor="text1"/>
          <w:highlight w:val="none"/>
          <w14:textFill>
            <w14:solidFill>
              <w14:schemeClr w14:val="tx1"/>
            </w14:solidFill>
          </w14:textFill>
        </w:rPr>
        <w:t xml:space="preserve">第二章 磋商须知</w:t>
      </w:r>
      <w:bookmarkEnd w:id="9"/>
      <w:r/>
      <w:bookmarkEnd w:id="10"/>
      <w:r/>
      <w:bookmarkEnd w:id="28"/>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1、采购方式</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本次采购采取竞争性磋商方式，本采购文件仅适用于该项目。</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2、供应商</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2.2合格的供应商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 满足采购公告中供应商的资格条件要求的规定。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 满足本文件实质性条款的规定。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3、适用法律</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3.1 本次采购及由此产生的合同受中华人民共和国有关的法律法规制约和保护。</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4、参加磋商费用</w:t>
      </w:r>
      <w:r/>
    </w:p>
    <w:p>
      <w:pPr>
        <w:ind w:firstLine="420"/>
        <w:spacing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4.1</w:t>
      </w:r>
      <w:r>
        <w:rPr>
          <w:rFonts w:hint="eastAsia" w:ascii="Times New Roman" w:hAnsi="Times New Roman" w:eastAsia="宋体" w:cs="Times New Roman"/>
          <w:color w:val="000000" w:themeColor="text1"/>
          <w:highlight w:val="none"/>
          <w14:textFill>
            <w14:solidFill>
              <w14:schemeClr w14:val="tx1"/>
            </w14:solidFill>
          </w14:textFill>
        </w:rPr>
        <w:t xml:space="preserve">供应商应自行承担所有与参加磋商有关的费用，无论磋商过程中的做法和结果如何，</w:t>
      </w:r>
      <w:r>
        <w:rPr>
          <w:rFonts w:hint="eastAsia" w:ascii="Times New Roman" w:hAnsi="Times New Roman" w:eastAsia="宋体" w:cs="Times New Roman"/>
          <w:color w:val="000000" w:themeColor="text1"/>
          <w:highlight w:val="none"/>
          <w:lang w:val="en-US" w:eastAsia="zh-CN"/>
          <w14:textFill>
            <w14:solidFill>
              <w14:schemeClr w14:val="tx1"/>
            </w14:solidFill>
          </w14:textFill>
        </w:rPr>
        <w:t xml:space="preserve">苏合邦筑工程咨询集团股份有限公司</w:t>
      </w:r>
      <w:r>
        <w:rPr>
          <w:rFonts w:hint="eastAsia" w:ascii="Times New Roman" w:hAnsi="Times New Roman" w:eastAsia="宋体" w:cs="Times New Roman"/>
          <w:color w:val="000000" w:themeColor="text1"/>
          <w:highlight w:val="none"/>
          <w14:textFill>
            <w14:solidFill>
              <w14:schemeClr w14:val="tx1"/>
            </w14:solidFill>
          </w14:textFill>
        </w:rPr>
        <w:t xml:space="preserve">(以下简称代理机构)在任何情况下均无义务和责任承担这些费用。</w:t>
      </w:r>
      <w:r/>
    </w:p>
    <w:p>
      <w:pPr>
        <w:ind w:firstLine="420"/>
        <w:spacing w:line="360" w:lineRule="auto"/>
        <w:rPr>
          <w:rFonts w:hint="eastAsia"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 xml:space="preserve">4.2</w:t>
      </w:r>
      <w:r>
        <w:rPr>
          <w:rFonts w:hint="eastAsia" w:ascii="Times New Roman" w:hAnsi="Times New Roman" w:eastAsia="宋体" w:cs="Times New Roman"/>
          <w:color w:val="000000" w:themeColor="text1"/>
          <w:highlight w:val="none"/>
          <w14:textFill>
            <w14:solidFill>
              <w14:schemeClr w14:val="tx1"/>
            </w14:solidFill>
          </w14:textFill>
        </w:rPr>
        <w:t xml:space="preserve">代理服务费：本招标文件约定由</w:t>
      </w:r>
      <w:r>
        <w:rPr>
          <w:rFonts w:hint="eastAsia" w:ascii="Times New Roman" w:hAnsi="Times New Roman" w:eastAsia="宋体" w:cs="Times New Roman"/>
          <w:color w:val="000000" w:themeColor="text1"/>
          <w:highlight w:val="none"/>
          <w14:textFill>
            <w14:solidFill>
              <w14:schemeClr w14:val="tx1"/>
            </w14:solidFill>
          </w14:textFill>
        </w:rPr>
        <w:t xml:space="preserve">中标单位支付招标代理服务费及预算编制费，按照《江苏省招标代理服务收费的指导意见》苏招协【2022】2号和《江苏省建设工程造价咨询业务指导规程》苏建价协（2022）7号标准收取。该费用由中标单位在领取成交确认书前，向招标代理机构付清。</w:t>
      </w:r>
      <w:r/>
    </w:p>
    <w:p>
      <w:pPr>
        <w:ind w:firstLine="420"/>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专家评审费按扬州市政府采购专家评审费标准执行结算</w:t>
      </w:r>
      <w:r>
        <w:rPr>
          <w:rFonts w:hint="eastAsia" w:ascii="宋体" w:hAnsi="宋体" w:eastAsia="宋体" w:cs="宋体"/>
          <w:color w:val="000000" w:themeColor="text1"/>
          <w:highlight w:val="none"/>
          <w14:textFill>
            <w14:solidFill>
              <w14:schemeClr w14:val="tx1"/>
            </w14:solidFill>
          </w14:textFill>
        </w:rPr>
        <w:t xml:space="preserve">。</w:t>
      </w:r>
      <w:r/>
    </w:p>
    <w:p>
      <w:pPr>
        <w:pStyle w:val="1060"/>
        <w:numPr>
          <w:ilvl w:val="0"/>
          <w:numId w:val="0"/>
        </w:numPr>
        <w:ind w:right="0" w:firstLine="368"/>
        <w:jc w:val="left"/>
        <w:spacing w:before="0" w:after="0" w:line="263" w:lineRule="exact"/>
        <w:tabs>
          <w:tab w:val="left" w:pos="1530" w:leader="none"/>
        </w:tabs>
        <w:rPr>
          <w:color w:val="000000" w:themeColor="text1"/>
          <w:sz w:val="21"/>
          <w:highlight w:val="none"/>
          <w14:textFill>
            <w14:solidFill>
              <w14:schemeClr w14:val="tx1"/>
            </w14:solidFill>
          </w14:textFill>
        </w:rPr>
      </w:pPr>
      <w:r>
        <w:rPr>
          <w:rFonts w:hint="default" w:ascii="宋体" w:hAnsi="宋体" w:eastAsia="宋体" w:cs="宋体"/>
          <w:color w:val="000000" w:themeColor="text1"/>
          <w:spacing w:val="-3"/>
          <w:sz w:val="19"/>
          <w:szCs w:val="19"/>
          <w:highlight w:val="none"/>
          <w:lang w:val="en-US" w:eastAsia="zh-CN" w:bidi="ar-SA"/>
          <w14:textFill>
            <w14:solidFill>
              <w14:schemeClr w14:val="tx1"/>
            </w14:solidFill>
          </w14:textFill>
        </w:rPr>
        <w:t xml:space="preserve">（1）</w:t>
      </w:r>
      <w:r>
        <w:rPr>
          <w:color w:val="000000" w:themeColor="text1"/>
          <w:sz w:val="21"/>
          <w:highlight w:val="none"/>
          <w14:textFill>
            <w14:solidFill>
              <w14:schemeClr w14:val="tx1"/>
            </w14:solidFill>
          </w14:textFill>
        </w:rPr>
        <w:t xml:space="preserve">代理服务费以人民币支付；</w:t>
      </w:r>
      <w:r/>
    </w:p>
    <w:p>
      <w:pPr>
        <w:pStyle w:val="1060"/>
        <w:numPr>
          <w:ilvl w:val="0"/>
          <w:numId w:val="0"/>
        </w:numPr>
        <w:ind w:right="0" w:firstLine="368"/>
        <w:jc w:val="left"/>
        <w:spacing w:before="172" w:after="0" w:line="240" w:lineRule="auto"/>
        <w:tabs>
          <w:tab w:val="left" w:pos="1530" w:leader="none"/>
        </w:tabs>
        <w:rPr>
          <w:color w:val="000000" w:themeColor="text1"/>
          <w:sz w:val="21"/>
          <w:highlight w:val="none"/>
          <w14:textFill>
            <w14:solidFill>
              <w14:schemeClr w14:val="tx1"/>
            </w14:solidFill>
          </w14:textFill>
        </w:rPr>
      </w:pPr>
      <w:r>
        <w:rPr>
          <w:rFonts w:hint="default" w:ascii="宋体" w:hAnsi="宋体" w:eastAsia="宋体" w:cs="宋体"/>
          <w:color w:val="000000" w:themeColor="text1"/>
          <w:spacing w:val="-3"/>
          <w:sz w:val="19"/>
          <w:szCs w:val="19"/>
          <w:highlight w:val="none"/>
          <w:lang w:val="en-US" w:eastAsia="zh-CN" w:bidi="ar-SA"/>
          <w14:textFill>
            <w14:solidFill>
              <w14:schemeClr w14:val="tx1"/>
            </w14:solidFill>
          </w14:textFill>
        </w:rPr>
        <w:t xml:space="preserve">（2）</w:t>
      </w:r>
      <w:r>
        <w:rPr>
          <w:color w:val="000000" w:themeColor="text1"/>
          <w:sz w:val="21"/>
          <w:highlight w:val="none"/>
          <w14:textFill>
            <w14:solidFill>
              <w14:schemeClr w14:val="tx1"/>
            </w14:solidFill>
          </w14:textFill>
        </w:rPr>
        <w:t xml:space="preserve">代理服务费一次性以电汇、转账等非现金形式支付；</w:t>
      </w:r>
      <w:r/>
    </w:p>
    <w:p>
      <w:pPr>
        <w:pStyle w:val="1060"/>
        <w:numPr>
          <w:ilvl w:val="0"/>
          <w:numId w:val="0"/>
        </w:numPr>
        <w:ind w:right="1680" w:firstLine="368"/>
        <w:jc w:val="left"/>
        <w:spacing w:before="171" w:after="0" w:line="391" w:lineRule="auto"/>
        <w:tabs>
          <w:tab w:val="left" w:pos="1530" w:leader="none"/>
        </w:tabs>
        <w:rPr>
          <w:color w:val="000000" w:themeColor="text1"/>
          <w:sz w:val="21"/>
          <w:highlight w:val="none"/>
          <w14:textFill>
            <w14:solidFill>
              <w14:schemeClr w14:val="tx1"/>
            </w14:solidFill>
          </w14:textFill>
        </w:rPr>
      </w:pPr>
      <w:r>
        <w:rPr>
          <w:rFonts w:hint="default" w:ascii="宋体" w:hAnsi="宋体" w:eastAsia="宋体" w:cs="宋体"/>
          <w:color w:val="000000" w:themeColor="text1"/>
          <w:spacing w:val="-3"/>
          <w:sz w:val="19"/>
          <w:szCs w:val="19"/>
          <w:highlight w:val="none"/>
          <w:lang w:val="en-US" w:eastAsia="zh-CN" w:bidi="ar-SA"/>
          <w14:textFill>
            <w14:solidFill>
              <w14:schemeClr w14:val="tx1"/>
            </w14:solidFill>
          </w14:textFill>
        </w:rPr>
        <w:t xml:space="preserve">（3）</w:t>
      </w:r>
      <w:r>
        <w:rPr>
          <w:color w:val="000000" w:themeColor="text1"/>
          <w:sz w:val="21"/>
          <w:highlight w:val="none"/>
          <w14:textFill>
            <w14:solidFill>
              <w14:schemeClr w14:val="tx1"/>
            </w14:solidFill>
          </w14:textFill>
        </w:rPr>
        <w:t xml:space="preserve">代理服务费不在投标报价中单列，包含在投标总价中。</w:t>
      </w:r>
      <w:r/>
    </w:p>
    <w:p>
      <w:pPr>
        <w:pStyle w:val="864"/>
        <w:ind w:left="0" w:right="526" w:firstLine="420"/>
        <w:spacing w:before="4" w:line="391"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代理单位名称：苏合邦筑工程咨询集团股份有限公司江都分公司</w:t>
      </w:r>
      <w:r/>
    </w:p>
    <w:p>
      <w:pPr>
        <w:pStyle w:val="864"/>
        <w:ind w:left="0" w:right="4138" w:firstLine="420"/>
        <w:spacing w:before="4" w:line="391"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税        号：91321012MA21U2RM24</w:t>
      </w:r>
      <w:r/>
    </w:p>
    <w:p>
      <w:pPr>
        <w:pStyle w:val="864"/>
        <w:ind w:left="0" w:right="746" w:firstLine="420"/>
        <w:spacing w:before="4" w:line="391"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开   户   行：中国银行股份有限公司扬州新都路支行</w:t>
      </w:r>
      <w:r/>
    </w:p>
    <w:p>
      <w:pPr>
        <w:pStyle w:val="864"/>
        <w:ind w:left="0" w:right="4138" w:firstLine="420"/>
        <w:spacing w:before="4" w:line="391"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行        号：104312501045</w:t>
      </w:r>
      <w:r/>
    </w:p>
    <w:p>
      <w:pPr>
        <w:pStyle w:val="864"/>
        <w:ind w:left="0" w:right="4138" w:firstLine="420"/>
        <w:spacing w:before="4" w:line="391"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账        号：549575531937</w:t>
      </w:r>
      <w:r>
        <w:rPr>
          <w:color w:val="000000" w:themeColor="text1"/>
          <w:highlight w:val="none"/>
          <w14:textFill>
            <w14:solidFill>
              <w14:schemeClr w14:val="tx1"/>
            </w14:solidFill>
          </w14:textFill>
        </w:rPr>
        <w:t xml:space="preserve">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5、采购文件的约束力</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5.1 供应商一旦参加本项目采购活动，即被认为接受了本采购文件的规定和约束。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6、采购文件构成</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6.1 采购文件有以下部分组成：</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（1）采购公告</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（2）磋商须知</w:t>
      </w:r>
      <w:r>
        <w:rPr>
          <w:rFonts w:hint="eastAsia"/>
          <w:color w:val="000000" w:themeColor="text1"/>
          <w:highlight w:val="none"/>
          <w14:textFill>
            <w14:solidFill>
              <w14:schemeClr w14:val="tx1"/>
            </w14:solidFill>
          </w14:textFill>
        </w:rPr>
        <w:tab/>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（3）合同条款及格式</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（4）项目需求</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（5）评审方法与评审标准</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（6）竞争性磋商响应文件格式</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请仔细检查采购文件是否齐全，如有缺漏请立即与代理机构联系解决。</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w:t>
      </w:r>
      <w:r>
        <w:rPr>
          <w:rFonts w:hint="eastAsia"/>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采购文件的澄清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w:t>
      </w:r>
      <w:r>
        <w:rPr>
          <w:rFonts w:hint="eastAsia"/>
          <w:b/>
          <w:bCs/>
          <w:color w:val="000000" w:themeColor="text1"/>
          <w:highlight w:val="none"/>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采购文件的修改</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8.2采购文件的修改将在“扬州市政府采购网”、“江苏省政府采购网”公布，补充文件将作为采购文件的组成部分，并对供应商具有约束力。</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9、采购文件的语言、度量衡单位、货币</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9.1供应商提交的响应文件以及供应商与代理机构就有关磋商的所有来往通知、函件和文件均应使用简体中文。</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9.3采购文件中的服务单价和总价无特殊规定的采用人民币报价，以元为单位标注。采购文件中另有规定的按规定执行。</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10、响应文件构成</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t xml:space="preserve">0.1</w:t>
      </w:r>
      <w:r>
        <w:rPr>
          <w:rFonts w:hint="eastAsia"/>
          <w:color w:val="000000" w:themeColor="text1"/>
          <w:highlight w:val="none"/>
          <w14:textFill>
            <w14:solidFill>
              <w14:schemeClr w14:val="tx1"/>
            </w14:solidFill>
          </w14:textFill>
        </w:rPr>
        <w:t xml:space="preserve">磋商文件由以下部分组成</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（1）资格审查响应对照表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（2）符合性审查响应对照表</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）非实质性响应对照表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（4）磋商响应报价表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（5）分项报价表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（6）技术参数响应及偏离表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（7）商务条款响应及偏离表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（8）设计方案（如有）：如未成功上传“设计投标文件”，投标单位需将电子投标光盘（设计图纸光盘密封并注明供应商单位名称）递交至代理机构（地址），招标代理单位将派工作人员在</w:t>
      </w:r>
      <w:r>
        <w:rPr>
          <w:rFonts w:hint="eastAsia"/>
          <w:color w:val="000000" w:themeColor="text1"/>
          <w:highlight w:val="none"/>
          <w:lang w:eastAsia="zh-CN"/>
          <w14:textFill>
            <w14:solidFill>
              <w14:schemeClr w14:val="tx1"/>
            </w14:solidFill>
          </w14:textFill>
        </w:rPr>
        <w:t xml:space="preserve">2026年4月27日</w:t>
      </w:r>
      <w:r>
        <w:rPr>
          <w:rFonts w:hint="eastAsia"/>
          <w:color w:val="000000" w:themeColor="text1"/>
          <w:highlight w:val="none"/>
          <w14:textFill>
            <w14:solidFill>
              <w14:schemeClr w14:val="tx1"/>
            </w14:solidFill>
          </w14:textFill>
        </w:rPr>
        <w:t xml:space="preserve">09点30分时间内接收电子投标光盘。将电子投标光盘递交至招标代理工作人员处，逾期不予接收。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（9）其他（供应商认为有必要提供的声明和文件，如有自拟并自行添加。设计方案）</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11、证明供应商资格及符合采购文件规定的文件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11.1供应商应按要求提交资格证明文件及符合采购文件规定的文件。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11.2供应商应提交证明其有资格参加磋商和成交后有能力独立履行合同的文件。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11.3供应商除必须具有履行合同所需提供的产品或服务的能力外，还必须具备相应的财务、技术方面的能力。</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11.4供应商应提交根据合同要求提供的证明服务质量合格以及符合采购文件规定的证明文件。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11.5证明供应商所提供服务与采购文件的要求相一致的文件可以是手册、图纸、文字资料和数据。</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12、磋商响应报价表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12.1 供应商应按照采购文件规定格式填报磋商响应报价表，每项服务只允许有一个报价，任何有选择的报价将不予接受。</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12.2 标的物</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采购人需求的服务供应、安装，调试及有关技术服务等。</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12.3其它费用处理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采购文件未列明，而供应商认为必需的费用也需列入报价。</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13、技术参数响应及偏离表、商务条款响应及偏离表及磋商服务说明</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13.1 对采购文件中的技术与商务条款要求逐项作出响应或偏离，并说明原因；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13.2 提供参加本项目类似案例简介；</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13.3 详细阐述所投服务的主要组成部分、功能设计、实现思路及关键技术；</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13.4 供应商认为需要的其他技术文件或说明。</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14、服务承诺及售后服务机构、人员的情况介绍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14.1供应商的服务承诺应按不低于采购文件中商务要求的标准。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15、磋商响应函</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15.1 供应商应按照扬州市政府采购交易管理系统提供的格式完整、正确填写磋商响应函。</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16、磋商响应有效期</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16.1 磋商响应有效期为代理机构规定的响应文件接收截止时间后</w:t>
      </w:r>
      <w:r>
        <w:rPr>
          <w:rFonts w:hint="eastAsia"/>
          <w:b/>
          <w:bCs/>
          <w:color w:val="000000" w:themeColor="text1"/>
          <w:highlight w:val="none"/>
          <w:u w:val="single"/>
          <w14:textFill>
            <w14:solidFill>
              <w14:schemeClr w14:val="tx1"/>
            </w14:solidFill>
          </w14:textFill>
        </w:rPr>
        <w:t xml:space="preserve">六十（60）天</w:t>
      </w:r>
      <w:r>
        <w:rPr>
          <w:rFonts w:hint="eastAsia"/>
          <w:color w:val="000000" w:themeColor="text1"/>
          <w:highlight w:val="none"/>
          <w14:textFill>
            <w14:solidFill>
              <w14:schemeClr w14:val="tx1"/>
            </w14:solidFill>
          </w14:textFill>
        </w:rPr>
        <w:t xml:space="preserve">。磋商响应有效期比规定短的将被视为非实质性响应而予以拒绝。</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color w:val="000000" w:themeColor="text1"/>
          <w:highlight w:val="none"/>
          <w14:textFill>
            <w14:solidFill>
              <w14:schemeClr w14:val="tx1"/>
            </w14:solidFill>
          </w14:textFill>
        </w:rPr>
      </w:pPr>
      <w:r/>
      <w:bookmarkStart w:id="29" w:name="_Toc20823297"/>
      <w:r/>
      <w:bookmarkStart w:id="30" w:name="_Toc16938541"/>
      <w:r>
        <w:rPr>
          <w:rFonts w:hint="eastAsia"/>
          <w:color w:val="000000" w:themeColor="text1"/>
          <w:highlight w:val="none"/>
          <w14:textFill>
            <w14:solidFill>
              <w14:schemeClr w14:val="tx1"/>
            </w14:solidFill>
          </w14:textFill>
        </w:rPr>
        <w:t xml:space="preserve">17、响应文件</w:t>
      </w:r>
      <w:bookmarkEnd w:id="29"/>
      <w:r/>
      <w:bookmarkEnd w:id="30"/>
      <w:r>
        <w:rPr>
          <w:rFonts w:hint="eastAsia"/>
          <w:color w:val="000000" w:themeColor="text1"/>
          <w:highlight w:val="none"/>
          <w14:textFill>
            <w14:solidFill>
              <w14:schemeClr w14:val="tx1"/>
            </w14:solidFill>
          </w14:textFill>
        </w:rPr>
        <w:t xml:space="preserve">的递交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17.1 电子响应文件的递交供应商应当按照《操作手册》规定，在磋商响应截止时间前制作并上传电子响应文件。</w:t>
      </w:r>
      <w:bookmarkStart w:id="31" w:name="_Toc16938542"/>
      <w:r/>
      <w:bookmarkStart w:id="32" w:name="_Toc20823298"/>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17.2</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b/>
          <w:color w:val="000000" w:themeColor="text1"/>
          <w:szCs w:val="21"/>
          <w:highlight w:val="none"/>
          <w14:textFill>
            <w14:solidFill>
              <w14:schemeClr w14:val="tx1"/>
            </w14:solidFill>
          </w14:textFill>
        </w:rPr>
        <w:t xml:space="preserve">相关要求是本采购文件的组成部分。</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17.3供应商应对 CA 证书妥善保管，如被他人盗用投标，因此带来的结果均由供应商自行承担。</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17.4供应商应当对采购文件提出的要求和条件作出实质性响应，并在电子投标系统逐条应答。</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17.5</w:t>
      </w:r>
      <w:r>
        <w:rPr>
          <w:rFonts w:hint="eastAsia" w:ascii="宋体" w:hAnsi="宋体"/>
          <w:b/>
          <w:bCs/>
          <w:color w:val="000000" w:themeColor="text1"/>
          <w:highlight w:val="none"/>
          <w14:textFill>
            <w14:solidFill>
              <w14:schemeClr w14:val="tx1"/>
            </w14:solidFill>
          </w14:textFill>
        </w:rPr>
        <w:t xml:space="preserve">供应商</w:t>
      </w:r>
      <w:r>
        <w:rPr>
          <w:rFonts w:hint="eastAsia" w:ascii="宋体" w:hAnsi="宋体"/>
          <w:b/>
          <w:color w:val="000000" w:themeColor="text1"/>
          <w:szCs w:val="21"/>
          <w:highlight w:val="none"/>
          <w14:textFill>
            <w14:solidFill>
              <w14:schemeClr w14:val="tx1"/>
            </w14:solidFill>
          </w14:textFill>
        </w:rPr>
        <w:t xml:space="preserve">应对要求提供的资格证明文件（如资质证书、资格证书）、技术资料（如白皮书、彩页、手册、检测报告等）原件扫描上传至投标系统。</w:t>
      </w:r>
      <w:r/>
    </w:p>
    <w:p>
      <w:pPr>
        <w:ind w:firstLine="422"/>
        <w:spacing w:line="360" w:lineRule="auto"/>
        <w:rPr>
          <w:rFonts w:hint="eastAsia"/>
          <w:color w:val="000000" w:themeColor="text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17.6各</w:t>
      </w:r>
      <w:r>
        <w:rPr>
          <w:rFonts w:hint="eastAsia" w:ascii="宋体" w:hAnsi="宋体"/>
          <w:b/>
          <w:bCs/>
          <w:color w:val="000000" w:themeColor="text1"/>
          <w:highlight w:val="none"/>
          <w14:textFill>
            <w14:solidFill>
              <w14:schemeClr w14:val="tx1"/>
            </w14:solidFill>
          </w14:textFill>
        </w:rPr>
        <w:t xml:space="preserve">供应商</w:t>
      </w:r>
      <w:r>
        <w:rPr>
          <w:rFonts w:hint="eastAsia" w:ascii="宋体" w:hAnsi="宋体"/>
          <w:b/>
          <w:color w:val="000000" w:themeColor="text1"/>
          <w:szCs w:val="21"/>
          <w:highlight w:val="none"/>
          <w14:textFill>
            <w14:solidFill>
              <w14:schemeClr w14:val="tx1"/>
            </w14:solidFill>
          </w14:textFill>
        </w:rPr>
        <w:t xml:space="preserve">应在规定时间内凭CA证书进行网上解密。</w:t>
      </w:r>
      <w:r/>
    </w:p>
    <w:p>
      <w:pPr>
        <w:ind w:firstLine="422"/>
        <w:spacing w:line="360" w:lineRule="auto"/>
        <w:rPr>
          <w:rFonts w:hint="eastAsia"/>
          <w:bCs/>
          <w:color w:val="000000" w:themeColor="text1"/>
          <w:sz w:val="24"/>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18、磋商响应截止日期</w:t>
      </w:r>
      <w:bookmarkEnd w:id="31"/>
      <w:r/>
      <w:bookmarkEnd w:id="32"/>
      <w:r/>
      <w:r/>
    </w:p>
    <w:p>
      <w:pPr>
        <w:ind w:firstLine="420"/>
        <w:spacing w:line="360" w:lineRule="auto"/>
        <w:rPr>
          <w:rFonts w:hint="eastAsia"/>
          <w:bCs/>
          <w:i/>
          <w:color w:val="000000" w:themeColor="text1"/>
          <w:highlight w:val="none"/>
          <w:u w:val="single"/>
          <w14:textFill>
            <w14:solidFill>
              <w14:schemeClr w14:val="tx1"/>
            </w14:solidFill>
          </w14:textFill>
        </w:rPr>
      </w:pPr>
      <w:r>
        <w:rPr>
          <w:rFonts w:hint="eastAsia"/>
          <w:i/>
          <w:color w:val="000000" w:themeColor="text1"/>
          <w:highlight w:val="none"/>
          <w:u w:val="single"/>
          <w14:textFill>
            <w14:solidFill>
              <w14:schemeClr w14:val="tx1"/>
            </w14:solidFill>
          </w14:textFill>
        </w:rPr>
        <w:t xml:space="preserve">18.1</w:t>
      </w:r>
      <w:r>
        <w:rPr>
          <w:rFonts w:hint="eastAsia"/>
          <w:bCs/>
          <w:i/>
          <w:color w:val="000000" w:themeColor="text1"/>
          <w:highlight w:val="none"/>
          <w:u w:val="single"/>
          <w14:textFill>
            <w14:solidFill>
              <w14:schemeClr w14:val="tx1"/>
            </w14:solidFill>
          </w14:textFill>
        </w:rPr>
        <w:t xml:space="preserve"> 供应商上传电子响应文件的时间不得迟于采购公告中规定的磋商响应截止时间。</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color w:val="000000" w:themeColor="text1"/>
          <w:highlight w:val="none"/>
          <w14:textFill>
            <w14:solidFill>
              <w14:schemeClr w14:val="tx1"/>
            </w14:solidFill>
          </w14:textFill>
        </w:rPr>
      </w:pPr>
      <w:r/>
      <w:bookmarkStart w:id="33" w:name="_Toc20823299"/>
      <w:r/>
      <w:bookmarkStart w:id="34" w:name="_Toc16938543"/>
      <w:r>
        <w:rPr>
          <w:rFonts w:hint="eastAsia"/>
          <w:color w:val="000000" w:themeColor="text1"/>
          <w:highlight w:val="none"/>
          <w14:textFill>
            <w14:solidFill>
              <w14:schemeClr w14:val="tx1"/>
            </w14:solidFill>
          </w14:textFill>
        </w:rPr>
        <w:t xml:space="preserve">19、响应文件</w:t>
      </w:r>
      <w:bookmarkEnd w:id="33"/>
      <w:r/>
      <w:bookmarkEnd w:id="34"/>
      <w:r>
        <w:rPr>
          <w:rFonts w:hint="eastAsia"/>
          <w:color w:val="000000" w:themeColor="text1"/>
          <w:highlight w:val="none"/>
          <w14:textFill>
            <w14:solidFill>
              <w14:schemeClr w14:val="tx1"/>
            </w14:solidFill>
          </w14:textFill>
        </w:rPr>
        <w:t xml:space="preserve">的拒收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19.1代理机构拒绝接收在其规定的磋商截止时间后上传的任何响应文件。</w:t>
      </w:r>
      <w:r/>
    </w:p>
    <w:p>
      <w:pPr>
        <w:ind w:firstLine="420"/>
        <w:spacing w:line="360" w:lineRule="auto"/>
        <w:rPr>
          <w:rFonts w:hint="eastAsia"/>
          <w:color w:val="000000" w:themeColor="text1"/>
          <w:highlight w:val="none"/>
          <w14:textFill>
            <w14:solidFill>
              <w14:schemeClr w14:val="tx1"/>
            </w14:solidFill>
          </w14:textFill>
        </w:rPr>
      </w:pPr>
      <w:r/>
      <w:bookmarkStart w:id="35" w:name="_Toc16938544"/>
      <w:r/>
      <w:bookmarkStart w:id="36" w:name="_Toc20823300"/>
      <w:r>
        <w:rPr>
          <w:rFonts w:hint="eastAsia"/>
          <w:color w:val="000000" w:themeColor="text1"/>
          <w:highlight w:val="none"/>
          <w14:textFill>
            <w14:solidFill>
              <w14:schemeClr w14:val="tx1"/>
            </w14:solidFill>
          </w14:textFill>
        </w:rPr>
        <w:t xml:space="preserve">20、响应文件的撤回和修改</w:t>
      </w:r>
      <w:bookmarkEnd w:id="35"/>
      <w:r/>
      <w:bookmarkEnd w:id="36"/>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 响应文件的撤回</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20.1.1 电子响应文件的撤回</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供应商可在磋商截止时间前，撤回其电子响应文件，具体操作方法见《操作手册》。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20.1.2 供应商撤回电子响应文件，则认为其不再参与本项目磋商谈判。</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20.2 响应文件的修改</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20.3 在磋商截止时间之后，供应商不得对其电子响应文件作任何修改。</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20.4 在磋商截止时间至采购文件中规定的磋商有效期满之间的这段时间内，供应商不得撤回其响应文件。</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21、磋商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21.2供应商在磋商过程中涉及到的响应文件解密等工作，应按照《操作手册》规定执行。</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22、磋商小组</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22.1</w:t>
      </w:r>
      <w:r>
        <w:rPr>
          <w:rFonts w:hint="eastAsia"/>
          <w:b/>
          <w:bCs/>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磋商开始后，代理机构将立即组织磋商小组进行评审。</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22.2磋商小组由采购人代表和有关技术、经济等方面的专家组成，且人员构成符合政府采购有关规定。</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22.3磋商小组独立工作，负责评审有效响应文件并确定成交候选供应商。</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23、评审过程的保密与公正</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23.1评审专家应当遵守评审工作纪律，不得泄露评审情况和评审中获悉的商业秘密。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23.3 在评审期间，代理机构将设专门工作人员与供应商联系。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23.4 代理机构和磋商小组不向未成交的供应商解释未成交原因，也不公布评审过程中的相关细节。</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24、磋商的澄清</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24.2接到磋商小组澄清要求的供应商应按磋商小组规定的时间和格式在</w:t>
      </w:r>
      <w:r>
        <w:rPr>
          <w:rFonts w:hint="eastAsia"/>
          <w:b/>
          <w:bCs/>
          <w:color w:val="000000" w:themeColor="text1"/>
          <w:highlight w:val="none"/>
          <w14:textFill>
            <w14:solidFill>
              <w14:schemeClr w14:val="tx1"/>
            </w14:solidFill>
          </w14:textFill>
        </w:rPr>
        <w:t xml:space="preserve">”政府采购管理交易系统（苏采云）”</w:t>
      </w:r>
      <w:r>
        <w:rPr>
          <w:rFonts w:hint="eastAsia"/>
          <w:color w:val="000000" w:themeColor="text1"/>
          <w:highlight w:val="none"/>
          <w14:textFill>
            <w14:solidFill>
              <w14:schemeClr w14:val="tx1"/>
            </w14:solidFill>
          </w14:textFill>
        </w:rPr>
        <w:t xml:space="preserve">中做出澄清，澄清的内容作为响应文件的补充部分。具体</w:t>
      </w:r>
      <w:r>
        <w:rPr>
          <w:color w:val="000000" w:themeColor="text1"/>
          <w:highlight w:val="none"/>
          <w14:textFill>
            <w14:solidFill>
              <w14:schemeClr w14:val="tx1"/>
            </w14:solidFill>
          </w14:textFill>
        </w:rPr>
        <w:t xml:space="preserve">操作</w:t>
      </w:r>
      <w:r>
        <w:rPr>
          <w:rFonts w:hint="eastAsia"/>
          <w:color w:val="000000" w:themeColor="text1"/>
          <w:highlight w:val="none"/>
          <w14:textFill>
            <w14:solidFill>
              <w14:schemeClr w14:val="tx1"/>
            </w14:solidFill>
          </w14:textFill>
        </w:rPr>
        <w:t xml:space="preserve">方式</w:t>
      </w:r>
      <w:r>
        <w:rPr>
          <w:color w:val="000000" w:themeColor="text1"/>
          <w:highlight w:val="none"/>
          <w14:textFill>
            <w14:solidFill>
              <w14:schemeClr w14:val="tx1"/>
            </w14:solidFill>
          </w14:textFill>
        </w:rPr>
        <w:t xml:space="preserve">见</w:t>
      </w:r>
      <w:r>
        <w:rPr>
          <w:rFonts w:hint="eastAsia"/>
          <w:bCs/>
          <w:color w:val="000000" w:themeColor="text1"/>
          <w:highlight w:val="none"/>
          <w14:textFill>
            <w14:solidFill>
              <w14:schemeClr w14:val="tx1"/>
            </w14:solidFill>
          </w14:textFill>
        </w:rPr>
        <w:t xml:space="preserve">《操作手册》</w:t>
      </w:r>
      <w:r>
        <w:rPr>
          <w:rFonts w:hint="eastAsia"/>
          <w:color w:val="000000" w:themeColor="text1"/>
          <w:highlight w:val="none"/>
          <w14:textFill>
            <w14:solidFill>
              <w14:schemeClr w14:val="tx1"/>
            </w14:solidFill>
          </w14:textFill>
        </w:rPr>
        <w:t xml:space="preserve">。</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24.3 接到磋商小组澄清要求的供应商如未按规定做出澄清，其风险由供应商自行承担。</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25、对响应文件的初审</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25.1响应文件初审分为资格审查和符合性审查。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25.1.3 未通过资格审查或符合性审查的供应商，代理机构将在</w:t>
      </w:r>
      <w:r>
        <w:rPr>
          <w:rFonts w:hint="eastAsia"/>
          <w:b/>
          <w:bCs/>
          <w:color w:val="000000" w:themeColor="text1"/>
          <w:highlight w:val="none"/>
          <w:lang w:eastAsia="zh-CN"/>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政府采购管理交易系统（苏采云）”</w:t>
      </w:r>
      <w:r>
        <w:rPr>
          <w:rFonts w:hint="eastAsia"/>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26、磋商程序及评审方法和标准</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26.1磋商程序</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26.1.1 对于通过资格性和符合性审查的供应商，磋商小组所有成员将集中与单一供应商在“</w:t>
      </w:r>
      <w:r>
        <w:rPr>
          <w:rFonts w:hint="eastAsia"/>
          <w:b/>
          <w:bCs/>
          <w:color w:val="000000" w:themeColor="text1"/>
          <w:highlight w:val="none"/>
          <w:shd w:val="clear" w:color="ffffff" w:fill="ffffff"/>
          <w14:textFill>
            <w14:solidFill>
              <w14:schemeClr w14:val="tx1"/>
            </w14:solidFill>
          </w14:textFill>
        </w:rPr>
        <w:t xml:space="preserve">政府采购管理交易系统（苏采云）</w:t>
      </w:r>
      <w:r>
        <w:rPr>
          <w:rFonts w:hint="eastAsia"/>
          <w:b/>
          <w:bCs/>
          <w:color w:val="000000" w:themeColor="text1"/>
          <w:highlight w:val="none"/>
          <w14:textFill>
            <w14:solidFill>
              <w14:schemeClr w14:val="tx1"/>
            </w14:solidFill>
          </w14:textFill>
        </w:rPr>
        <w:t xml:space="preserve">”中分别进行磋商。</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26.1.2 采购文件能够详细列明采购标的的技术、服务要求的，磋商结束后，磋商小组将要求所有实质性响应的供应商在规定时间内提交最后报价。</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26.1.4异常低价投标（响应）</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26.1.4.1投标（响应）报价低于全部通过符合性审查供应商投标（响应）报价平均值</w:t>
      </w:r>
      <w:r>
        <w:rPr>
          <w:rFonts w:hint="eastAsia"/>
          <w:b/>
          <w:bCs/>
          <w:color w:val="000000" w:themeColor="text1"/>
          <w:highlight w:val="none"/>
          <w:lang w:eastAsia="zh-CN"/>
          <w14:textFill>
            <w14:solidFill>
              <w14:schemeClr w14:val="tx1"/>
            </w14:solidFill>
          </w14:textFill>
        </w:rPr>
        <w:t xml:space="preserve">65%</w:t>
      </w:r>
      <w:r>
        <w:rPr>
          <w:rFonts w:hint="eastAsia"/>
          <w:b/>
          <w:bCs/>
          <w:color w:val="000000" w:themeColor="text1"/>
          <w:highlight w:val="none"/>
          <w14:textFill>
            <w14:solidFill>
              <w14:schemeClr w14:val="tx1"/>
            </w14:solidFill>
          </w14:textFill>
        </w:rPr>
        <w:t xml:space="preserve">的，即投标（响应）报价&lt;全部通过符合性审查供应商投标（响应）报价平均值×</w:t>
      </w:r>
      <w:r>
        <w:rPr>
          <w:rFonts w:hint="eastAsia"/>
          <w:b/>
          <w:bCs/>
          <w:color w:val="000000" w:themeColor="text1"/>
          <w:highlight w:val="none"/>
          <w:lang w:eastAsia="zh-CN"/>
          <w14:textFill>
            <w14:solidFill>
              <w14:schemeClr w14:val="tx1"/>
            </w14:solidFill>
          </w14:textFill>
        </w:rPr>
        <w:t xml:space="preserve">65%</w:t>
      </w:r>
      <w:r>
        <w:rPr>
          <w:rFonts w:hint="eastAsia"/>
          <w:b/>
          <w:bCs/>
          <w:color w:val="000000" w:themeColor="text1"/>
          <w:highlight w:val="none"/>
          <w14:textFill>
            <w14:solidFill>
              <w14:schemeClr w14:val="tx1"/>
            </w14:solidFill>
          </w14:textFill>
        </w:rPr>
        <w:t xml:space="preserve">；</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26.1.4.2投标（响应）报价低于通过符合性审查的次低报价供应商投标（响应）报价</w:t>
      </w:r>
      <w:r>
        <w:rPr>
          <w:rFonts w:hint="eastAsia"/>
          <w:b/>
          <w:bCs/>
          <w:color w:val="000000" w:themeColor="text1"/>
          <w:highlight w:val="none"/>
          <w:lang w:eastAsia="zh-CN"/>
          <w14:textFill>
            <w14:solidFill>
              <w14:schemeClr w14:val="tx1"/>
            </w14:solidFill>
          </w14:textFill>
        </w:rPr>
        <w:t xml:space="preserve">65%</w:t>
      </w:r>
      <w:r>
        <w:rPr>
          <w:rFonts w:hint="eastAsia"/>
          <w:b/>
          <w:bCs/>
          <w:color w:val="000000" w:themeColor="text1"/>
          <w:highlight w:val="none"/>
          <w14:textFill>
            <w14:solidFill>
              <w14:schemeClr w14:val="tx1"/>
            </w14:solidFill>
          </w14:textFill>
        </w:rPr>
        <w:t xml:space="preserve">的，即投标（响应）报价&lt;通过符合性审查的次低报价供应商投标（响应）报价×</w:t>
      </w:r>
      <w:r>
        <w:rPr>
          <w:rFonts w:hint="eastAsia"/>
          <w:b/>
          <w:bCs/>
          <w:color w:val="000000" w:themeColor="text1"/>
          <w:highlight w:val="none"/>
          <w:lang w:eastAsia="zh-CN"/>
          <w14:textFill>
            <w14:solidFill>
              <w14:schemeClr w14:val="tx1"/>
            </w14:solidFill>
          </w14:textFill>
        </w:rPr>
        <w:t xml:space="preserve">65%</w:t>
      </w:r>
      <w:r>
        <w:rPr>
          <w:rFonts w:hint="eastAsia"/>
          <w:b/>
          <w:bCs/>
          <w:color w:val="000000" w:themeColor="text1"/>
          <w:highlight w:val="none"/>
          <w14:textFill>
            <w14:solidFill>
              <w14:schemeClr w14:val="tx1"/>
            </w14:solidFill>
          </w14:textFill>
        </w:rPr>
        <w:t xml:space="preserve">；</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26.1.4.3投标（响应）报价低于采购项目最高限价</w:t>
      </w:r>
      <w:r>
        <w:rPr>
          <w:rFonts w:hint="eastAsia"/>
          <w:b/>
          <w:bCs/>
          <w:color w:val="000000" w:themeColor="text1"/>
          <w:highlight w:val="none"/>
          <w:lang w:eastAsia="zh-CN"/>
          <w14:textFill>
            <w14:solidFill>
              <w14:schemeClr w14:val="tx1"/>
            </w14:solidFill>
          </w14:textFill>
        </w:rPr>
        <w:t xml:space="preserve">65%</w:t>
      </w:r>
      <w:r>
        <w:rPr>
          <w:rFonts w:hint="eastAsia"/>
          <w:b/>
          <w:bCs/>
          <w:color w:val="000000" w:themeColor="text1"/>
          <w:highlight w:val="none"/>
          <w14:textFill>
            <w14:solidFill>
              <w14:schemeClr w14:val="tx1"/>
            </w14:solidFill>
          </w14:textFill>
        </w:rPr>
        <w:t xml:space="preserve">的，即投标（响应）报价&lt;采购项目最高限价×</w:t>
      </w:r>
      <w:r>
        <w:rPr>
          <w:rFonts w:hint="eastAsia"/>
          <w:b/>
          <w:bCs/>
          <w:color w:val="000000" w:themeColor="text1"/>
          <w:highlight w:val="none"/>
          <w:lang w:eastAsia="zh-CN"/>
          <w14:textFill>
            <w14:solidFill>
              <w14:schemeClr w14:val="tx1"/>
            </w14:solidFill>
          </w14:textFill>
        </w:rPr>
        <w:t xml:space="preserve">65%</w:t>
      </w:r>
      <w:r>
        <w:rPr>
          <w:rFonts w:hint="eastAsia"/>
          <w:b/>
          <w:bCs/>
          <w:color w:val="000000" w:themeColor="text1"/>
          <w:highlight w:val="none"/>
          <w14:textFill>
            <w14:solidFill>
              <w14:schemeClr w14:val="tx1"/>
            </w14:solidFill>
          </w14:textFill>
        </w:rPr>
        <w:t xml:space="preserve">；</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相关法律法规对供应商报价有规定的，从其规定。</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w:t>
      </w:r>
      <w:r>
        <w:rPr>
          <w:rFonts w:hint="eastAsia"/>
          <w:b/>
          <w:bCs/>
          <w:color w:val="000000" w:themeColor="text1"/>
          <w:highlight w:val="none"/>
          <w:lang w:val="en-US" w:eastAsia="zh-CN"/>
          <w14:textFill>
            <w14:solidFill>
              <w14:schemeClr w14:val="tx1"/>
            </w14:solidFill>
          </w14:textFill>
        </w:rPr>
        <w:t xml:space="preserve">6</w:t>
      </w:r>
      <w:r>
        <w:rPr>
          <w:rFonts w:hint="eastAsia"/>
          <w:b/>
          <w:bCs/>
          <w:color w:val="000000" w:themeColor="text1"/>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w:t>
      </w:r>
      <w:r>
        <w:rPr>
          <w:rFonts w:hint="eastAsia"/>
          <w:b/>
          <w:bCs/>
          <w:color w:val="000000" w:themeColor="text1"/>
          <w:highlight w:val="none"/>
          <w:lang w:val="en-US" w:eastAsia="zh-CN"/>
          <w14:textFill>
            <w14:solidFill>
              <w14:schemeClr w14:val="tx1"/>
            </w14:solidFill>
          </w14:textFill>
        </w:rPr>
        <w:t xml:space="preserve">7</w:t>
      </w:r>
      <w:r>
        <w:rPr>
          <w:rFonts w:hint="eastAsia"/>
          <w:b/>
          <w:bCs/>
          <w:color w:val="000000" w:themeColor="text1"/>
          <w:highlight w:val="none"/>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w:t>
      </w:r>
      <w:r>
        <w:rPr>
          <w:rFonts w:hint="eastAsia"/>
          <w:b/>
          <w:bCs/>
          <w:color w:val="000000" w:themeColor="text1"/>
          <w:highlight w:val="none"/>
          <w:lang w:val="en-US" w:eastAsia="zh-CN"/>
          <w14:textFill>
            <w14:solidFill>
              <w14:schemeClr w14:val="tx1"/>
            </w14:solidFill>
          </w14:textFill>
        </w:rPr>
        <w:t xml:space="preserve">8</w:t>
      </w:r>
      <w:r>
        <w:rPr>
          <w:rFonts w:hint="eastAsia"/>
          <w:b/>
          <w:bCs/>
          <w:color w:val="000000" w:themeColor="text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26.1.4.4评审委员会基于专业判断，认为供应商报价过低，有可能影响产品质量或者不能诚信履约的其他情形。</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26.2 评审方法和标准</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26.2.2评审标准</w:t>
      </w:r>
      <w:r/>
    </w:p>
    <w:p>
      <w:pPr>
        <w:ind w:firstLine="422"/>
        <w:spacing w:line="360" w:lineRule="auto"/>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见本采购文件第五章规定。</w:t>
      </w:r>
      <w:r/>
    </w:p>
    <w:p>
      <w:pPr>
        <w:ind w:firstLine="420"/>
        <w:spacing w:line="360" w:lineRule="auto"/>
        <w:rPr>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27、无效响应及采购活动终止的情况</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27.1无效响应条款</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27.1.1 供应商未按照采购文件要求上传电子磋商响应文件的。</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27.1.2 供应商未成功解密电子磋商响应文件的。</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27.1.3 供应商不具备采购文件中规定资格要求的。</w:t>
      </w:r>
      <w:r/>
    </w:p>
    <w:p>
      <w:pPr>
        <w:ind w:firstLine="420"/>
        <w:spacing w:line="360" w:lineRule="auto"/>
        <w:rPr>
          <w:rFonts w:hint="eastAsia"/>
          <w:bCs/>
          <w:i/>
          <w:color w:val="000000" w:themeColor="text1"/>
          <w:highlight w:val="none"/>
          <w:u w:val="single"/>
          <w14:textFill>
            <w14:solidFill>
              <w14:schemeClr w14:val="tx1"/>
            </w14:solidFill>
          </w14:textFill>
        </w:rPr>
      </w:pPr>
      <w:r>
        <w:rPr>
          <w:rFonts w:hint="eastAsia"/>
          <w:bCs/>
          <w:color w:val="000000" w:themeColor="text1"/>
          <w:highlight w:val="none"/>
          <w14:textFill>
            <w14:solidFill>
              <w14:schemeClr w14:val="tx1"/>
            </w14:solidFill>
          </w14:textFill>
        </w:rPr>
        <w:t xml:space="preserve">27.1.4 未通过符合性审查的。</w:t>
      </w:r>
      <w:r/>
    </w:p>
    <w:p>
      <w:pPr>
        <w:ind w:firstLine="420"/>
        <w:spacing w:line="360" w:lineRule="auto"/>
        <w:rPr>
          <w:rFonts w:hint="eastAsia"/>
          <w:bCs/>
          <w:i/>
          <w:color w:val="000000" w:themeColor="text1"/>
          <w:highlight w:val="none"/>
          <w:u w:val="single"/>
          <w14:textFill>
            <w14:solidFill>
              <w14:schemeClr w14:val="tx1"/>
            </w14:solidFill>
          </w14:textFill>
        </w:rPr>
      </w:pPr>
      <w:r>
        <w:rPr>
          <w:rFonts w:hint="eastAsia"/>
          <w:bCs/>
          <w:color w:val="000000" w:themeColor="text1"/>
          <w:highlight w:val="none"/>
          <w14:textFill>
            <w14:solidFill>
              <w14:schemeClr w14:val="tx1"/>
            </w14:solidFill>
          </w14:textFill>
        </w:rPr>
        <w:t xml:space="preserve">27.1.5 不符合采购文件中规定的其他实质性要求和条件的（</w:t>
      </w:r>
      <w:r>
        <w:rPr>
          <w:rFonts w:hint="eastAsia"/>
          <w:bCs/>
          <w:i/>
          <w:color w:val="000000" w:themeColor="text1"/>
          <w:highlight w:val="none"/>
          <w:u w:val="single"/>
          <w14:textFill>
            <w14:solidFill>
              <w14:schemeClr w14:val="tx1"/>
            </w14:solidFill>
          </w14:textFill>
        </w:rPr>
        <w:t xml:space="preserve">本采购文件中斜体且有下划线部分为实质性要求和条件）。</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27.1.6 </w:t>
      </w:r>
      <w:r>
        <w:rPr>
          <w:rFonts w:hint="eastAsia"/>
          <w:color w:val="000000" w:themeColor="text1"/>
          <w:highlight w:val="none"/>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27.1.8 响应文件未按照采购文件要求加盖电子签章。</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27.1.9 其他法律、法规及本采购文件规定的属无效响应的情形。</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 </w:t>
      </w:r>
      <w:r>
        <w:rPr>
          <w:rFonts w:hint="eastAsia"/>
          <w:color w:val="000000" w:themeColor="text1"/>
          <w:highlight w:val="none"/>
          <w14:textFill>
            <w14:solidFill>
              <w14:schemeClr w14:val="tx1"/>
            </w14:solidFill>
          </w14:textFill>
        </w:rPr>
        <w:t xml:space="preserve">采购活动终止的情况</w:t>
      </w:r>
      <w:r>
        <w:rPr>
          <w:rFonts w:hint="eastAsia"/>
          <w:bCs/>
          <w:color w:val="000000" w:themeColor="text1"/>
          <w:highlight w:val="none"/>
          <w14:textFill>
            <w14:solidFill>
              <w14:schemeClr w14:val="tx1"/>
            </w14:solidFill>
          </w14:textFill>
        </w:rPr>
        <w:t xml:space="preserve">：</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27.2.1 因情况变化，不再符合规定的竞争性磋商采购方式适用情形的；</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27.2.2 出现影响采购公正的违法、违规行为的；</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27.2.3 </w:t>
      </w:r>
      <w:r>
        <w:rPr>
          <w:rFonts w:hint="eastAsia"/>
          <w:color w:val="000000" w:themeColor="text1"/>
          <w:highlight w:val="none"/>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420"/>
        <w:spacing w:line="360" w:lineRule="auto"/>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t xml:space="preserve">27.2.4 因重大变故，采购任务取消的。</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28、确定成交单位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28.2采购人应根据磋商推荐的成交候选人，按照排序由高到低的原件确定成交供应商。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28.3 代理机构将在“扬州市政府采购网”、”江苏省政府采购网”发布成交公告，公告期限为1个工作日。</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28.4.1 提供虚假材料谋取成交的；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28.4.2 向采购人、代理机构行贿或者提供其他不正当利益的；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28.4.3 恶意竞争，最终总报价明显低于其自身合理成本且又无法提供证明的；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28.4.4 属于本文件规定的无效条件，但在评审过程中又未被磋商小组发现的；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28.4.5 与采购人或者其他供应商恶意串通的；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28.4.6 采取不正当手段诋毁、排挤其他供应商的；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28.4.7 不符合法律、法规的规定的。</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29、质疑处理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w:t>
      </w:r>
      <w:r>
        <w:rPr>
          <w:rFonts w:hint="eastAsia" w:ascii="宋体" w:hAnsi="宋体" w:eastAsia="宋体" w:cs="宋体"/>
          <w:b w:val="0"/>
          <w:bCs w:val="0"/>
          <w:color w:val="000000" w:themeColor="text1"/>
          <w:highlight w:val="none"/>
          <w14:textFill>
            <w14:solidFill>
              <w14:schemeClr w14:val="tx1"/>
            </w14:solidFill>
          </w14:textFill>
        </w:rPr>
        <w:t xml:space="preserve">提出质疑的供应商应当是参与所质疑项目采购活动</w:t>
      </w:r>
      <w:r>
        <w:rPr>
          <w:rFonts w:hint="eastAsia" w:ascii="宋体" w:hAnsi="宋体" w:cs="宋体"/>
          <w:b w:val="0"/>
          <w:bCs w:val="0"/>
          <w:color w:val="000000" w:themeColor="text1"/>
          <w:highlight w:val="none"/>
          <w:lang w:val="en-US" w:eastAsia="zh-CN"/>
          <w14:textFill>
            <w14:solidFill>
              <w14:schemeClr w14:val="tx1"/>
            </w14:solidFill>
          </w14:textFill>
        </w:rPr>
        <w:t xml:space="preserve">且满足采购活动相关资质要求</w:t>
      </w:r>
      <w:r>
        <w:rPr>
          <w:rFonts w:hint="eastAsia" w:ascii="宋体" w:hAnsi="宋体" w:eastAsia="宋体" w:cs="宋体"/>
          <w:b w:val="0"/>
          <w:bCs w:val="0"/>
          <w:color w:val="000000" w:themeColor="text1"/>
          <w:highlight w:val="none"/>
          <w14:textFill>
            <w14:solidFill>
              <w14:schemeClr w14:val="tx1"/>
            </w14:solidFill>
          </w14:textFill>
        </w:rPr>
        <w:t xml:space="preserve">的供应商。潜在供应商依法获取其可质疑的采购文件的，可以对采购文件提出质疑。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对项目需求部分的质疑，潜在供应商应向采购人提出，由采购人负责答复。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29.5 代理机构及采购人只接收以纸质原件形式送达的质疑。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采购人质疑接收人及联系方式见采购文件第一章。</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29.7质疑人应当在法定质疑期限内进行补正并重新提交质疑函。</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 以下情形的质疑不予受理</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29.8.1 内容不符合《政府采购质疑和投诉办法》第十二条规定的质疑。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29.8.2 超出政府采购法定期限的质疑。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29.8.3 以传真、电子邮件等方式递交的非原件形式的质疑。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29.8.5供应商组成联合体参加磋商，联合体中任何一方或多方未按要求签字、盖章、加盖公章的质疑。</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b/>
          <w:bCs/>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30、成交通知书</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30.l</w:t>
      </w:r>
      <w:r>
        <w:rPr>
          <w:rFonts w:hint="eastAsia"/>
          <w:b/>
          <w:bCs/>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成交结果确定后，代理机构将向成交供应商发出成通知书。</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30.2 成交供应商可在”扬州市政府采购交易管理系统（苏采云）”成交通知书下载模块中自行下载成交通知书。</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w:t>
      </w:r>
      <w:r>
        <w:rPr>
          <w:rFonts w:hint="eastAsia"/>
          <w:b/>
          <w:bCs/>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签订合同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31.l成交供应商应在成交通知书发出之日起十五日内，按照采购文件确定的事项与采购人签订政府采购合同。</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31.2</w:t>
      </w:r>
      <w:r>
        <w:rPr>
          <w:rFonts w:hint="eastAsia"/>
          <w:b/>
          <w:bCs/>
          <w:color w:val="000000" w:themeColor="text1"/>
          <w:highlight w:val="non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采购文件、成交供应商的响应文件及磋商过程中有关澄清、承诺文件均应作为合同附件。</w:t>
      </w:r>
      <w:r/>
    </w:p>
    <w:p>
      <w:pPr>
        <w:ind w:firstLine="420"/>
        <w:spacing w:line="360" w:lineRule="auto"/>
        <w:rPr>
          <w:rFonts w:hint="eastAsia"/>
          <w:color w:val="000000" w:themeColor="text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31.3 合同在“政府采购管理交易系统（苏采云）”中签订，签订合同后，</w:t>
      </w:r>
      <w:r>
        <w:rPr>
          <w:rFonts w:hint="eastAsia" w:ascii="宋体" w:hAnsi="宋体"/>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eastAsia" w:ascii="宋体" w:hAnsi="宋体"/>
          <w:bCs/>
          <w:color w:val="000000" w:themeColor="text1"/>
          <w:szCs w:val="21"/>
          <w:highlight w:val="none"/>
          <w14:textFill>
            <w14:solidFill>
              <w14:schemeClr w14:val="tx1"/>
            </w14:solidFill>
          </w14:textFill>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t xml:space="preserve">3</w:t>
      </w:r>
      <w:r>
        <w:rPr>
          <w:rFonts w:hint="eastAsia"/>
          <w:b/>
          <w:bCs/>
          <w:color w:val="000000" w:themeColor="text1"/>
          <w:highlight w:val="none"/>
          <w14:textFill>
            <w14:solidFill>
              <w14:schemeClr w14:val="tx1"/>
            </w14:solidFill>
          </w14:textFill>
        </w:rPr>
        <w:t xml:space="preserve">2、其他</w:t>
      </w:r>
      <w:r/>
    </w:p>
    <w:p>
      <w:pPr>
        <w:ind w:firstLine="420"/>
        <w:spacing w:line="360" w:lineRule="auto"/>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2</w:t>
      </w:r>
      <w:r>
        <w:rPr>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依据《政府采购促进中小企业发展管理办法》享受扶持政策获得政府采购合同的，小微企业不得将合同分包给大中型企业，中型企业不得将合同分包给大型企业。</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1037"/>
        <w:jc w:val="center"/>
        <w:spacing w:line="360" w:lineRule="auto"/>
        <w:rPr>
          <w:rFonts w:hint="eastAsia" w:ascii="宋体" w:hAnsi="宋体"/>
          <w:color w:val="000000" w:themeColor="text1"/>
          <w:highlight w:val="none"/>
          <w14:textFill>
            <w14:solidFill>
              <w14:schemeClr w14:val="tx1"/>
            </w14:solidFill>
          </w14:textFill>
        </w:rPr>
      </w:pPr>
      <w:r/>
      <w:bookmarkStart w:id="37" w:name="_Toc11480"/>
      <w:r/>
      <w:bookmarkStart w:id="38" w:name="_Toc21358"/>
      <w:r/>
      <w:bookmarkStart w:id="39" w:name="_Toc24601"/>
      <w:r/>
      <w:bookmarkStart w:id="40" w:name="_Toc107582398"/>
      <w:r>
        <w:rPr>
          <w:rFonts w:hint="eastAsia" w:ascii="宋体" w:hAnsi="宋体"/>
          <w:color w:val="000000" w:themeColor="text1"/>
          <w:highlight w:val="none"/>
          <w14:textFill>
            <w14:solidFill>
              <w14:schemeClr w14:val="tx1"/>
            </w14:solidFill>
          </w14:textFill>
        </w:rPr>
        <w:t xml:space="preserve">第三章 合同条款及格式</w:t>
      </w:r>
      <w:bookmarkEnd w:id="37"/>
      <w:r/>
      <w:bookmarkEnd w:id="38"/>
      <w:r/>
      <w:bookmarkEnd w:id="39"/>
      <w:r/>
      <w:bookmarkEnd w:id="40"/>
      <w:r/>
      <w:r/>
    </w:p>
    <w:p>
      <w:pPr>
        <w:pStyle w:val="1040"/>
        <w:ind w:firstLine="400"/>
        <w:spacing w:before="120" w:after="120" w:line="360" w:lineRule="auto"/>
        <w:rPr>
          <w:rFonts w:hint="eastAsia" w:hAnsi="宋体"/>
          <w:color w:val="000000" w:themeColor="text1"/>
          <w:highlight w:val="none"/>
          <w14:textFill>
            <w14:solidFill>
              <w14:schemeClr w14:val="tx1"/>
            </w14:solidFill>
          </w14:textFill>
        </w:rPr>
      </w:pPr>
      <w:r>
        <w:rPr>
          <w:rFonts w:hint="eastAsia" w:hAnsi="宋体"/>
          <w:color w:val="000000" w:themeColor="text1"/>
          <w:highlight w:val="none"/>
          <w14:textFill>
            <w14:solidFill>
              <w14:schemeClr w14:val="tx1"/>
            </w14:solidFill>
          </w14:textFill>
        </w:rPr>
        <w:t xml:space="preserve">以下为成交后签定本项目合同的通用条款，成交供应商不得提出实质性的修改，关于专用条款将由采购人与成交供应商结合本项目具体情况协商后签订。</w:t>
      </w:r>
      <w:r/>
    </w:p>
    <w:p>
      <w:pPr>
        <w:jc w:val="left"/>
        <w:rPr>
          <w:rFonts w:ascii="宋体" w:hAnsi="宋体" w:cs="宋体"/>
          <w:b/>
          <w:color w:val="000000" w:themeColor="text1"/>
          <w:sz w:val="52"/>
          <w:szCs w:val="5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 xml:space="preserve">（GF—2017—0201）</w:t>
      </w:r>
      <w:r/>
    </w:p>
    <w:p>
      <w:pPr>
        <w:pStyle w:val="1041"/>
        <w:jc w:val="center"/>
        <w:spacing w:before="0" w:after="0"/>
        <w:rPr>
          <w:rFonts w:hint="eastAsia" w:ascii="宋体" w:hAnsi="宋体" w:cs="宋体"/>
          <w:b w:val="0"/>
          <w:bCs w:val="0"/>
          <w:color w:val="000000" w:themeColor="text1"/>
          <w:sz w:val="72"/>
          <w:szCs w:val="72"/>
          <w:highlight w:val="none"/>
          <w14:textFill>
            <w14:solidFill>
              <w14:schemeClr w14:val="tx1"/>
            </w14:solidFill>
          </w14:textFill>
        </w:rPr>
      </w:pPr>
      <w:r>
        <w:rPr>
          <w:rFonts w:hint="eastAsia" w:ascii="宋体" w:hAnsi="宋体" w:cs="宋体"/>
          <w:b w:val="0"/>
          <w:bCs w:val="0"/>
          <w:color w:val="000000" w:themeColor="text1"/>
          <w:sz w:val="72"/>
          <w:szCs w:val="72"/>
          <w:highlight w:val="none"/>
          <w14:textFill>
            <w14:solidFill>
              <w14:schemeClr w14:val="tx1"/>
            </w14:solidFill>
          </w14:textFill>
        </w:rPr>
        <w:t xml:space="preserve">建设工程施工合同</w:t>
      </w:r>
      <w:r/>
    </w:p>
    <w:p>
      <w:pPr>
        <w:jc w:val="center"/>
        <w:rPr>
          <w:rFonts w:ascii="宋体" w:hAnsi="宋体" w:cs="宋体"/>
          <w:b/>
          <w:color w:val="000000" w:themeColor="text1"/>
          <w:sz w:val="52"/>
          <w:szCs w:val="52"/>
          <w:highlight w:val="none"/>
          <w14:textFill>
            <w14:solidFill>
              <w14:schemeClr w14:val="tx1"/>
            </w14:solidFill>
          </w14:textFill>
        </w:rPr>
      </w:pPr>
      <w:r>
        <w:rPr>
          <w:rFonts w:ascii="宋体" w:hAnsi="宋体" w:cs="宋体"/>
          <w:b/>
          <w:color w:val="000000" w:themeColor="text1"/>
          <w:sz w:val="52"/>
          <w:szCs w:val="52"/>
          <w:highlight w:val="none"/>
          <w14:textFill>
            <w14:solidFill>
              <w14:schemeClr w14:val="tx1"/>
            </w14:solidFill>
          </w14:textFill>
        </w:rPr>
      </w:r>
      <w:r/>
    </w:p>
    <w:p>
      <w:pPr>
        <w:jc w:val="center"/>
        <w:rPr>
          <w:rFonts w:ascii="宋体" w:hAnsi="宋体" w:cs="宋体"/>
          <w:b/>
          <w:color w:val="000000" w:themeColor="text1"/>
          <w:sz w:val="52"/>
          <w:szCs w:val="52"/>
          <w:highlight w:val="none"/>
          <w14:textFill>
            <w14:solidFill>
              <w14:schemeClr w14:val="tx1"/>
            </w14:solidFill>
          </w14:textFill>
        </w:rPr>
      </w:pPr>
      <w:r>
        <w:rPr>
          <w:rFonts w:ascii="宋体" w:hAnsi="宋体" w:cs="宋体"/>
          <w:b/>
          <w:color w:val="000000" w:themeColor="text1"/>
          <w:sz w:val="52"/>
          <w:szCs w:val="52"/>
          <w:highlight w:val="none"/>
          <w14:textFill>
            <w14:solidFill>
              <w14:schemeClr w14:val="tx1"/>
            </w14:solidFill>
          </w14:textFill>
        </w:rPr>
      </w:r>
      <w:r/>
    </w:p>
    <w:p>
      <w:pPr>
        <w:jc w:val="center"/>
        <w:rPr>
          <w:rFonts w:ascii="宋体" w:hAnsi="宋体" w:cs="宋体"/>
          <w:b/>
          <w:color w:val="000000" w:themeColor="text1"/>
          <w:sz w:val="72"/>
          <w:szCs w:val="72"/>
          <w:highlight w:val="none"/>
          <w14:textFill>
            <w14:solidFill>
              <w14:schemeClr w14:val="tx1"/>
            </w14:solidFill>
          </w14:textFill>
        </w:rPr>
      </w:pPr>
      <w:r>
        <w:rPr>
          <w:rFonts w:ascii="宋体" w:hAnsi="宋体" w:cs="宋体"/>
          <w:b/>
          <w:color w:val="000000" w:themeColor="text1"/>
          <w:sz w:val="72"/>
          <w:szCs w:val="72"/>
          <w:highlight w:val="none"/>
          <w14:textFill>
            <w14:solidFill>
              <w14:schemeClr w14:val="tx1"/>
            </w14:solidFill>
          </w14:textFill>
        </w:rPr>
      </w:r>
      <w:r/>
    </w:p>
    <w:p>
      <w:pPr>
        <w:jc w:val="center"/>
        <w:rPr>
          <w:rFonts w:ascii="宋体" w:hAnsi="宋体" w:cs="宋体"/>
          <w:b/>
          <w:color w:val="000000" w:themeColor="text1"/>
          <w:sz w:val="72"/>
          <w:szCs w:val="72"/>
          <w:highlight w:val="none"/>
          <w14:textFill>
            <w14:solidFill>
              <w14:schemeClr w14:val="tx1"/>
            </w14:solidFill>
          </w14:textFill>
        </w:rPr>
      </w:pPr>
      <w:r>
        <w:rPr>
          <w:rFonts w:ascii="宋体" w:hAnsi="宋体" w:cs="宋体"/>
          <w:b/>
          <w:color w:val="000000" w:themeColor="text1"/>
          <w:sz w:val="72"/>
          <w:szCs w:val="72"/>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rPr>
          <w:rFonts w:ascii="宋体" w:hAnsi="宋体" w:cs="宋体"/>
          <w:b/>
          <w:color w:val="000000" w:themeColor="text1"/>
          <w:sz w:val="28"/>
          <w:szCs w:val="28"/>
          <w:highlight w:val="none"/>
          <w14:textFill>
            <w14:solidFill>
              <w14:schemeClr w14:val="tx1"/>
            </w14:solidFill>
          </w14:textFill>
        </w:rPr>
      </w:pPr>
      <w:r>
        <w:rPr>
          <w:rFonts w:ascii="宋体" w:hAnsi="宋体" w:cs="宋体"/>
          <w:b/>
          <w:color w:val="000000" w:themeColor="text1"/>
          <w:sz w:val="28"/>
          <w:szCs w:val="28"/>
          <w:highlight w:val="none"/>
          <w14:textFill>
            <w14:solidFill>
              <w14:schemeClr w14:val="tx1"/>
            </w14:solidFill>
          </w14:textFill>
        </w:rPr>
      </w:r>
      <w:r/>
    </w:p>
    <w:p>
      <w:pPr>
        <w:ind w:right="2719"/>
        <w:jc w:val="both"/>
        <w:rPr>
          <w:rFonts w:ascii="宋体" w:hAnsi="宋体" w:cs="宋体"/>
          <w:b/>
          <w:color w:val="000000" w:themeColor="text1"/>
          <w:sz w:val="32"/>
          <w:szCs w:val="28"/>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rFonts w:cs="Calibri"/>
                                <w:b/>
                                <w:bCs/>
                                <w:sz w:val="32"/>
                                <w:szCs w:val="21"/>
                              </w:rPr>
                            </w:pPr>
                            <w:r>
                              <w:rPr>
                                <w:rFonts w:hint="eastAsia" w:cs="Calibri"/>
                                <w:b/>
                                <w:bCs/>
                                <w:sz w:val="32"/>
                                <w:szCs w:val="21"/>
                              </w:rPr>
                              <w:t xml:space="preserve">制定</w:t>
                            </w:r>
                            <w:r/>
                          </w:p>
                          <w:p>
                            <w:r/>
                            <w:r/>
                          </w:p>
                        </w:txbxContent>
                      </wps:txbx>
                      <wps:bodyPr wrap="square" upright="1"/>
                    </wps:wsp>
                  </a:graphicData>
                </a:graphic>
              </wp:anchor>
            </w:drawing>
          </mc:Choice>
          <mc:Fallback>
            <w:pict>
              <v:shape id="shape 5" o:spid="_x0000_s5"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rPr>
                          <w:rFonts w:cs="Calibri"/>
                          <w:b/>
                          <w:bCs/>
                          <w:sz w:val="32"/>
                          <w:szCs w:val="21"/>
                        </w:rPr>
                      </w:pPr>
                      <w:r>
                        <w:rPr>
                          <w:rFonts w:hint="eastAsia" w:cs="Calibri"/>
                          <w:b/>
                          <w:bCs/>
                          <w:sz w:val="32"/>
                          <w:szCs w:val="21"/>
                        </w:rPr>
                        <w:t xml:space="preserve">制定</w:t>
                      </w:r>
                      <w:r/>
                    </w:p>
                    <w:p>
                      <w:r/>
                      <w:r/>
                    </w:p>
                  </w:txbxContent>
                </v:textbox>
              </v:shape>
            </w:pict>
          </mc:Fallback>
        </mc:AlternateContent>
      </w:r>
      <w:r>
        <w:rPr>
          <w:rFonts w:hint="eastAsia" w:ascii="宋体" w:hAnsi="宋体" w:cs="宋体"/>
          <w:b/>
          <w:color w:val="000000" w:themeColor="text1"/>
          <w:sz w:val="32"/>
          <w:szCs w:val="28"/>
          <w:highlight w:val="none"/>
          <w14:textFill>
            <w14:solidFill>
              <w14:schemeClr w14:val="tx1"/>
            </w14:solidFill>
          </w14:textFill>
        </w:rPr>
        <w:t xml:space="preserve">              住房和城乡建设部</w:t>
      </w:r>
      <w:r/>
    </w:p>
    <w:p>
      <w:pPr>
        <w:ind w:right="2719"/>
        <w:jc w:val="both"/>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 w:val="32"/>
          <w:szCs w:val="28"/>
          <w:highlight w:val="none"/>
          <w14:textFill>
            <w14:solidFill>
              <w14:schemeClr w14:val="tx1"/>
            </w14:solidFill>
          </w14:textFill>
        </w:rPr>
        <w:t xml:space="preserve">              国家工商行政管理总局</w:t>
      </w:r>
      <w:bookmarkStart w:id="41" w:name="_Toc296890982"/>
      <w:r/>
      <w:bookmarkStart w:id="42" w:name="_Toc296503025"/>
      <w:r/>
      <w:bookmarkStart w:id="43" w:name="_Toc351203480"/>
      <w:r/>
      <w:r/>
    </w:p>
    <w:p>
      <w:pPr>
        <w:pStyle w:val="1041"/>
        <w:jc w:val="center"/>
        <w:spacing w:before="0" w:after="0"/>
        <w:rPr>
          <w:rFonts w:hint="eastAsia" w:ascii="宋体" w:hAnsi="宋体" w:cs="宋体"/>
          <w:color w:val="000000" w:themeColor="text1"/>
          <w:sz w:val="30"/>
          <w:szCs w:val="30"/>
          <w:highlight w:val="none"/>
          <w14:textFill>
            <w14:solidFill>
              <w14:schemeClr w14:val="tx1"/>
            </w14:solidFill>
          </w14:textFill>
        </w:rPr>
        <w:sectPr>
          <w:footerReference w:type="default" r:id="rId14"/>
          <w:footnotePr/>
          <w:endnotePr/>
          <w:type w:val="nextPage"/>
          <w:pgSz w:w="11906" w:h="16838" w:orient="portrait"/>
          <w:pgMar w:top="1440" w:right="1800" w:bottom="1440" w:left="1800" w:header="851" w:footer="850" w:gutter="0"/>
          <w:pgNumType w:start="1"/>
          <w:rtlGutter/>
          <w:cols w:num="1" w:sep="0" w:space="720" w:equalWidth="1"/>
          <w:docGrid w:linePitch="360"/>
        </w:sectPr>
      </w:pPr>
      <w:r>
        <w:rPr>
          <w:rFonts w:hint="eastAsia" w:ascii="宋体" w:hAnsi="宋体" w:cs="宋体"/>
          <w:color w:val="000000" w:themeColor="text1"/>
          <w:sz w:val="30"/>
          <w:szCs w:val="30"/>
          <w:highlight w:val="none"/>
          <w14:textFill>
            <w14:solidFill>
              <w14:schemeClr w14:val="tx1"/>
            </w14:solidFill>
          </w14:textFill>
        </w:rPr>
      </w:r>
      <w:r/>
    </w:p>
    <w:p>
      <w:pPr>
        <w:pStyle w:val="1041"/>
        <w:jc w:val="center"/>
        <w:spacing w:before="0" w:after="0"/>
        <w:rPr>
          <w:rFonts w:ascii="宋体" w:hAnsi="宋体" w:cs="宋体"/>
          <w:b w:val="0"/>
          <w:bCs w:val="0"/>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t xml:space="preserve">第一部分 合同协议书</w:t>
      </w:r>
      <w:bookmarkEnd w:id="41"/>
      <w:r/>
      <w:bookmarkEnd w:id="42"/>
      <w:r/>
      <w:bookmarkEnd w:id="43"/>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发包人（全称）：</w:t>
      </w:r>
      <w:r>
        <w:rPr>
          <w:rFonts w:hint="eastAsia" w:ascii="宋体" w:hAnsi="宋体" w:cs="宋体"/>
          <w:b/>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承包人（全称）：</w:t>
      </w:r>
      <w:r>
        <w:rPr>
          <w:rFonts w:hint="eastAsia" w:ascii="宋体" w:hAnsi="宋体" w:cs="宋体"/>
          <w:color w:val="000000" w:themeColor="text1"/>
          <w:szCs w:val="21"/>
          <w:highlight w:val="none"/>
          <w:u w:val="single"/>
          <w14:textFill>
            <w14:solidFill>
              <w14:schemeClr w14:val="tx1"/>
            </w14:solidFill>
          </w14:textFill>
        </w:rPr>
        <w:t xml:space="preserve">                            </w:t>
      </w:r>
      <w:r/>
    </w:p>
    <w:p>
      <w:pPr>
        <w:jc w:val="left"/>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根据《中华人民共和国民法典》、《中华人民共和国建筑法》及有关法律规定，遵循平等、自愿、公平和诚实信用的原则，双方就</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及有关事项协商一致，共同达成如下协议：</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rPr>
          <w:rFonts w:hint="eastAsia" w:ascii="宋体" w:hAnsi="宋体" w:cs="宋体"/>
          <w:b/>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bookmarkStart w:id="44" w:name="_Toc351203481"/>
      <w:r>
        <w:rPr>
          <w:rFonts w:hint="eastAsia" w:ascii="宋体" w:hAnsi="宋体" w:cs="宋体"/>
          <w:color w:val="000000" w:themeColor="text1"/>
          <w:szCs w:val="21"/>
          <w:highlight w:val="none"/>
          <w14:textFill>
            <w14:solidFill>
              <w14:schemeClr w14:val="tx1"/>
            </w14:solidFill>
          </w14:textFill>
        </w:rPr>
        <w:t xml:space="preserve">一、工程概况</w:t>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1.工程名称</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line="360" w:lineRule="auto"/>
        <w:widowControl/>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2.工程地点：</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3.工程立项批准文号：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 </w:t>
      </w:r>
      <w:r/>
    </w:p>
    <w:p>
      <w:pPr>
        <w:ind w:firstLine="4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4.资金来源：</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自筹</w:t>
      </w:r>
      <w:r>
        <w:rPr>
          <w:rFonts w:hint="eastAsia" w:ascii="宋体" w:hAnsi="宋体" w:cs="宋体"/>
          <w:bCs/>
          <w:color w:val="000000" w:themeColor="text1"/>
          <w:szCs w:val="21"/>
          <w:highlight w:val="none"/>
          <w:u w:val="single"/>
          <w14:textFill>
            <w14:solidFill>
              <w14:schemeClr w14:val="tx1"/>
            </w14:solidFill>
          </w14:textFill>
        </w:rPr>
        <w:t xml:space="preserve"> </w:t>
      </w:r>
      <w:r/>
    </w:p>
    <w:p>
      <w:pPr>
        <w:ind w:left="2940" w:hanging="25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5.工程内容：</w:t>
      </w:r>
      <w:r>
        <w:rPr>
          <w:rFonts w:hint="eastAsia" w:ascii="宋体" w:hAnsi="宋体" w:cs="宋体"/>
          <w:color w:val="000000" w:themeColor="text1"/>
          <w:szCs w:val="21"/>
          <w:highlight w:val="none"/>
          <w:u w:val="single"/>
          <w:lang w:bidi="ar"/>
          <w14:textFill>
            <w14:solidFill>
              <w14:schemeClr w14:val="tx1"/>
            </w14:solidFill>
          </w14:textFill>
        </w:rPr>
        <w:t xml:space="preserve">                            </w:t>
      </w:r>
      <w:r/>
    </w:p>
    <w:p>
      <w:pPr>
        <w:ind w:firstLine="4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6工程承包范围：</w:t>
      </w:r>
      <w:r>
        <w:rPr>
          <w:rFonts w:hint="eastAsia" w:ascii="宋体" w:hAnsi="宋体" w:cs="宋体"/>
          <w:color w:val="000000" w:themeColor="text1"/>
          <w:szCs w:val="21"/>
          <w:highlight w:val="none"/>
          <w:u w:val="single"/>
          <w:lang w:bidi="ar"/>
          <w14:textFill>
            <w14:solidFill>
              <w14:schemeClr w14:val="tx1"/>
            </w14:solidFill>
          </w14:textFill>
        </w:rPr>
        <w:t xml:space="preserve">                           </w:t>
      </w:r>
      <w:r/>
    </w:p>
    <w:p>
      <w:pPr>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   </w:t>
      </w:r>
      <w:bookmarkStart w:id="45" w:name="_Toc351203482"/>
      <w:r>
        <w:rPr>
          <w:rFonts w:hint="eastAsia" w:ascii="宋体" w:hAnsi="宋体" w:cs="宋体"/>
          <w:color w:val="000000" w:themeColor="text1"/>
          <w:szCs w:val="21"/>
          <w:highlight w:val="none"/>
          <w14:textFill>
            <w14:solidFill>
              <w14:schemeClr w14:val="tx1"/>
            </w14:solidFill>
          </w14:textFill>
        </w:rPr>
        <w:t xml:space="preserve">二、合同工期</w:t>
      </w:r>
      <w:bookmarkEnd w:id="45"/>
      <w:r/>
      <w:r/>
    </w:p>
    <w:p>
      <w:pPr>
        <w:ind w:firstLine="45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计划开工日期：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日（以开工令为准）。</w:t>
      </w:r>
      <w:r/>
    </w:p>
    <w:p>
      <w:pPr>
        <w:ind w:firstLine="45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计划竣工日期：</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日。</w:t>
      </w:r>
      <w:r/>
    </w:p>
    <w:p>
      <w:pPr>
        <w:ind w:firstLine="459"/>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工期总日历天数：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天。工期总日历天数与根据前述计划开竣工日期计算的工期天数不一致的，以工期总日历天数为准。</w:t>
      </w:r>
      <w:r/>
    </w:p>
    <w:p>
      <w:pPr>
        <w:ind w:firstLine="459"/>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none"/>
          <w:lang w:val="en-US" w:eastAsia="zh-CN"/>
          <w14:textFill>
            <w14:solidFill>
              <w14:schemeClr w14:val="tx1"/>
            </w14:solidFill>
          </w14:textFill>
        </w:rPr>
        <w:t xml:space="preserve">质保期：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2年</w:t>
      </w:r>
      <w:r>
        <w:rPr>
          <w:rFonts w:hint="eastAsia" w:ascii="宋体" w:hAnsi="宋体" w:cs="宋体"/>
          <w:color w:val="000000" w:themeColor="text1"/>
          <w:szCs w:val="21"/>
          <w:highlight w:val="none"/>
          <w:u w:val="none"/>
          <w:lang w:val="en-US" w:eastAsia="zh-CN"/>
          <w14:textFill>
            <w14:solidFill>
              <w14:schemeClr w14:val="tx1"/>
            </w14:solidFill>
          </w14:textFill>
        </w:rPr>
        <w:t xml:space="preserve">，绿化养护期：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1年</w:t>
      </w:r>
      <w:r>
        <w:rPr>
          <w:rFonts w:hint="eastAsia" w:ascii="宋体" w:hAnsi="宋体" w:cs="宋体"/>
          <w:color w:val="000000" w:themeColor="text1"/>
          <w:szCs w:val="21"/>
          <w:highlight w:val="none"/>
          <w:u w:val="none"/>
          <w:lang w:val="en-US" w:eastAsia="zh-CN"/>
          <w14:textFill>
            <w14:solidFill>
              <w14:schemeClr w14:val="tx1"/>
            </w14:solidFill>
          </w14:textFill>
        </w:rPr>
        <w:t xml:space="preserve">。</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rPr>
          <w:rFonts w:hint="eastAsia" w:ascii="宋体" w:hAnsi="宋体" w:cs="宋体"/>
          <w:b/>
          <w:color w:val="000000" w:themeColor="text1"/>
          <w:szCs w:val="21"/>
          <w:highlight w:val="none"/>
          <w14:textFill>
            <w14:solidFill>
              <w14:schemeClr w14:val="tx1"/>
            </w14:solidFill>
          </w14:textFill>
        </w:rPr>
        <w:t xml:space="preserve">    </w:t>
      </w:r>
      <w:bookmarkStart w:id="46" w:name="_Toc351203483"/>
      <w:r>
        <w:rPr>
          <w:rFonts w:hint="eastAsia" w:ascii="宋体" w:hAnsi="宋体" w:cs="宋体"/>
          <w:color w:val="000000" w:themeColor="text1"/>
          <w:szCs w:val="21"/>
          <w:highlight w:val="none"/>
          <w14:textFill>
            <w14:solidFill>
              <w14:schemeClr w14:val="tx1"/>
            </w14:solidFill>
          </w14:textFill>
        </w:rPr>
        <w:t xml:space="preserve">三、质量标准</w:t>
      </w:r>
      <w:bookmarkEnd w:id="46"/>
      <w:r/>
      <w:r/>
    </w:p>
    <w:p>
      <w:pPr>
        <w:ind w:firstLine="459"/>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工程质量符合  </w:t>
      </w:r>
      <w:r>
        <w:rPr>
          <w:rFonts w:hint="eastAsia" w:ascii="宋体" w:hAnsi="宋体" w:cs="宋体"/>
          <w:color w:val="000000" w:themeColor="text1"/>
          <w:szCs w:val="21"/>
          <w:highlight w:val="none"/>
          <w:u w:val="single"/>
          <w14:textFill>
            <w14:solidFill>
              <w14:schemeClr w14:val="tx1"/>
            </w14:solidFill>
          </w14:textFill>
        </w:rPr>
        <w:t xml:space="preserve">   合格    </w:t>
      </w:r>
      <w:r>
        <w:rPr>
          <w:rFonts w:hint="eastAsia" w:ascii="宋体" w:hAnsi="宋体" w:cs="宋体"/>
          <w:color w:val="000000" w:themeColor="text1"/>
          <w:szCs w:val="21"/>
          <w:highlight w:val="none"/>
          <w14:textFill>
            <w14:solidFill>
              <w14:schemeClr w14:val="tx1"/>
            </w14:solidFill>
          </w14:textFill>
        </w:rPr>
        <w:t xml:space="preserve"> 标准。</w:t>
      </w:r>
      <w:r/>
    </w:p>
    <w:p>
      <w:pPr>
        <w:ind w:firstLine="459"/>
        <w:spacing w:line="360" w:lineRule="auto"/>
        <w:rPr>
          <w:rFonts w:ascii="宋体" w:hAnsi="宋体" w:cs="宋体"/>
          <w:color w:val="000000" w:themeColor="text1"/>
          <w:szCs w:val="21"/>
          <w:highlight w:val="none"/>
          <w14:textFill>
            <w14:solidFill>
              <w14:schemeClr w14:val="tx1"/>
            </w14:solidFill>
          </w14:textFill>
        </w:rPr>
      </w:pPr>
      <w:r/>
      <w:bookmarkStart w:id="47" w:name="_Toc351203484"/>
      <w:r>
        <w:rPr>
          <w:rFonts w:hint="eastAsia" w:ascii="宋体" w:hAnsi="宋体" w:cs="宋体"/>
          <w:color w:val="000000" w:themeColor="text1"/>
          <w:szCs w:val="21"/>
          <w:highlight w:val="none"/>
          <w14:textFill>
            <w14:solidFill>
              <w14:schemeClr w14:val="tx1"/>
            </w14:solidFill>
          </w14:textFill>
        </w:rPr>
        <w:t xml:space="preserve">四、签约合同价与合同价格形式</w:t>
      </w:r>
      <w:bookmarkEnd w:id="47"/>
      <w:r>
        <w:rPr>
          <w:rFonts w:hint="eastAsia" w:ascii="宋体" w:hAnsi="宋体" w:cs="宋体"/>
          <w:color w:val="000000" w:themeColor="text1"/>
          <w:szCs w:val="21"/>
          <w:highlight w:val="none"/>
          <w14:textFill>
            <w14:solidFill>
              <w14:schemeClr w14:val="tx1"/>
            </w14:solidFill>
          </w14:textFill>
        </w:rPr>
        <w:tab/>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1.签约合同价为：</w:t>
      </w:r>
      <w:r/>
    </w:p>
    <w:p>
      <w:pPr>
        <w:ind w:firstLine="52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其中：</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（1）安全文明施工费：</w:t>
      </w:r>
      <w:r/>
    </w:p>
    <w:p>
      <w:pPr>
        <w:ind w:firstLine="94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（2）材料和工程设备暂估价金额：</w:t>
      </w:r>
      <w:r/>
    </w:p>
    <w:p>
      <w:pPr>
        <w:ind w:firstLine="94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（3）专业工程暂估价金额：</w:t>
      </w:r>
      <w:r/>
    </w:p>
    <w:p>
      <w:pPr>
        <w:ind w:firstLine="945"/>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（4）暂列金额：</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人民币（大写）</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元)。</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2.合同价格形式：</w:t>
      </w:r>
      <w:r>
        <w:rPr>
          <w:rFonts w:hint="eastAsia" w:ascii="宋体" w:hAnsi="宋体" w:cs="宋体"/>
          <w:color w:val="000000" w:themeColor="text1"/>
          <w:szCs w:val="21"/>
          <w:highlight w:val="none"/>
          <w:u w:val="single"/>
          <w14:textFill>
            <w14:solidFill>
              <w14:schemeClr w14:val="tx1"/>
            </w14:solidFill>
          </w14:textFill>
        </w:rPr>
        <w:t xml:space="preserve"> 固定单价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48" w:name="_Toc351203485"/>
      <w:r>
        <w:rPr>
          <w:rFonts w:hint="eastAsia" w:ascii="宋体" w:hAnsi="宋体" w:cs="宋体"/>
          <w:color w:val="000000" w:themeColor="text1"/>
          <w:szCs w:val="21"/>
          <w:highlight w:val="none"/>
          <w14:textFill>
            <w14:solidFill>
              <w14:schemeClr w14:val="tx1"/>
            </w14:solidFill>
          </w14:textFill>
        </w:rPr>
        <w:t xml:space="preserve">五、</w:t>
      </w:r>
      <w:bookmarkEnd w:id="48"/>
      <w:r>
        <w:rPr>
          <w:rFonts w:hint="eastAsia" w:ascii="宋体" w:hAnsi="宋体" w:cs="宋体"/>
          <w:color w:val="000000" w:themeColor="text1"/>
          <w:szCs w:val="21"/>
          <w:highlight w:val="none"/>
          <w14:textFill>
            <w14:solidFill>
              <w14:schemeClr w14:val="tx1"/>
            </w14:solidFill>
          </w14:textFill>
        </w:rPr>
        <w:t xml:space="preserve">项目经理</w:t>
      </w:r>
      <w:r/>
    </w:p>
    <w:p>
      <w:pPr>
        <w:ind w:firstLine="420"/>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承包人项目经理：</w:t>
      </w:r>
      <w:r>
        <w:rPr>
          <w:rFonts w:hint="eastAsia" w:ascii="宋体" w:hAnsi="宋体" w:cs="宋体"/>
          <w:color w:val="000000" w:themeColor="text1"/>
          <w:szCs w:val="21"/>
          <w:highlight w:val="none"/>
          <w:u w:val="single"/>
          <w14:textFill>
            <w14:solidFill>
              <w14:schemeClr w14:val="tx1"/>
            </w14:solidFill>
          </w14:textFill>
        </w:rPr>
        <w:t xml:space="preserve">           </w:t>
      </w:r>
      <w:bookmarkStart w:id="49" w:name="_Toc351203486"/>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keepLines/>
        <w:keepNext/>
        <w:rPr>
          <w:rFonts w:ascii="宋体" w:hAnsi="宋体" w:cs="宋体"/>
          <w:b/>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六、合同文件构成</w:t>
      </w:r>
      <w:bookmarkEnd w:id="49"/>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本协议书与下列文件一起构成合同文件：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（1）中标通知书（如果有）；</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（2）投标函及其附录（如果有）；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（3）专用合同条款及其附件；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（4）通用合同条款；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（5）技术标准和要求；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（6）图纸；</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（7）已标价工程量清单或预算书；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（8）其他合同文件。</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bookmarkStart w:id="50" w:name="_Toc351203487"/>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七、承诺</w:t>
      </w:r>
      <w:bookmarkEnd w:id="50"/>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1.发包人承诺按照法律规定履行项目审批手续、筹集工程建设资金并按照合同约定的期限和方式支付合同价款。</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3.发包人和承包人通过招投标形式签订合同的，双方理解并承诺不再就同一工程另行签订与合同实质性内容相背离的协议。</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bookmarkStart w:id="51" w:name="_Toc351203488"/>
      <w:r>
        <w:rPr>
          <w:rFonts w:hint="eastAsia" w:ascii="宋体" w:hAnsi="宋体" w:cs="宋体"/>
          <w:color w:val="000000" w:themeColor="text1"/>
          <w:szCs w:val="21"/>
          <w:highlight w:val="none"/>
          <w14:textFill>
            <w14:solidFill>
              <w14:schemeClr w14:val="tx1"/>
            </w14:solidFill>
          </w14:textFill>
        </w:rPr>
        <w:t xml:space="preserve">    八、词语含义</w:t>
      </w:r>
      <w:bookmarkEnd w:id="51"/>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本协议书中词语含义与第二部分通用合同条款中赋予的含义相同。</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rPr>
          <w:rFonts w:hint="eastAsia" w:ascii="宋体" w:hAnsi="宋体" w:cs="宋体"/>
          <w:b/>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bookmarkStart w:id="52" w:name="_Toc351203489"/>
      <w:r>
        <w:rPr>
          <w:rFonts w:hint="eastAsia" w:ascii="宋体" w:hAnsi="宋体" w:cs="宋体"/>
          <w:color w:val="000000" w:themeColor="text1"/>
          <w:szCs w:val="21"/>
          <w:highlight w:val="none"/>
          <w14:textFill>
            <w14:solidFill>
              <w14:schemeClr w14:val="tx1"/>
            </w14:solidFill>
          </w14:textFill>
        </w:rPr>
        <w:t xml:space="preserve">九、签订时间</w:t>
      </w:r>
      <w:bookmarkEnd w:id="52"/>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本合同于</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日签订。</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rPr>
          <w:rFonts w:hint="eastAsia" w:ascii="宋体" w:hAnsi="宋体" w:cs="宋体"/>
          <w:b/>
          <w:color w:val="000000" w:themeColor="text1"/>
          <w:szCs w:val="21"/>
          <w:highlight w:val="none"/>
          <w14:textFill>
            <w14:solidFill>
              <w14:schemeClr w14:val="tx1"/>
            </w14:solidFill>
          </w14:textFill>
        </w:rPr>
        <w:t xml:space="preserve">    </w:t>
      </w:r>
      <w:bookmarkStart w:id="53" w:name="_Toc351203490"/>
      <w:r>
        <w:rPr>
          <w:rFonts w:hint="eastAsia" w:ascii="宋体" w:hAnsi="宋体" w:cs="宋体"/>
          <w:color w:val="000000" w:themeColor="text1"/>
          <w:szCs w:val="21"/>
          <w:highlight w:val="none"/>
          <w14:textFill>
            <w14:solidFill>
              <w14:schemeClr w14:val="tx1"/>
            </w14:solidFill>
          </w14:textFill>
        </w:rPr>
        <w:t xml:space="preserve">十、签订地点</w:t>
      </w:r>
      <w:bookmarkEnd w:id="53"/>
      <w:r/>
      <w:r/>
    </w:p>
    <w:p>
      <w:pPr>
        <w:ind w:firstLine="420"/>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本合同在</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签订。</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rPr>
          <w:rFonts w:hint="eastAsia" w:ascii="宋体" w:hAnsi="宋体" w:cs="宋体"/>
          <w:b/>
          <w:color w:val="000000" w:themeColor="text1"/>
          <w:szCs w:val="21"/>
          <w:highlight w:val="none"/>
          <w14:textFill>
            <w14:solidFill>
              <w14:schemeClr w14:val="tx1"/>
            </w14:solidFill>
          </w14:textFill>
        </w:rPr>
        <w:t xml:space="preserve">    </w:t>
      </w:r>
      <w:bookmarkStart w:id="54" w:name="_Toc351203491"/>
      <w:r>
        <w:rPr>
          <w:rFonts w:hint="eastAsia" w:ascii="宋体" w:hAnsi="宋体" w:cs="宋体"/>
          <w:color w:val="000000" w:themeColor="text1"/>
          <w:szCs w:val="21"/>
          <w:highlight w:val="none"/>
          <w14:textFill>
            <w14:solidFill>
              <w14:schemeClr w14:val="tx1"/>
            </w14:solidFill>
          </w14:textFill>
        </w:rPr>
        <w:t xml:space="preserve">十一、补充协议</w:t>
      </w:r>
      <w:bookmarkEnd w:id="54"/>
      <w:r/>
      <w:r/>
    </w:p>
    <w:p>
      <w:pPr>
        <w:ind w:firstLine="420"/>
        <w:jc w:val="left"/>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合同未尽事宜，合同当事人另行签订补充协议，补充协议是合同的组成部分。</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rPr>
          <w:rFonts w:hint="eastAsia" w:ascii="宋体" w:hAnsi="宋体" w:cs="宋体"/>
          <w:b/>
          <w:color w:val="000000" w:themeColor="text1"/>
          <w:szCs w:val="21"/>
          <w:highlight w:val="none"/>
          <w14:textFill>
            <w14:solidFill>
              <w14:schemeClr w14:val="tx1"/>
            </w14:solidFill>
          </w14:textFill>
        </w:rPr>
        <w:t xml:space="preserve">    </w:t>
      </w:r>
      <w:bookmarkStart w:id="55" w:name="_Toc351203492"/>
      <w:r>
        <w:rPr>
          <w:rFonts w:hint="eastAsia" w:ascii="宋体" w:hAnsi="宋体" w:cs="宋体"/>
          <w:color w:val="000000" w:themeColor="text1"/>
          <w:szCs w:val="21"/>
          <w:highlight w:val="none"/>
          <w14:textFill>
            <w14:solidFill>
              <w14:schemeClr w14:val="tx1"/>
            </w14:solidFill>
          </w14:textFill>
        </w:rPr>
        <w:t xml:space="preserve">十二、合同生效</w:t>
      </w:r>
      <w:bookmarkEnd w:id="55"/>
      <w:r/>
      <w:r/>
    </w:p>
    <w:p>
      <w:pPr>
        <w:ind w:firstLine="420"/>
        <w:jc w:val="left"/>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本合同</w:t>
      </w:r>
      <w:r>
        <w:rPr>
          <w:rFonts w:hint="eastAsia" w:ascii="宋体" w:hAnsi="宋体" w:cs="宋体"/>
          <w:bCs/>
          <w:color w:val="000000" w:themeColor="text1"/>
          <w:szCs w:val="21"/>
          <w:highlight w:val="none"/>
          <w:u w:val="single"/>
          <w14:textFill>
            <w14:solidFill>
              <w14:schemeClr w14:val="tx1"/>
            </w14:solidFill>
          </w14:textFill>
        </w:rPr>
        <w:t xml:space="preserve"> 经见证方盖章后 </w:t>
      </w:r>
      <w:r>
        <w:rPr>
          <w:rFonts w:hint="eastAsia" w:ascii="宋体" w:hAnsi="宋体" w:cs="宋体"/>
          <w:bCs/>
          <w:color w:val="000000" w:themeColor="text1"/>
          <w:szCs w:val="21"/>
          <w:highlight w:val="none"/>
          <w14:textFill>
            <w14:solidFill>
              <w14:schemeClr w14:val="tx1"/>
            </w14:solidFill>
          </w14:textFill>
        </w:rPr>
        <w:t xml:space="preserve">生效。</w:t>
      </w:r>
      <w:r/>
    </w:p>
    <w:p>
      <w:pPr>
        <w:jc w:val="left"/>
        <w:keepLines/>
        <w:keepNext/>
        <w:spacing w:before="120" w:after="120" w:line="360" w:lineRule="auto"/>
        <w:rPr>
          <w:rFonts w:ascii="宋体" w:hAnsi="宋体" w:cs="宋体"/>
          <w:b/>
          <w:color w:val="000000" w:themeColor="text1"/>
          <w:szCs w:val="21"/>
          <w:highlight w:val="none"/>
          <w14:textFill>
            <w14:solidFill>
              <w14:schemeClr w14:val="tx1"/>
            </w14:solidFill>
          </w14:textFill>
        </w:rPr>
        <w:outlineLvl w:val="3"/>
      </w:pPr>
      <w:r>
        <w:rPr>
          <w:rFonts w:hint="eastAsia" w:ascii="宋体" w:hAnsi="宋体" w:cs="宋体"/>
          <w:b/>
          <w:color w:val="000000" w:themeColor="text1"/>
          <w:szCs w:val="21"/>
          <w:highlight w:val="none"/>
          <w14:textFill>
            <w14:solidFill>
              <w14:schemeClr w14:val="tx1"/>
            </w14:solidFill>
          </w14:textFill>
        </w:rPr>
        <w:t xml:space="preserve">    </w:t>
      </w:r>
      <w:bookmarkStart w:id="56" w:name="_Toc351203493"/>
      <w:r>
        <w:rPr>
          <w:rFonts w:hint="eastAsia" w:ascii="宋体" w:hAnsi="宋体" w:cs="宋体"/>
          <w:color w:val="000000" w:themeColor="text1"/>
          <w:szCs w:val="21"/>
          <w:highlight w:val="none"/>
          <w14:textFill>
            <w14:solidFill>
              <w14:schemeClr w14:val="tx1"/>
            </w14:solidFill>
          </w14:textFill>
        </w:rPr>
        <w:t xml:space="preserve">十三、合同份数</w:t>
      </w:r>
      <w:bookmarkEnd w:id="5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本合同一式</w:t>
      </w:r>
      <w:r>
        <w:rPr>
          <w:rFonts w:hint="eastAsia" w:ascii="宋体" w:hAnsi="宋体" w:cs="宋体"/>
          <w:bCs/>
          <w:color w:val="000000" w:themeColor="text1"/>
          <w:szCs w:val="21"/>
          <w:highlight w:val="none"/>
          <w:u w:val="single"/>
          <w14:textFill>
            <w14:solidFill>
              <w14:schemeClr w14:val="tx1"/>
            </w14:solidFill>
          </w14:textFill>
        </w:rPr>
        <w:t xml:space="preserve"> 捌 </w:t>
      </w:r>
      <w:r>
        <w:rPr>
          <w:rFonts w:hint="eastAsia" w:ascii="宋体" w:hAnsi="宋体" w:cs="宋体"/>
          <w:bCs/>
          <w:color w:val="000000" w:themeColor="text1"/>
          <w:szCs w:val="21"/>
          <w:highlight w:val="none"/>
          <w14:textFill>
            <w14:solidFill>
              <w14:schemeClr w14:val="tx1"/>
            </w14:solidFill>
          </w14:textFill>
        </w:rPr>
        <w:t xml:space="preserve">份，均具有同等法律效力，发包人执</w:t>
      </w:r>
      <w:r>
        <w:rPr>
          <w:rFonts w:hint="eastAsia" w:ascii="宋体" w:hAnsi="宋体" w:cs="宋体"/>
          <w:bCs/>
          <w:color w:val="000000" w:themeColor="text1"/>
          <w:szCs w:val="21"/>
          <w:highlight w:val="none"/>
          <w:u w:val="single"/>
          <w14:textFill>
            <w14:solidFill>
              <w14:schemeClr w14:val="tx1"/>
            </w14:solidFill>
          </w14:textFill>
        </w:rPr>
        <w:t xml:space="preserve"> 叁 </w:t>
      </w:r>
      <w:r>
        <w:rPr>
          <w:rFonts w:hint="eastAsia" w:ascii="宋体" w:hAnsi="宋体" w:cs="宋体"/>
          <w:bCs/>
          <w:color w:val="000000" w:themeColor="text1"/>
          <w:szCs w:val="21"/>
          <w:highlight w:val="none"/>
          <w14:textFill>
            <w14:solidFill>
              <w14:schemeClr w14:val="tx1"/>
            </w14:solidFill>
          </w14:textFill>
        </w:rPr>
        <w:t xml:space="preserve">份，承包人执</w:t>
      </w:r>
      <w:r>
        <w:rPr>
          <w:rFonts w:hint="eastAsia" w:ascii="宋体" w:hAnsi="宋体" w:cs="宋体"/>
          <w:bCs/>
          <w:color w:val="000000" w:themeColor="text1"/>
          <w:szCs w:val="21"/>
          <w:highlight w:val="none"/>
          <w:u w:val="single"/>
          <w14:textFill>
            <w14:solidFill>
              <w14:schemeClr w14:val="tx1"/>
            </w14:solidFill>
          </w14:textFill>
        </w:rPr>
        <w:t xml:space="preserve"> 叁 </w:t>
      </w:r>
      <w:r>
        <w:rPr>
          <w:rFonts w:hint="eastAsia" w:ascii="宋体" w:hAnsi="宋体" w:cs="宋体"/>
          <w:bCs/>
          <w:color w:val="000000" w:themeColor="text1"/>
          <w:szCs w:val="21"/>
          <w:highlight w:val="none"/>
          <w14:textFill>
            <w14:solidFill>
              <w14:schemeClr w14:val="tx1"/>
            </w14:solidFill>
          </w14:textFill>
        </w:rPr>
        <w:t xml:space="preserve">份，见证方执</w:t>
      </w:r>
      <w:r>
        <w:rPr>
          <w:rFonts w:hint="eastAsia" w:ascii="宋体" w:hAnsi="宋体" w:cs="宋体"/>
          <w:bCs/>
          <w:color w:val="000000" w:themeColor="text1"/>
          <w:szCs w:val="21"/>
          <w:highlight w:val="none"/>
          <w:u w:val="single"/>
          <w14:textFill>
            <w14:solidFill>
              <w14:schemeClr w14:val="tx1"/>
            </w14:solidFill>
          </w14:textFill>
        </w:rPr>
        <w:t xml:space="preserve"> 贰 </w:t>
      </w:r>
      <w:r>
        <w:rPr>
          <w:rFonts w:hint="eastAsia" w:ascii="宋体" w:hAnsi="宋体" w:cs="宋体"/>
          <w:bCs/>
          <w:color w:val="000000" w:themeColor="text1"/>
          <w:szCs w:val="21"/>
          <w:highlight w:val="none"/>
          <w14:textFill>
            <w14:solidFill>
              <w14:schemeClr w14:val="tx1"/>
            </w14:solidFill>
          </w14:textFill>
        </w:rPr>
        <w:t xml:space="preserve">份。</w:t>
      </w:r>
      <w:r/>
    </w:p>
    <w:p>
      <w:pPr>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  (公章)                    承包人：  (公章)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                        法定代表人或</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其委托代理人： （签字或盖章）       其委托代理人：  （签字或盖章）  </w:t>
      </w:r>
      <w:r/>
    </w:p>
    <w:p>
      <w:pPr>
        <w:pStyle w:val="1035"/>
        <w:ind w:firstLine="630"/>
        <w:rPr>
          <w:color w:val="000000" w:themeColor="text1"/>
          <w:highlight w:val="none"/>
          <w14:textFill>
            <w14:solidFill>
              <w14:schemeClr w14:val="tx1"/>
            </w14:solidFill>
          </w14:textFill>
        </w:rPr>
      </w:pPr>
      <w:r>
        <w:rPr>
          <w:rFonts w:hint="eastAsia" w:ascii="宋体" w:hAnsi="宋体" w:cs="宋体"/>
          <w:b w:val="0"/>
          <w:bCs w:val="0"/>
          <w:color w:val="000000" w:themeColor="text1"/>
          <w:sz w:val="21"/>
          <w:szCs w:val="21"/>
          <w:highlight w:val="none"/>
          <w14:textFill>
            <w14:solidFill>
              <w14:schemeClr w14:val="tx1"/>
            </w14:solidFill>
          </w14:textFill>
        </w:rPr>
        <w:t xml:space="preserve">年   月   日                       年   月   日</w:t>
      </w:r>
      <w:r/>
    </w:p>
    <w:p>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见证方：(公章)  </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                  </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其委托代理人： （签字或盖章）</w:t>
      </w:r>
      <w:r/>
    </w:p>
    <w:p>
      <w:pPr>
        <w:ind w:firstLine="630"/>
        <w:jc w:val="center"/>
        <w:spacing w:line="360" w:lineRule="auto"/>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年   月   日</w:t>
      </w:r>
      <w:r>
        <w:rPr>
          <w:rFonts w:hint="eastAsia" w:ascii="宋体" w:hAnsi="宋体" w:cs="宋体"/>
          <w:b/>
          <w:bCs/>
          <w:color w:val="000000" w:themeColor="text1"/>
          <w:sz w:val="32"/>
          <w:szCs w:val="32"/>
          <w:highlight w:val="none"/>
          <w14:textFill>
            <w14:solidFill>
              <w14:schemeClr w14:val="tx1"/>
            </w14:solidFill>
          </w14:textFill>
        </w:rPr>
        <w:br w:type="page" w:clear="all"/>
      </w:r>
      <w:bookmarkStart w:id="57" w:name="_Toc351203494"/>
      <w:r>
        <w:rPr>
          <w:rFonts w:hint="eastAsia" w:ascii="宋体" w:hAnsi="宋体" w:cs="宋体"/>
          <w:color w:val="000000" w:themeColor="text1"/>
          <w:sz w:val="30"/>
          <w:szCs w:val="30"/>
          <w:highlight w:val="none"/>
          <w14:textFill>
            <w14:solidFill>
              <w14:schemeClr w14:val="tx1"/>
            </w14:solidFill>
          </w14:textFill>
        </w:rPr>
        <w:t xml:space="preserve">第二部分 通用合同条款</w:t>
      </w:r>
      <w:bookmarkEnd w:id="57"/>
      <w:r/>
      <w:bookmarkStart w:id="58" w:name="_Toc337558727"/>
      <w:r>
        <w:rPr>
          <w:rFonts w:hint="eastAsia" w:ascii="宋体" w:hAnsi="宋体" w:cs="宋体"/>
          <w:color w:val="000000" w:themeColor="text1"/>
          <w:sz w:val="30"/>
          <w:szCs w:val="30"/>
          <w:highlight w:val="none"/>
          <w14:textFill>
            <w14:solidFill>
              <w14:schemeClr w14:val="tx1"/>
            </w14:solidFill>
          </w14:textFill>
        </w:rPr>
        <w:t xml:space="preserve">（略）</w:t>
      </w:r>
      <w:bookmarkEnd w:id="58"/>
      <w:r/>
      <w:r/>
    </w:p>
    <w:p>
      <w:pPr>
        <w:jc w:val="center"/>
        <w:keepLines/>
        <w:keepNext/>
        <w:spacing w:before="260" w:after="260" w:line="416" w:lineRule="auto"/>
        <w:rPr>
          <w:rFonts w:ascii="宋体" w:hAnsi="宋体" w:cs="宋体"/>
          <w:color w:val="000000" w:themeColor="text1"/>
          <w:sz w:val="24"/>
          <w:szCs w:val="24"/>
          <w:highlight w:val="none"/>
          <w14:textFill>
            <w14:solidFill>
              <w14:schemeClr w14:val="tx1"/>
            </w14:solidFill>
          </w14:textFill>
        </w:rPr>
        <w:outlineLvl w:val="2"/>
      </w:pPr>
      <w:r/>
      <w:bookmarkStart w:id="59" w:name="_Toc351203632"/>
      <w:r>
        <w:rPr>
          <w:rFonts w:hint="eastAsia" w:ascii="宋体" w:hAnsi="宋体" w:cs="宋体"/>
          <w:color w:val="000000" w:themeColor="text1"/>
          <w:sz w:val="24"/>
          <w:szCs w:val="24"/>
          <w:highlight w:val="none"/>
          <w14:textFill>
            <w14:solidFill>
              <w14:schemeClr w14:val="tx1"/>
            </w14:solidFill>
          </w14:textFill>
        </w:rPr>
        <w:t xml:space="preserve">详见建设工程施工合同示范文本（GF—2017—0201）</w:t>
      </w:r>
      <w:r/>
    </w:p>
    <w:p>
      <w:pPr>
        <w:jc w:val="center"/>
        <w:keepLines/>
        <w:keepNext/>
        <w:spacing w:before="260" w:after="260" w:line="416" w:lineRule="auto"/>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spacing w:before="260" w:after="260" w:line="416" w:lineRule="auto"/>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pStyle w:val="1042"/>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pStyle w:val="1042"/>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pStyle w:val="1042"/>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pStyle w:val="1042"/>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keepLines/>
        <w:keepNext/>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rPr>
          <w:rFonts w:ascii="宋体" w:hAnsi="宋体" w:cs="宋体"/>
          <w:color w:val="000000" w:themeColor="text1"/>
          <w:sz w:val="44"/>
          <w:szCs w:val="44"/>
          <w:highlight w:val="none"/>
          <w14:textFill>
            <w14:solidFill>
              <w14:schemeClr w14:val="tx1"/>
            </w14:solidFill>
          </w14:textFill>
        </w:rPr>
      </w:pPr>
      <w:r>
        <w:rPr>
          <w:rFonts w:ascii="宋体" w:hAnsi="宋体" w:cs="宋体"/>
          <w:color w:val="000000" w:themeColor="text1"/>
          <w:sz w:val="44"/>
          <w:szCs w:val="44"/>
          <w:highlight w:val="none"/>
          <w14:textFill>
            <w14:solidFill>
              <w14:schemeClr w14:val="tx1"/>
            </w14:solidFill>
          </w14:textFill>
        </w:rPr>
      </w:r>
      <w:r/>
    </w:p>
    <w:p>
      <w:pPr>
        <w:jc w:val="center"/>
        <w:keepLines/>
        <w:keepNext/>
        <w:rPr>
          <w:rFonts w:ascii="宋体" w:hAnsi="宋体" w:cs="宋体"/>
          <w:color w:val="000000" w:themeColor="text1"/>
          <w:sz w:val="30"/>
          <w:szCs w:val="30"/>
          <w:highlight w:val="none"/>
          <w14:textFill>
            <w14:solidFill>
              <w14:schemeClr w14:val="tx1"/>
            </w14:solidFill>
          </w14:textFill>
        </w:rPr>
        <w:outlineLvl w:val="2"/>
      </w:pPr>
      <w:r>
        <w:rPr>
          <w:rFonts w:hint="eastAsia" w:ascii="宋体" w:hAnsi="宋体" w:cs="宋体"/>
          <w:color w:val="000000" w:themeColor="text1"/>
          <w:sz w:val="30"/>
          <w:szCs w:val="30"/>
          <w:highlight w:val="none"/>
          <w14:textFill>
            <w14:solidFill>
              <w14:schemeClr w14:val="tx1"/>
            </w14:solidFill>
          </w14:textFill>
        </w:rPr>
        <w:t xml:space="preserve">第三部分 专用合同条款</w:t>
      </w:r>
      <w:bookmarkEnd w:id="59"/>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60" w:name="_Toc351203633"/>
      <w:r>
        <w:rPr>
          <w:rFonts w:hint="eastAsia" w:ascii="宋体" w:hAnsi="宋体" w:cs="宋体"/>
          <w:color w:val="000000" w:themeColor="text1"/>
          <w:szCs w:val="21"/>
          <w:highlight w:val="none"/>
          <w14:textFill>
            <w14:solidFill>
              <w14:schemeClr w14:val="tx1"/>
            </w14:solidFill>
          </w14:textFill>
        </w:rPr>
        <w:t xml:space="preserve">1</w:t>
      </w:r>
      <w:bookmarkStart w:id="61" w:name="_Toc296503156"/>
      <w:r/>
      <w:bookmarkStart w:id="62" w:name="_Toc297048342"/>
      <w:r/>
      <w:bookmarkStart w:id="63" w:name="_Toc296346657"/>
      <w:r/>
      <w:bookmarkStart w:id="64" w:name="_Toc296890984"/>
      <w:r/>
      <w:bookmarkStart w:id="65" w:name="_Toc296891196"/>
      <w:r/>
      <w:bookmarkStart w:id="66" w:name="_Toc292559361"/>
      <w:r/>
      <w:bookmarkStart w:id="67" w:name="_Toc297120456"/>
      <w:r/>
      <w:bookmarkStart w:id="68" w:name="_Toc296944495"/>
      <w:r/>
      <w:bookmarkStart w:id="69" w:name="_Toc292559866"/>
      <w:r/>
      <w:bookmarkStart w:id="70" w:name="_Toc296347155"/>
      <w:r>
        <w:rPr>
          <w:rFonts w:hint="eastAsia" w:ascii="宋体" w:hAnsi="宋体" w:cs="宋体"/>
          <w:color w:val="000000" w:themeColor="text1"/>
          <w:szCs w:val="21"/>
          <w:highlight w:val="none"/>
          <w14:textFill>
            <w14:solidFill>
              <w14:schemeClr w14:val="tx1"/>
            </w14:solidFill>
          </w14:textFill>
        </w:rPr>
        <w:t xml:space="preserve">. 一般约定</w:t>
      </w:r>
      <w:bookmarkEnd w:id="60"/>
      <w:r/>
      <w:bookmarkEnd w:id="61"/>
      <w:r/>
      <w:bookmarkEnd w:id="62"/>
      <w:r/>
      <w:bookmarkEnd w:id="63"/>
      <w:r/>
      <w:bookmarkEnd w:id="64"/>
      <w:r/>
      <w:bookmarkEnd w:id="65"/>
      <w:r/>
      <w:bookmarkEnd w:id="66"/>
      <w:r/>
      <w:bookmarkEnd w:id="67"/>
      <w:r/>
      <w:bookmarkEnd w:id="68"/>
      <w:r/>
      <w:bookmarkEnd w:id="69"/>
      <w:r/>
      <w:bookmarkEnd w:id="70"/>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 词语定义</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1.1.1合同</w:t>
      </w:r>
      <w:r/>
    </w:p>
    <w:p>
      <w:pPr>
        <w:ind w:firstLine="420"/>
        <w:jc w:val="left"/>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1.1.1.10 其他合同文件包括：</w:t>
      </w:r>
      <w:r>
        <w:rPr>
          <w:rFonts w:hint="eastAsia" w:ascii="宋体" w:hAnsi="宋体" w:cs="宋体"/>
          <w:color w:val="000000" w:themeColor="text1"/>
          <w:szCs w:val="21"/>
          <w:highlight w:val="none"/>
          <w:u w:val="single"/>
          <w14:textFill>
            <w14:solidFill>
              <w14:schemeClr w14:val="tx1"/>
            </w14:solidFill>
          </w14:textFill>
        </w:rPr>
        <w:t xml:space="preserve">本合同协议书、 通用条款、专用条款、中标通知书、招标文件及其附件、投标文件及其附件、双方确认的工程量清单及报价、标准、规范及有关技术文件、施工图纸等。</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 合同当事人及其他相关方</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1.1.2.4 监理人：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1.1.2.5 设计人：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资质类别和等级：</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 工程和设备</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1.1.3.7 作为施工现场组成部分的其他场所包括：</w:t>
      </w:r>
      <w:r>
        <w:rPr>
          <w:rFonts w:hint="eastAsia" w:ascii="宋体" w:hAnsi="宋体" w:cs="宋体"/>
          <w:color w:val="000000" w:themeColor="text1"/>
          <w:szCs w:val="21"/>
          <w:highlight w:val="none"/>
          <w:u w:val="single"/>
          <w14:textFill>
            <w14:solidFill>
              <w14:schemeClr w14:val="tx1"/>
            </w14:solidFill>
          </w14:textFill>
        </w:rPr>
        <w:t xml:space="preserve">发包人、监理、跟踪审计等非施工方办公、生活区域等。</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1.1.3.9 永久占地包括：</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1.1.3.10 临时占地包括：</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 法律 </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适用于合同的其他规范性文件：</w:t>
      </w:r>
      <w:r>
        <w:rPr>
          <w:rFonts w:hint="eastAsia" w:ascii="宋体" w:hAnsi="宋体" w:cs="宋体"/>
          <w:bCs/>
          <w:color w:val="000000" w:themeColor="text1"/>
          <w:szCs w:val="21"/>
          <w:highlight w:val="none"/>
          <w:u w:val="single"/>
          <w14:textFill>
            <w14:solidFill>
              <w14:schemeClr w14:val="tx1"/>
            </w14:solidFill>
          </w14:textFill>
        </w:rPr>
        <w:t xml:space="preserve">《中华人民共和国民法典》、《中华人民共和国建筑法》、《建设工程质量管理条例》、《工程建设标准强制性条文》、国家现行的施工、验收规范及扬州现行质量、安全生产管理条例等。</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 标准和规范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 适用于工程的标准规范包括：</w:t>
      </w:r>
      <w:r>
        <w:rPr>
          <w:rFonts w:hint="eastAsia" w:ascii="宋体" w:hAnsi="宋体" w:cs="宋体"/>
          <w:color w:val="000000" w:themeColor="text1"/>
          <w:spacing w:val="-7"/>
          <w:szCs w:val="21"/>
          <w:highlight w:val="none"/>
          <w:u w:val="single"/>
          <w14:textFill>
            <w14:solidFill>
              <w14:schemeClr w14:val="tx1"/>
            </w14:solidFill>
          </w14:textFill>
        </w:rPr>
        <w:t xml:space="preserve">国家现行标准、规范，与工程相关的现行</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pacing w:val="-2"/>
          <w:szCs w:val="21"/>
          <w:highlight w:val="none"/>
          <w:u w:val="single"/>
          <w14:textFill>
            <w14:solidFill>
              <w14:schemeClr w14:val="tx1"/>
            </w14:solidFill>
          </w14:textFill>
        </w:rPr>
        <w:t xml:space="preserve">图集、施工说明，江苏省、扬州市现行标准、规范。</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 发包人提供国外标准、规范的名称: </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发包人提供国外标准、规范的份数：</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发包人提供国外标准、规范的名称：</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1.4.3 发包人对工程的技术标准和功能要求的特殊要求：</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 合同文件的优先顺序</w:t>
      </w:r>
      <w:r/>
    </w:p>
    <w:p>
      <w:pPr>
        <w:ind w:firstLine="420"/>
        <w:jc w:val="left"/>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合同文件组成及优先顺序为：</w:t>
      </w:r>
      <w:r>
        <w:rPr>
          <w:rFonts w:hint="eastAsia" w:ascii="宋体" w:hAnsi="宋体" w:cs="宋体"/>
          <w:bCs/>
          <w:color w:val="000000" w:themeColor="text1"/>
          <w:szCs w:val="21"/>
          <w:highlight w:val="none"/>
          <w:u w:val="single"/>
          <w14:textFill>
            <w14:solidFill>
              <w14:schemeClr w14:val="tx1"/>
            </w14:solidFill>
          </w14:textFill>
        </w:rPr>
        <w:t xml:space="preserve">（1）本合同协议书；（2）中标通知书；（3）招标文件及其附件；（4）投标文件及其附件；（5）本合同专用条款；（6）本合同通用条款；（7）标准、规范及有关技术文件；（8）施工图纸。</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 图纸和承包人文件</w:t>
      </w:r>
      <w:r>
        <w:rPr>
          <w:rFonts w:hint="eastAsia" w:ascii="宋体" w:hAnsi="宋体" w:cs="宋体"/>
          <w:color w:val="000000" w:themeColor="text1"/>
          <w:szCs w:val="21"/>
          <w:highlight w:val="none"/>
          <w14:textFill>
            <w14:solidFill>
              <w14:schemeClr w14:val="tx1"/>
            </w14:solidFill>
          </w14:textFill>
        </w:rPr>
        <w:tab/>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 图纸的提供</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发包人向承包人提供图纸的期限：</w:t>
      </w:r>
      <w:r>
        <w:rPr>
          <w:rFonts w:hint="eastAsia" w:ascii="宋体" w:hAnsi="宋体" w:cs="宋体"/>
          <w:bCs/>
          <w:color w:val="000000" w:themeColor="text1"/>
          <w:szCs w:val="21"/>
          <w:highlight w:val="none"/>
          <w:u w:val="single"/>
          <w14:textFill>
            <w14:solidFill>
              <w14:schemeClr w14:val="tx1"/>
            </w14:solidFill>
          </w14:textFill>
        </w:rPr>
        <w:t xml:space="preserve">签订合同后叁天内提供；</w:t>
      </w:r>
      <w:r/>
    </w:p>
    <w:p>
      <w:pPr>
        <w:ind w:firstLine="315"/>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发包人向承包人提供图纸的数量：</w:t>
      </w:r>
      <w:r>
        <w:rPr>
          <w:rFonts w:hint="eastAsia" w:ascii="宋体" w:hAnsi="宋体" w:cs="宋体"/>
          <w:bCs/>
          <w:color w:val="000000" w:themeColor="text1"/>
          <w:szCs w:val="21"/>
          <w:highlight w:val="none"/>
          <w:u w:val="single"/>
          <w14:textFill>
            <w14:solidFill>
              <w14:schemeClr w14:val="tx1"/>
            </w14:solidFill>
          </w14:textFill>
        </w:rPr>
        <w:t xml:space="preserve">免费提供承包人3套，承包人需要更多复印件时，应自行解决，费用自理；</w:t>
      </w:r>
      <w:r/>
    </w:p>
    <w:p>
      <w:pPr>
        <w:pStyle w:val="1043"/>
        <w:ind w:firstLine="420"/>
        <w:spacing w:line="360" w:lineRule="auto"/>
        <w:rPr>
          <w:rFonts w:hAnsi="宋体" w:cs="宋体"/>
          <w:bCs/>
          <w:color w:val="000000" w:themeColor="text1"/>
          <w:sz w:val="21"/>
          <w:szCs w:val="21"/>
          <w:highlight w:val="none"/>
          <w:u w:val="single"/>
          <w14:textFill>
            <w14:solidFill>
              <w14:schemeClr w14:val="tx1"/>
            </w14:solidFill>
          </w14:textFill>
        </w:rPr>
        <w:outlineLvl w:val="0"/>
      </w:pPr>
      <w:r/>
      <w:bookmarkStart w:id="71" w:name="_Toc28220"/>
      <w:r/>
      <w:bookmarkStart w:id="72" w:name="_Toc5817"/>
      <w:r>
        <w:rPr>
          <w:rFonts w:hint="eastAsia" w:hAnsi="宋体" w:cs="宋体"/>
          <w:color w:val="000000" w:themeColor="text1"/>
          <w:sz w:val="21"/>
          <w:szCs w:val="21"/>
          <w:highlight w:val="none"/>
          <w14:textFill>
            <w14:solidFill>
              <w14:schemeClr w14:val="tx1"/>
            </w14:solidFill>
          </w14:textFill>
        </w:rPr>
        <w:t xml:space="preserve">发包人向承包人提供图纸的内容：</w:t>
      </w:r>
      <w:r>
        <w:rPr>
          <w:rFonts w:hint="eastAsia" w:hAnsi="宋体" w:cs="宋体"/>
          <w:bCs/>
          <w:color w:val="000000" w:themeColor="text1"/>
          <w:sz w:val="21"/>
          <w:szCs w:val="21"/>
          <w:highlight w:val="none"/>
          <w:u w:val="single"/>
          <w14:textFill>
            <w14:solidFill>
              <w14:schemeClr w14:val="tx1"/>
            </w14:solidFill>
          </w14:textFill>
        </w:rPr>
        <w:t xml:space="preserve">全套施工及相应配套图纸。</w:t>
      </w:r>
      <w:bookmarkEnd w:id="71"/>
      <w:r/>
      <w:bookmarkEnd w:id="7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 承包人文件</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需要由承包人提供的文件，包括：</w:t>
      </w:r>
      <w:r>
        <w:rPr>
          <w:rFonts w:hint="eastAsia" w:ascii="宋体" w:hAnsi="宋体" w:cs="宋体"/>
          <w:bCs/>
          <w:color w:val="000000" w:themeColor="text1"/>
          <w:szCs w:val="21"/>
          <w:highlight w:val="none"/>
          <w:u w:val="single"/>
          <w14:textFill>
            <w14:solidFill>
              <w14:schemeClr w14:val="tx1"/>
            </w14:solidFill>
          </w14:textFill>
        </w:rPr>
        <w:t xml:space="preserve">项目管理部成员表、已标价的工程量清单、施工组织设计（施工管理、质量管理、安全管理、文明施工组织网络）、专项施工方案、工程进度计划、已完成工程量月报表、竣工图、竣工结算</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承包人提供的文件的期限为：</w:t>
      </w:r>
      <w:r>
        <w:rPr>
          <w:rFonts w:hint="eastAsia" w:ascii="宋体" w:hAnsi="宋体" w:cs="宋体"/>
          <w:bCs/>
          <w:color w:val="000000" w:themeColor="text1"/>
          <w:szCs w:val="21"/>
          <w:highlight w:val="none"/>
          <w:u w:val="single"/>
          <w14:textFill>
            <w14:solidFill>
              <w14:schemeClr w14:val="tx1"/>
            </w14:solidFill>
          </w14:textFill>
        </w:rPr>
        <w:t xml:space="preserve">承包人在开工前提交工程施工总进度计划，并应当按照发包人要求向工程师提供当月工程进度统计表和下月计划，每周向工程师提供周计划</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承包人提供的文件的数量为：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u w:val="single"/>
          <w14:textFill>
            <w14:solidFill>
              <w14:schemeClr w14:val="tx1"/>
            </w14:solidFill>
          </w14:textFill>
        </w:rPr>
        <w:t xml:space="preserve">五份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承包人提供的文件的形式为：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u w:val="single"/>
          <w14:textFill>
            <w14:solidFill>
              <w14:schemeClr w14:val="tx1"/>
            </w14:solidFill>
          </w14:textFill>
        </w:rPr>
        <w:t xml:space="preserve">书面及电子版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发包人审批承包人文件的期限：</w:t>
      </w:r>
      <w:r>
        <w:rPr>
          <w:rFonts w:hint="eastAsia" w:ascii="宋体" w:hAnsi="宋体" w:cs="宋体"/>
          <w:color w:val="000000" w:themeColor="text1"/>
          <w:szCs w:val="21"/>
          <w:highlight w:val="none"/>
          <w:u w:val="single"/>
          <w14:textFill>
            <w14:solidFill>
              <w14:schemeClr w14:val="tx1"/>
            </w14:solidFill>
          </w14:textFill>
        </w:rPr>
        <w:t xml:space="preserve">    7天  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1.6.5 现场图纸准备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关于现场图纸准备的约定：</w:t>
      </w:r>
      <w:r>
        <w:rPr>
          <w:rFonts w:hint="eastAsia" w:ascii="宋体" w:hAnsi="宋体" w:cs="宋体"/>
          <w:bCs/>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 联络</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1.7.1发包人和承包人应当在</w:t>
      </w:r>
      <w:r>
        <w:rPr>
          <w:rFonts w:hint="eastAsia" w:ascii="宋体" w:hAnsi="宋体" w:cs="宋体"/>
          <w:color w:val="000000" w:themeColor="text1"/>
          <w:szCs w:val="21"/>
          <w:highlight w:val="none"/>
          <w:u w:val="singl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 发包人接收文件的地点：</w:t>
      </w:r>
      <w:r>
        <w:rPr>
          <w:rFonts w:hint="eastAsia" w:ascii="宋体" w:hAnsi="宋体" w:cs="宋体"/>
          <w:color w:val="000000" w:themeColor="text1"/>
          <w:szCs w:val="21"/>
          <w:highlight w:val="none"/>
          <w:u w:val="single"/>
          <w14:textFill>
            <w14:solidFill>
              <w14:schemeClr w14:val="tx1"/>
            </w14:solidFill>
          </w14:textFill>
        </w:rPr>
        <w:t xml:space="preserve">工地现场办公室</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发包人指定的接收人为：</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承包人接收文件的地点：</w:t>
      </w:r>
      <w:r>
        <w:rPr>
          <w:rFonts w:hint="eastAsia" w:ascii="宋体" w:hAnsi="宋体" w:cs="宋体"/>
          <w:color w:val="000000" w:themeColor="text1"/>
          <w:szCs w:val="21"/>
          <w:highlight w:val="none"/>
          <w:u w:val="single"/>
          <w14:textFill>
            <w14:solidFill>
              <w14:schemeClr w14:val="tx1"/>
            </w14:solidFill>
          </w14:textFill>
        </w:rPr>
        <w:t xml:space="preserve">施工现场承包人办公室</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承包人指定的接收人为：</w:t>
      </w:r>
      <w:r>
        <w:rPr>
          <w:rFonts w:hint="eastAsia" w:ascii="宋体" w:hAnsi="宋体" w:cs="宋体"/>
          <w:color w:val="000000" w:themeColor="text1"/>
          <w:szCs w:val="21"/>
          <w:highlight w:val="none"/>
          <w:u w:val="singl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监理人接收文件的地点：</w:t>
      </w:r>
      <w:r>
        <w:rPr>
          <w:rFonts w:hint="eastAsia" w:ascii="宋体" w:hAnsi="宋体" w:cs="宋体"/>
          <w:color w:val="000000" w:themeColor="text1"/>
          <w:szCs w:val="21"/>
          <w:highlight w:val="none"/>
          <w:u w:val="single"/>
          <w14:textFill>
            <w14:solidFill>
              <w14:schemeClr w14:val="tx1"/>
            </w14:solidFill>
          </w14:textFill>
        </w:rPr>
        <w:t xml:space="preserve">施工工地现场办公室</w:t>
      </w:r>
      <w:r>
        <w:rPr>
          <w:rFonts w:hint="eastAsia" w:ascii="宋体" w:hAnsi="宋体" w:cs="宋体"/>
          <w:color w:val="000000" w:themeColor="text1"/>
          <w:szCs w:val="21"/>
          <w:highlight w:val="none"/>
          <w14:textFill>
            <w14:solidFill>
              <w14:schemeClr w14:val="tx1"/>
            </w14:solidFill>
          </w14:textFill>
        </w:rPr>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监理人指定的接收人为：</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 交通运输</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73" w:name="_Toc300934943"/>
      <w:r/>
      <w:bookmarkStart w:id="74" w:name="_Toc318581155"/>
      <w:r/>
      <w:bookmarkStart w:id="75" w:name="_Toc312677986"/>
      <w:r/>
      <w:bookmarkStart w:id="76" w:name="_Toc304295521"/>
      <w:r/>
      <w:bookmarkStart w:id="77" w:name="_Toc303539100"/>
      <w:r>
        <w:rPr>
          <w:rFonts w:hint="eastAsia" w:ascii="宋体" w:hAnsi="宋体" w:cs="宋体"/>
          <w:color w:val="000000" w:themeColor="text1"/>
          <w:szCs w:val="21"/>
          <w:highlight w:val="none"/>
          <w14:textFill>
            <w14:solidFill>
              <w14:schemeClr w14:val="tx1"/>
            </w14:solidFill>
          </w14:textFill>
        </w:rPr>
        <w:t xml:space="preserve">.10.1 出入现场的权利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关于出入现场的权利的约定：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73"/>
      <w:r/>
      <w:bookmarkEnd w:id="74"/>
      <w:r/>
      <w:bookmarkEnd w:id="75"/>
      <w:r/>
      <w:bookmarkEnd w:id="76"/>
      <w:r/>
      <w:bookmarkEnd w:id="77"/>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78" w:name="_Toc304295522"/>
      <w:r/>
      <w:bookmarkStart w:id="79" w:name="_Toc300934944"/>
      <w:r/>
      <w:bookmarkStart w:id="80" w:name="_Toc312677987"/>
      <w:r/>
      <w:bookmarkStart w:id="81" w:name="_Toc318581156"/>
      <w:r/>
      <w:bookmarkStart w:id="82" w:name="_Toc303539101"/>
      <w:r>
        <w:rPr>
          <w:rFonts w:hint="eastAsia" w:ascii="宋体" w:hAnsi="宋体" w:cs="宋体"/>
          <w:color w:val="000000" w:themeColor="text1"/>
          <w:szCs w:val="21"/>
          <w:highlight w:val="none"/>
          <w14:textFill>
            <w14:solidFill>
              <w14:schemeClr w14:val="tx1"/>
            </w14:solidFill>
          </w14:textFill>
        </w:rPr>
        <w:t xml:space="preserve">.10.3 场内交通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关于场外交通和场内交通的边界的约定：</w:t>
      </w:r>
      <w:r>
        <w:rPr>
          <w:rFonts w:hint="eastAsia" w:ascii="宋体" w:hAnsi="宋体" w:cs="宋体"/>
          <w:color w:val="000000" w:themeColor="text1"/>
          <w:szCs w:val="21"/>
          <w:highlight w:val="none"/>
          <w:u w:val="single"/>
          <w14:textFill>
            <w14:solidFill>
              <w14:schemeClr w14:val="tx1"/>
            </w14:solidFill>
          </w14:textFill>
        </w:rPr>
        <w:t xml:space="preserve">  规划红线图   </w:t>
      </w:r>
      <w:r>
        <w:rPr>
          <w:rFonts w:hint="eastAsia" w:ascii="宋体" w:hAnsi="宋体" w:cs="宋体"/>
          <w:color w:val="000000" w:themeColor="text1"/>
          <w:szCs w:val="21"/>
          <w:highlight w:val="none"/>
          <w14:textFill>
            <w14:solidFill>
              <w14:schemeClr w14:val="tx1"/>
            </w14:solidFill>
          </w14:textFill>
        </w:rPr>
        <w:t xml:space="preserve"> </w:t>
      </w:r>
      <w:bookmarkEnd w:id="78"/>
      <w:r/>
      <w:bookmarkEnd w:id="79"/>
      <w:r/>
      <w:bookmarkEnd w:id="80"/>
      <w:r/>
      <w:bookmarkEnd w:id="81"/>
      <w:r/>
      <w:bookmarkEnd w:id="82"/>
      <w:r/>
      <w:bookmarkStart w:id="83" w:name="_Toc318581157"/>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关于发包人向承包人免费提供满足工程施工需要的场内道路和交通设施的约定：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1.10.4 超大件和超重件的运输</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运输超大件或超重件所需的道路和桥梁临时加固改造费用和其他有关费用由</w:t>
      </w:r>
      <w:r>
        <w:rPr>
          <w:rFonts w:hint="eastAsia" w:ascii="宋体" w:hAnsi="宋体" w:cs="宋体"/>
          <w:color w:val="000000" w:themeColor="text1"/>
          <w:szCs w:val="21"/>
          <w:highlight w:val="none"/>
          <w:u w:val="single"/>
          <w14:textFill>
            <w14:solidFill>
              <w14:schemeClr w14:val="tx1"/>
            </w14:solidFill>
          </w14:textFill>
        </w:rPr>
        <w:t xml:space="preserve">承包人</w:t>
      </w:r>
      <w:r>
        <w:rPr>
          <w:rFonts w:hint="eastAsia" w:ascii="宋体" w:hAnsi="宋体" w:cs="宋体"/>
          <w:color w:val="000000" w:themeColor="text1"/>
          <w:szCs w:val="21"/>
          <w:highlight w:val="none"/>
          <w14:textFill>
            <w14:solidFill>
              <w14:schemeClr w14:val="tx1"/>
            </w14:solidFill>
          </w14:textFill>
        </w:rPr>
        <w:t xml:space="preserve">承担。</w:t>
      </w:r>
      <w:bookmarkEnd w:id="83"/>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 知识产权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1.11.1 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关于发包人提供的上述文件的使用限制的要求：</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1.11.2 关于承包人为实施工程所编制文件的著作权的归属：</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关于承包人提供的上述文件使用限制的要求</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1.11.4 承包人在施工过程中所采用的专利、专有技术、技术秘密的使用费的承担方式：</w:t>
      </w:r>
      <w:r>
        <w:rPr>
          <w:rFonts w:hint="eastAsia" w:ascii="宋体" w:hAnsi="宋体" w:cs="宋体"/>
          <w:color w:val="000000" w:themeColor="text1"/>
          <w:szCs w:val="21"/>
          <w:highlight w:val="none"/>
          <w:u w:val="single"/>
          <w14:textFill>
            <w14:solidFill>
              <w14:schemeClr w14:val="tx1"/>
            </w14:solidFill>
          </w14:textFill>
        </w:rPr>
        <w:t xml:space="preserve">   已含在报价内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1.13 工程量清单错误的修正</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出现工程量清单错误时，是否调整合同价格：</w:t>
      </w:r>
      <w:r>
        <w:rPr>
          <w:rFonts w:hint="eastAsia" w:ascii="宋体" w:hAnsi="宋体" w:cs="宋体"/>
          <w:color w:val="000000" w:themeColor="text1"/>
          <w:szCs w:val="21"/>
          <w:highlight w:val="none"/>
          <w:u w:val="single"/>
          <w14:textFill>
            <w14:solidFill>
              <w14:schemeClr w14:val="tx1"/>
            </w14:solidFill>
          </w14:textFill>
        </w:rPr>
        <w:t xml:space="preserve"> 出现下列情形之一时，发包人应予以修正，并相应调整合同价格：</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84" w:name="_Toc351203634"/>
      <w:r>
        <w:rPr>
          <w:rFonts w:hint="eastAsia" w:ascii="宋体" w:hAnsi="宋体" w:cs="宋体"/>
          <w:color w:val="000000" w:themeColor="text1"/>
          <w:szCs w:val="21"/>
          <w:highlight w:val="none"/>
          <w14:textFill>
            <w14:solidFill>
              <w14:schemeClr w14:val="tx1"/>
            </w14:solidFill>
          </w14:textFill>
        </w:rPr>
        <w:t xml:space="preserve">（1）工程量清单存在缺项、漏项的； </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（2）工程量清单偏差超出专用合同条款约定的工程量偏差范围的； </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（3）未按照国家现行计量规范强制性规定计量的。</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允许调整合同价格的工程量偏差范围：合同履行期间，因非承包人原因引起分部分项工程量增减，当工程量清单项目工程量的变化幅度超过 15%。综合单价可进行调整。调整原则：由承包人根据工程资料、计量规则和计价办法、工程造价管理机构发布的信息价格和承包人报价浮动率提出变更工程项目的单价，并报监理、跟踪审计和发包人确认后调整，承包人报价浮动率＝【1-(中标价-暂估价-暂列金额)/(招标控制价-暂估价-暂列金额)】*100%，工程造价管理机构发布的信息价格缺项的，应通过市场调查等取得有合法依据的市扬价格。</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2</w:t>
      </w:r>
      <w:bookmarkStart w:id="85" w:name="_Toc296347156"/>
      <w:r/>
      <w:bookmarkStart w:id="86" w:name="_Toc297120457"/>
      <w:r/>
      <w:bookmarkStart w:id="87" w:name="_Toc296503157"/>
      <w:r/>
      <w:bookmarkStart w:id="88" w:name="_Toc296890985"/>
      <w:r/>
      <w:bookmarkStart w:id="89" w:name="_Toc296944496"/>
      <w:r/>
      <w:bookmarkStart w:id="90" w:name="_Toc292559362"/>
      <w:r/>
      <w:bookmarkStart w:id="91" w:name="_Toc296346658"/>
      <w:r/>
      <w:bookmarkStart w:id="92" w:name="_Toc292559867"/>
      <w:r/>
      <w:bookmarkStart w:id="93" w:name="_Toc297048343"/>
      <w:r/>
      <w:bookmarkStart w:id="94" w:name="_Toc296891197"/>
      <w:r>
        <w:rPr>
          <w:rFonts w:hint="eastAsia" w:ascii="宋体" w:hAnsi="宋体" w:cs="宋体"/>
          <w:color w:val="000000" w:themeColor="text1"/>
          <w:szCs w:val="21"/>
          <w:highlight w:val="none"/>
          <w14:textFill>
            <w14:solidFill>
              <w14:schemeClr w14:val="tx1"/>
            </w14:solidFill>
          </w14:textFill>
        </w:rPr>
        <w:t xml:space="preserve">. 发包人</w:t>
      </w:r>
      <w:bookmarkEnd w:id="84"/>
      <w:r/>
      <w:bookmarkEnd w:id="85"/>
      <w:r/>
      <w:bookmarkEnd w:id="86"/>
      <w:r/>
      <w:bookmarkEnd w:id="87"/>
      <w:r/>
      <w:bookmarkEnd w:id="88"/>
      <w:r/>
      <w:bookmarkEnd w:id="89"/>
      <w:r/>
      <w:bookmarkEnd w:id="90"/>
      <w:r/>
      <w:bookmarkEnd w:id="91"/>
      <w:r/>
      <w:bookmarkEnd w:id="92"/>
      <w:r/>
      <w:bookmarkEnd w:id="93"/>
      <w:r/>
      <w:bookmarkEnd w:id="94"/>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 发包人代表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发包人代表：</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    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发包人对发包人代表的授权范围如下：</w:t>
      </w:r>
      <w:r>
        <w:rPr>
          <w:rFonts w:hint="eastAsia" w:ascii="宋体" w:hAnsi="宋体" w:cs="宋体"/>
          <w:color w:val="000000" w:themeColor="text1"/>
          <w:szCs w:val="21"/>
          <w:highlight w:val="none"/>
          <w:u w:val="single"/>
          <w14:textFill>
            <w14:solidFill>
              <w14:schemeClr w14:val="tx1"/>
            </w14:solidFill>
          </w14:textFill>
        </w:rPr>
        <w:t xml:space="preserve">工程变更签发、工程价款调整的审核、工期顺延的审核，核发开工通知、缓建指令，工程款支付审批权，更换或清退不符合要求的施工管理及技术人员。</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 施工现场、施工条件和基础资料的提供</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2.4.1 提供施工现场</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outlineLvl w:val="0"/>
      </w:pPr>
      <w:r/>
      <w:bookmarkStart w:id="95" w:name="_Toc4805"/>
      <w:r/>
      <w:bookmarkStart w:id="96" w:name="_Toc12164"/>
      <w:r>
        <w:rPr>
          <w:rFonts w:hint="eastAsia" w:hAnsi="宋体" w:cs="宋体"/>
          <w:color w:val="000000" w:themeColor="text1"/>
          <w:sz w:val="21"/>
          <w:szCs w:val="21"/>
          <w:highlight w:val="none"/>
          <w14:textFill>
            <w14:solidFill>
              <w14:schemeClr w14:val="tx1"/>
            </w14:solidFill>
          </w14:textFill>
        </w:rPr>
        <w:t xml:space="preserve">关于发包人移交施工现场的期限要求：</w:t>
      </w:r>
      <w:r>
        <w:rPr>
          <w:rFonts w:hint="eastAsia" w:hAnsi="宋体" w:cs="宋体"/>
          <w:color w:val="000000" w:themeColor="text1"/>
          <w:sz w:val="21"/>
          <w:szCs w:val="21"/>
          <w:highlight w:val="none"/>
          <w:u w:val="single"/>
          <w14:textFill>
            <w14:solidFill>
              <w14:schemeClr w14:val="tx1"/>
            </w14:solidFill>
          </w14:textFill>
        </w:rPr>
        <w:t xml:space="preserve">施工现场已具备开工条件，投标人踏勘现场时已确认。</w:t>
      </w:r>
      <w:bookmarkEnd w:id="95"/>
      <w:r/>
      <w:bookmarkEnd w:id="9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2.4.2 提供施工条件</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关于发包人应负责提供施工所需要的条件，包括：</w:t>
      </w:r>
      <w:r>
        <w:rPr>
          <w:rFonts w:hint="eastAsia" w:ascii="宋体" w:hAnsi="宋体" w:cs="宋体"/>
          <w:color w:val="000000" w:themeColor="text1"/>
          <w:szCs w:val="21"/>
          <w:highlight w:val="none"/>
          <w:u w:val="single"/>
          <w14:textFill>
            <w14:solidFill>
              <w14:schemeClr w14:val="tx1"/>
            </w14:solidFill>
          </w14:textFill>
        </w:rPr>
        <w:t xml:space="preserve"> 施工所需的水、电、电讯线路接至施工场地，施工场地与公共道路的通道开通，工程地质和地下管线资料的提供，将水准点、坐标控制点提交承包人（水准点、坐标控制点交验完毕，即由承包人应自费负责保护，此后由于破坏或失准带来的重新测量、放点费用及由此造成的其他损失均由承包人负担），办理施工所需证件、批件的名称和完成时间（开工前由承包人协助发包人办理，不能影响开工）等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 资金来源证明及支付担保</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发包人提供资金来源证明的期限要求：</w:t>
      </w:r>
      <w:r>
        <w:rPr>
          <w:rFonts w:hint="eastAsia" w:ascii="宋体" w:hAnsi="宋体" w:cs="宋体"/>
          <w:color w:val="000000" w:themeColor="text1"/>
          <w:szCs w:val="21"/>
          <w:highlight w:val="none"/>
          <w:u w:val="single"/>
          <w14:textFill>
            <w14:solidFill>
              <w14:schemeClr w14:val="tx1"/>
            </w14:solidFill>
          </w14:textFill>
        </w:rPr>
        <w:t xml:space="preserve">已落实。</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发包人是否提供支付担保：</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发包人提供支付担保的形式：</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97" w:name="_Toc351203635"/>
      <w:r>
        <w:rPr>
          <w:rFonts w:hint="eastAsia" w:ascii="宋体" w:hAnsi="宋体" w:cs="宋体"/>
          <w:color w:val="000000" w:themeColor="text1"/>
          <w:szCs w:val="21"/>
          <w:highlight w:val="none"/>
          <w14:textFill>
            <w14:solidFill>
              <w14:schemeClr w14:val="tx1"/>
            </w14:solidFill>
          </w14:textFill>
        </w:rPr>
        <w:t xml:space="preserve">3</w:t>
      </w:r>
      <w:bookmarkStart w:id="98" w:name="_Toc296891198"/>
      <w:r/>
      <w:bookmarkStart w:id="99" w:name="_Toc292559868"/>
      <w:r/>
      <w:bookmarkStart w:id="100" w:name="_Toc296347157"/>
      <w:r/>
      <w:bookmarkStart w:id="101" w:name="_Toc292559363"/>
      <w:r/>
      <w:bookmarkStart w:id="102" w:name="_Toc296503158"/>
      <w:r/>
      <w:bookmarkStart w:id="103" w:name="_Toc297120458"/>
      <w:r/>
      <w:bookmarkStart w:id="104" w:name="_Toc296944497"/>
      <w:r/>
      <w:bookmarkStart w:id="105" w:name="_Toc296346659"/>
      <w:r/>
      <w:bookmarkStart w:id="106" w:name="_Toc297048344"/>
      <w:r/>
      <w:bookmarkStart w:id="107" w:name="_Toc296890986"/>
      <w:r>
        <w:rPr>
          <w:rFonts w:hint="eastAsia" w:ascii="宋体" w:hAnsi="宋体" w:cs="宋体"/>
          <w:color w:val="000000" w:themeColor="text1"/>
          <w:szCs w:val="21"/>
          <w:highlight w:val="none"/>
          <w14:textFill>
            <w14:solidFill>
              <w14:schemeClr w14:val="tx1"/>
            </w14:solidFill>
          </w14:textFill>
        </w:rPr>
        <w:t xml:space="preserve">. 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 承包人的一般义务</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（9）承包人提交的竣工资料的内容及时间：</w:t>
      </w:r>
      <w:r>
        <w:rPr>
          <w:rFonts w:hint="eastAsia" w:ascii="宋体" w:hAnsi="宋体" w:cs="宋体"/>
          <w:color w:val="000000" w:themeColor="text1"/>
          <w:szCs w:val="21"/>
          <w:highlight w:val="none"/>
          <w:u w:val="single"/>
          <w14:textFill>
            <w14:solidFill>
              <w14:schemeClr w14:val="tx1"/>
            </w14:solidFill>
          </w14:textFill>
        </w:rPr>
        <w:t xml:space="preserve">竣工验收后三十日内承包人提供符合城建档案馆要求的竣工图三套（费用由中标人支付）,竣工资料三套（原件资料），并确保资料准确。否则，每迟一天，每日向发包人支付违约金500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承包人需要提交的竣工资料套数：</w:t>
      </w:r>
      <w:r>
        <w:rPr>
          <w:rFonts w:hint="eastAsia" w:ascii="宋体" w:hAnsi="宋体" w:cs="宋体"/>
          <w:color w:val="000000" w:themeColor="text1"/>
          <w:szCs w:val="21"/>
          <w:highlight w:val="none"/>
          <w:u w:val="single"/>
          <w14:textFill>
            <w14:solidFill>
              <w14:schemeClr w14:val="tx1"/>
            </w14:solidFill>
          </w14:textFill>
        </w:rPr>
        <w:t xml:space="preserve">         三套          </w:t>
      </w:r>
      <w:r/>
    </w:p>
    <w:p>
      <w:pPr>
        <w:ind w:firstLine="420"/>
        <w:jc w:val="left"/>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承包人提交的竣工资料的费用承担:</w:t>
      </w:r>
      <w:r>
        <w:rPr>
          <w:rFonts w:hint="eastAsia" w:ascii="宋体" w:hAnsi="宋体" w:cs="宋体"/>
          <w:color w:val="000000" w:themeColor="text1"/>
          <w:szCs w:val="21"/>
          <w:highlight w:val="none"/>
          <w:u w:val="single"/>
          <w14:textFill>
            <w14:solidFill>
              <w14:schemeClr w14:val="tx1"/>
            </w14:solidFill>
          </w14:textFill>
        </w:rPr>
        <w:t xml:space="preserve"> 费用由承包人自行承担</w:t>
      </w:r>
      <w:r>
        <w:rPr>
          <w:rFonts w:hint="eastAsia" w:ascii="宋体" w:hAnsi="宋体" w:cs="宋体"/>
          <w:b/>
          <w:color w:val="000000" w:themeColor="text1"/>
          <w:szCs w:val="21"/>
          <w:highlight w:val="none"/>
          <w:u w:val="singl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承包人提交的竣工资料形式要求：</w:t>
      </w:r>
      <w:r>
        <w:rPr>
          <w:rFonts w:hint="eastAsia" w:ascii="宋体" w:hAnsi="宋体" w:cs="宋体"/>
          <w:color w:val="000000" w:themeColor="text1"/>
          <w:szCs w:val="21"/>
          <w:highlight w:val="none"/>
          <w:u w:val="single"/>
          <w14:textFill>
            <w14:solidFill>
              <w14:schemeClr w14:val="tx1"/>
            </w14:solidFill>
          </w14:textFill>
        </w:rPr>
        <w:t xml:space="preserve">      书面及电子档     </w:t>
      </w:r>
      <w:r/>
    </w:p>
    <w:p>
      <w:pPr>
        <w:pStyle w:val="104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（10）承包人应履行的其他义务：承包人应按约定时间和要求，完成以下工作： </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①</w:t>
      </w:r>
      <w:r>
        <w:rPr>
          <w:rFonts w:hint="eastAsia" w:hAnsi="宋体" w:cs="宋体"/>
          <w:color w:val="000000" w:themeColor="text1"/>
          <w:sz w:val="21"/>
          <w:szCs w:val="21"/>
          <w:highlight w:val="none"/>
          <w:u w:val="single"/>
          <w14:textFill>
            <w14:solidFill>
              <w14:schemeClr w14:val="tx1"/>
            </w14:solidFill>
          </w14:textFill>
        </w:rPr>
        <w:t xml:space="preserve">投标前承包人应充分踏勘现场，报价中应包括承包人所需用的已有施工单位水、电等的一切配合费用，发包人不再因此发生任何费用。</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②承担施工安全保卫工作及非夜间施工照明的责任和要求：</w:t>
      </w:r>
      <w:r>
        <w:rPr>
          <w:rFonts w:hint="eastAsia" w:hAnsi="宋体" w:cs="宋体"/>
          <w:color w:val="000000" w:themeColor="text1"/>
          <w:sz w:val="21"/>
          <w:szCs w:val="21"/>
          <w:highlight w:val="none"/>
          <w:u w:val="single"/>
          <w14:textFill>
            <w14:solidFill>
              <w14:schemeClr w14:val="tx1"/>
            </w14:solidFill>
          </w14:textFill>
        </w:rPr>
        <w:t xml:space="preserve">承包人承担现场的安全、保卫、照明等责任和费用；在开工前必须对施工现场进行封闭并按实际现场需要，提供施工安全保卫工作及施工照明等，否则，所造成的一切责任均由承包人负责。</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outlineLvl w:val="0"/>
      </w:pPr>
      <w:r/>
      <w:bookmarkStart w:id="108" w:name="_Toc18575"/>
      <w:r/>
      <w:bookmarkStart w:id="109" w:name="_Toc25150"/>
      <w:r>
        <w:rPr>
          <w:rFonts w:hint="eastAsia" w:hAnsi="宋体" w:cs="宋体"/>
          <w:color w:val="000000" w:themeColor="text1"/>
          <w:sz w:val="21"/>
          <w:szCs w:val="21"/>
          <w:highlight w:val="none"/>
          <w14:textFill>
            <w14:solidFill>
              <w14:schemeClr w14:val="tx1"/>
            </w14:solidFill>
          </w14:textFill>
        </w:rPr>
        <w:t xml:space="preserve">③向发包人提供的办公和生活房屋及设施的要求：</w:t>
      </w:r>
      <w:r>
        <w:rPr>
          <w:rFonts w:hint="eastAsia" w:hAnsi="宋体" w:cs="宋体"/>
          <w:color w:val="000000" w:themeColor="text1"/>
          <w:sz w:val="21"/>
          <w:szCs w:val="21"/>
          <w:highlight w:val="none"/>
          <w:u w:val="single"/>
          <w14:textFill>
            <w14:solidFill>
              <w14:schemeClr w14:val="tx1"/>
            </w14:solidFill>
          </w14:textFill>
        </w:rPr>
        <w:t xml:space="preserve">承包人应按照发包人要求，免费提供相关办公设施。</w:t>
      </w:r>
      <w:bookmarkEnd w:id="108"/>
      <w:r/>
      <w:bookmarkEnd w:id="109"/>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④需承包人办理的有关施工场地交通、环卫环保和施工噪音管理等手续：</w:t>
      </w:r>
      <w:r>
        <w:rPr>
          <w:rFonts w:hint="eastAsia" w:hAnsi="宋体" w:cs="宋体"/>
          <w:color w:val="000000" w:themeColor="text1"/>
          <w:sz w:val="21"/>
          <w:szCs w:val="21"/>
          <w:highlight w:val="none"/>
          <w:u w:val="single"/>
          <w14:textFill>
            <w14:solidFill>
              <w14:schemeClr w14:val="tx1"/>
            </w14:solidFill>
          </w14:textFill>
        </w:rPr>
        <w:t xml:space="preserve">承包人自行办理有关施工场地交通、城管、环卫和施工噪音管理等手续，不得影响施工工期，并严格按照扬州市城市管理的有关规定以及安全文明施工要求进行施工。现场临时通道按总平面图部署，同时服从发包人的现场调整。</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⑤已完工程成品保护的特殊要求及费用承担：成品保护涉及的所有费用已含在报价中，发包人不再另行支付。工程交付使用前承包人自己发生的损坏或因承包人保护实施不当而产生的第三方成品（半成品）的损坏均由承包人自己负责。</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⑥施工场地周围地下管线和邻近建筑物、构筑物（含文物保护建筑）、古树名木的保护要求及费用承担：承包人负责按照相关规定要求做好施工场地周围地下管线和邻近建筑物、构筑物（含文物保护建筑）、古树名木的保护要求。自行承担相关费用。</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⑦施工场地清洁卫生的要</w:t>
      </w:r>
      <w:r>
        <w:rPr>
          <w:rFonts w:hint="eastAsia" w:hAnsi="宋体" w:cs="宋体"/>
          <w:color w:val="000000" w:themeColor="text1"/>
          <w:sz w:val="21"/>
          <w:szCs w:val="21"/>
          <w:highlight w:val="none"/>
          <w:u w:val="single"/>
          <w14:textFill>
            <w14:solidFill>
              <w14:schemeClr w14:val="tx1"/>
            </w14:solidFill>
          </w14:textFill>
        </w:rPr>
        <w:t xml:space="preserve">求：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⑧承包人必须严格按《扬府办发【2014】34号》文件要求全面做好施工现场及土方临时堆放场地的扬尘控制工作，相关费用投标时综合考虑。承包人应采取控制措施使施工现场达到市环保和政府其它部门对建筑工地的要求，避免伤害或妨碍公众及周围环境，如因妨碍或伤害造成的行政处罚等其它赔偿均由承包人承担。</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⑨承包人应在临街交通道路附近、施工现场等危险场所搭设安全防护设施，确保施工安全和第三者的安全，承担由于自身安全措施不力造成事故的责任和所发生费用。</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⑩因承包人原因造成的任何事故或工伤（包括第三者人员在内）所发生的依法应该支付的损失、赔偿费、补偿费用等责任由承包人承担，同时承包人应按有关规定立即上报有关部门并通知发包人和监理人，由此给发包人带来的任何影响，均由承包人承担。</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⑪承包人对现场作业和施工安全承担全部责任，承担造成的一切损失；</w:t>
      </w:r>
      <w:r/>
    </w:p>
    <w:p>
      <w:pPr>
        <w:pStyle w:val="104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⑫本工程所用水、电由承包人统一挂表管理，水电费用按实结算，均由承包人承担并及时缴纳给供电公司和自来水公司。</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⑬</w:t>
      </w:r>
      <w:r>
        <w:rPr>
          <w:rFonts w:hint="eastAsia" w:hAnsi="宋体" w:cs="宋体"/>
          <w:color w:val="000000" w:themeColor="text1"/>
          <w:sz w:val="21"/>
          <w:szCs w:val="21"/>
          <w:highlight w:val="none"/>
          <w:u w:val="single"/>
          <w14:textFill>
            <w14:solidFill>
              <w14:schemeClr w14:val="tx1"/>
            </w14:solidFill>
          </w14:textFill>
        </w:rPr>
        <w:t xml:space="preserve">承包人须积极配合业主、监理人协调解决施工现场、周边及外部矛盾，不得以外部矛盾作为工期不能完成的理由。</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⑭</w:t>
      </w:r>
      <w:r>
        <w:rPr>
          <w:rFonts w:hint="eastAsia" w:hAnsi="宋体" w:cs="宋体"/>
          <w:color w:val="000000" w:themeColor="text1"/>
          <w:sz w:val="21"/>
          <w:szCs w:val="21"/>
          <w:highlight w:val="none"/>
          <w:u w:val="single"/>
          <w14:textFill>
            <w14:solidFill>
              <w14:schemeClr w14:val="tx1"/>
            </w14:solidFill>
          </w14:textFill>
        </w:rPr>
        <w:t xml:space="preserve">承包人负责做好迎接各类现场检查的配合工作，相关费用在投标中综合考虑。</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 项目经理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 项目经理：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建造师执业资格等级：</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建造师注册证书号：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建造师执业印章号：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安全生产考核合格证书号：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left="63" w:right="63" w:firstLine="46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承包人对项目经理的授权范围如下：</w:t>
      </w:r>
      <w:r>
        <w:rPr>
          <w:rFonts w:hint="eastAsia" w:ascii="宋体" w:hAnsi="宋体" w:cs="宋体"/>
          <w:color w:val="000000" w:themeColor="text1"/>
          <w:szCs w:val="21"/>
          <w:highlight w:val="none"/>
          <w:u w:val="single"/>
          <w14:textFill>
            <w14:solidFill>
              <w14:schemeClr w14:val="tx1"/>
            </w14:solidFill>
          </w14:textFill>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p>
    <w:p>
      <w:pPr>
        <w:ind w:firstLine="420"/>
        <w:jc w:val="left"/>
        <w:spacing w:line="360" w:lineRule="auto"/>
        <w:rPr>
          <w:rFonts w:ascii="宋体" w:hAnsi="宋体" w:cs="宋体"/>
          <w:b/>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关于项目经理每月在施工现场的时间要求：</w:t>
      </w:r>
      <w:r>
        <w:rPr>
          <w:rFonts w:hint="eastAsia" w:ascii="宋体" w:hAnsi="宋体" w:cs="宋体"/>
          <w:color w:val="000000" w:themeColor="text1"/>
          <w:szCs w:val="21"/>
          <w:highlight w:val="none"/>
          <w:u w:val="single"/>
          <w14:textFill>
            <w14:solidFill>
              <w14:schemeClr w14:val="tx1"/>
            </w14:solidFill>
          </w14:textFill>
        </w:rPr>
        <w:t xml:space="preserve">项目经理每周至少6天，每天不少于7小时，工地例会等必须参加。项目施工过程中，项目经理必须全程在场组织施工，因特殊原因不得到岗的需事先得到发包人同意。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承包人未提交劳动合同，以及没有为项目经理缴纳社会保险证明的违约责任：</w:t>
      </w:r>
      <w:r>
        <w:rPr>
          <w:rFonts w:hint="eastAsia" w:ascii="宋体" w:hAnsi="宋体" w:cs="宋体"/>
          <w:color w:val="000000" w:themeColor="text1"/>
          <w:szCs w:val="21"/>
          <w:highlight w:val="none"/>
          <w:u w:val="single"/>
          <w14:textFill>
            <w14:solidFill>
              <w14:schemeClr w14:val="tx1"/>
            </w14:solidFill>
          </w14:textFill>
        </w:rPr>
        <w:t xml:space="preserve">根据现行法律法规对承包人进行罚款，并上报行政主管部门，并保留解除合同的权利。</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项目经理未经批准，擅自离开施工现场的违约责任：</w:t>
      </w:r>
      <w:r>
        <w:rPr>
          <w:rFonts w:hint="eastAsia" w:ascii="宋体" w:hAnsi="宋体" w:cs="宋体"/>
          <w:color w:val="000000" w:themeColor="text1"/>
          <w:szCs w:val="21"/>
          <w:highlight w:val="none"/>
          <w:u w:val="single"/>
          <w14:textFill>
            <w14:solidFill>
              <w14:schemeClr w14:val="tx1"/>
            </w14:solidFill>
          </w14:textFill>
        </w:rPr>
        <w:t xml:space="preserve">中标项目经理和项目技术负责人在施工阶段未经发包人或监理人认可，不在工地现场，发包人有权处以罚款 2000 元/天，连续 5 天或一个月内累计 10 天不在现场，发包人有权终止合同，并依法追究承包人造成的损失，同时报相应的建设主管部门处理。投标文件中其他项目管理人员不到位或不能胜任其岗位，发包人有权要求承包人更换并处以相应罚款。</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3.2.3 承包人擅自更换项目经理的违约责任：</w:t>
      </w:r>
      <w:r>
        <w:rPr>
          <w:rFonts w:hint="eastAsia" w:ascii="宋体" w:hAnsi="宋体" w:cs="宋体"/>
          <w:color w:val="000000" w:themeColor="text1"/>
          <w:szCs w:val="21"/>
          <w:highlight w:val="none"/>
          <w:u w:val="single"/>
          <w14:textFill>
            <w14:solidFill>
              <w14:schemeClr w14:val="tx1"/>
            </w14:solidFill>
          </w14:textFill>
        </w:rPr>
        <w:t xml:space="preserve">实际进入施工现场组织施工的项目经理必须是投标项目经理，施工过程中不得更换。如果更换项目经理，须符合《扬州市建设工程项目经理管理暂行办法》第十二条规定的情形，并对其处以 5 万元/次的经济处罚，且所更换的项目经理资质等级及所完成工程业绩等不得低于原通过资格审查的项目经理相应条件，并征得发包人书面同意。</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3.2.4 承包人无正当理由拒绝更换项目经理的违约责任：</w:t>
      </w:r>
      <w:r>
        <w:rPr>
          <w:rFonts w:hint="eastAsia" w:ascii="宋体" w:hAnsi="宋体" w:cs="宋体"/>
          <w:color w:val="000000" w:themeColor="text1"/>
          <w:szCs w:val="21"/>
          <w:highlight w:val="none"/>
          <w:u w:val="single"/>
          <w14:textFill>
            <w14:solidFill>
              <w14:schemeClr w14:val="tx1"/>
            </w14:solidFill>
          </w14:textFill>
        </w:rPr>
        <w:t xml:space="preserve">发包人有权解除合同，并依法追究承包人造成的损失，同时报相应的建设主管部门处理。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 承包人人员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3.3.1 承包人提交项目管理机构及施工现场管理人员安排报告的期限：</w:t>
      </w:r>
      <w:r>
        <w:rPr>
          <w:rFonts w:hint="eastAsia" w:ascii="宋体" w:hAnsi="宋体" w:cs="宋体"/>
          <w:color w:val="000000" w:themeColor="text1"/>
          <w:szCs w:val="21"/>
          <w:highlight w:val="none"/>
          <w:u w:val="single"/>
          <w14:textFill>
            <w14:solidFill>
              <w14:schemeClr w14:val="tx1"/>
            </w14:solidFill>
          </w14:textFill>
        </w:rPr>
        <w:t xml:space="preserve">开工前三天。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3.3.3 承包人无正当理由拒绝撤换主要施工管理人员的违约责任：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发包人及工程师有权要求承包人立即从工程中撤换在发包人、项目管理或监理人看来行为不轨或在履行其职责时不能胜任、玩忽职守的人员及发包人、项目管理或监理人认为其在现场出现是不适宜的人员。被要求撤换的人员应从速替换，无发包人的批准不得重新进入现场工作。所更换的人员的资质等级及所完成工程业绩等不得低于原通过资格审查的相应条件，并征得发包人书面同意。承包人无正当理由拒绝更换主要管理人员，每一人次处罚 2-10 万元；必要时，发包人有权解除合同，并依法追究承包人造成的损失，同时报相应的建设主管部门处理。</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3.3.4 承包人主要施工管理人员离开施工现场的批准要求：</w:t>
      </w:r>
      <w:r>
        <w:rPr>
          <w:rFonts w:hint="eastAsia" w:ascii="宋体" w:hAnsi="宋体" w:cs="宋体"/>
          <w:color w:val="000000" w:themeColor="text1"/>
          <w:szCs w:val="21"/>
          <w:highlight w:val="none"/>
          <w:u w:val="single"/>
          <w14:textFill>
            <w14:solidFill>
              <w14:schemeClr w14:val="tx1"/>
            </w14:solidFill>
          </w14:textFill>
        </w:rPr>
        <w:t xml:space="preserve">报项目经理、监理及发包人代表批准。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3.3.5 承包人擅自更换主要施工管理人员的违约责任：</w:t>
      </w:r>
      <w:r>
        <w:rPr>
          <w:rFonts w:hint="eastAsia" w:ascii="宋体" w:hAnsi="宋体" w:cs="宋体"/>
          <w:color w:val="000000" w:themeColor="text1"/>
          <w:szCs w:val="21"/>
          <w:highlight w:val="none"/>
          <w:u w:val="single"/>
          <w14:textFill>
            <w14:solidFill>
              <w14:schemeClr w14:val="tx1"/>
            </w14:solidFill>
          </w14:textFill>
        </w:rPr>
        <w:t xml:space="preserve">发包人有权解除合同，并依法追究承包人造成的损失，同时报相应的建设主管部门处理。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承包人主要施工管理人员擅自离开施工现场的违约责任：</w:t>
      </w:r>
      <w:r>
        <w:rPr>
          <w:rFonts w:hint="eastAsia" w:ascii="宋体" w:hAnsi="宋体" w:cs="宋体"/>
          <w:color w:val="000000" w:themeColor="text1"/>
          <w:szCs w:val="21"/>
          <w:highlight w:val="none"/>
          <w:u w:val="single"/>
          <w14:textFill>
            <w14:solidFill>
              <w14:schemeClr w14:val="tx1"/>
            </w14:solidFill>
          </w14:textFill>
        </w:rPr>
        <w:t xml:space="preserve">未经发包人批准，严禁脱岗或离岗，如有发生，每次罚款500元/人/次，连续3次不在现场，发包人有权要求更换人员，必要时可解除合同，承包人承担所有责任。</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bookmarkStart w:id="110" w:name="_Toc296503159"/>
      <w:r/>
      <w:bookmarkStart w:id="111" w:name="_Toc312677988"/>
      <w:r/>
      <w:bookmarkStart w:id="112" w:name="_Toc297123492"/>
      <w:r/>
      <w:bookmarkStart w:id="113" w:name="_Toc292559869"/>
      <w:r/>
      <w:bookmarkStart w:id="114" w:name="_Toc296890987"/>
      <w:r/>
      <w:bookmarkStart w:id="115" w:name="_Toc297216151"/>
      <w:r/>
      <w:bookmarkStart w:id="116" w:name="_Toc296944498"/>
      <w:r/>
      <w:bookmarkStart w:id="117" w:name="_Toc297048345"/>
      <w:r/>
      <w:bookmarkStart w:id="118" w:name="_Toc303539102"/>
      <w:r/>
      <w:bookmarkStart w:id="119" w:name="_Toc296891199"/>
      <w:r/>
      <w:bookmarkStart w:id="120" w:name="_Toc300934945"/>
      <w:r/>
      <w:bookmarkStart w:id="121" w:name="_Toc297120459"/>
      <w:r/>
      <w:bookmarkStart w:id="122" w:name="_Toc296347158"/>
      <w:r/>
      <w:bookmarkStart w:id="123" w:name="_Toc304295523"/>
      <w:r/>
      <w:bookmarkStart w:id="124" w:name="_Toc292559364"/>
      <w:r/>
      <w:bookmarkStart w:id="125" w:name="_Toc296346660"/>
      <w:r>
        <w:rPr>
          <w:rFonts w:hint="eastAsia" w:ascii="宋体" w:hAnsi="宋体" w:cs="宋体"/>
          <w:color w:val="000000" w:themeColor="text1"/>
          <w:szCs w:val="21"/>
          <w:highlight w:val="none"/>
          <w14:textFill>
            <w14:solidFill>
              <w14:schemeClr w14:val="tx1"/>
            </w14:solidFill>
          </w14:textFill>
        </w:rPr>
        <w:t xml:space="preserve">.5 分包</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bookmarkStart w:id="126" w:name="_Toc303539103"/>
      <w:r/>
      <w:bookmarkStart w:id="127" w:name="_Toc300934946"/>
      <w:r/>
      <w:bookmarkStart w:id="128" w:name="_Toc297120460"/>
      <w:r/>
      <w:bookmarkStart w:id="129" w:name="_Toc296503160"/>
      <w:r/>
      <w:bookmarkStart w:id="130" w:name="_Toc296891200"/>
      <w:r/>
      <w:bookmarkStart w:id="131" w:name="_Toc304295524"/>
      <w:r/>
      <w:bookmarkStart w:id="132" w:name="_Toc292559870"/>
      <w:r/>
      <w:bookmarkStart w:id="133" w:name="_Toc296347159"/>
      <w:r/>
      <w:bookmarkStart w:id="134" w:name="_Toc296346661"/>
      <w:r/>
      <w:bookmarkStart w:id="135" w:name="_Toc292559365"/>
      <w:r/>
      <w:bookmarkStart w:id="136" w:name="_Toc296944499"/>
      <w:r/>
      <w:bookmarkStart w:id="137" w:name="_Toc297123493"/>
      <w:r/>
      <w:bookmarkStart w:id="138" w:name="_Toc297048346"/>
      <w:r/>
      <w:bookmarkStart w:id="139" w:name="_Toc296890988"/>
      <w:r/>
      <w:bookmarkStart w:id="140" w:name="_Toc297216152"/>
      <w:r/>
      <w:bookmarkStart w:id="141" w:name="_Toc312677989"/>
      <w:r/>
      <w:bookmarkStart w:id="142" w:name="_Toc318581158"/>
      <w:r>
        <w:rPr>
          <w:rFonts w:hint="eastAsia" w:ascii="宋体" w:hAnsi="宋体" w:cs="宋体"/>
          <w:color w:val="000000" w:themeColor="text1"/>
          <w:szCs w:val="21"/>
          <w:highlight w:val="none"/>
          <w14:textFill>
            <w14:solidFill>
              <w14:schemeClr w14:val="tx1"/>
            </w14:solidFill>
          </w14:textFill>
        </w:rPr>
        <w:t xml:space="preserve">.5.1 分包的一般约定</w:t>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bookmarkStart w:id="143" w:name="_Toc296347160"/>
      <w:r/>
      <w:bookmarkStart w:id="144" w:name="_Toc300934947"/>
      <w:r/>
      <w:bookmarkStart w:id="145" w:name="_Toc296346662"/>
      <w:r/>
      <w:bookmarkStart w:id="146" w:name="_Toc303539104"/>
      <w:r/>
      <w:bookmarkStart w:id="147" w:name="_Toc297216153"/>
      <w:r/>
      <w:bookmarkStart w:id="148" w:name="_Toc296890989"/>
      <w:r/>
      <w:bookmarkStart w:id="149" w:name="_Toc296503161"/>
      <w:r/>
      <w:bookmarkStart w:id="150" w:name="_Toc304295525"/>
      <w:r/>
      <w:bookmarkStart w:id="151" w:name="_Toc297123494"/>
      <w:r/>
      <w:bookmarkStart w:id="152" w:name="_Toc296944500"/>
      <w:r/>
      <w:bookmarkStart w:id="153" w:name="_Toc296891201"/>
      <w:r/>
      <w:bookmarkStart w:id="154" w:name="_Toc297120461"/>
      <w:r/>
      <w:bookmarkStart w:id="155" w:name="_Toc297048347"/>
      <w:r>
        <w:rPr>
          <w:rFonts w:hint="eastAsia" w:ascii="宋体" w:hAnsi="宋体" w:cs="宋体"/>
          <w:color w:val="000000" w:themeColor="text1"/>
          <w:szCs w:val="21"/>
          <w:highlight w:val="none"/>
          <w14:textFill>
            <w14:solidFill>
              <w14:schemeClr w14:val="tx1"/>
            </w14:solidFill>
          </w14:textFill>
        </w:rPr>
        <w:t xml:space="preserve">禁止分包的工程包括：</w:t>
      </w:r>
      <w:r>
        <w:rPr>
          <w:rFonts w:hint="eastAsia" w:ascii="宋体" w:hAnsi="宋体" w:cs="宋体"/>
          <w:color w:val="000000" w:themeColor="text1"/>
          <w:szCs w:val="21"/>
          <w:highlight w:val="none"/>
          <w:u w:val="single"/>
          <w14:textFill>
            <w14:solidFill>
              <w14:schemeClr w14:val="tx1"/>
            </w14:solidFill>
          </w14:textFill>
        </w:rPr>
        <w:t xml:space="preserve">本工程不允许分包（渣土外运除外），否则一切后果由承包人承担。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主体结构、关键性工作的范围：</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bookmarkStart w:id="156" w:name="_Toc312677990"/>
      <w:r/>
      <w:bookmarkStart w:id="157" w:name="_Toc318581159"/>
      <w:r>
        <w:rPr>
          <w:rFonts w:hint="eastAsia" w:ascii="宋体" w:hAnsi="宋体" w:cs="宋体"/>
          <w:color w:val="000000" w:themeColor="text1"/>
          <w:szCs w:val="21"/>
          <w:highlight w:val="none"/>
          <w14:textFill>
            <w14:solidFill>
              <w14:schemeClr w14:val="tx1"/>
            </w14:solidFill>
          </w14:textFill>
        </w:rPr>
        <w:t xml:space="preserve"> 3.5.2 分包的确定</w:t>
      </w:r>
      <w:r/>
    </w:p>
    <w:p>
      <w:pPr>
        <w:ind w:left="63" w:right="63"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允许分包的专业工程包括：</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其他关于分包的约定：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3.5.4 分包合同价款</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关于分包合同价款支付的约定：</w:t>
      </w:r>
      <w:r>
        <w:rPr>
          <w:rFonts w:hint="eastAsia" w:ascii="宋体" w:hAnsi="宋体" w:cs="宋体"/>
          <w:color w:val="000000" w:themeColor="text1"/>
          <w:szCs w:val="21"/>
          <w:highlight w:val="none"/>
          <w:u w:val="single"/>
          <w14:textFill>
            <w14:solidFill>
              <w14:schemeClr w14:val="tx1"/>
            </w14:solidFill>
          </w14:textFill>
        </w:rPr>
        <w:t xml:space="preserve">   /   </w:t>
      </w:r>
      <w:bookmarkEnd w:id="156"/>
      <w:r/>
      <w:bookmarkEnd w:id="157"/>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 工程照管与成品、半成品保护</w:t>
      </w:r>
      <w:r/>
    </w:p>
    <w:p>
      <w:pPr>
        <w:ind w:firstLine="420"/>
        <w:jc w:val="left"/>
        <w:spacing w:before="120" w:after="120"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承包人负责照管工程及工程相关的材料、工程设备的起始时间：</w:t>
      </w:r>
      <w:r>
        <w:rPr>
          <w:rFonts w:hint="eastAsia" w:ascii="宋体" w:hAnsi="宋体" w:cs="宋体"/>
          <w:color w:val="000000" w:themeColor="text1"/>
          <w:szCs w:val="21"/>
          <w:highlight w:val="none"/>
          <w:u w:val="single"/>
          <w14:textFill>
            <w14:solidFill>
              <w14:schemeClr w14:val="tx1"/>
            </w14:solidFill>
          </w14:textFill>
        </w:rPr>
        <w:t xml:space="preserve">从承包人进场起至移交工程予发包人止。</w:t>
      </w:r>
      <w:bookmarkStart w:id="158" w:name="_Toc351203636"/>
      <w:r/>
      <w:r/>
    </w:p>
    <w:p>
      <w:pPr>
        <w:pStyle w:val="1048"/>
        <w:ind w:firstLine="525"/>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3.7 履约担保</w:t>
      </w:r>
      <w:r/>
    </w:p>
    <w:p>
      <w:pPr>
        <w:pStyle w:val="1048"/>
        <w:ind w:firstLine="420"/>
        <w:spacing w:line="360" w:lineRule="auto"/>
        <w:rPr>
          <w:rFonts w:hint="eastAsia"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承包人是否提供履约担保：</w:t>
      </w:r>
      <w:r>
        <w:rPr>
          <w:rFonts w:hint="eastAsia" w:ascii="宋体" w:hAnsi="宋体"/>
          <w:color w:val="000000" w:themeColor="text1"/>
          <w:sz w:val="21"/>
          <w:szCs w:val="21"/>
          <w:highlight w:val="none"/>
          <w:u w:val="single"/>
          <w14:textFill>
            <w14:solidFill>
              <w14:schemeClr w14:val="tx1"/>
            </w14:solidFill>
          </w14:textFill>
        </w:rPr>
        <w:t xml:space="preserve">是</w:t>
      </w:r>
      <w:r>
        <w:rPr>
          <w:rFonts w:hint="eastAsia" w:ascii="宋体" w:hAnsi="宋体"/>
          <w:color w:val="000000" w:themeColor="text1"/>
          <w:sz w:val="21"/>
          <w:szCs w:val="21"/>
          <w:highlight w:val="none"/>
          <w:u w:val="single"/>
          <w:lang w:eastAsia="zh-CN"/>
          <w14:textFill>
            <w14:solidFill>
              <w14:schemeClr w14:val="tx1"/>
            </w14:solidFill>
          </w14:textFill>
        </w:rPr>
        <w:t xml:space="preserve">，</w:t>
      </w:r>
      <w:r>
        <w:rPr>
          <w:rFonts w:hint="eastAsia" w:ascii="宋体" w:hAnsi="宋体"/>
          <w:color w:val="000000" w:themeColor="text1"/>
          <w:sz w:val="21"/>
          <w:szCs w:val="21"/>
          <w:highlight w:val="none"/>
          <w:u w:val="single"/>
          <w14:textFill>
            <w14:solidFill>
              <w14:schemeClr w14:val="tx1"/>
            </w14:solidFill>
          </w14:textFill>
        </w:rPr>
        <w:t xml:space="preserve">合同价的5%。</w:t>
      </w:r>
      <w:r/>
    </w:p>
    <w:p>
      <w:pPr>
        <w:pStyle w:val="1048"/>
        <w:ind w:firstLine="420"/>
        <w:spacing w:line="360" w:lineRule="auto"/>
        <w:rPr>
          <w:rFonts w:hint="eastAsia" w:ascii="宋体" w:hAnsi="宋体"/>
          <w:color w:val="000000" w:themeColor="text1"/>
          <w:sz w:val="21"/>
          <w:szCs w:val="21"/>
          <w:highlight w:val="none"/>
          <w:u w:val="single"/>
          <w:lang w:eastAsia="zh-CN"/>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履约担保的形式：</w:t>
      </w:r>
      <w:r>
        <w:rPr>
          <w:rFonts w:hint="eastAsia" w:ascii="宋体" w:hAnsi="宋体"/>
          <w:color w:val="000000" w:themeColor="text1"/>
          <w:sz w:val="21"/>
          <w:szCs w:val="21"/>
          <w:highlight w:val="none"/>
          <w:u w:val="single"/>
          <w14:textFill>
            <w14:solidFill>
              <w14:schemeClr w14:val="tx1"/>
            </w14:solidFill>
          </w14:textFill>
        </w:rPr>
        <w:t xml:space="preserve">保函或银行转账</w:t>
      </w:r>
      <w:r>
        <w:rPr>
          <w:rFonts w:hint="eastAsia" w:ascii="宋体" w:hAnsi="宋体"/>
          <w:color w:val="000000" w:themeColor="text1"/>
          <w:sz w:val="21"/>
          <w:szCs w:val="21"/>
          <w:highlight w:val="none"/>
          <w:u w:val="single"/>
          <w:lang w:val="en-US" w:eastAsia="zh-CN"/>
          <w14:textFill>
            <w14:solidFill>
              <w14:schemeClr w14:val="tx1"/>
            </w14:solidFill>
          </w14:textFill>
        </w:rPr>
        <w:t xml:space="preserve">等</w:t>
      </w:r>
      <w:r>
        <w:rPr>
          <w:rFonts w:hint="eastAsia" w:ascii="宋体" w:hAnsi="宋体"/>
          <w:color w:val="000000" w:themeColor="text1"/>
          <w:sz w:val="21"/>
          <w:szCs w:val="21"/>
          <w:highlight w:val="none"/>
          <w:u w:val="single"/>
          <w:lang w:eastAsia="zh-CN"/>
          <w14:textFill>
            <w14:solidFill>
              <w14:schemeClr w14:val="tx1"/>
            </w14:solidFill>
          </w14:textFill>
        </w:rPr>
        <w:t xml:space="preserve">。</w:t>
      </w:r>
      <w:r/>
    </w:p>
    <w:p>
      <w:pPr>
        <w:pStyle w:val="1048"/>
        <w:ind w:firstLine="420"/>
        <w:spacing w:line="360" w:lineRule="auto"/>
        <w:rPr>
          <w:rFonts w:hint="eastAsia" w:ascii="宋体" w:hAnsi="宋体" w:eastAsia="宋体"/>
          <w:color w:val="000000" w:themeColor="text1"/>
          <w:sz w:val="21"/>
          <w:szCs w:val="21"/>
          <w:highlight w:val="none"/>
          <w:u w:val="single"/>
          <w:lang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支付担保的形式：</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保函等形式</w:t>
      </w:r>
      <w:r>
        <w:rPr>
          <w:rFonts w:hint="eastAsia" w:ascii="宋体" w:hAnsi="宋体" w:eastAsia="宋体" w:cs="Times New Roman"/>
          <w:color w:val="000000" w:themeColor="text1"/>
          <w:sz w:val="21"/>
          <w:szCs w:val="21"/>
          <w:highlight w:val="none"/>
          <w:u w:val="single"/>
          <w:lang w:eastAsia="zh-CN"/>
          <w14:textFill>
            <w14:solidFill>
              <w14:schemeClr w14:val="tx1"/>
            </w14:solidFill>
          </w14:textFill>
        </w:rPr>
        <w:t xml:space="preserve">。</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4</w:t>
      </w:r>
      <w:bookmarkStart w:id="159" w:name="_Toc296346663"/>
      <w:r/>
      <w:bookmarkStart w:id="160" w:name="_Toc297048348"/>
      <w:r/>
      <w:bookmarkStart w:id="161" w:name="_Toc296347161"/>
      <w:r/>
      <w:bookmarkStart w:id="162" w:name="_Toc292559366"/>
      <w:r/>
      <w:bookmarkStart w:id="163" w:name="_Toc297120462"/>
      <w:r/>
      <w:bookmarkStart w:id="164" w:name="_Toc296944501"/>
      <w:r/>
      <w:bookmarkStart w:id="165" w:name="_Toc292559871"/>
      <w:r/>
      <w:bookmarkStart w:id="166" w:name="_Toc296890990"/>
      <w:r/>
      <w:bookmarkStart w:id="167" w:name="_Toc267251413"/>
      <w:r/>
      <w:bookmarkStart w:id="168" w:name="_Toc296891202"/>
      <w:r/>
      <w:bookmarkStart w:id="169" w:name="_Toc296503162"/>
      <w:r>
        <w:rPr>
          <w:rFonts w:hint="eastAsia" w:ascii="宋体" w:hAnsi="宋体" w:cs="宋体"/>
          <w:color w:val="000000" w:themeColor="text1"/>
          <w:szCs w:val="21"/>
          <w:highlight w:val="none"/>
          <w14:textFill>
            <w14:solidFill>
              <w14:schemeClr w14:val="tx1"/>
            </w14:solidFill>
          </w14:textFill>
        </w:rPr>
        <w:t xml:space="preserve">. 监</w:t>
      </w:r>
      <w:bookmarkEnd w:id="159"/>
      <w:r/>
      <w:bookmarkEnd w:id="160"/>
      <w:r/>
      <w:bookmarkEnd w:id="161"/>
      <w:r/>
      <w:bookmarkEnd w:id="162"/>
      <w:r/>
      <w:bookmarkEnd w:id="163"/>
      <w:r/>
      <w:bookmarkEnd w:id="164"/>
      <w:r/>
      <w:bookmarkEnd w:id="165"/>
      <w:r/>
      <w:bookmarkEnd w:id="166"/>
      <w:r/>
      <w:bookmarkEnd w:id="167"/>
      <w:r/>
      <w:bookmarkEnd w:id="168"/>
      <w:r/>
      <w:bookmarkEnd w:id="169"/>
      <w:r>
        <w:rPr>
          <w:rFonts w:hint="eastAsia" w:ascii="宋体" w:hAnsi="宋体" w:cs="宋体"/>
          <w:color w:val="000000" w:themeColor="text1"/>
          <w:szCs w:val="21"/>
          <w:highlight w:val="none"/>
          <w14:textFill>
            <w14:solidFill>
              <w14:schemeClr w14:val="tx1"/>
            </w14:solidFill>
          </w14:textFill>
        </w:rPr>
        <w:t xml:space="preserve">理人</w:t>
      </w:r>
      <w:bookmarkEnd w:id="158"/>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 监理人的一般规定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关于监理人的监理内容：</w:t>
      </w:r>
      <w:r>
        <w:rPr>
          <w:rFonts w:hint="eastAsia" w:ascii="宋体" w:hAnsi="宋体" w:cs="宋体"/>
          <w:color w:val="000000" w:themeColor="text1"/>
          <w:szCs w:val="21"/>
          <w:highlight w:val="none"/>
          <w:u w:val="single"/>
          <w14:textFill>
            <w14:solidFill>
              <w14:schemeClr w14:val="tx1"/>
            </w14:solidFill>
          </w14:textFill>
        </w:rPr>
        <w:t xml:space="preserve">见监理合同。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关于监理人的监理权限：</w:t>
      </w:r>
      <w:r>
        <w:rPr>
          <w:rFonts w:hint="eastAsia" w:ascii="宋体" w:hAnsi="宋体" w:cs="宋体"/>
          <w:color w:val="000000" w:themeColor="text1"/>
          <w:szCs w:val="21"/>
          <w:highlight w:val="none"/>
          <w:u w:val="single"/>
          <w14:textFill>
            <w14:solidFill>
              <w14:schemeClr w14:val="tx1"/>
            </w14:solidFill>
          </w14:textFill>
        </w:rPr>
        <w:t xml:space="preserve">受发包人委托对工程质量、进度、投资、安全进行控制、并做好合同管理、信息管理和协调工作，对于工期和造价具有审核的权利和义务，但无决定权。</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关于监理人在施工现场的办公场所、生活场所的提供和费用承担的约定：</w:t>
      </w:r>
      <w:r>
        <w:rPr>
          <w:rFonts w:hint="eastAsia" w:ascii="宋体" w:hAnsi="宋体" w:cs="宋体"/>
          <w:color w:val="000000" w:themeColor="text1"/>
          <w:szCs w:val="21"/>
          <w:highlight w:val="none"/>
          <w:u w:val="single"/>
          <w14:textFill>
            <w14:solidFill>
              <w14:schemeClr w14:val="tx1"/>
            </w14:solidFill>
          </w14:textFill>
        </w:rPr>
        <w:t xml:space="preserve">承包人免费提供办公室1间。</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 监理人员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总监理工程师：</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姓    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职    务：</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监理工程师执业资格证书号：</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电子信箱：</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通信地址：</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关于监理人的其他约定：</w:t>
      </w:r>
      <w:r>
        <w:rPr>
          <w:rFonts w:hint="eastAsia" w:hAnsi="宋体" w:cs="宋体"/>
          <w:color w:val="000000" w:themeColor="text1"/>
          <w:sz w:val="2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 商定或确定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在发包人和承包人不能通过协商达成一致意见时，发包人授权监理人对以下事项进行确定：</w:t>
      </w:r>
      <w:r>
        <w:rPr>
          <w:rFonts w:hint="eastAsia" w:ascii="宋体" w:hAnsi="宋体" w:cs="宋体"/>
          <w:color w:val="000000" w:themeColor="text1"/>
          <w:szCs w:val="21"/>
          <w:highlight w:val="none"/>
          <w:u w:val="single"/>
          <w14:textFill>
            <w14:solidFill>
              <w14:schemeClr w14:val="tx1"/>
            </w14:solidFill>
          </w14:textFill>
        </w:rPr>
        <w:t xml:space="preserve">按照通用条款执行。</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170" w:name="_Toc267251418"/>
      <w:r/>
      <w:bookmarkStart w:id="171" w:name="_Toc351203637"/>
      <w:r>
        <w:rPr>
          <w:rFonts w:hint="eastAsia" w:ascii="宋体" w:hAnsi="宋体" w:cs="宋体"/>
          <w:color w:val="000000" w:themeColor="text1"/>
          <w:szCs w:val="21"/>
          <w:highlight w:val="none"/>
          <w14:textFill>
            <w14:solidFill>
              <w14:schemeClr w14:val="tx1"/>
            </w14:solidFill>
          </w14:textFill>
        </w:rPr>
        <w:t xml:space="preserve">5</w:t>
      </w:r>
      <w:bookmarkEnd w:id="170"/>
      <w:r/>
      <w:bookmarkStart w:id="172" w:name="_Toc297048349"/>
      <w:r/>
      <w:bookmarkStart w:id="173" w:name="_Toc297120463"/>
      <w:r/>
      <w:bookmarkStart w:id="174" w:name="_Toc292559872"/>
      <w:r/>
      <w:bookmarkStart w:id="175" w:name="_Toc296891203"/>
      <w:r/>
      <w:bookmarkStart w:id="176" w:name="_Toc296890991"/>
      <w:r/>
      <w:bookmarkStart w:id="177" w:name="_Toc296944502"/>
      <w:r/>
      <w:bookmarkStart w:id="178" w:name="_Toc292559367"/>
      <w:r/>
      <w:bookmarkStart w:id="179" w:name="_Toc296503163"/>
      <w:r/>
      <w:bookmarkStart w:id="180" w:name="_Toc296347162"/>
      <w:r/>
      <w:bookmarkStart w:id="181" w:name="_Toc296346664"/>
      <w:r>
        <w:rPr>
          <w:rFonts w:hint="eastAsia" w:ascii="宋体" w:hAnsi="宋体" w:cs="宋体"/>
          <w:color w:val="000000" w:themeColor="text1"/>
          <w:szCs w:val="21"/>
          <w:highlight w:val="none"/>
          <w14:textFill>
            <w14:solidFill>
              <w14:schemeClr w14:val="tx1"/>
            </w14:solidFill>
          </w14:textFill>
        </w:rPr>
        <w:t xml:space="preserve">. 工程质量</w:t>
      </w:r>
      <w:bookmarkEnd w:id="171"/>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 质量要求</w:t>
      </w:r>
      <w:r/>
    </w:p>
    <w:p>
      <w:pPr>
        <w:ind w:left="479"/>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bookmarkStart w:id="182" w:name="_Toc297216155"/>
      <w:r/>
      <w:bookmarkStart w:id="183" w:name="_Toc304295527"/>
      <w:r/>
      <w:bookmarkStart w:id="184" w:name="_Toc312677997"/>
      <w:r/>
      <w:bookmarkStart w:id="185" w:name="_Toc300934949"/>
      <w:r/>
      <w:bookmarkStart w:id="186" w:name="_Toc297123496"/>
      <w:r/>
      <w:bookmarkStart w:id="187" w:name="_Toc318581164"/>
      <w:r/>
      <w:bookmarkStart w:id="188" w:name="_Toc303539106"/>
      <w:r>
        <w:rPr>
          <w:rFonts w:hint="eastAsia" w:ascii="宋体" w:hAnsi="宋体" w:cs="宋体"/>
          <w:color w:val="000000" w:themeColor="text1"/>
          <w:szCs w:val="21"/>
          <w:highlight w:val="none"/>
          <w14:textFill>
            <w14:solidFill>
              <w14:schemeClr w14:val="tx1"/>
            </w14:solidFill>
          </w14:textFill>
        </w:rPr>
        <w:t xml:space="preserve">.1.1 特殊质量标准和要求：</w:t>
      </w:r>
      <w:r>
        <w:rPr>
          <w:rFonts w:hint="eastAsia" w:ascii="宋体" w:hAnsi="宋体" w:cs="宋体"/>
          <w:color w:val="000000" w:themeColor="text1"/>
          <w:szCs w:val="21"/>
          <w:highlight w:val="none"/>
          <w:u w:val="single"/>
          <w14:textFill>
            <w14:solidFill>
              <w14:schemeClr w14:val="tx1"/>
            </w14:solidFill>
          </w14:textFill>
        </w:rPr>
        <w:t xml:space="preserve">应保证本工程通过验收。</w:t>
      </w:r>
      <w:r/>
    </w:p>
    <w:p>
      <w:pPr>
        <w:ind w:left="479"/>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如果交验工程存在严重的缺陷或者超过检验批的更大范围内的缺陷，可能影响结</w:t>
      </w:r>
      <w:r/>
    </w:p>
    <w:p>
      <w:pPr>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构的安全性和使用功能。经检测单位检测鉴定以后认为达不到规范标准的相应要求，则发包人将拒绝接收该项目，由承包人对该部分拆除重建，并承担相应的费用和违约责任。</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5.1.2 关于工程奖项的约定：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5.3 隐蔽工程检查</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5.3.2 承包人提前通知监理人隐蔽工程检查的期限的约定：</w:t>
      </w:r>
      <w:r>
        <w:rPr>
          <w:rFonts w:hint="eastAsia" w:hAnsi="宋体" w:cs="宋体"/>
          <w:color w:val="000000" w:themeColor="text1"/>
          <w:sz w:val="21"/>
          <w:szCs w:val="21"/>
          <w:highlight w:val="none"/>
          <w:u w:val="single"/>
          <w14:textFill>
            <w14:solidFill>
              <w14:schemeClr w14:val="tx1"/>
            </w14:solidFill>
          </w14:textFill>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rPr>
          <w:rFonts w:hint="eastAsia" w:hAnsi="宋体" w:cs="宋体"/>
          <w:color w:val="000000" w:themeColor="text1"/>
          <w:sz w:val="21"/>
          <w:szCs w:val="21"/>
          <w:highlight w:val="none"/>
          <w14:textFill>
            <w14:solidFill>
              <w14:schemeClr w14:val="tx1"/>
            </w14:solidFill>
          </w14:textFill>
        </w:rPr>
        <w:t xml:space="preserve">。</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达不到约定条件的部分，监理方或发包人一经发现，可要求承包人返工 承包人应按监理方或发包人的要求返工，因承包人原因达不到约定条件，由承包人承担返工费用，工期不予顺延。返工后仍不能达到约定条件，承包人承担违约责任。因发包人原因达不到约定条，发包人承担经济损失，工期相应顺延</w:t>
      </w:r>
      <w:r>
        <w:rPr>
          <w:rFonts w:hint="eastAsia" w:hAnsi="宋体" w:cs="宋体"/>
          <w:color w:val="000000" w:themeColor="text1"/>
          <w:sz w:val="21"/>
          <w:szCs w:val="21"/>
          <w:highlight w:val="none"/>
          <w14:textFill>
            <w14:solidFill>
              <w14:schemeClr w14:val="tx1"/>
            </w14:solidFill>
          </w14:textFill>
        </w:rPr>
        <w:t xml:space="preserve">。 </w:t>
      </w:r>
      <w:r/>
    </w:p>
    <w:p>
      <w:pPr>
        <w:pStyle w:val="1043"/>
        <w:ind w:firstLine="566"/>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监理方或发包人发现工程质量问题，可下达停工令，承包人在 3 天内提出书面整改措施，经报项目总监和甲方代表审批同意后，实施整改，由此所产生的工期延误和整改费用，由承包人承担，否则发包人有权停止拨付工程款</w:t>
      </w:r>
      <w:r>
        <w:rPr>
          <w:rFonts w:hint="eastAsia" w:hAnsi="宋体" w:cs="宋体"/>
          <w:color w:val="000000" w:themeColor="text1"/>
          <w:sz w:val="2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监理人不能按时进行检查时，应提前</w:t>
      </w:r>
      <w:r>
        <w:rPr>
          <w:rFonts w:hint="eastAsia" w:ascii="宋体" w:hAnsi="宋体" w:cs="宋体"/>
          <w:color w:val="000000" w:themeColor="text1"/>
          <w:szCs w:val="21"/>
          <w:highlight w:val="none"/>
          <w:u w:val="single"/>
          <w14:textFill>
            <w14:solidFill>
              <w14:schemeClr w14:val="tx1"/>
            </w14:solidFill>
          </w14:textFill>
        </w:rPr>
        <w:t xml:space="preserve"> 12 </w:t>
      </w:r>
      <w:r>
        <w:rPr>
          <w:rFonts w:hint="eastAsia" w:ascii="宋体" w:hAnsi="宋体" w:cs="宋体"/>
          <w:color w:val="000000" w:themeColor="text1"/>
          <w:szCs w:val="21"/>
          <w:highlight w:val="none"/>
          <w14:textFill>
            <w14:solidFill>
              <w14:schemeClr w14:val="tx1"/>
            </w14:solidFill>
          </w14:textFill>
        </w:rPr>
        <w:t xml:space="preserve">小时提交书面延期要求。</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w:t>
      </w:r>
      <w:r>
        <w:rPr>
          <w:rFonts w:hint="eastAsia" w:ascii="宋体" w:hAnsi="宋体" w:cs="宋体"/>
          <w:color w:val="000000" w:themeColor="text1"/>
          <w:szCs w:val="21"/>
          <w:highlight w:val="none"/>
          <w:u w:val="single"/>
          <w14:textFill>
            <w14:solidFill>
              <w14:schemeClr w14:val="tx1"/>
            </w14:solidFill>
          </w14:textFill>
        </w:rPr>
        <w:t xml:space="preserve">  24  </w:t>
      </w:r>
      <w:r>
        <w:rPr>
          <w:rFonts w:hint="eastAsia" w:ascii="宋体" w:hAnsi="宋体" w:cs="宋体"/>
          <w:color w:val="000000" w:themeColor="text1"/>
          <w:szCs w:val="21"/>
          <w:highlight w:val="none"/>
          <w14:textFill>
            <w14:solidFill>
              <w14:schemeClr w14:val="tx1"/>
            </w14:solidFill>
          </w14:textFill>
        </w:rPr>
        <w:t xml:space="preserve">小时。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189" w:name="_Toc351203638"/>
      <w:r>
        <w:rPr>
          <w:rFonts w:hint="eastAsia" w:ascii="宋体" w:hAnsi="宋体" w:cs="宋体"/>
          <w:color w:val="000000" w:themeColor="text1"/>
          <w:szCs w:val="21"/>
          <w:highlight w:val="none"/>
          <w14:textFill>
            <w14:solidFill>
              <w14:schemeClr w14:val="tx1"/>
            </w14:solidFill>
          </w14:textFill>
        </w:rPr>
        <w:t xml:space="preserve">6. 安全文明施工与环境保护</w:t>
      </w:r>
      <w:bookmarkEnd w:id="189"/>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 安全文明施工</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6.1.1 项目安全生产的达标目标及相应事项的约定：</w:t>
      </w:r>
      <w:r>
        <w:rPr>
          <w:rFonts w:hint="eastAsia" w:ascii="宋体" w:hAnsi="宋体" w:cs="宋体"/>
          <w:color w:val="000000" w:themeColor="text1"/>
          <w:szCs w:val="21"/>
          <w:highlight w:val="none"/>
          <w:u w:val="single"/>
          <w14:textFill>
            <w14:solidFill>
              <w14:schemeClr w14:val="tx1"/>
            </w14:solidFill>
          </w14:textFill>
        </w:rPr>
        <w:t xml:space="preserve">本工程必须达到安全文明工地的相关要求。发包人将在施工管理过程中组织对现场安全文明评分，评分细则与相关规费挂钩，不符合规定的将采取经济处罚；若发生安全事故，承包人承担全部责任，与发包人无关。承包人应按规定立即报告建设主管部门并通知发包人和监理。如因此造成发包人承担责任的，发包人有权向承包人索赔。</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6.1.4 关于治安保卫的特别约定：</w:t>
      </w:r>
      <w:r>
        <w:rPr>
          <w:rFonts w:hint="eastAsia" w:hAnsi="宋体" w:cs="宋体"/>
          <w:color w:val="000000" w:themeColor="text1"/>
          <w:sz w:val="21"/>
          <w:szCs w:val="21"/>
          <w:highlight w:val="none"/>
          <w:u w:val="single"/>
          <w14:textFill>
            <w14:solidFill>
              <w14:schemeClr w14:val="tx1"/>
            </w14:solidFill>
          </w14:textFill>
        </w:rPr>
        <w:t xml:space="preserve">必须建立现场治安保卫体系，专人专岗。</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关于编制施工场地治安管理计划的约定：</w:t>
      </w:r>
      <w:r>
        <w:rPr>
          <w:rFonts w:hint="eastAsia" w:ascii="宋体" w:hAnsi="宋体" w:cs="宋体"/>
          <w:color w:val="000000" w:themeColor="text1"/>
          <w:szCs w:val="21"/>
          <w:highlight w:val="none"/>
          <w:u w:val="single"/>
          <w14:textFill>
            <w14:solidFill>
              <w14:schemeClr w14:val="tx1"/>
            </w14:solidFill>
          </w14:textFill>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6.1.5 文明施工</w:t>
      </w:r>
      <w:r/>
    </w:p>
    <w:p>
      <w:pPr>
        <w:pStyle w:val="1043"/>
        <w:ind w:firstLine="420"/>
        <w:spacing w:line="360" w:lineRule="auto"/>
        <w:rPr>
          <w:rFonts w:hAnsi="宋体" w:cs="宋体"/>
          <w:b/>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合同当事人对文明施工的要求：</w:t>
      </w:r>
      <w:r>
        <w:rPr>
          <w:rFonts w:hint="eastAsia" w:hAnsi="宋体" w:cs="宋体"/>
          <w:color w:val="000000" w:themeColor="text1"/>
          <w:sz w:val="21"/>
          <w:szCs w:val="21"/>
          <w:highlight w:val="none"/>
          <w:u w:val="single"/>
          <w14:textFill>
            <w14:solidFill>
              <w14:schemeClr w14:val="tx1"/>
            </w14:solidFill>
          </w14:textFill>
        </w:rPr>
        <w:t xml:space="preserve">设置冲洗台，保证现场及城市路面清洁，做好现场防扬尘等措施。承包人必须做到随时将现场垃圾清理出场，政府有关部门收取的生活垃圾处理费由承包人承担，相关费用在投标时综合考虑。现场办公区、生活区必须做好全部硬化、排</w:t>
      </w:r>
      <w:r>
        <w:rPr>
          <w:rFonts w:hint="eastAsia" w:hAnsi="宋体" w:cs="宋体"/>
          <w:color w:val="000000" w:themeColor="text1"/>
          <w:sz w:val="21"/>
          <w:szCs w:val="21"/>
          <w:highlight w:val="none"/>
          <w:u w:val="single"/>
          <w14:textFill>
            <w14:solidFill>
              <w14:schemeClr w14:val="tx1"/>
            </w14:solidFill>
          </w14:textFill>
        </w:rPr>
        <w:t xml:space="preserve">水、环境布置等工作。现场搭设的临时设施需满足国家及扬州市相关消防管理规定，由此发生的一切费用及责任由承包人承担。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现场临设的布置及其环境的日常管理及上述安全文明工作必须按照发包人要求执行，该部分费用包括在投标报价中，不另行收取。若不按其实施，发包人有权扣除相关部分安全文明设施费。</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6.1.6 关于安全文明施工费支付比例和支付期限的约定：</w:t>
      </w:r>
      <w:r>
        <w:rPr>
          <w:rFonts w:hint="eastAsia" w:ascii="宋体" w:hAnsi="宋体" w:cs="宋体"/>
          <w:color w:val="000000" w:themeColor="text1"/>
          <w:szCs w:val="21"/>
          <w:highlight w:val="none"/>
          <w:u w:val="single"/>
          <w14:textFill>
            <w14:solidFill>
              <w14:schemeClr w14:val="tx1"/>
            </w14:solidFill>
          </w14:textFill>
        </w:rPr>
        <w:t xml:space="preserve"> 随工程进度款支付，最终以行政主管部门核定标准，在工程尾款里扣除或支付。 </w:t>
      </w:r>
      <w:bookmarkEnd w:id="182"/>
      <w:r/>
      <w:bookmarkEnd w:id="183"/>
      <w:r/>
      <w:bookmarkEnd w:id="184"/>
      <w:r/>
      <w:bookmarkEnd w:id="185"/>
      <w:r/>
      <w:bookmarkEnd w:id="186"/>
      <w:r/>
      <w:bookmarkEnd w:id="187"/>
      <w:r/>
      <w:bookmarkEnd w:id="188"/>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190" w:name="_Toc351203639"/>
      <w:r>
        <w:rPr>
          <w:rFonts w:hint="eastAsia" w:ascii="宋体" w:hAnsi="宋体" w:cs="宋体"/>
          <w:color w:val="000000" w:themeColor="text1"/>
          <w:szCs w:val="21"/>
          <w:highlight w:val="none"/>
          <w14:textFill>
            <w14:solidFill>
              <w14:schemeClr w14:val="tx1"/>
            </w14:solidFill>
          </w14:textFill>
        </w:rPr>
        <w:t xml:space="preserve">7. 工期和进度</w:t>
      </w:r>
      <w:bookmarkEnd w:id="190"/>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 施工组织设计</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 合同当事人约定的施工组织设计应包括的其他内容：</w:t>
      </w:r>
      <w:r>
        <w:rPr>
          <w:rFonts w:hint="eastAsia" w:ascii="宋体" w:hAnsi="宋体" w:cs="宋体"/>
          <w:color w:val="000000" w:themeColor="text1"/>
          <w:szCs w:val="21"/>
          <w:highlight w:val="none"/>
          <w:u w:val="single"/>
          <w14:textFill>
            <w14:solidFill>
              <w14:schemeClr w14:val="tx1"/>
            </w14:solidFill>
          </w14:textFill>
        </w:rPr>
        <w:t xml:space="preserve">（1）施工方案；（2）施工现场平面布置图；（3）施工进度计划和保证措施；（4）劳动力及材料供应计划；（5）施工机械设备的选用；（6）质量保证体系及措施；（7）安全生产、文明施工措施；（8）环境保护、成本控制措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 施工组织设计的提交和修改</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outlineLvl w:val="0"/>
      </w:pPr>
      <w:r/>
      <w:bookmarkStart w:id="191" w:name="_Toc5896"/>
      <w:r/>
      <w:bookmarkStart w:id="192" w:name="_Toc28889"/>
      <w:r>
        <w:rPr>
          <w:rFonts w:hint="eastAsia" w:hAnsi="宋体" w:cs="宋体"/>
          <w:color w:val="000000" w:themeColor="text1"/>
          <w:sz w:val="21"/>
          <w:szCs w:val="21"/>
          <w:highlight w:val="none"/>
          <w14:textFill>
            <w14:solidFill>
              <w14:schemeClr w14:val="tx1"/>
            </w14:solidFill>
          </w14:textFill>
        </w:rPr>
        <w:t xml:space="preserve">承包人提交详细施工组织设计的期限的约定：</w:t>
      </w:r>
      <w:r>
        <w:rPr>
          <w:rFonts w:hint="eastAsia" w:hAnsi="宋体" w:cs="宋体"/>
          <w:color w:val="000000" w:themeColor="text1"/>
          <w:sz w:val="21"/>
          <w:szCs w:val="21"/>
          <w:highlight w:val="none"/>
          <w:u w:val="single"/>
          <w14:textFill>
            <w14:solidFill>
              <w14:schemeClr w14:val="tx1"/>
            </w14:solidFill>
          </w14:textFill>
        </w:rPr>
        <w:t xml:space="preserve"> 开工前7天提供全部工程施工组织设计和进度计划，并报监理批准。（批准和未批准的施工组织设计和进度计划均需同时送报业主备案）。</w:t>
      </w:r>
      <w:bookmarkEnd w:id="191"/>
      <w:r/>
      <w:bookmarkEnd w:id="192"/>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发包人和监理人在收到详细的施工组织设计后确认或提出修改意见的期限：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193" w:name="_Toc303539123"/>
      <w:r/>
      <w:bookmarkStart w:id="194" w:name="_Toc300934966"/>
      <w:r/>
      <w:bookmarkStart w:id="195" w:name="_Toc312677479"/>
      <w:r/>
      <w:bookmarkStart w:id="196" w:name="_Toc297123514"/>
      <w:r/>
      <w:bookmarkStart w:id="197" w:name="_Toc304295541"/>
      <w:r/>
      <w:bookmarkStart w:id="198" w:name="_Toc312678005"/>
      <w:r/>
      <w:bookmarkStart w:id="199" w:name="_Toc297216173"/>
      <w:r>
        <w:rPr>
          <w:rFonts w:hint="eastAsia" w:ascii="宋体" w:hAnsi="宋体" w:cs="宋体"/>
          <w:color w:val="000000" w:themeColor="text1"/>
          <w:szCs w:val="21"/>
          <w:highlight w:val="none"/>
          <w14:textFill>
            <w14:solidFill>
              <w14:schemeClr w14:val="tx1"/>
            </w14:solidFill>
          </w14:textFill>
        </w:rPr>
        <w:t xml:space="preserve">.2 施工进度计划</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7.2.2 施工进度计划的修订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发包人和监理人在收到修订的施工进度计划后确认或提出修改意见的期限：</w:t>
      </w:r>
      <w:r>
        <w:rPr>
          <w:rFonts w:hint="eastAsia" w:ascii="宋体" w:hAnsi="宋体" w:cs="宋体"/>
          <w:color w:val="000000" w:themeColor="text1"/>
          <w:szCs w:val="21"/>
          <w:highlight w:val="none"/>
          <w:u w:val="single"/>
          <w14:textFill>
            <w14:solidFill>
              <w14:schemeClr w14:val="tx1"/>
            </w14:solidFill>
          </w14:textFill>
        </w:rPr>
        <w:t xml:space="preserve">送达后5日历天内。</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 开工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7.3.1 开工准备</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关于承包人提交工程开工报审表的期限：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关于发包人应完成的其他开工准备工作及期限：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关于承包人应完成的其他开工准备工作及期限：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7.3.2 开工通知</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因发包人原因造成监理人未能在计划开工日期之日起</w:t>
      </w:r>
      <w:r>
        <w:rPr>
          <w:rFonts w:hint="eastAsia" w:ascii="宋体" w:hAnsi="宋体" w:cs="宋体"/>
          <w:color w:val="000000" w:themeColor="text1"/>
          <w:szCs w:val="21"/>
          <w:highlight w:val="none"/>
          <w:u w:val="single"/>
          <w14:textFill>
            <w14:solidFill>
              <w14:schemeClr w14:val="tx1"/>
            </w14:solidFill>
          </w14:textFill>
        </w:rPr>
        <w:t xml:space="preserve"> 30</w:t>
      </w:r>
      <w:r>
        <w:rPr>
          <w:rFonts w:hint="eastAsia" w:ascii="宋体" w:hAnsi="宋体" w:cs="宋体"/>
          <w:color w:val="000000" w:themeColor="text1"/>
          <w:szCs w:val="21"/>
          <w:highlight w:val="none"/>
          <w14:textFill>
            <w14:solidFill>
              <w14:schemeClr w14:val="tx1"/>
            </w14:solidFill>
          </w14:textFill>
        </w:rPr>
        <w:t xml:space="preserve">天内发出开工通知的，承包人有权提出价格调整要求，或者解除合同。</w:t>
      </w:r>
      <w:bookmarkEnd w:id="193"/>
      <w:r/>
      <w:bookmarkEnd w:id="194"/>
      <w:r/>
      <w:bookmarkEnd w:id="195"/>
      <w:r/>
      <w:bookmarkEnd w:id="196"/>
      <w:r/>
      <w:bookmarkEnd w:id="197"/>
      <w:r/>
      <w:bookmarkEnd w:id="198"/>
      <w:r/>
      <w:bookmarkEnd w:id="19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 测量放线</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7.4.1 发包人通过监理人向承包人提供测量基准点、基准线和水准点及其书面资料的期限：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00" w:name="_Toc303539125"/>
      <w:r/>
      <w:bookmarkStart w:id="201" w:name="_Toc300934968"/>
      <w:r/>
      <w:bookmarkStart w:id="202" w:name="_Toc312678010"/>
      <w:r/>
      <w:bookmarkStart w:id="203" w:name="_Toc297216175"/>
      <w:r/>
      <w:bookmarkStart w:id="204" w:name="_Toc312677484"/>
      <w:r/>
      <w:bookmarkStart w:id="205" w:name="_Toc304295546"/>
      <w:r/>
      <w:bookmarkStart w:id="206" w:name="_Toc297123516"/>
      <w:r>
        <w:rPr>
          <w:rFonts w:hint="eastAsia" w:ascii="宋体" w:hAnsi="宋体" w:cs="宋体"/>
          <w:color w:val="000000" w:themeColor="text1"/>
          <w:szCs w:val="21"/>
          <w:highlight w:val="none"/>
          <w14:textFill>
            <w14:solidFill>
              <w14:schemeClr w14:val="tx1"/>
            </w14:solidFill>
          </w14:textFill>
        </w:rPr>
        <w:t xml:space="preserve">.5 工期延误</w:t>
      </w:r>
      <w:bookmarkEnd w:id="200"/>
      <w:r/>
      <w:bookmarkEnd w:id="201"/>
      <w:r/>
      <w:bookmarkEnd w:id="202"/>
      <w:r/>
      <w:bookmarkEnd w:id="203"/>
      <w:r/>
      <w:bookmarkEnd w:id="204"/>
      <w:r/>
      <w:bookmarkEnd w:id="205"/>
      <w:r/>
      <w:bookmarkEnd w:id="206"/>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7.5.1 因发包人原因导致工期延误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（7）因发包人原因导致工期延误的其他情形：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发包人未能及时组织设计交底。因发包人原因造成的工期延误，且该项延误对关键线路的工期造成延误时，工期予以顺延。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07" w:name="_Toc318581169"/>
      <w:r/>
      <w:bookmarkStart w:id="208" w:name="_Toc312677486"/>
      <w:r/>
      <w:bookmarkStart w:id="209" w:name="_Toc312678012"/>
      <w:r/>
      <w:bookmarkStart w:id="210" w:name="_Toc304295548"/>
      <w:r/>
      <w:bookmarkStart w:id="211" w:name="_Toc297123518"/>
      <w:r/>
      <w:bookmarkStart w:id="212" w:name="_Toc300934970"/>
      <w:r/>
      <w:bookmarkStart w:id="213" w:name="_Toc297216177"/>
      <w:r/>
      <w:bookmarkStart w:id="214" w:name="_Toc303539127"/>
      <w:r>
        <w:rPr>
          <w:rFonts w:hint="eastAsia" w:ascii="宋体" w:hAnsi="宋体" w:cs="宋体"/>
          <w:color w:val="000000" w:themeColor="text1"/>
          <w:szCs w:val="21"/>
          <w:highlight w:val="none"/>
          <w14:textFill>
            <w14:solidFill>
              <w14:schemeClr w14:val="tx1"/>
            </w14:solidFill>
          </w14:textFill>
        </w:rPr>
        <w:t xml:space="preserve">.5.2 因承包人原因导致工期延误</w:t>
      </w:r>
      <w:bookmarkEnd w:id="207"/>
      <w:r/>
      <w:bookmarkEnd w:id="208"/>
      <w:r/>
      <w:bookmarkEnd w:id="209"/>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w:t>
      </w:r>
      <w:bookmarkStart w:id="215" w:name="_Toc312678013"/>
      <w:r/>
      <w:bookmarkStart w:id="216" w:name="_Toc312677487"/>
      <w:r/>
      <w:bookmarkStart w:id="217" w:name="_Toc318581170"/>
      <w:r>
        <w:rPr>
          <w:rFonts w:hint="eastAsia" w:ascii="宋体" w:hAnsi="宋体" w:cs="宋体"/>
          <w:color w:val="000000" w:themeColor="text1"/>
          <w:szCs w:val="21"/>
          <w:highlight w:val="none"/>
          <w14:textFill>
            <w14:solidFill>
              <w14:schemeClr w14:val="tx1"/>
            </w14:solidFill>
          </w14:textFill>
        </w:rPr>
        <w:t xml:space="preserve">承包人原因造成工期延误，逾期竣工违约金的计算方法为：</w:t>
      </w:r>
      <w:bookmarkEnd w:id="210"/>
      <w:r/>
      <w:bookmarkEnd w:id="211"/>
      <w:r/>
      <w:bookmarkEnd w:id="212"/>
      <w:r/>
      <w:bookmarkEnd w:id="213"/>
      <w:r/>
      <w:bookmarkEnd w:id="214"/>
      <w:r/>
      <w:bookmarkEnd w:id="215"/>
      <w:r/>
      <w:bookmarkEnd w:id="216"/>
      <w:r/>
      <w:r/>
    </w:p>
    <w:p>
      <w:pPr>
        <w:pStyle w:val="1043"/>
        <w:ind w:firstLine="420"/>
        <w:spacing w:line="360" w:lineRule="auto"/>
        <w:rPr>
          <w:rFonts w:hAnsi="宋体" w:cs="宋体"/>
          <w:bCs/>
          <w:color w:val="000000" w:themeColor="text1"/>
          <w:sz w:val="21"/>
          <w:szCs w:val="21"/>
          <w:highlight w:val="none"/>
          <w:u w:val="single"/>
          <w14:textFill>
            <w14:solidFill>
              <w14:schemeClr w14:val="tx1"/>
            </w14:solidFill>
          </w14:textFill>
        </w:rPr>
      </w:pPr>
      <w:r>
        <w:rPr>
          <w:rFonts w:hint="eastAsia" w:hAnsi="宋体" w:cs="宋体"/>
          <w:bCs/>
          <w:color w:val="000000" w:themeColor="text1"/>
          <w:sz w:val="21"/>
          <w:szCs w:val="21"/>
          <w:highlight w:val="none"/>
          <w:u w:val="single"/>
          <w14:textFill>
            <w14:solidFill>
              <w14:schemeClr w14:val="tx1"/>
            </w14:solidFill>
          </w14:textFill>
        </w:rPr>
        <w:t xml:space="preserve">发包人有权追究承包人延误工期的违约责任，每逾期一天，承包人按照 2000 元/天向发包人支付违约金。如实际施工节点工期超过投标文件中计划节点工期5日，发包人有权按上述条款追究承包人违约责任并解除合同，承包人还应赔偿因其违约给发包人造成的所有损失。</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因承包人原因造成工期延误，逾</w:t>
      </w:r>
      <w:bookmarkStart w:id="218" w:name="_Toc318581171"/>
      <w:r/>
      <w:bookmarkStart w:id="219" w:name="_Toc312678014"/>
      <w:r>
        <w:rPr>
          <w:rFonts w:hint="eastAsia" w:ascii="宋体" w:hAnsi="宋体" w:cs="宋体"/>
          <w:color w:val="000000" w:themeColor="text1"/>
          <w:szCs w:val="21"/>
          <w:highlight w:val="none"/>
          <w14:textFill>
            <w14:solidFill>
              <w14:schemeClr w14:val="tx1"/>
            </w14:solidFill>
          </w14:textFill>
        </w:rPr>
        <w:t xml:space="preserve">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合同价的10%</w:t>
      </w:r>
      <w:r>
        <w:rPr>
          <w:rFonts w:hint="eastAsia" w:ascii="宋体" w:hAnsi="宋体" w:cs="宋体"/>
          <w:color w:val="000000" w:themeColor="text1"/>
          <w:szCs w:val="21"/>
          <w:highlight w:val="none"/>
          <w14:textFill>
            <w14:solidFill>
              <w14:schemeClr w14:val="tx1"/>
            </w14:solidFill>
          </w14:textFill>
        </w:rPr>
        <w:t xml:space="preserve">。   </w:t>
      </w:r>
      <w:bookmarkEnd w:id="217"/>
      <w:r/>
      <w:bookmarkEnd w:id="218"/>
      <w:r/>
      <w:bookmarkEnd w:id="21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20" w:name="_Toc297216178"/>
      <w:r/>
      <w:bookmarkStart w:id="221" w:name="_Toc297123519"/>
      <w:r/>
      <w:bookmarkStart w:id="222" w:name="_Toc300934971"/>
      <w:r/>
      <w:bookmarkStart w:id="223" w:name="_Toc303539128"/>
      <w:r/>
      <w:bookmarkStart w:id="224" w:name="_Toc304295549"/>
      <w:r/>
      <w:bookmarkStart w:id="225" w:name="_Toc312678015"/>
      <w:r>
        <w:rPr>
          <w:rFonts w:hint="eastAsia" w:ascii="宋体" w:hAnsi="宋体" w:cs="宋体"/>
          <w:color w:val="000000" w:themeColor="text1"/>
          <w:szCs w:val="21"/>
          <w:highlight w:val="none"/>
          <w14:textFill>
            <w14:solidFill>
              <w14:schemeClr w14:val="tx1"/>
            </w14:solidFill>
          </w14:textFill>
        </w:rPr>
        <w:t xml:space="preserve">.6 不</w:t>
      </w:r>
      <w:bookmarkEnd w:id="220"/>
      <w:r/>
      <w:bookmarkEnd w:id="221"/>
      <w:r/>
      <w:bookmarkEnd w:id="222"/>
      <w:r/>
      <w:bookmarkEnd w:id="223"/>
      <w:r/>
      <w:bookmarkEnd w:id="224"/>
      <w:r/>
      <w:bookmarkEnd w:id="225"/>
      <w:r>
        <w:rPr>
          <w:rFonts w:hint="eastAsia" w:ascii="宋体" w:hAnsi="宋体" w:cs="宋体"/>
          <w:color w:val="000000" w:themeColor="text1"/>
          <w:szCs w:val="21"/>
          <w:highlight w:val="none"/>
          <w14:textFill>
            <w14:solidFill>
              <w14:schemeClr w14:val="tx1"/>
            </w14:solidFill>
          </w14:textFill>
        </w:rPr>
        <w:t xml:space="preserve">利物质条件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226" w:name="_Toc297123520"/>
      <w:r/>
      <w:bookmarkStart w:id="227" w:name="_Toc304295550"/>
      <w:r/>
      <w:bookmarkStart w:id="228" w:name="_Toc303539129"/>
      <w:r/>
      <w:bookmarkStart w:id="229" w:name="_Toc312678016"/>
      <w:r/>
      <w:bookmarkStart w:id="230" w:name="_Toc318581172"/>
      <w:r/>
      <w:bookmarkStart w:id="231" w:name="_Toc297216179"/>
      <w:r/>
      <w:bookmarkStart w:id="232" w:name="_Toc300934972"/>
      <w:r>
        <w:rPr>
          <w:rFonts w:hint="eastAsia" w:ascii="宋体" w:hAnsi="宋体" w:cs="宋体"/>
          <w:color w:val="000000" w:themeColor="text1"/>
          <w:szCs w:val="21"/>
          <w:highlight w:val="none"/>
          <w14:textFill>
            <w14:solidFill>
              <w14:schemeClr w14:val="tx1"/>
            </w14:solidFill>
          </w14:textFill>
        </w:rPr>
        <w:t xml:space="preserve">不利物质条件的其他情形和有关约定：</w:t>
      </w:r>
      <w:r>
        <w:rPr>
          <w:rFonts w:hint="eastAsia" w:ascii="宋体" w:hAnsi="宋体" w:cs="宋体"/>
          <w:color w:val="000000" w:themeColor="text1"/>
          <w:szCs w:val="21"/>
          <w:highlight w:val="none"/>
          <w:u w:val="single"/>
          <w14:textFill>
            <w14:solidFill>
              <w14:schemeClr w14:val="tx1"/>
            </w14:solidFill>
          </w14:textFill>
        </w:rPr>
        <w:t xml:space="preserve">非承包人原因停水停电连续 24 小时以上的。</w:t>
      </w:r>
      <w:r>
        <w:rPr>
          <w:rFonts w:hint="eastAsia" w:ascii="宋体" w:hAnsi="宋体" w:cs="宋体"/>
          <w:color w:val="000000" w:themeColor="text1"/>
          <w:szCs w:val="21"/>
          <w:highlight w:val="none"/>
          <w14:textFill>
            <w14:solidFill>
              <w14:schemeClr w14:val="tx1"/>
            </w14:solidFill>
          </w14:textFill>
        </w:rPr>
        <w:t xml:space="preserve">    </w:t>
      </w:r>
      <w:bookmarkEnd w:id="226"/>
      <w:r/>
      <w:bookmarkEnd w:id="227"/>
      <w:r/>
      <w:bookmarkEnd w:id="228"/>
      <w:r/>
      <w:bookmarkEnd w:id="229"/>
      <w:r/>
      <w:bookmarkEnd w:id="230"/>
      <w:r/>
      <w:bookmarkEnd w:id="231"/>
      <w:r/>
      <w:bookmarkEnd w:id="232"/>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w:t>
      </w:r>
      <w:bookmarkStart w:id="233" w:name="_Toc300934973"/>
      <w:r/>
      <w:bookmarkStart w:id="234" w:name="_Toc297216180"/>
      <w:r/>
      <w:bookmarkStart w:id="235" w:name="_Toc303539130"/>
      <w:r/>
      <w:bookmarkStart w:id="236" w:name="_Toc312678017"/>
      <w:r/>
      <w:bookmarkStart w:id="237" w:name="_Toc297123521"/>
      <w:r/>
      <w:bookmarkStart w:id="238" w:name="_Toc304295551"/>
      <w:r>
        <w:rPr>
          <w:rFonts w:hint="eastAsia" w:ascii="宋体" w:hAnsi="宋体" w:cs="宋体"/>
          <w:color w:val="000000" w:themeColor="text1"/>
          <w:szCs w:val="21"/>
          <w:highlight w:val="none"/>
          <w14:textFill>
            <w14:solidFill>
              <w14:schemeClr w14:val="tx1"/>
            </w14:solidFill>
          </w14:textFill>
        </w:rPr>
        <w:t xml:space="preserve">.7 异常恶劣的气候条件</w:t>
      </w:r>
      <w:bookmarkEnd w:id="233"/>
      <w:r/>
      <w:bookmarkEnd w:id="234"/>
      <w:r/>
      <w:bookmarkEnd w:id="235"/>
      <w:r/>
      <w:bookmarkEnd w:id="236"/>
      <w:r/>
      <w:bookmarkEnd w:id="237"/>
      <w:r/>
      <w:bookmarkEnd w:id="23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发包人和承包人同意以下情形视为异常恶劣的气候条件：</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   地震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水灾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   暴风雪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 提前竣工的奖励</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7.9.2 提前竣工的奖励：</w:t>
      </w:r>
      <w:r>
        <w:rPr>
          <w:rFonts w:hint="eastAsia" w:ascii="宋体" w:hAnsi="宋体" w:cs="宋体"/>
          <w:color w:val="000000" w:themeColor="text1"/>
          <w:szCs w:val="21"/>
          <w:highlight w:val="none"/>
          <w:u w:val="single"/>
          <w14:textFill>
            <w14:solidFill>
              <w14:schemeClr w14:val="tx1"/>
            </w14:solidFill>
          </w14:textFill>
        </w:rPr>
        <w:t xml:space="preserve">提前不奖励。</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239" w:name="_Toc351203640"/>
      <w:r>
        <w:rPr>
          <w:rFonts w:hint="eastAsia" w:ascii="宋体" w:hAnsi="宋体" w:cs="宋体"/>
          <w:color w:val="000000" w:themeColor="text1"/>
          <w:szCs w:val="21"/>
          <w:highlight w:val="none"/>
          <w14:textFill>
            <w14:solidFill>
              <w14:schemeClr w14:val="tx1"/>
            </w14:solidFill>
          </w14:textFill>
        </w:rPr>
        <w:t xml:space="preserve">8. 材料与设备</w:t>
      </w:r>
      <w:bookmarkEnd w:id="239"/>
      <w:r/>
      <w:r/>
    </w:p>
    <w:p>
      <w:pPr>
        <w:pStyle w:val="1043"/>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8.2 承包人采购材料与验收</w:t>
      </w:r>
      <w:r/>
    </w:p>
    <w:p>
      <w:pPr>
        <w:pStyle w:val="1043"/>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（1） 双方约定由承包人采购的材料必须是优质产品，必须符合有关规范、设计图纸、招标文件规定的质量要求，并提供产品的样品，报发包人、监理、设计单位确认。承包人进场材料的样品必须经发包人和监理验收认可，经验收合格的材料方可批量进场（样品由发包人封存，承包人必须保证施工中材料设备质量与样品一致） ，否则，造成的损失由承包人承担； 承包人在材料设备到货前 24 小时通知发包人和监理工程师验收。发包人可随时抽查。</w:t>
      </w:r>
      <w:r/>
    </w:p>
    <w:p>
      <w:pPr>
        <w:pStyle w:val="1043"/>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（2） 承包人采购的材料与设计标准不符时，承包人应按发包人要求的时间运出施工场地，重新采购符合要求的产品，承担由此产生的费用，由此延误的工期不予顺延。</w:t>
      </w:r>
      <w:r/>
    </w:p>
    <w:p>
      <w:pPr>
        <w:pStyle w:val="1043"/>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3）属承包人自行采购的材料，承包人应在订货前必须将样品送监理和发包人对其质量、规格型号、外观、技术参数等予以认定，该认定不免除承包人应承担的责任。经发包人和监理确认的样品，承包人不得任意更换，否则，必须无条件全面返工，相应货品全部退货，工期不得顺延，同时向发包人支付该批材料价款的5%作为违约金。如承包人使用不合格或不符合发包人要求的材料,即使承包人在采购之前依照本条款的规定经过发包人和监理的认定,也不能免除更换材料、赔偿损失及其他等发包人要求承包人承担的责任。</w:t>
      </w:r>
      <w:r/>
    </w:p>
    <w:p>
      <w:pPr>
        <w:pStyle w:val="1043"/>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（4） 承包人供应的材料必须保证质量，使用中如发现有质量问题，承包人承担返工的全部损失并赔偿由此给发包人带来的损失。发包人发现承包人采购并使用不符合设计和标准要求的材料时，应要求承包人负责修复、拆除或重新采购，由承包人承担发生的费用，由此延误的工期不予顺延。</w:t>
      </w:r>
      <w:r/>
    </w:p>
    <w:p>
      <w:pPr>
        <w:pStyle w:val="1043"/>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（5）发包人对该部分材料质量具有检查监督权利，对材料的使用具有否决权，如遇到材料涨价，承包人不能以降低材料品质、档次来抵消风险，也不能要求由发包人供应。</w:t>
      </w:r>
      <w:r/>
    </w:p>
    <w:p>
      <w:pPr>
        <w:pStyle w:val="1043"/>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 （6）承包人需要使用代用材料时，应经发包人和总监理工程师认可后才能使用，由此增减的合同价款双方以书面的形式议定。</w:t>
      </w:r>
      <w:r/>
    </w:p>
    <w:p>
      <w:pPr>
        <w:pStyle w:val="1043"/>
        <w:ind w:firstLine="420"/>
        <w:spacing w:line="360" w:lineRule="auto"/>
        <w:widowControl/>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7）本工程所有材料满足工程量清单及施工图纸的技术需求，同时还应满足发包人提供的技术需求，并以最高技术要求为准。满足设计功能需求的相关费用包含在投标报价中，承包人投标时已自行考虑，不另支付。</w:t>
      </w:r>
      <w:r/>
    </w:p>
    <w:p>
      <w:pPr>
        <w:pStyle w:val="1043"/>
        <w:ind w:firstLine="420"/>
        <w:spacing w:line="360" w:lineRule="auto"/>
        <w:widowControl/>
        <w:rPr>
          <w:rFonts w:ascii="宋体" w:hAnsi="宋体" w:cs="宋体"/>
          <w:color w:val="000000" w:themeColor="text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（8）根据招标文件中提供的物料清单，列出相应材料的品牌、规格、材质、型号、质量等级、单价、数量等内容的统计表。</w:t>
      </w:r>
      <w:bookmarkEnd w:id="172"/>
      <w:r/>
      <w:bookmarkEnd w:id="173"/>
      <w:r/>
      <w:bookmarkEnd w:id="174"/>
      <w:r/>
      <w:bookmarkEnd w:id="175"/>
      <w:r/>
      <w:bookmarkEnd w:id="176"/>
      <w:r/>
      <w:bookmarkEnd w:id="177"/>
      <w:r/>
      <w:bookmarkEnd w:id="178"/>
      <w:r/>
      <w:bookmarkEnd w:id="179"/>
      <w:r/>
      <w:bookmarkEnd w:id="180"/>
      <w:r/>
      <w:bookmarkEnd w:id="181"/>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bookmarkStart w:id="240" w:name="_Toc304295556"/>
      <w:r/>
      <w:bookmarkStart w:id="241" w:name="_Toc300934979"/>
      <w:r/>
      <w:bookmarkStart w:id="242" w:name="_Toc312678019"/>
      <w:r/>
      <w:bookmarkStart w:id="243" w:name="_Toc297123527"/>
      <w:r/>
      <w:bookmarkStart w:id="244" w:name="_Toc280868654"/>
      <w:r/>
      <w:bookmarkStart w:id="245" w:name="_Toc303539136"/>
      <w:r/>
      <w:bookmarkStart w:id="246" w:name="_Toc296503167"/>
      <w:r/>
      <w:bookmarkStart w:id="247" w:name="_Toc297048353"/>
      <w:r/>
      <w:bookmarkStart w:id="248" w:name="_Toc296346668"/>
      <w:r/>
      <w:bookmarkStart w:id="249" w:name="_Toc296944506"/>
      <w:r/>
      <w:bookmarkStart w:id="250" w:name="_Toc312677493"/>
      <w:r/>
      <w:bookmarkStart w:id="251" w:name="_Toc297216186"/>
      <w:r/>
      <w:bookmarkStart w:id="252" w:name="_Toc292559372"/>
      <w:r/>
      <w:bookmarkStart w:id="253" w:name="_Toc296890995"/>
      <w:r/>
      <w:bookmarkStart w:id="254" w:name="_Toc296347166"/>
      <w:r/>
      <w:bookmarkStart w:id="255" w:name="_Toc297120467"/>
      <w:r/>
      <w:bookmarkStart w:id="256" w:name="_Toc292559877"/>
      <w:r/>
      <w:bookmarkStart w:id="257" w:name="_Toc296891207"/>
      <w:r/>
      <w:bookmarkStart w:id="258" w:name="_Toc267251424"/>
      <w:r/>
      <w:bookmarkStart w:id="259" w:name="_Toc280868656"/>
      <w:r/>
      <w:bookmarkStart w:id="260" w:name="_Toc280868655"/>
      <w:r>
        <w:rPr>
          <w:rFonts w:hint="eastAsia" w:ascii="宋体" w:hAnsi="宋体" w:cs="宋体"/>
          <w:color w:val="000000" w:themeColor="text1"/>
          <w:szCs w:val="21"/>
          <w:highlight w:val="none"/>
          <w14:textFill>
            <w14:solidFill>
              <w14:schemeClr w14:val="tx1"/>
            </w14:solidFill>
          </w14:textFill>
        </w:rPr>
        <w:t xml:space="preserve">.4 材料与工程设备的保管与使用</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bookmarkStart w:id="261" w:name="_Toc292559373"/>
      <w:r/>
      <w:bookmarkStart w:id="262" w:name="_Toc292559878"/>
      <w:r/>
      <w:bookmarkStart w:id="263" w:name="_Toc318581173"/>
      <w:r/>
      <w:bookmarkStart w:id="264" w:name="_Toc304295557"/>
      <w:r/>
      <w:bookmarkStart w:id="265" w:name="_Toc300934980"/>
      <w:r/>
      <w:bookmarkStart w:id="266" w:name="_Toc296891208"/>
      <w:r/>
      <w:bookmarkStart w:id="267" w:name="_Toc296890996"/>
      <w:r/>
      <w:bookmarkStart w:id="268" w:name="_Toc296346669"/>
      <w:r/>
      <w:bookmarkStart w:id="269" w:name="_Toc296944507"/>
      <w:r/>
      <w:bookmarkStart w:id="270" w:name="_Toc296347167"/>
      <w:r/>
      <w:bookmarkStart w:id="271" w:name="_Toc296503168"/>
      <w:r/>
      <w:bookmarkStart w:id="272" w:name="_Toc297120468"/>
      <w:r/>
      <w:bookmarkStart w:id="273" w:name="_Toc303539137"/>
      <w:r/>
      <w:bookmarkStart w:id="274" w:name="_Toc297048354"/>
      <w:r/>
      <w:bookmarkStart w:id="275" w:name="_Toc297123528"/>
      <w:r/>
      <w:bookmarkStart w:id="276" w:name="_Toc312677494"/>
      <w:r/>
      <w:bookmarkStart w:id="277" w:name="_Toc297216187"/>
      <w:r/>
      <w:bookmarkStart w:id="278" w:name="_Toc312678020"/>
      <w:r>
        <w:rPr>
          <w:rFonts w:hint="eastAsia" w:ascii="宋体" w:hAnsi="宋体" w:cs="宋体"/>
          <w:color w:val="000000" w:themeColor="text1"/>
          <w:szCs w:val="21"/>
          <w:highlight w:val="none"/>
          <w14:textFill>
            <w14:solidFill>
              <w14:schemeClr w14:val="tx1"/>
            </w14:solidFill>
          </w14:textFill>
        </w:rPr>
        <w:t xml:space="preserve">.4.1 发包人供应的材料设备的保管费用的承担：</w:t>
      </w:r>
      <w:r>
        <w:rPr>
          <w:rFonts w:hint="eastAsia" w:ascii="宋体" w:hAnsi="宋体" w:cs="宋体"/>
          <w:color w:val="000000" w:themeColor="text1"/>
          <w:szCs w:val="21"/>
          <w:highlight w:val="none"/>
          <w:u w:val="single"/>
          <w14:textFill>
            <w14:solidFill>
              <w14:schemeClr w14:val="tx1"/>
            </w14:solidFill>
          </w14:textFill>
        </w:rPr>
        <w:t xml:space="preserve">   /   </w:t>
      </w:r>
      <w:bookmarkEnd w:id="261"/>
      <w:r/>
      <w:bookmarkEnd w:id="262"/>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 样品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8.6.1 样品的报送与封存</w:t>
      </w:r>
      <w:r/>
    </w:p>
    <w:p>
      <w:pPr>
        <w:pStyle w:val="1043"/>
        <w:ind w:left="479"/>
        <w:spacing w:line="36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需要承包人报送样品的材料或工程设备，样品的种类、名称、规格、数量要求：</w:t>
      </w:r>
      <w:r/>
    </w:p>
    <w:p>
      <w:pPr>
        <w:pStyle w:val="1043"/>
        <w:ind w:left="479"/>
        <w:spacing w:line="360" w:lineRule="auto"/>
        <w:rPr>
          <w:rFonts w:hint="eastAsia"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w:t>
      </w:r>
      <w:r>
        <w:rPr>
          <w:rFonts w:hint="eastAsia" w:hAnsi="宋体" w:cs="宋体"/>
          <w:color w:val="000000" w:themeColor="text1"/>
          <w:sz w:val="21"/>
          <w:szCs w:val="21"/>
          <w:highlight w:val="none"/>
          <w:u w:val="single"/>
          <w14:textFill>
            <w14:solidFill>
              <w14:schemeClr w14:val="tx1"/>
            </w14:solidFill>
          </w14:textFill>
        </w:rPr>
        <w:t xml:space="preserve">承包人采购材料设备设施：其采购、运输、验收、检验、保管等费用由承包人</w:t>
      </w:r>
      <w:r/>
    </w:p>
    <w:p>
      <w:pPr>
        <w:pStyle w:val="1043"/>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负责。</w:t>
      </w:r>
      <w:r>
        <w:rPr>
          <w:rFonts w:hint="eastAsia" w:hAnsi="宋体" w:cs="宋体"/>
          <w:color w:val="000000" w:themeColor="text1"/>
          <w:sz w:val="21"/>
          <w:szCs w:val="21"/>
          <w:highlight w:val="none"/>
          <w14:textFill>
            <w14:solidFill>
              <w14:schemeClr w14:val="tx1"/>
            </w14:solidFill>
          </w14:textFill>
        </w:rPr>
        <w:t xml:space="preserve"> </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w:t>
      </w:r>
      <w:r>
        <w:rPr>
          <w:rFonts w:hint="eastAsia" w:hAnsi="宋体" w:cs="宋体"/>
          <w:color w:val="000000" w:themeColor="text1"/>
          <w:sz w:val="21"/>
          <w:szCs w:val="21"/>
          <w:highlight w:val="none"/>
          <w:u w:val="single"/>
          <w14:textFill>
            <w14:solidFill>
              <w14:schemeClr w14:val="tx1"/>
            </w14:solidFill>
          </w14:textFill>
        </w:rPr>
        <w:t xml:space="preserve">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hAnsi="宋体" w:cs="宋体"/>
          <w:color w:val="000000" w:themeColor="text1"/>
          <w:sz w:val="21"/>
          <w:szCs w:val="21"/>
          <w:highlight w:val="none"/>
          <w:u w:val="single"/>
          <w14:textFill>
            <w14:solidFill>
              <w14:schemeClr w14:val="tx1"/>
            </w14:solidFill>
          </w14:textFill>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043"/>
        <w:ind w:firstLine="420"/>
        <w:spacing w:line="360" w:lineRule="auto"/>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w:t>
      </w:r>
      <w:r>
        <w:rPr>
          <w:rFonts w:hint="eastAsia" w:hAnsi="宋体" w:cs="宋体"/>
          <w:color w:val="000000" w:themeColor="text1"/>
          <w:sz w:val="21"/>
          <w:szCs w:val="21"/>
          <w:highlight w:val="none"/>
          <w:u w:val="single"/>
          <w14:textFill>
            <w14:solidFill>
              <w14:schemeClr w14:val="tx1"/>
            </w14:solidFill>
          </w14:textFill>
        </w:rPr>
        <w:t xml:space="preserve">承包人采购的材料设备设施不符合设计和标准要求时，承包人应按要求时间运出施工场地，重新采购符合要求的产品，并承担由此产生的费用，由此延误的工期不予顺延。</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w:t>
      </w:r>
      <w:r>
        <w:rPr>
          <w:rFonts w:hint="eastAsia" w:hAnsi="宋体" w:cs="宋体"/>
          <w:color w:val="000000" w:themeColor="text1"/>
          <w:sz w:val="21"/>
          <w:szCs w:val="21"/>
          <w:highlight w:val="none"/>
          <w:u w:val="single"/>
          <w14:textFill>
            <w14:solidFill>
              <w14:schemeClr w14:val="tx1"/>
            </w14:solidFill>
          </w14:textFill>
        </w:rPr>
        <w:t xml:space="preserve">承包人采购的材料设备设施在使用前，承包人应当按要求进行检验或试验，检验合格后方能投入使用。</w:t>
      </w:r>
      <w:r/>
    </w:p>
    <w:p>
      <w:pPr>
        <w:pStyle w:val="1043"/>
        <w:ind w:firstLine="420"/>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（5）</w:t>
      </w:r>
      <w:r>
        <w:rPr>
          <w:rFonts w:hint="eastAsia" w:hAnsi="宋体" w:cs="宋体"/>
          <w:color w:val="000000" w:themeColor="text1"/>
          <w:sz w:val="21"/>
          <w:szCs w:val="21"/>
          <w:highlight w:val="none"/>
          <w:u w:val="single"/>
          <w14:textFill>
            <w14:solidFill>
              <w14:schemeClr w14:val="tx1"/>
            </w14:solidFill>
          </w14:textFill>
        </w:rPr>
        <w:t xml:space="preserve">承包人需要使用代用材料设备设施时，应经发包人和监理工程师认可后才能使用，由此增减的合同价款双方以书面的形式议定。</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 施工设备和临时设施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8.8.1 承包人提供的施工设备和临时设施</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关于修建临时设施费用承担的约定：</w:t>
      </w:r>
      <w:r>
        <w:rPr>
          <w:rFonts w:hint="eastAsia" w:ascii="宋体" w:hAnsi="宋体" w:cs="宋体"/>
          <w:color w:val="000000" w:themeColor="text1"/>
          <w:szCs w:val="21"/>
          <w:highlight w:val="none"/>
          <w:u w:val="single"/>
          <w14:textFill>
            <w14:solidFill>
              <w14:schemeClr w14:val="tx1"/>
            </w14:solidFill>
          </w14:textFill>
        </w:rPr>
        <w:t xml:space="preserve">已含在报价内。</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279" w:name="_Toc351203641"/>
      <w:r>
        <w:rPr>
          <w:rFonts w:hint="eastAsia" w:ascii="宋体" w:hAnsi="宋体" w:cs="宋体"/>
          <w:color w:val="000000" w:themeColor="text1"/>
          <w:szCs w:val="21"/>
          <w:highlight w:val="none"/>
          <w14:textFill>
            <w14:solidFill>
              <w14:schemeClr w14:val="tx1"/>
            </w14:solidFill>
          </w14:textFill>
        </w:rPr>
        <w:t xml:space="preserve">9</w:t>
      </w:r>
      <w:bookmarkEnd w:id="258"/>
      <w:r/>
      <w:bookmarkEnd w:id="259"/>
      <w:r/>
      <w:bookmarkEnd w:id="260"/>
      <w:r/>
      <w:bookmarkStart w:id="280" w:name="_Toc312678021"/>
      <w:r/>
      <w:bookmarkStart w:id="281" w:name="_Toc300934982"/>
      <w:r/>
      <w:bookmarkStart w:id="282" w:name="_Toc297123533"/>
      <w:r/>
      <w:bookmarkStart w:id="283" w:name="_Toc304295559"/>
      <w:r/>
      <w:bookmarkStart w:id="284" w:name="_Toc312677495"/>
      <w:r/>
      <w:bookmarkStart w:id="285" w:name="_Toc297216192"/>
      <w:r/>
      <w:bookmarkStart w:id="286" w:name="_Toc303539139"/>
      <w:r/>
      <w:bookmarkStart w:id="287" w:name="_Toc292559883"/>
      <w:r/>
      <w:bookmarkStart w:id="288" w:name="_Toc267251428"/>
      <w:r/>
      <w:bookmarkStart w:id="289" w:name="_Toc292559378"/>
      <w:r/>
      <w:bookmarkStart w:id="290" w:name="_Toc297120473"/>
      <w:r/>
      <w:bookmarkStart w:id="291" w:name="_Toc296891213"/>
      <w:r/>
      <w:bookmarkStart w:id="292" w:name="_Toc296891001"/>
      <w:r/>
      <w:bookmarkStart w:id="293" w:name="_Toc296347172"/>
      <w:r/>
      <w:bookmarkStart w:id="294" w:name="_Toc296944512"/>
      <w:r/>
      <w:bookmarkStart w:id="295" w:name="_Toc296503173"/>
      <w:r/>
      <w:bookmarkStart w:id="296" w:name="_Toc297048359"/>
      <w:r/>
      <w:bookmarkStart w:id="297" w:name="_Toc296346674"/>
      <w:r/>
      <w:bookmarkStart w:id="298" w:name="_Toc267251427"/>
      <w:r>
        <w:rPr>
          <w:rFonts w:hint="eastAsia" w:ascii="宋体" w:hAnsi="宋体" w:cs="宋体"/>
          <w:color w:val="000000" w:themeColor="text1"/>
          <w:szCs w:val="21"/>
          <w:highlight w:val="none"/>
          <w14:textFill>
            <w14:solidFill>
              <w14:schemeClr w14:val="tx1"/>
            </w14:solidFill>
          </w14:textFill>
        </w:rPr>
        <w:t xml:space="preserve">. 试验与检验</w:t>
      </w:r>
      <w:bookmarkEnd w:id="279"/>
      <w:r/>
      <w:bookmarkEnd w:id="280"/>
      <w:r/>
      <w:bookmarkEnd w:id="281"/>
      <w:r/>
      <w:bookmarkEnd w:id="282"/>
      <w:r/>
      <w:bookmarkEnd w:id="283"/>
      <w:r/>
      <w:bookmarkEnd w:id="284"/>
      <w:r/>
      <w:bookmarkEnd w:id="285"/>
      <w:r/>
      <w:bookmarkEnd w:id="28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bookmarkStart w:id="299" w:name="_Toc312678022"/>
      <w:r/>
      <w:bookmarkStart w:id="300" w:name="_Toc303539140"/>
      <w:r/>
      <w:bookmarkStart w:id="301" w:name="_Toc312677496"/>
      <w:r/>
      <w:bookmarkStart w:id="302" w:name="_Toc300934983"/>
      <w:r/>
      <w:bookmarkStart w:id="303" w:name="_Toc304295560"/>
      <w:r/>
      <w:bookmarkStart w:id="304" w:name="_Toc297216193"/>
      <w:r/>
      <w:bookmarkStart w:id="305" w:name="_Toc297123534"/>
      <w:r>
        <w:rPr>
          <w:rFonts w:hint="eastAsia" w:ascii="宋体" w:hAnsi="宋体" w:cs="宋体"/>
          <w:color w:val="000000" w:themeColor="text1"/>
          <w:szCs w:val="21"/>
          <w:highlight w:val="none"/>
          <w14:textFill>
            <w14:solidFill>
              <w14:schemeClr w14:val="tx1"/>
            </w14:solidFill>
          </w14:textFill>
        </w:rPr>
        <w:t xml:space="preserve">.1 试验设备与试验人员</w:t>
      </w:r>
      <w:bookmarkEnd w:id="299"/>
      <w:r/>
      <w:bookmarkEnd w:id="300"/>
      <w:r/>
      <w:bookmarkEnd w:id="301"/>
      <w:r/>
      <w:bookmarkEnd w:id="302"/>
      <w:r/>
      <w:bookmarkEnd w:id="303"/>
      <w:r/>
      <w:bookmarkEnd w:id="304"/>
      <w:r/>
      <w:bookmarkEnd w:id="305"/>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w:t>
      </w:r>
      <w:bookmarkStart w:id="306" w:name="_Toc312678023"/>
      <w:r/>
      <w:bookmarkStart w:id="307" w:name="_Toc297216194"/>
      <w:r/>
      <w:bookmarkStart w:id="308" w:name="_Toc304295561"/>
      <w:r/>
      <w:bookmarkStart w:id="309" w:name="_Toc303539141"/>
      <w:r/>
      <w:bookmarkStart w:id="310" w:name="_Toc312677497"/>
      <w:r/>
      <w:bookmarkStart w:id="311" w:name="_Toc300934984"/>
      <w:r/>
      <w:bookmarkStart w:id="312" w:name="_Toc297123535"/>
      <w:r/>
      <w:bookmarkStart w:id="313" w:name="_Toc318581174"/>
      <w:r>
        <w:rPr>
          <w:rFonts w:hint="eastAsia" w:ascii="宋体" w:hAnsi="宋体" w:cs="宋体"/>
          <w:color w:val="000000" w:themeColor="text1"/>
          <w:szCs w:val="21"/>
          <w:highlight w:val="none"/>
          <w14:textFill>
            <w14:solidFill>
              <w14:schemeClr w14:val="tx1"/>
            </w14:solidFill>
          </w14:textFill>
        </w:rPr>
        <w:t xml:space="preserve">.1.2 试验设备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施工现场需要配置的试验场所：</w:t>
      </w:r>
      <w:bookmarkEnd w:id="306"/>
      <w:r/>
      <w:bookmarkEnd w:id="307"/>
      <w:r/>
      <w:bookmarkEnd w:id="308"/>
      <w:r/>
      <w:bookmarkEnd w:id="309"/>
      <w:r/>
      <w:bookmarkEnd w:id="310"/>
      <w:r/>
      <w:bookmarkEnd w:id="311"/>
      <w:r/>
      <w:bookmarkEnd w:id="312"/>
      <w:r/>
      <w:bookmarkStart w:id="314" w:name="_Toc312678024"/>
      <w:r/>
      <w:bookmarkStart w:id="315" w:name="_Toc297123536"/>
      <w:r/>
      <w:bookmarkStart w:id="316" w:name="_Toc303539142"/>
      <w:r/>
      <w:bookmarkStart w:id="317" w:name="_Toc312677498"/>
      <w:r/>
      <w:bookmarkStart w:id="318" w:name="_Toc297216195"/>
      <w:r/>
      <w:bookmarkStart w:id="319" w:name="_Toc304295562"/>
      <w:r/>
      <w:bookmarkStart w:id="320" w:name="_Toc300934985"/>
      <w:r>
        <w:rPr>
          <w:rFonts w:hint="eastAsia" w:ascii="宋体" w:hAnsi="宋体" w:cs="宋体"/>
          <w:color w:val="000000" w:themeColor="text1"/>
          <w:szCs w:val="21"/>
          <w:highlight w:val="none"/>
          <w:u w:val="single"/>
          <w14:textFill>
            <w14:solidFill>
              <w14:schemeClr w14:val="tx1"/>
            </w14:solidFill>
          </w14:textFill>
        </w:rPr>
        <w:t xml:space="preserve">根据施工组织设计确定。</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施工现场需要配备的试验设备：</w:t>
      </w:r>
      <w:r>
        <w:rPr>
          <w:rFonts w:hint="eastAsia" w:ascii="宋体" w:hAnsi="宋体" w:cs="宋体"/>
          <w:color w:val="000000" w:themeColor="text1"/>
          <w:szCs w:val="21"/>
          <w:highlight w:val="none"/>
          <w:u w:val="single"/>
          <w14:textFill>
            <w14:solidFill>
              <w14:schemeClr w14:val="tx1"/>
            </w14:solidFill>
          </w14:textFill>
        </w:rPr>
        <w:t xml:space="preserve">根据施工组织设计确定。</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施工现场需要具备的其他试验条件：</w:t>
      </w:r>
      <w:r>
        <w:rPr>
          <w:rFonts w:hint="eastAsia" w:ascii="宋体" w:hAnsi="宋体" w:cs="宋体"/>
          <w:color w:val="000000" w:themeColor="text1"/>
          <w:szCs w:val="21"/>
          <w:highlight w:val="none"/>
          <w:u w:val="single"/>
          <w14:textFill>
            <w14:solidFill>
              <w14:schemeClr w14:val="tx1"/>
            </w14:solidFill>
          </w14:textFill>
        </w:rPr>
        <w:t xml:space="preserve">根据施工组织设计确定。</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9.4 现场工艺试验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现场工艺试验的有关约定：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 变更</w:t>
      </w:r>
      <w:r/>
    </w:p>
    <w:p>
      <w:pPr>
        <w:ind w:firstLine="21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10.1变更的范围</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关于变更的范围的约定：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21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10.4 变更估计</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10.4.1 变更估价原则</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关于变更估计的约定：</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313"/>
      <w:r/>
      <w:bookmarkEnd w:id="314"/>
      <w:r/>
      <w:bookmarkEnd w:id="315"/>
      <w:r/>
      <w:bookmarkEnd w:id="316"/>
      <w:r/>
      <w:bookmarkEnd w:id="317"/>
      <w:r/>
      <w:bookmarkEnd w:id="318"/>
      <w:r/>
      <w:bookmarkEnd w:id="319"/>
      <w:r/>
      <w:bookmarkEnd w:id="320"/>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bookmarkStart w:id="321" w:name="_Toc267251441"/>
      <w:r/>
      <w:bookmarkStart w:id="322" w:name="_Toc267251433"/>
      <w:r/>
      <w:bookmarkStart w:id="323" w:name="_Toc267251439"/>
      <w:r/>
      <w:bookmarkStart w:id="324" w:name="_Toc267251440"/>
      <w:r/>
      <w:bookmarkStart w:id="325" w:name="_Toc267251435"/>
      <w:r/>
      <w:bookmarkStart w:id="326" w:name="_Toc267251437"/>
      <w:r/>
      <w:bookmarkStart w:id="327" w:name="_Toc267251442"/>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u w:val="single"/>
          <w14:textFill>
            <w14:solidFill>
              <w14:schemeClr w14:val="tx1"/>
            </w14:solidFill>
          </w14:textFill>
        </w:rPr>
        <w:t xml:space="preserve">已标价工程量清单中有相同项目的，按照相同项目单价认定；</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已标价工程量清单中无相同项目，但有类似项目的，参照类似项目的单价认定；</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u w:val="single"/>
          <w14:textFill>
            <w14:solidFill>
              <w14:schemeClr w14:val="tx1"/>
            </w14:solidFill>
          </w14:textFill>
        </w:rPr>
        <w:t xml:space="preserve">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暂估价-暂列金额)/(招标控制价-暂估价-暂列金额)】*100%。工程造价管理机构发布的信息价格中缺项中，按发承包双方共同询价、认价的方式，按照合理的成本与利润构成的原则确定，并签署书面的认价文件，作为依据。如变更实施时不能达成一致，应先行实施，并按照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u w:val="single"/>
          <w14:textFill>
            <w14:solidFill>
              <w14:schemeClr w14:val="tx1"/>
            </w14:solidFill>
          </w14:textFill>
        </w:rPr>
        <w:t xml:space="preserve">招标工程量清单工程量误差或工程变更导致实际完成的工程量与已标价工程量清单中列明的该项目工程量的变化幅度超过15%的，单价可进行调整。当工程量增加15%以上时，增加部分的工程量综合单价应予调低；当工程量减少15%以上时，减少后部分的工程量综合单价应予调高。</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u w:val="single"/>
          <w14:textFill>
            <w14:solidFill>
              <w14:schemeClr w14:val="tx1"/>
            </w14:solidFill>
          </w14:textFill>
        </w:rPr>
        <w:t xml:space="preserve">招标工程量清单工程量误差或工程变更导致分部分项工程费的变化，总价措施项目中以费率报价的，费率不变；总价项目中以费用报价的，按投标时口径折算成费率。</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u w:val="single"/>
          <w14:textFill>
            <w14:solidFill>
              <w14:schemeClr w14:val="tx1"/>
            </w14:solidFill>
          </w14:textFill>
        </w:rPr>
        <w:t xml:space="preserve">因工程变更造成施工方案变更，引起措施项目发生变化时，承包</w:t>
      </w:r>
      <w:r>
        <w:rPr>
          <w:rFonts w:hint="eastAsia" w:ascii="宋体" w:hAnsi="宋体" w:cs="宋体"/>
          <w:color w:val="000000" w:themeColor="text1"/>
          <w:szCs w:val="21"/>
          <w:highlight w:val="none"/>
          <w:u w:val="single"/>
          <w14:textFill>
            <w14:solidFill>
              <w14:schemeClr w14:val="tx1"/>
            </w14:solidFill>
          </w14:textFill>
        </w:rPr>
        <w:t xml:space="preserve">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（7）本合同涉及变更（设计、工程量）同意、批准、确认、审核等行为的，需以书面形式作出。设计变更必须有设计变更图纸。完工后要留有影像资料。</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（8）所有与造价有关变更签证必须在施工前3日历天内提供书面预算供发包人，由建设单位、监理单位、施工单位确认后方可同意实施，否则，发包人将相关变更的价格及工程量不予认可。</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328" w:name="_Toc296944536"/>
      <w:r/>
      <w:bookmarkStart w:id="329" w:name="_Toc292559402"/>
      <w:r/>
      <w:bookmarkStart w:id="330" w:name="_Toc296891237"/>
      <w:r/>
      <w:bookmarkStart w:id="331" w:name="_Toc297120497"/>
      <w:r/>
      <w:bookmarkStart w:id="332" w:name="_Toc300934993"/>
      <w:r/>
      <w:bookmarkStart w:id="333" w:name="_Toc296347196"/>
      <w:r/>
      <w:bookmarkStart w:id="334" w:name="_Toc303539150"/>
      <w:r/>
      <w:bookmarkStart w:id="335" w:name="_Toc296503197"/>
      <w:r/>
      <w:bookmarkStart w:id="336" w:name="_Toc296346698"/>
      <w:r/>
      <w:bookmarkStart w:id="337" w:name="_Toc297123544"/>
      <w:r/>
      <w:bookmarkStart w:id="338" w:name="_Toc297216203"/>
      <w:r/>
      <w:bookmarkStart w:id="339" w:name="_Toc296891025"/>
      <w:r/>
      <w:bookmarkStart w:id="340" w:name="_Toc297048383"/>
      <w:r/>
      <w:bookmarkStart w:id="341" w:name="_Toc292559907"/>
      <w:r/>
      <w:bookmarkStart w:id="342" w:name="_Toc312678029"/>
      <w:r/>
      <w:bookmarkStart w:id="343" w:name="_Toc304295570"/>
      <w:r/>
      <w:bookmarkStart w:id="344" w:name="_Toc312677503"/>
      <w:r>
        <w:rPr>
          <w:rFonts w:hint="eastAsia" w:ascii="宋体" w:hAnsi="宋体" w:cs="宋体"/>
          <w:color w:val="000000" w:themeColor="text1"/>
          <w:szCs w:val="21"/>
          <w:highlight w:val="none"/>
          <w14:textFill>
            <w14:solidFill>
              <w14:schemeClr w14:val="tx1"/>
            </w14:solidFill>
          </w14:textFill>
        </w:rPr>
        <w:t xml:space="preserve">0.5 承</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Start w:id="345" w:name="_Toc292559408"/>
      <w:r/>
      <w:bookmarkStart w:id="346" w:name="_Toc297123545"/>
      <w:r/>
      <w:bookmarkStart w:id="347" w:name="_Toc297216204"/>
      <w:r/>
      <w:bookmarkStart w:id="348" w:name="_Toc296891031"/>
      <w:r/>
      <w:bookmarkStart w:id="349" w:name="_Toc297120503"/>
      <w:r/>
      <w:bookmarkStart w:id="350" w:name="_Toc300934994"/>
      <w:r/>
      <w:bookmarkStart w:id="351" w:name="_Toc296347202"/>
      <w:r/>
      <w:bookmarkStart w:id="352" w:name="_Toc303539151"/>
      <w:r/>
      <w:bookmarkStart w:id="353" w:name="_Toc296944542"/>
      <w:r/>
      <w:bookmarkStart w:id="354" w:name="_Toc297048389"/>
      <w:r/>
      <w:bookmarkStart w:id="355" w:name="_Toc296503203"/>
      <w:r/>
      <w:bookmarkStart w:id="356" w:name="_Toc296346704"/>
      <w:r/>
      <w:bookmarkStart w:id="357" w:name="_Toc292559913"/>
      <w:r/>
      <w:bookmarkStart w:id="358" w:name="_Toc296891243"/>
      <w:r>
        <w:rPr>
          <w:rFonts w:hint="eastAsia" w:ascii="宋体" w:hAnsi="宋体" w:cs="宋体"/>
          <w:color w:val="000000" w:themeColor="text1"/>
          <w:szCs w:val="21"/>
          <w:highlight w:val="none"/>
          <w14:textFill>
            <w14:solidFill>
              <w14:schemeClr w14:val="tx1"/>
            </w14:solidFill>
          </w14:textFill>
        </w:rPr>
        <w:t xml:space="preserve">包人的合理化建议</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监理人审查承包人合理化建议的期限：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五日（特殊事宜须经多方论证）。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发包人审批承包人合理化建议的期限：</w:t>
      </w:r>
      <w:r>
        <w:rPr>
          <w:rFonts w:hint="eastAsia" w:ascii="宋体" w:hAnsi="宋体" w:cs="宋体"/>
          <w:color w:val="000000" w:themeColor="text1"/>
          <w:szCs w:val="21"/>
          <w:highlight w:val="none"/>
          <w:u w:val="single"/>
          <w14:textFill>
            <w14:solidFill>
              <w14:schemeClr w14:val="tx1"/>
            </w14:solidFill>
          </w14:textFill>
        </w:rPr>
        <w:t xml:space="preserve">五日（特殊事宜须经多方论证）。</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w:t>
      </w:r>
      <w:bookmarkStart w:id="359" w:name="_Toc296891032"/>
      <w:r/>
      <w:bookmarkStart w:id="360" w:name="_Toc296346705"/>
      <w:r/>
      <w:bookmarkStart w:id="361" w:name="_Toc304295571"/>
      <w:r/>
      <w:bookmarkStart w:id="362" w:name="_Toc312678030"/>
      <w:r/>
      <w:bookmarkStart w:id="363" w:name="_Toc296503204"/>
      <w:r/>
      <w:bookmarkStart w:id="364" w:name="_Toc296347203"/>
      <w:r/>
      <w:bookmarkStart w:id="365" w:name="_Toc318581175"/>
      <w:r/>
      <w:bookmarkStart w:id="366" w:name="_Toc297123546"/>
      <w:r/>
      <w:bookmarkStart w:id="367" w:name="_Toc296891244"/>
      <w:r/>
      <w:bookmarkStart w:id="368" w:name="_Toc300934995"/>
      <w:r/>
      <w:bookmarkStart w:id="369" w:name="_Toc312677504"/>
      <w:r/>
      <w:bookmarkStart w:id="370" w:name="_Toc297048390"/>
      <w:r/>
      <w:bookmarkStart w:id="371" w:name="_Toc297120504"/>
      <w:r/>
      <w:bookmarkStart w:id="372" w:name="_Toc292559409"/>
      <w:r/>
      <w:bookmarkStart w:id="373" w:name="_Toc292559914"/>
      <w:r/>
      <w:bookmarkStart w:id="374" w:name="_Toc296944543"/>
      <w:r/>
      <w:bookmarkStart w:id="375" w:name="_Toc297216205"/>
      <w:r/>
      <w:bookmarkStart w:id="376" w:name="_Toc303539152"/>
      <w:r>
        <w:rPr>
          <w:rFonts w:hint="eastAsia" w:ascii="宋体" w:hAnsi="宋体" w:cs="宋体"/>
          <w:color w:val="000000" w:themeColor="text1"/>
          <w:szCs w:val="21"/>
          <w:highlight w:val="none"/>
          <w14:textFill>
            <w14:solidFill>
              <w14:schemeClr w14:val="tx1"/>
            </w14:solidFill>
          </w14:textFill>
        </w:rPr>
        <w:t xml:space="preserve">包人提出的合理化建议降低了合同价格或者提高了工程经济效益的奖励的方法和金额为：</w:t>
      </w:r>
      <w:r>
        <w:rPr>
          <w:rFonts w:hint="eastAsia" w:ascii="宋体" w:hAnsi="宋体" w:cs="宋体"/>
          <w:color w:val="000000" w:themeColor="text1"/>
          <w:szCs w:val="21"/>
          <w:highlight w:val="none"/>
          <w:u w:val="single"/>
          <w14:textFill>
            <w14:solidFill>
              <w14:schemeClr w14:val="tx1"/>
            </w14:solidFill>
          </w14:textFill>
        </w:rPr>
        <w:t xml:space="preserve">双方另行协商确定。</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377" w:name="_Toc296347198"/>
      <w:r/>
      <w:bookmarkStart w:id="378" w:name="_Toc300934997"/>
      <w:r/>
      <w:bookmarkStart w:id="379" w:name="_Toc297048385"/>
      <w:r/>
      <w:bookmarkStart w:id="380" w:name="_Toc296891239"/>
      <w:r/>
      <w:bookmarkStart w:id="381" w:name="_Toc303539154"/>
      <w:r/>
      <w:bookmarkStart w:id="382" w:name="_Toc297120499"/>
      <w:r/>
      <w:bookmarkStart w:id="383" w:name="_Toc312677507"/>
      <w:r/>
      <w:bookmarkStart w:id="384" w:name="_Toc296944538"/>
      <w:r/>
      <w:bookmarkStart w:id="385" w:name="_Toc296346700"/>
      <w:r/>
      <w:bookmarkStart w:id="386" w:name="_Toc312678033"/>
      <w:r/>
      <w:bookmarkStart w:id="387" w:name="_Toc296503199"/>
      <w:r/>
      <w:bookmarkStart w:id="388" w:name="_Toc304295574"/>
      <w:r/>
      <w:bookmarkStart w:id="389" w:name="_Toc296891027"/>
      <w:r/>
      <w:bookmarkStart w:id="390" w:name="_Toc292559404"/>
      <w:r/>
      <w:bookmarkStart w:id="391" w:name="_Toc297216207"/>
      <w:r/>
      <w:bookmarkStart w:id="392" w:name="_Toc292559909"/>
      <w:r/>
      <w:bookmarkStart w:id="393" w:name="_Toc297123548"/>
      <w:r>
        <w:rPr>
          <w:rFonts w:hint="eastAsia" w:ascii="宋体" w:hAnsi="宋体" w:cs="宋体"/>
          <w:color w:val="000000" w:themeColor="text1"/>
          <w:szCs w:val="21"/>
          <w:highlight w:val="none"/>
          <w14:textFill>
            <w14:solidFill>
              <w14:schemeClr w14:val="tx1"/>
            </w14:solidFill>
          </w14:textFill>
        </w:rPr>
        <w:t xml:space="preserve">0.7 暂估价</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暂</w:t>
      </w:r>
      <w:bookmarkStart w:id="394" w:name="_Toc312677508"/>
      <w:r/>
      <w:bookmarkStart w:id="395" w:name="_Toc318581176"/>
      <w:r/>
      <w:bookmarkStart w:id="396" w:name="_Toc312678034"/>
      <w:r>
        <w:rPr>
          <w:rFonts w:hint="eastAsia" w:ascii="宋体" w:hAnsi="宋体" w:cs="宋体"/>
          <w:color w:val="000000" w:themeColor="text1"/>
          <w:szCs w:val="21"/>
          <w:highlight w:val="none"/>
          <w14:textFill>
            <w14:solidFill>
              <w14:schemeClr w14:val="tx1"/>
            </w14:solidFill>
          </w14:textFill>
        </w:rPr>
        <w:t xml:space="preserve">估价材料和工程设备的明细详见附件11：《暂估价一览表》。</w:t>
      </w:r>
      <w:bookmarkEnd w:id="394"/>
      <w:r/>
      <w:bookmarkEnd w:id="395"/>
      <w:r/>
      <w:bookmarkEnd w:id="39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Start w:id="397" w:name="_Toc318581177"/>
      <w:r/>
      <w:bookmarkStart w:id="398" w:name="_Toc312678035"/>
      <w:r/>
      <w:bookmarkStart w:id="399" w:name="_Toc312677509"/>
      <w:r>
        <w:rPr>
          <w:rFonts w:hint="eastAsia" w:ascii="宋体" w:hAnsi="宋体" w:cs="宋体"/>
          <w:color w:val="000000" w:themeColor="text1"/>
          <w:szCs w:val="21"/>
          <w:highlight w:val="none"/>
          <w14:textFill>
            <w14:solidFill>
              <w14:schemeClr w14:val="tx1"/>
            </w14:solidFill>
          </w14:textFill>
        </w:rPr>
        <w:t xml:space="preserve">0.7.1 依法必须招标的暂估价项目</w:t>
      </w:r>
      <w:bookmarkEnd w:id="397"/>
      <w:r/>
      <w:bookmarkEnd w:id="398"/>
      <w:r/>
      <w:bookmarkEnd w:id="39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对于依法必须招标的暂估价项目的确认和批准采取第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种方式确定。</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10.7.2 不属于依法必须招标的暂估价项目</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对于不属于依法必须招标的暂估价项目的确认和批准采取第</w:t>
      </w:r>
      <w:r>
        <w:rPr>
          <w:rFonts w:hint="eastAsia" w:ascii="宋体" w:hAnsi="宋体" w:cs="宋体"/>
          <w:color w:val="000000" w:themeColor="text1"/>
          <w:szCs w:val="21"/>
          <w:highlight w:val="none"/>
          <w:u w:val="single"/>
          <w14:textFill>
            <w14:solidFill>
              <w14:schemeClr w14:val="tx1"/>
            </w14:solidFill>
          </w14:textFill>
        </w:rPr>
        <w:t xml:space="preserve"> 1 </w:t>
      </w:r>
      <w:r>
        <w:rPr>
          <w:rFonts w:hint="eastAsia" w:ascii="宋体" w:hAnsi="宋体" w:cs="宋体"/>
          <w:color w:val="000000" w:themeColor="text1"/>
          <w:szCs w:val="21"/>
          <w:highlight w:val="none"/>
          <w14:textFill>
            <w14:solidFill>
              <w14:schemeClr w14:val="tx1"/>
            </w14:solidFill>
          </w14:textFill>
        </w:rPr>
        <w:t xml:space="preserve">种方式确定。</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第3种方式：承包人直接实施的暂估价项目</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承包人直接实施的暂估价项目的约定：</w:t>
      </w:r>
      <w:r>
        <w:rPr>
          <w:rFonts w:hint="eastAsia" w:ascii="宋体" w:hAnsi="宋体" w:cs="宋体"/>
          <w:color w:val="000000" w:themeColor="text1"/>
          <w:szCs w:val="21"/>
          <w:highlight w:val="none"/>
          <w:u w:val="single"/>
          <w14:textFill>
            <w14:solidFill>
              <w14:schemeClr w14:val="tx1"/>
            </w14:solidFill>
          </w14:textFill>
        </w:rPr>
        <w:t xml:space="preserve">须报监理及发包人批准后执行。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10.8 暂列金额</w:t>
      </w:r>
      <w:bookmarkEnd w:id="321"/>
      <w:r/>
      <w:bookmarkEnd w:id="322"/>
      <w:r/>
      <w:bookmarkEnd w:id="323"/>
      <w:r/>
      <w:bookmarkEnd w:id="324"/>
      <w:r/>
      <w:bookmarkEnd w:id="325"/>
      <w:r/>
      <w:bookmarkEnd w:id="326"/>
      <w:r/>
      <w:bookmarkStart w:id="400" w:name="_Toc351203643"/>
      <w:r/>
      <w:bookmarkStart w:id="401" w:name="_Toc296891033"/>
      <w:r/>
      <w:bookmarkStart w:id="402" w:name="_Toc292559915"/>
      <w:r/>
      <w:bookmarkStart w:id="403" w:name="_Toc296944544"/>
      <w:r/>
      <w:bookmarkStart w:id="404" w:name="_Toc296891245"/>
      <w:r/>
      <w:bookmarkStart w:id="405" w:name="_Toc296346706"/>
      <w:r/>
      <w:bookmarkStart w:id="406" w:name="_Toc296347204"/>
      <w:r/>
      <w:bookmarkStart w:id="407" w:name="_Toc297048391"/>
      <w:r/>
      <w:bookmarkStart w:id="408" w:name="_Toc296503205"/>
      <w:r/>
      <w:bookmarkStart w:id="409" w:name="_Toc297120505"/>
      <w:r/>
      <w:bookmarkStart w:id="410" w:name="_Toc292559410"/>
      <w:r/>
      <w:bookmarkStart w:id="411" w:name="_Toc351203644"/>
      <w:r/>
      <w:bookmarkStart w:id="412" w:name="_Toc300935002"/>
      <w:r/>
      <w:bookmarkStart w:id="413" w:name="_Toc297123552"/>
      <w:r/>
      <w:bookmarkStart w:id="414" w:name="_Toc304295579"/>
      <w:r/>
      <w:bookmarkStart w:id="415" w:name="_Toc297216211"/>
      <w:r/>
      <w:bookmarkStart w:id="416" w:name="_Toc303539159"/>
      <w:r/>
      <w:bookmarkStart w:id="417" w:name="_Toc312678040"/>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合同当事人关于暂列金额使用的约定：</w:t>
      </w:r>
      <w:r>
        <w:rPr>
          <w:rFonts w:hint="eastAsia" w:ascii="宋体" w:hAnsi="宋体" w:cs="宋体"/>
          <w:color w:val="000000" w:themeColor="text1"/>
          <w:szCs w:val="21"/>
          <w:highlight w:val="none"/>
          <w:u w:val="single"/>
          <w14:textFill>
            <w14:solidFill>
              <w14:schemeClr w14:val="tx1"/>
            </w14:solidFill>
          </w14:textFill>
        </w:rPr>
        <w:t xml:space="preserve">按照发包人的要求使用。</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11. 价格调整</w:t>
      </w:r>
      <w:bookmarkEnd w:id="400"/>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bookmarkStart w:id="418" w:name="_Toc304295577"/>
      <w:r/>
      <w:bookmarkStart w:id="419" w:name="_Toc296891241"/>
      <w:r/>
      <w:bookmarkStart w:id="420" w:name="_Toc297216209"/>
      <w:r/>
      <w:bookmarkStart w:id="421" w:name="_Toc297048387"/>
      <w:r/>
      <w:bookmarkStart w:id="422" w:name="_Toc297120501"/>
      <w:r/>
      <w:bookmarkStart w:id="423" w:name="_Toc300935000"/>
      <w:r/>
      <w:bookmarkStart w:id="424" w:name="_Toc296346702"/>
      <w:r/>
      <w:bookmarkStart w:id="425" w:name="_Toc312678039"/>
      <w:r/>
      <w:bookmarkStart w:id="426" w:name="_Toc296891029"/>
      <w:r/>
      <w:bookmarkStart w:id="427" w:name="_Toc292559911"/>
      <w:r/>
      <w:bookmarkStart w:id="428" w:name="_Toc292559406"/>
      <w:r/>
      <w:bookmarkStart w:id="429" w:name="_Toc303539157"/>
      <w:r/>
      <w:bookmarkStart w:id="430" w:name="_Toc297123550"/>
      <w:r/>
      <w:bookmarkStart w:id="431" w:name="_Toc296347200"/>
      <w:r/>
      <w:bookmarkStart w:id="432" w:name="_Toc296503201"/>
      <w:r/>
      <w:bookmarkStart w:id="433" w:name="_Toc296944540"/>
      <w:r>
        <w:rPr>
          <w:rFonts w:hint="eastAsia" w:ascii="宋体" w:hAnsi="宋体" w:cs="宋体"/>
          <w:color w:val="000000" w:themeColor="text1"/>
          <w:szCs w:val="21"/>
          <w:highlight w:val="none"/>
          <w14:textFill>
            <w14:solidFill>
              <w14:schemeClr w14:val="tx1"/>
            </w14:solidFill>
          </w14:textFill>
        </w:rPr>
        <w:t xml:space="preserve">11.1 市场价格波动引起的调整</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市场价格波动是否调整合同价格的约定：</w:t>
      </w:r>
      <w:r>
        <w:rPr>
          <w:rFonts w:hint="eastAsia" w:ascii="宋体" w:hAnsi="宋体" w:cs="宋体"/>
          <w:color w:val="000000" w:themeColor="text1"/>
          <w:szCs w:val="21"/>
          <w:highlight w:val="none"/>
          <w:u w:val="single"/>
          <w14:textFill>
            <w14:solidFill>
              <w14:schemeClr w14:val="tx1"/>
            </w14:solidFill>
          </w14:textFill>
        </w:rPr>
        <w:t xml:space="preserve"> 调整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因市场价格波动调整合同价格，采用以下第</w:t>
      </w:r>
      <w:r>
        <w:rPr>
          <w:rFonts w:hint="eastAsia" w:ascii="宋体" w:hAnsi="宋体" w:cs="宋体"/>
          <w:color w:val="000000" w:themeColor="text1"/>
          <w:szCs w:val="21"/>
          <w:highlight w:val="none"/>
          <w:u w:val="singl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 xml:space="preserve">种方式对合同价格进行调整：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第1种方式：采用价格指数进行价格调整。</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关于各可调因子、定值和变值权重，以及基本价格指数及其来源的约定：</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第2种方式：采用造价信息进行价格调整。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（2）关于基准价格的约定：</w:t>
      </w:r>
      <w:r>
        <w:rPr>
          <w:rFonts w:hint="eastAsia" w:ascii="宋体" w:hAnsi="宋体" w:cs="宋体"/>
          <w:color w:val="000000" w:themeColor="text1"/>
          <w:szCs w:val="21"/>
          <w:highlight w:val="none"/>
          <w:u w:val="single"/>
          <w14:textFill>
            <w14:solidFill>
              <w14:schemeClr w14:val="tx1"/>
            </w14:solidFill>
          </w14:textFill>
        </w:rPr>
        <w:t xml:space="preserve"> 基准价格详见招标文件中招标控制价附件，《承包人提供主要材料和工程设备一览表》中基准单价即为基准价格。</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%时，或材料单价跌幅以已标价工程量清单或预算书中载明材料单价为基础超过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%时，材料单价涨幅以已标价工程量清单或预算书中载明材料单价为基础超过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%时，其超过部分据实调整。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第3种方式：其他价格调整方式：</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b/>
          <w:bCs/>
          <w:color w:val="000000" w:themeColor="text1"/>
          <w:szCs w:val="21"/>
          <w:highlight w:val="none"/>
          <w:u w:val="single"/>
          <w14:textFill>
            <w14:solidFill>
              <w14:schemeClr w14:val="tx1"/>
            </w14:solidFill>
          </w14:textFill>
        </w:rPr>
        <w:t xml:space="preserve">按苏建价[2008]67号文执行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12. </w:t>
      </w:r>
      <w:bookmarkEnd w:id="401"/>
      <w:r/>
      <w:bookmarkEnd w:id="402"/>
      <w:r/>
      <w:bookmarkEnd w:id="403"/>
      <w:r/>
      <w:bookmarkEnd w:id="404"/>
      <w:r/>
      <w:bookmarkEnd w:id="405"/>
      <w:r/>
      <w:bookmarkEnd w:id="406"/>
      <w:r/>
      <w:bookmarkEnd w:id="407"/>
      <w:r/>
      <w:bookmarkEnd w:id="408"/>
      <w:r/>
      <w:bookmarkEnd w:id="409"/>
      <w:r/>
      <w:bookmarkEnd w:id="410"/>
      <w:r>
        <w:rPr>
          <w:rFonts w:hint="eastAsia" w:ascii="宋体" w:hAnsi="宋体" w:cs="宋体"/>
          <w:color w:val="000000" w:themeColor="text1"/>
          <w:szCs w:val="21"/>
          <w:highlight w:val="none"/>
          <w14:textFill>
            <w14:solidFill>
              <w14:schemeClr w14:val="tx1"/>
            </w14:solidFill>
          </w14:textFill>
        </w:rPr>
        <w:t xml:space="preserve">合同价格、计量与支付</w:t>
      </w:r>
      <w:bookmarkEnd w:id="411"/>
      <w:r/>
      <w:bookmarkEnd w:id="412"/>
      <w:r/>
      <w:bookmarkEnd w:id="413"/>
      <w:r/>
      <w:bookmarkEnd w:id="414"/>
      <w:r/>
      <w:bookmarkEnd w:id="415"/>
      <w:r/>
      <w:bookmarkEnd w:id="416"/>
      <w:r/>
      <w:bookmarkEnd w:id="417"/>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434" w:name="_Toc267251461"/>
      <w:r/>
      <w:bookmarkStart w:id="435" w:name="_Toc292559916"/>
      <w:r/>
      <w:bookmarkStart w:id="436" w:name="_Toc292559411"/>
      <w:r/>
      <w:bookmarkStart w:id="437" w:name="_Toc296944545"/>
      <w:r/>
      <w:bookmarkStart w:id="438" w:name="_Toc297120506"/>
      <w:r/>
      <w:bookmarkStart w:id="439" w:name="_Toc296347205"/>
      <w:r/>
      <w:bookmarkStart w:id="440" w:name="_Toc296891034"/>
      <w:r/>
      <w:bookmarkStart w:id="441" w:name="_Toc296503206"/>
      <w:r/>
      <w:bookmarkStart w:id="442" w:name="_Toc296346707"/>
      <w:r/>
      <w:bookmarkStart w:id="443" w:name="_Toc296891246"/>
      <w:r/>
      <w:bookmarkStart w:id="444" w:name="_Toc297048392"/>
      <w:r/>
      <w:bookmarkStart w:id="445" w:name="_Toc297123553"/>
      <w:r/>
      <w:bookmarkStart w:id="446" w:name="_Toc303539160"/>
      <w:r/>
      <w:bookmarkStart w:id="447" w:name="_Toc312678041"/>
      <w:r/>
      <w:bookmarkStart w:id="448" w:name="_Toc304295580"/>
      <w:r/>
      <w:bookmarkStart w:id="449" w:name="_Toc300935003"/>
      <w:r/>
      <w:bookmarkStart w:id="450" w:name="_Toc297216212"/>
      <w:r>
        <w:rPr>
          <w:rFonts w:hint="eastAsia" w:ascii="宋体" w:hAnsi="宋体" w:cs="宋体"/>
          <w:color w:val="000000" w:themeColor="text1"/>
          <w:szCs w:val="21"/>
          <w:highlight w:val="none"/>
          <w14:textFill>
            <w14:solidFill>
              <w14:schemeClr w14:val="tx1"/>
            </w14:solidFill>
          </w14:textFill>
        </w:rPr>
        <w:t xml:space="preserve">12.1 合</w:t>
      </w:r>
      <w:bookmarkEnd w:id="434"/>
      <w:r/>
      <w:bookmarkEnd w:id="435"/>
      <w:r/>
      <w:bookmarkEnd w:id="436"/>
      <w:r>
        <w:rPr>
          <w:rFonts w:hint="eastAsia" w:ascii="宋体" w:hAnsi="宋体" w:cs="宋体"/>
          <w:color w:val="000000" w:themeColor="text1"/>
          <w:szCs w:val="21"/>
          <w:highlight w:val="none"/>
          <w14:textFill>
            <w14:solidFill>
              <w14:schemeClr w14:val="tx1"/>
            </w14:solidFill>
          </w14:textFill>
        </w:rPr>
        <w:t xml:space="preserve">同价</w:t>
      </w:r>
      <w:bookmarkEnd w:id="437"/>
      <w:r/>
      <w:bookmarkEnd w:id="438"/>
      <w:r/>
      <w:bookmarkEnd w:id="439"/>
      <w:r/>
      <w:bookmarkEnd w:id="440"/>
      <w:r/>
      <w:bookmarkEnd w:id="441"/>
      <w:r/>
      <w:bookmarkEnd w:id="442"/>
      <w:r/>
      <w:bookmarkEnd w:id="443"/>
      <w:r/>
      <w:bookmarkEnd w:id="444"/>
      <w:r>
        <w:rPr>
          <w:rFonts w:hint="eastAsia" w:ascii="宋体" w:hAnsi="宋体" w:cs="宋体"/>
          <w:color w:val="000000" w:themeColor="text1"/>
          <w:szCs w:val="21"/>
          <w:highlight w:val="none"/>
          <w14:textFill>
            <w14:solidFill>
              <w14:schemeClr w14:val="tx1"/>
            </w14:solidFill>
          </w14:textFill>
        </w:rPr>
        <w:t xml:space="preserve">格形式：</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1.单价合同。</w:t>
      </w:r>
      <w:bookmarkEnd w:id="445"/>
      <w:r/>
      <w:bookmarkEnd w:id="446"/>
      <w:r/>
      <w:bookmarkEnd w:id="447"/>
      <w:r/>
      <w:bookmarkEnd w:id="448"/>
      <w:r/>
      <w:bookmarkEnd w:id="449"/>
      <w:r/>
      <w:bookmarkEnd w:id="450"/>
      <w:r/>
      <w:r/>
    </w:p>
    <w:p>
      <w:pPr>
        <w:ind w:firstLine="420"/>
        <w:jc w:val="left"/>
        <w:spacing w:line="360" w:lineRule="auto"/>
        <w:tabs>
          <w:tab w:val="left" w:pos="9645" w:leader="none"/>
        </w:tabs>
        <w:rPr>
          <w:rFonts w:ascii="宋体" w:hAnsi="宋体" w:cs="宋体"/>
          <w:color w:val="000000" w:themeColor="text1"/>
          <w:szCs w:val="21"/>
          <w:highlight w:val="none"/>
          <w:u w:val="single"/>
          <w14:textFill>
            <w14:solidFill>
              <w14:schemeClr w14:val="tx1"/>
            </w14:solidFill>
          </w14:textFill>
        </w:rPr>
      </w:pPr>
      <w:r/>
      <w:bookmarkStart w:id="451" w:name="_Toc297120507"/>
      <w:r/>
      <w:bookmarkStart w:id="452" w:name="_Toc296346708"/>
      <w:r/>
      <w:bookmarkStart w:id="453" w:name="_Toc292559917"/>
      <w:r/>
      <w:bookmarkStart w:id="454" w:name="_Toc297216213"/>
      <w:r/>
      <w:bookmarkStart w:id="455" w:name="_Toc296891035"/>
      <w:r/>
      <w:bookmarkStart w:id="456" w:name="_Toc296503207"/>
      <w:r/>
      <w:bookmarkStart w:id="457" w:name="_Toc304295581"/>
      <w:r/>
      <w:bookmarkStart w:id="458" w:name="_Toc297048393"/>
      <w:r/>
      <w:bookmarkStart w:id="459" w:name="_Toc303539161"/>
      <w:r/>
      <w:bookmarkStart w:id="460" w:name="_Toc292559412"/>
      <w:r/>
      <w:bookmarkStart w:id="461" w:name="_Toc297123554"/>
      <w:r/>
      <w:bookmarkStart w:id="462" w:name="_Toc296347206"/>
      <w:r/>
      <w:bookmarkStart w:id="463" w:name="_Toc296944546"/>
      <w:r/>
      <w:bookmarkStart w:id="464" w:name="_Toc296891247"/>
      <w:r/>
      <w:bookmarkStart w:id="465" w:name="_Toc312678042"/>
      <w:r/>
      <w:bookmarkStart w:id="466" w:name="_Toc300935004"/>
      <w:r>
        <w:rPr>
          <w:rFonts w:hint="eastAsia" w:ascii="宋体" w:hAnsi="宋体" w:cs="宋体"/>
          <w:color w:val="000000" w:themeColor="text1"/>
          <w:szCs w:val="21"/>
          <w:highlight w:val="none"/>
          <w14:textFill>
            <w14:solidFill>
              <w14:schemeClr w14:val="tx1"/>
            </w14:solidFill>
          </w14:textFill>
        </w:rPr>
        <w:t xml:space="preserve">综合单价包含的风险范围：</w:t>
      </w:r>
      <w:r>
        <w:rPr>
          <w:rFonts w:hint="eastAsia" w:ascii="宋体" w:hAnsi="宋体" w:cs="宋体"/>
          <w:color w:val="000000" w:themeColor="text1"/>
          <w:szCs w:val="21"/>
          <w:highlight w:val="none"/>
          <w:u w:val="single"/>
          <w14:textFill>
            <w14:solidFill>
              <w14:schemeClr w14:val="tx1"/>
            </w14:solidFill>
          </w14:textFill>
        </w:rPr>
        <w:t xml:space="preserve">除①设计变更、②招标人要求变动的内容、③政策性文件调整、④下述“风险范围以外合同价格的调整方法”中约定的可调整内容以外的其他所有风险。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风险费用的计算方法：</w:t>
      </w:r>
      <w:r>
        <w:rPr>
          <w:rFonts w:hint="eastAsia" w:ascii="宋体" w:hAnsi="宋体" w:cs="宋体"/>
          <w:color w:val="000000" w:themeColor="text1"/>
          <w:szCs w:val="21"/>
          <w:highlight w:val="none"/>
          <w:u w:val="single"/>
          <w14:textFill>
            <w14:solidFill>
              <w14:schemeClr w14:val="tx1"/>
            </w14:solidFill>
          </w14:textFill>
        </w:rPr>
        <w:t xml:space="preserve">全部风险包含在投标报价中，承包人投标时充分考虑风险范围，并计算风险系数。</w:t>
      </w:r>
      <w:r/>
    </w:p>
    <w:p>
      <w:pPr>
        <w:ind w:firstLine="403"/>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风险范围以外合同价格的调整方法：</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（1）主要材料、工程设备价格波动采用造价信息进行价格调整，调整方法见 11.1；</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（2）施工期间人工费用的调整按国家（江苏省、扬州市）颁布的政策性人工费调整文件执行，基准日为投标截止时间前 28 天；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（3）施工期间施工机械台班单价或施工机械使用费由省级行业建设主管部门或其授权的工程价管理机构发布调整文件的，按其规定调整。</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 预付款</w:t>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12.2.1 预付款的支付</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预付款支付比例或金额：</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预付款支付期限：</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预付款扣回的方式：</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12.2.2 预付款担保</w:t>
      </w:r>
      <w:r/>
    </w:p>
    <w:p>
      <w:pPr>
        <w:ind w:firstLine="420"/>
        <w:jc w:val="left"/>
        <w:spacing w:after="120"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承包人提交预付款担保的期限：</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预付款担保的形式为：</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 计量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12.3.1 计量原则</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工程量计算规则：</w:t>
      </w:r>
      <w:r>
        <w:rPr>
          <w:rFonts w:hint="eastAsia" w:ascii="宋体" w:hAnsi="宋体" w:cs="宋体"/>
          <w:color w:val="000000" w:themeColor="text1"/>
          <w:szCs w:val="21"/>
          <w:highlight w:val="none"/>
          <w:u w:val="single"/>
          <w14:textFill>
            <w14:solidFill>
              <w14:schemeClr w14:val="tx1"/>
            </w14:solidFill>
          </w14:textFill>
        </w:rPr>
        <w:t xml:space="preserve">《建设工程工程量清单计价规范》（GB50500-2013）及相应计价表的计算规则。</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12.3.2 计量周期</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关于计量周期的约定：</w:t>
      </w:r>
      <w:r>
        <w:rPr>
          <w:rFonts w:hint="eastAsia" w:ascii="宋体" w:hAnsi="宋体" w:cs="宋体"/>
          <w:color w:val="000000" w:themeColor="text1"/>
          <w:szCs w:val="21"/>
          <w:highlight w:val="none"/>
          <w:u w:val="single"/>
          <w14:textFill>
            <w14:solidFill>
              <w14:schemeClr w14:val="tx1"/>
            </w14:solidFill>
          </w14:textFill>
        </w:rPr>
        <w:t xml:space="preserve">按月进行。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12.3.3 单价合同的计量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关于单价合同计量的约定：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 工程进度款支付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467" w:name="_Toc297120511"/>
      <w:r/>
      <w:bookmarkStart w:id="468" w:name="_Toc296346712"/>
      <w:r/>
      <w:bookmarkStart w:id="469" w:name="_Toc297123556"/>
      <w:r/>
      <w:bookmarkStart w:id="470" w:name="_Toc297216215"/>
      <w:r/>
      <w:bookmarkStart w:id="471" w:name="_Toc297048397"/>
      <w:r/>
      <w:bookmarkStart w:id="472" w:name="_Toc300935006"/>
      <w:r/>
      <w:bookmarkStart w:id="473" w:name="_Toc296891039"/>
      <w:r/>
      <w:bookmarkStart w:id="474" w:name="_Toc296503211"/>
      <w:r/>
      <w:bookmarkStart w:id="475" w:name="_Toc303539163"/>
      <w:r/>
      <w:bookmarkStart w:id="476" w:name="_Toc292559921"/>
      <w:r/>
      <w:bookmarkStart w:id="477" w:name="_Toc292559416"/>
      <w:r/>
      <w:bookmarkStart w:id="478" w:name="_Toc296347210"/>
      <w:r/>
      <w:bookmarkStart w:id="479" w:name="_Toc296944550"/>
      <w:r/>
      <w:bookmarkStart w:id="480" w:name="_Toc296891251"/>
      <w:r>
        <w:rPr>
          <w:rFonts w:hint="eastAsia" w:ascii="宋体" w:hAnsi="宋体" w:cs="宋体"/>
          <w:color w:val="000000" w:themeColor="text1"/>
          <w:szCs w:val="21"/>
          <w:highlight w:val="none"/>
          <w14:textFill>
            <w14:solidFill>
              <w14:schemeClr w14:val="tx1"/>
            </w14:solidFill>
          </w14:textFill>
        </w:rPr>
        <w:t xml:space="preserve">12.4.1 付款周期</w:t>
      </w:r>
      <w:r/>
    </w:p>
    <w:p>
      <w:pPr>
        <w:pStyle w:val="1043"/>
        <w:ind w:firstLine="555"/>
        <w:spacing w:line="360" w:lineRule="auto"/>
        <w:rPr>
          <w:rFonts w:hint="eastAsia" w:hAnsi="宋体" w:eastAsia="宋体" w:cs="宋体"/>
          <w:b/>
          <w:bCs/>
          <w:color w:val="000000" w:themeColor="text1"/>
          <w:sz w:val="21"/>
          <w:szCs w:val="21"/>
          <w:highlight w:val="none"/>
          <w:u w:val="singl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关于付款周期的约定：</w:t>
      </w:r>
      <w:r>
        <w:rPr>
          <w:rFonts w:hint="eastAsia" w:hAnsi="宋体" w:cs="宋体"/>
          <w:color w:val="000000" w:themeColor="text1"/>
          <w:sz w:val="21"/>
          <w:szCs w:val="21"/>
          <w:highlight w:val="none"/>
          <w:lang w:eastAsia="zh-CN"/>
          <w14:textFill>
            <w14:solidFill>
              <w14:schemeClr w14:val="tx1"/>
            </w14:solidFill>
          </w14:textFill>
        </w:rPr>
        <w:t xml:space="preserve">中标价即为合同价，</w:t>
      </w:r>
      <w:r>
        <w:rPr>
          <w:rFonts w:hint="eastAsia" w:hAnsi="宋体" w:cs="宋体"/>
          <w:color w:val="000000" w:themeColor="text1"/>
          <w:sz w:val="21"/>
          <w:szCs w:val="21"/>
          <w:highlight w:val="none"/>
          <w:lang w:eastAsia="zh-CN"/>
          <w14:textFill>
            <w14:solidFill>
              <w14:schemeClr w14:val="tx1"/>
            </w14:solidFill>
          </w14:textFill>
        </w:rPr>
        <w:t xml:space="preserve">工程竣工验收合格当年付合同价的30%，工程竣工验收满一年且工程结算审定后付至审定价的60%，工程竣工验收合格满二年付至审定价的97%</w:t>
      </w:r>
      <w:r>
        <w:rPr>
          <w:rFonts w:hint="eastAsia" w:hAnsi="宋体" w:cs="宋体"/>
          <w:color w:val="000000" w:themeColor="text1"/>
          <w:sz w:val="21"/>
          <w:szCs w:val="21"/>
          <w:highlight w:val="none"/>
          <w:lang w:eastAsia="zh-CN"/>
          <w14:textFill>
            <w14:solidFill>
              <w14:schemeClr w14:val="tx1"/>
            </w14:solidFill>
          </w14:textFill>
        </w:rPr>
        <w:t xml:space="preserve">，余款3%作为质保金，</w:t>
      </w:r>
      <w:r>
        <w:rPr>
          <w:rFonts w:hint="eastAsia" w:hAnsi="宋体" w:cs="宋体"/>
          <w:color w:val="000000" w:themeColor="text1"/>
          <w:sz w:val="21"/>
          <w:szCs w:val="21"/>
          <w:highlight w:val="none"/>
          <w:lang w:val="en-US" w:eastAsia="zh-CN"/>
          <w14:textFill>
            <w14:solidFill>
              <w14:schemeClr w14:val="tx1"/>
            </w14:solidFill>
          </w14:textFill>
        </w:rPr>
        <w:t xml:space="preserve">质保期两年，</w:t>
      </w:r>
      <w:r>
        <w:rPr>
          <w:rFonts w:hint="eastAsia" w:hAnsi="宋体" w:cs="宋体"/>
          <w:color w:val="000000" w:themeColor="text1"/>
          <w:sz w:val="21"/>
          <w:szCs w:val="21"/>
          <w:highlight w:val="none"/>
          <w:lang w:eastAsia="zh-CN"/>
          <w14:textFill>
            <w14:solidFill>
              <w14:schemeClr w14:val="tx1"/>
            </w14:solidFill>
          </w14:textFill>
        </w:rPr>
        <w:t xml:space="preserve">质保期满后无质量问题一次性付清。[付款时合同价均扣除暂列金、暂估价（如有），每次支付工程款时，承包人必须提供正式税票]。</w:t>
      </w:r>
      <w:r/>
    </w:p>
    <w:p>
      <w:pPr>
        <w:pStyle w:val="1043"/>
        <w:ind w:firstLine="555"/>
        <w:spacing w:line="360" w:lineRule="auto"/>
        <w:rPr>
          <w:rFonts w:hint="eastAsia" w:hAnsi="宋体" w:cs="宋体"/>
          <w:b/>
          <w:bCs/>
          <w:color w:val="000000" w:themeColor="text1"/>
          <w:sz w:val="21"/>
          <w:szCs w:val="21"/>
          <w:highlight w:val="none"/>
          <w:u w:val="single"/>
          <w14:textFill>
            <w14:solidFill>
              <w14:schemeClr w14:val="tx1"/>
            </w14:solidFill>
          </w14:textFill>
        </w:rPr>
      </w:pPr>
      <w:r>
        <w:rPr>
          <w:rFonts w:hint="eastAsia" w:hAnsi="宋体" w:cs="宋体"/>
          <w:b/>
          <w:bCs/>
          <w:color w:val="000000" w:themeColor="text1"/>
          <w:sz w:val="21"/>
          <w:szCs w:val="21"/>
          <w:highlight w:val="none"/>
          <w:u w:val="single"/>
          <w14:textFill>
            <w14:solidFill>
              <w14:schemeClr w14:val="tx1"/>
            </w14:solidFill>
          </w14:textFill>
        </w:rPr>
        <w:t xml:space="preserve">工程结算方式</w:t>
      </w:r>
      <w:r/>
    </w:p>
    <w:p>
      <w:pPr>
        <w:pStyle w:val="1043"/>
        <w:ind w:firstLine="555"/>
        <w:spacing w:line="360" w:lineRule="auto"/>
        <w:rPr>
          <w:rFonts w:hint="eastAsia" w:hAnsi="宋体" w:cs="宋体"/>
          <w:b/>
          <w:bCs/>
          <w:color w:val="000000" w:themeColor="text1"/>
          <w:sz w:val="21"/>
          <w:szCs w:val="21"/>
          <w:highlight w:val="none"/>
          <w:u w:val="single"/>
          <w14:textFill>
            <w14:solidFill>
              <w14:schemeClr w14:val="tx1"/>
            </w14:solidFill>
          </w14:textFill>
        </w:rPr>
      </w:pPr>
      <w:r>
        <w:rPr>
          <w:rFonts w:hint="eastAsia" w:hAnsi="宋体" w:cs="宋体"/>
          <w:b/>
          <w:bCs/>
          <w:color w:val="000000" w:themeColor="text1"/>
          <w:sz w:val="21"/>
          <w:szCs w:val="21"/>
          <w:highlight w:val="none"/>
          <w:u w:val="single"/>
          <w14:textFill>
            <w14:solidFill>
              <w14:schemeClr w14:val="tx1"/>
            </w14:solidFill>
          </w14:textFill>
        </w:rPr>
        <w:t xml:space="preserve">结算方式：1、工程量按实结算，综合单价按第一轮报价的综合单价进行正常计算得出总价后，再在此总价上按最终报价与第一轮投标价的让利幅度进行同比让利，作为最终结算价。2、新增项目按实结算，让利幅度按以下公式计算：（1-中标价/招标控制价）*100%。</w:t>
      </w:r>
      <w:r/>
    </w:p>
    <w:p>
      <w:pPr>
        <w:pStyle w:val="1043"/>
        <w:ind w:firstLine="555"/>
        <w:spacing w:line="360" w:lineRule="auto"/>
        <w:rPr>
          <w:rFonts w:hAnsi="宋体" w:cs="宋体"/>
          <w:color w:val="000000" w:themeColor="text1"/>
          <w:sz w:val="21"/>
          <w:szCs w:val="21"/>
          <w:highlight w:val="none"/>
          <w:u w:val="single"/>
          <w14:textFill>
            <w14:solidFill>
              <w14:schemeClr w14:val="tx1"/>
            </w14:solidFill>
          </w14:textFill>
        </w:rPr>
      </w:pPr>
      <w:r>
        <w:rPr>
          <w:rFonts w:hint="eastAsia" w:hAnsi="宋体" w:cs="宋体"/>
          <w:b/>
          <w:bCs/>
          <w:color w:val="000000" w:themeColor="text1"/>
          <w:sz w:val="21"/>
          <w:szCs w:val="21"/>
          <w:highlight w:val="none"/>
          <w:u w:val="single"/>
          <w14:textFill>
            <w14:solidFill>
              <w14:schemeClr w14:val="tx1"/>
            </w14:solidFill>
          </w14:textFill>
        </w:rPr>
        <w:t xml:space="preserve">合同价款中包括的风险范围：除工程量的风险由招标人承担外，其它均为合同价款中已包括的风险范围。</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12.4.2 进度付款申请单的编制</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关于进度付款申请单编制的约定：</w:t>
      </w:r>
      <w:r>
        <w:rPr>
          <w:rFonts w:hint="eastAsia" w:ascii="宋体" w:hAnsi="宋体" w:cs="宋体"/>
          <w:color w:val="000000" w:themeColor="text1"/>
          <w:szCs w:val="21"/>
          <w:highlight w:val="none"/>
          <w:u w:val="single"/>
          <w14:textFill>
            <w14:solidFill>
              <w14:schemeClr w14:val="tx1"/>
            </w14:solidFill>
          </w14:textFill>
        </w:rPr>
        <w:t xml:space="preserve">按通用条款。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s="宋体"/>
          <w:color w:val="000000" w:themeColor="text1"/>
          <w:szCs w:val="21"/>
          <w:highlight w:val="none"/>
          <w14:textFill>
            <w14:solidFill>
              <w14:schemeClr w14:val="tx1"/>
            </w14:solidFill>
          </w14:textFill>
        </w:rPr>
        <w:t xml:space="preserve">2.4.3 进度付款申请单的提交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（1）单价合同进度付款申请单提交的约定：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按通用条款。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（3）其他价格形式合同进度付款申请单提交的约定：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12.4.4 进度款审核和支付</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（1）监理人审查并报送发包人的期限：</w:t>
      </w:r>
      <w:r>
        <w:rPr>
          <w:rFonts w:hint="eastAsia" w:ascii="宋体" w:hAnsi="宋体" w:cs="宋体"/>
          <w:color w:val="000000" w:themeColor="text1"/>
          <w:szCs w:val="21"/>
          <w:highlight w:val="none"/>
          <w:u w:val="single"/>
          <w14:textFill>
            <w14:solidFill>
              <w14:schemeClr w14:val="tx1"/>
            </w14:solidFill>
          </w14:textFill>
        </w:rPr>
        <w:t xml:space="preserve">按通用条款。</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发包人完成审批并签发进度款支付证书的期限：</w:t>
      </w:r>
      <w:r>
        <w:rPr>
          <w:rFonts w:hint="eastAsia" w:ascii="宋体" w:hAnsi="宋体" w:cs="宋体"/>
          <w:color w:val="000000" w:themeColor="text1"/>
          <w:szCs w:val="21"/>
          <w:highlight w:val="none"/>
          <w:u w:val="single"/>
          <w14:textFill>
            <w14:solidFill>
              <w14:schemeClr w14:val="tx1"/>
            </w14:solidFill>
          </w14:textFill>
        </w:rPr>
        <w:t xml:space="preserve">按通用条款。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（2）发包人支付进度款的期限：</w:t>
      </w:r>
      <w:r>
        <w:rPr>
          <w:rFonts w:hint="eastAsia" w:ascii="宋体" w:hAnsi="宋体" w:cs="宋体"/>
          <w:color w:val="000000" w:themeColor="text1"/>
          <w:szCs w:val="21"/>
          <w:highlight w:val="none"/>
          <w:u w:val="single"/>
          <w14:textFill>
            <w14:solidFill>
              <w14:schemeClr w14:val="tx1"/>
            </w14:solidFill>
          </w14:textFill>
        </w:rPr>
        <w:t xml:space="preserve"> 完成审批后执行。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12.4.6 支付分解表的编制</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2.总价合同支付分解表的编制与审批：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3.单价合同的总价项目支付分解表的编制与审批：</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327"/>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481" w:name="_Toc351203645"/>
      <w:r/>
      <w:bookmarkStart w:id="482" w:name="_Toc304295593"/>
      <w:r/>
      <w:bookmarkStart w:id="483" w:name="_Toc296503219"/>
      <w:r/>
      <w:bookmarkStart w:id="484" w:name="_Toc296891047"/>
      <w:r/>
      <w:bookmarkStart w:id="485" w:name="_Toc297120519"/>
      <w:r/>
      <w:bookmarkStart w:id="486" w:name="_Toc297123564"/>
      <w:r/>
      <w:bookmarkStart w:id="487" w:name="_Toc296347218"/>
      <w:r/>
      <w:bookmarkStart w:id="488" w:name="_Toc296891259"/>
      <w:r/>
      <w:bookmarkStart w:id="489" w:name="_Toc296944558"/>
      <w:r/>
      <w:bookmarkStart w:id="490" w:name="_Toc303539172"/>
      <w:r/>
      <w:bookmarkStart w:id="491" w:name="_Toc312678053"/>
      <w:r/>
      <w:bookmarkStart w:id="492" w:name="_Toc292559424"/>
      <w:r/>
      <w:bookmarkStart w:id="493" w:name="_Toc292559929"/>
      <w:r/>
      <w:bookmarkStart w:id="494" w:name="_Toc297216223"/>
      <w:r/>
      <w:bookmarkStart w:id="495" w:name="_Toc296346720"/>
      <w:r/>
      <w:bookmarkStart w:id="496" w:name="_Toc300935015"/>
      <w:r/>
      <w:bookmarkStart w:id="497" w:name="_Toc297048405"/>
      <w:r>
        <w:rPr>
          <w:rFonts w:hint="eastAsia" w:ascii="宋体" w:hAnsi="宋体" w:cs="宋体"/>
          <w:color w:val="000000" w:themeColor="text1"/>
          <w:szCs w:val="21"/>
          <w:highlight w:val="none"/>
          <w14:textFill>
            <w14:solidFill>
              <w14:schemeClr w14:val="tx1"/>
            </w14:solidFill>
          </w14:textFill>
        </w:rPr>
        <w:t xml:space="preserve">13. 验收和工程试车</w:t>
      </w:r>
      <w:bookmarkEnd w:id="481"/>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 分部分项工程验收</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13.1.2监理人不能按时进行验收时，应提前</w:t>
      </w:r>
      <w:r>
        <w:rPr>
          <w:rFonts w:hint="eastAsia" w:ascii="宋体" w:hAnsi="宋体" w:cs="宋体"/>
          <w:color w:val="000000" w:themeColor="text1"/>
          <w:szCs w:val="21"/>
          <w:highlight w:val="none"/>
          <w:u w:val="single"/>
          <w14:textFill>
            <w14:solidFill>
              <w14:schemeClr w14:val="tx1"/>
            </w14:solidFill>
          </w14:textFill>
        </w:rPr>
        <w:t xml:space="preserve"> 24 </w:t>
      </w:r>
      <w:r>
        <w:rPr>
          <w:rFonts w:hint="eastAsia" w:ascii="宋体" w:hAnsi="宋体" w:cs="宋体"/>
          <w:color w:val="000000" w:themeColor="text1"/>
          <w:szCs w:val="21"/>
          <w:highlight w:val="none"/>
          <w14:textFill>
            <w14:solidFill>
              <w14:schemeClr w14:val="tx1"/>
            </w14:solidFill>
          </w14:textFill>
        </w:rPr>
        <w:t xml:space="preserve">小时提交书面延期要求。</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关于延期最长不得超过：</w:t>
      </w:r>
      <w:r>
        <w:rPr>
          <w:rFonts w:hint="eastAsia" w:ascii="宋体" w:hAnsi="宋体" w:cs="宋体"/>
          <w:color w:val="000000" w:themeColor="text1"/>
          <w:szCs w:val="21"/>
          <w:highlight w:val="none"/>
          <w:u w:val="single"/>
          <w14:textFill>
            <w14:solidFill>
              <w14:schemeClr w14:val="tx1"/>
            </w14:solidFill>
          </w14:textFill>
        </w:rPr>
        <w:t xml:space="preserve"> 48 </w:t>
      </w:r>
      <w:r>
        <w:rPr>
          <w:rFonts w:hint="eastAsia" w:ascii="宋体" w:hAnsi="宋体" w:cs="宋体"/>
          <w:color w:val="000000" w:themeColor="text1"/>
          <w:szCs w:val="21"/>
          <w:highlight w:val="none"/>
          <w14:textFill>
            <w14:solidFill>
              <w14:schemeClr w14:val="tx1"/>
            </w14:solidFill>
          </w14:textFill>
        </w:rPr>
        <w:t xml:space="preserve">小时。</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bookmarkStart w:id="498" w:name="_Toc296503223"/>
      <w:r/>
      <w:bookmarkStart w:id="499" w:name="_Toc292559428"/>
      <w:r/>
      <w:bookmarkStart w:id="500" w:name="_Toc296944562"/>
      <w:r/>
      <w:bookmarkStart w:id="501" w:name="_Toc304295596"/>
      <w:r/>
      <w:bookmarkStart w:id="502" w:name="_Toc296891051"/>
      <w:r/>
      <w:bookmarkStart w:id="503" w:name="_Toc296346724"/>
      <w:r/>
      <w:bookmarkStart w:id="504" w:name="_Toc297120523"/>
      <w:r/>
      <w:bookmarkStart w:id="505" w:name="_Toc312678056"/>
      <w:r/>
      <w:bookmarkStart w:id="506" w:name="_Toc296891263"/>
      <w:r/>
      <w:bookmarkStart w:id="507" w:name="_Toc303539173"/>
      <w:r/>
      <w:bookmarkStart w:id="508" w:name="_Toc300935016"/>
      <w:r/>
      <w:bookmarkStart w:id="509" w:name="_Toc297216224"/>
      <w:r/>
      <w:bookmarkStart w:id="510" w:name="_Toc297048409"/>
      <w:r/>
      <w:bookmarkStart w:id="511" w:name="_Toc296347222"/>
      <w:r/>
      <w:bookmarkStart w:id="512" w:name="_Toc292559933"/>
      <w:r/>
      <w:bookmarkStart w:id="513" w:name="_Toc297123565"/>
      <w:r/>
      <w:bookmarkStart w:id="514" w:name="_Toc267251474"/>
      <w:r/>
      <w:bookmarkStart w:id="515" w:name="_Toc267251473"/>
      <w:r/>
      <w:bookmarkStart w:id="516" w:name="_Toc267251475"/>
      <w:r/>
      <w:bookmarkStart w:id="517" w:name="_Toc267251472"/>
      <w:r/>
      <w:bookmarkStart w:id="518" w:name="_Toc267251476"/>
      <w:r/>
      <w:bookmarkStart w:id="519" w:name="_Toc267251471"/>
      <w:r/>
      <w:bookmarkStart w:id="520" w:name="_Toc267251470"/>
      <w:r>
        <w:rPr>
          <w:rFonts w:hint="eastAsia" w:ascii="宋体" w:hAnsi="宋体" w:cs="宋体"/>
          <w:color w:val="000000" w:themeColor="text1"/>
          <w:szCs w:val="21"/>
          <w:highlight w:val="none"/>
          <w14:textFill>
            <w14:solidFill>
              <w14:schemeClr w14:val="tx1"/>
            </w14:solidFill>
          </w14:textFill>
        </w:rPr>
        <w:t xml:space="preserve">13.2 竣工验收</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13.2.2竣工验收程序</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关于竣工验收程序的约定：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bookmarkStart w:id="521" w:name="_Toc280868706"/>
      <w:r/>
      <w:bookmarkStart w:id="522" w:name="_Toc280868708"/>
      <w:r/>
      <w:bookmarkStart w:id="523" w:name="_Toc280868707"/>
      <w:r/>
      <w:bookmarkStart w:id="524" w:name="_Toc280868709"/>
      <w:r>
        <w:rPr>
          <w:rFonts w:hint="eastAsia" w:ascii="宋体" w:hAnsi="宋体" w:cs="宋体"/>
          <w:color w:val="000000" w:themeColor="text1"/>
          <w:szCs w:val="21"/>
          <w:highlight w:val="none"/>
          <w14:textFill>
            <w14:solidFill>
              <w14:schemeClr w14:val="tx1"/>
            </w14:solidFill>
          </w14:textFill>
        </w:rPr>
        <w:t xml:space="preserve">发包人不按照本项约定组织竣工验收、颁发工程接收证书的违约金的计算方法：</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13.2.5 移交、接收全部与部分工程</w:t>
      </w:r>
      <w:bookmarkEnd w:id="521"/>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承包人向发包人移交工程的期限：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Cs w:val="21"/>
          <w:highlight w:val="none"/>
          <w:u w:val="single"/>
          <w14:textFill>
            <w14:solidFill>
              <w14:schemeClr w14:val="tx1"/>
            </w14:solidFill>
          </w14:textFill>
        </w:rPr>
        <w:t xml:space="preserve">每延误一天罚1000元。</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承包人未按时移交工程的，违约金的计算方法为： </w:t>
      </w:r>
      <w:r>
        <w:rPr>
          <w:rFonts w:hint="eastAsia" w:ascii="宋体" w:hAnsi="宋体" w:cs="宋体"/>
          <w:color w:val="000000" w:themeColor="text1"/>
          <w:szCs w:val="21"/>
          <w:highlight w:val="none"/>
          <w:u w:val="single"/>
          <w14:textFill>
            <w14:solidFill>
              <w14:schemeClr w14:val="tx1"/>
            </w14:solidFill>
          </w14:textFill>
        </w:rPr>
        <w:t xml:space="preserve">每延误一天罚合同价的万分之五。</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 工程试车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13.3.1 试车程序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工程试车内容：</w:t>
      </w:r>
      <w:r>
        <w:rPr>
          <w:rFonts w:hint="eastAsia" w:ascii="宋体" w:hAnsi="宋体" w:cs="宋体"/>
          <w:color w:val="000000" w:themeColor="text1"/>
          <w:szCs w:val="21"/>
          <w:highlight w:val="none"/>
          <w:u w:val="single"/>
          <w14:textFill>
            <w14:solidFill>
              <w14:schemeClr w14:val="tx1"/>
            </w14:solidFill>
          </w14:textFill>
        </w:rPr>
        <w:t xml:space="preserve">按规定执行。</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（1）单机无负荷试车费用由</w:t>
      </w:r>
      <w:r>
        <w:rPr>
          <w:rFonts w:hint="eastAsia" w:ascii="宋体" w:hAnsi="宋体" w:cs="宋体"/>
          <w:color w:val="000000" w:themeColor="text1"/>
          <w:szCs w:val="21"/>
          <w:highlight w:val="none"/>
          <w:u w:val="single"/>
          <w14:textFill>
            <w14:solidFill>
              <w14:schemeClr w14:val="tx1"/>
            </w14:solidFill>
          </w14:textFill>
        </w:rPr>
        <w:t xml:space="preserve">    承包人   </w:t>
      </w:r>
      <w:r>
        <w:rPr>
          <w:rFonts w:hint="eastAsia" w:ascii="宋体" w:hAnsi="宋体" w:cs="宋体"/>
          <w:color w:val="000000" w:themeColor="text1"/>
          <w:szCs w:val="21"/>
          <w:highlight w:val="none"/>
          <w14:textFill>
            <w14:solidFill>
              <w14:schemeClr w14:val="tx1"/>
            </w14:solidFill>
          </w14:textFill>
        </w:rPr>
        <w:t xml:space="preserve">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（2）无负荷联动试车费用由</w:t>
      </w:r>
      <w:r>
        <w:rPr>
          <w:rFonts w:hint="eastAsia" w:ascii="宋体" w:hAnsi="宋体" w:cs="宋体"/>
          <w:color w:val="000000" w:themeColor="text1"/>
          <w:szCs w:val="21"/>
          <w:highlight w:val="none"/>
          <w:u w:val="single"/>
          <w14:textFill>
            <w14:solidFill>
              <w14:schemeClr w14:val="tx1"/>
            </w14:solidFill>
          </w14:textFill>
        </w:rPr>
        <w:t xml:space="preserve">    承包人   </w:t>
      </w:r>
      <w:r>
        <w:rPr>
          <w:rFonts w:hint="eastAsia" w:ascii="宋体" w:hAnsi="宋体" w:cs="宋体"/>
          <w:color w:val="000000" w:themeColor="text1"/>
          <w:szCs w:val="21"/>
          <w:highlight w:val="none"/>
          <w14:textFill>
            <w14:solidFill>
              <w14:schemeClr w14:val="tx1"/>
            </w14:solidFill>
          </w14:textFill>
        </w:rPr>
        <w:t xml:space="preserve">承担。</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13.3.3 投料试车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关于投料试车相关事项的约定：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522"/>
      <w:r/>
      <w:bookmarkEnd w:id="523"/>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 竣工退场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13.6.1 竣工退场</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承包人完成竣工退场的期限：</w:t>
      </w:r>
      <w:r>
        <w:rPr>
          <w:rFonts w:hint="eastAsia" w:ascii="宋体" w:hAnsi="宋体" w:cs="宋体"/>
          <w:color w:val="000000" w:themeColor="text1"/>
          <w:szCs w:val="21"/>
          <w:highlight w:val="none"/>
          <w:u w:val="single"/>
          <w14:textFill>
            <w14:solidFill>
              <w14:schemeClr w14:val="tx1"/>
            </w14:solidFill>
          </w14:textFill>
        </w:rPr>
        <w:t xml:space="preserve">竣工验收合格后7日内全部退场。</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bookmarkStart w:id="525" w:name="_Toc351203646"/>
      <w:r>
        <w:rPr>
          <w:rFonts w:hint="eastAsia" w:ascii="宋体" w:hAnsi="宋体" w:cs="宋体"/>
          <w:color w:val="000000" w:themeColor="text1"/>
          <w:szCs w:val="21"/>
          <w:highlight w:val="none"/>
          <w14:textFill>
            <w14:solidFill>
              <w14:schemeClr w14:val="tx1"/>
            </w14:solidFill>
          </w14:textFill>
        </w:rPr>
        <w:t xml:space="preserve">14. 竣工结算</w:t>
      </w:r>
      <w:bookmarkEnd w:id="525"/>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 竣工付款申请</w:t>
      </w:r>
      <w:r/>
    </w:p>
    <w:p>
      <w:pPr>
        <w:ind w:firstLine="420"/>
        <w:jc w:val="left"/>
        <w:spacing w:line="360" w:lineRule="auto"/>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承包人提交竣工付款申请单的期限：</w:t>
      </w:r>
      <w:r>
        <w:rPr>
          <w:rFonts w:hint="eastAsia" w:ascii="宋体" w:hAnsi="宋体" w:cs="宋体"/>
          <w:color w:val="000000" w:themeColor="text1"/>
          <w:szCs w:val="21"/>
          <w:highlight w:val="none"/>
          <w:u w:val="single"/>
          <w14:textFill>
            <w14:solidFill>
              <w14:schemeClr w14:val="tx1"/>
            </w14:solidFill>
          </w14:textFill>
        </w:rPr>
        <w:t xml:space="preserve">竣工验收合格并已移交所有档案资料后10日内。</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竣工付款申请单应包括的内容：</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 竣工结算审核</w:t>
      </w:r>
      <w:r/>
    </w:p>
    <w:p>
      <w:pPr>
        <w:ind w:firstLine="420"/>
        <w:jc w:val="left"/>
        <w:spacing w:line="360" w:lineRule="auto"/>
        <w:rPr>
          <w:rFonts w:ascii="宋体" w:hAnsi="宋体" w:cs="宋体"/>
          <w:b/>
          <w:bCs/>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发包人审批竣工付款申请单的期限：</w:t>
      </w:r>
      <w:r>
        <w:rPr>
          <w:rFonts w:hint="eastAsia" w:ascii="宋体" w:hAnsi="宋体" w:cs="宋体"/>
          <w:color w:val="000000" w:themeColor="text1"/>
          <w:szCs w:val="21"/>
          <w:highlight w:val="none"/>
          <w:u w:val="single"/>
          <w14:textFill>
            <w14:solidFill>
              <w14:schemeClr w14:val="tx1"/>
            </w14:solidFill>
          </w14:textFill>
        </w:rPr>
        <w:t xml:space="preserve">最终审计结束后。</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发包人完成竣工付款的期限：</w:t>
      </w:r>
      <w:r>
        <w:rPr>
          <w:rFonts w:hint="eastAsia" w:ascii="宋体" w:hAnsi="宋体" w:cs="宋体"/>
          <w:color w:val="000000" w:themeColor="text1"/>
          <w:szCs w:val="21"/>
          <w:highlight w:val="none"/>
          <w:u w:val="single"/>
          <w14:textFill>
            <w14:solidFill>
              <w14:schemeClr w14:val="tx1"/>
            </w14:solidFill>
          </w14:textFill>
        </w:rPr>
        <w:t xml:space="preserve">按12.4.1条款执行。</w:t>
      </w:r>
      <w:r/>
    </w:p>
    <w:p>
      <w:pPr>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关于竣工付款证书异议部分复核的方式和程序:</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 最终结清</w:t>
      </w:r>
      <w:bookmarkEnd w:id="514"/>
      <w:r/>
      <w:bookmarkEnd w:id="515"/>
      <w:r/>
      <w:bookmarkEnd w:id="516"/>
      <w:r/>
      <w:bookmarkEnd w:id="517"/>
      <w:r/>
      <w:bookmarkEnd w:id="518"/>
      <w:r/>
      <w:bookmarkEnd w:id="519"/>
      <w:r/>
      <w:bookmarkEnd w:id="520"/>
      <w:r/>
      <w:bookmarkEnd w:id="524"/>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bookmarkStart w:id="526" w:name="_Toc351203647"/>
      <w:r/>
      <w:bookmarkStart w:id="527" w:name="_Toc267251483"/>
      <w:r/>
      <w:bookmarkStart w:id="528" w:name="_Toc267251484"/>
      <w:r/>
      <w:bookmarkStart w:id="529" w:name="_Toc267251482"/>
      <w:r/>
      <w:bookmarkStart w:id="530" w:name="_Toc267251485"/>
      <w:r/>
      <w:bookmarkStart w:id="531" w:name="_Toc267251486"/>
      <w:r/>
      <w:bookmarkStart w:id="532" w:name="_Toc267251489"/>
      <w:r/>
      <w:bookmarkStart w:id="533" w:name="_Toc267251488"/>
      <w:r/>
      <w:bookmarkStart w:id="534" w:name="_Toc267251490"/>
      <w:r/>
      <w:bookmarkStart w:id="535" w:name="_Toc267251496"/>
      <w:r/>
      <w:bookmarkStart w:id="536" w:name="_Toc267251507"/>
      <w:r/>
      <w:bookmarkStart w:id="537" w:name="_Toc267251492"/>
      <w:r/>
      <w:bookmarkStart w:id="538" w:name="_Toc267251495"/>
      <w:r/>
      <w:bookmarkStart w:id="539" w:name="_Toc267251497"/>
      <w:r/>
      <w:bookmarkStart w:id="540" w:name="_Toc267251504"/>
      <w:r/>
      <w:bookmarkStart w:id="541" w:name="_Toc267251503"/>
      <w:r/>
      <w:bookmarkStart w:id="542" w:name="_Toc267251502"/>
      <w:r/>
      <w:bookmarkStart w:id="543" w:name="_Toc267251498"/>
      <w:r/>
      <w:bookmarkStart w:id="544" w:name="_Toc267251493"/>
      <w:r/>
      <w:bookmarkStart w:id="545" w:name="_Toc267251499"/>
      <w:r/>
      <w:bookmarkStart w:id="546" w:name="_Toc267251501"/>
      <w:r/>
      <w:bookmarkStart w:id="547" w:name="_Toc267251491"/>
      <w:r/>
      <w:bookmarkStart w:id="548" w:name="_Toc267251506"/>
      <w:r/>
      <w:bookmarkStart w:id="549" w:name="_Toc267251494"/>
      <w:r/>
      <w:bookmarkStart w:id="550" w:name="_Toc267251508"/>
      <w:r/>
      <w:bookmarkStart w:id="551" w:name="_Toc267251514"/>
      <w:r/>
      <w:bookmarkStart w:id="552" w:name="_Toc267251513"/>
      <w:r/>
      <w:bookmarkStart w:id="553" w:name="_Toc267251515"/>
      <w:r/>
      <w:bookmarkStart w:id="554" w:name="_Toc267251509"/>
      <w:r/>
      <w:bookmarkStart w:id="555" w:name="_Toc267251511"/>
      <w:r/>
      <w:bookmarkStart w:id="556" w:name="_Toc267251510"/>
      <w:r>
        <w:rPr>
          <w:rFonts w:hint="eastAsia" w:ascii="宋体" w:hAnsi="宋体" w:cs="宋体"/>
          <w:color w:val="000000" w:themeColor="text1"/>
          <w:szCs w:val="21"/>
          <w:highlight w:val="none"/>
          <w14:textFill>
            <w14:solidFill>
              <w14:schemeClr w14:val="tx1"/>
            </w14:solidFill>
          </w14:textFill>
        </w:rPr>
        <w:t xml:space="preserve">14.4.1 最终结清申请单</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承包人提交最终结清申请单的份数：</w:t>
      </w:r>
      <w:r>
        <w:rPr>
          <w:rFonts w:hint="eastAsia" w:ascii="宋体" w:hAnsi="宋体" w:cs="宋体"/>
          <w:color w:val="000000" w:themeColor="text1"/>
          <w:szCs w:val="21"/>
          <w:highlight w:val="none"/>
          <w:u w:val="single"/>
          <w14:textFill>
            <w14:solidFill>
              <w14:schemeClr w14:val="tx1"/>
            </w14:solidFill>
          </w14:textFill>
        </w:rPr>
        <w:t xml:space="preserve">肆份。</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14.4.2 最终结清证书和支付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（1）发包人完成最终结清申请单的审批并颁发最终结清证书的期限： </w:t>
      </w:r>
      <w:r>
        <w:rPr>
          <w:rFonts w:hint="eastAsia" w:ascii="宋体" w:hAnsi="宋体" w:cs="宋体"/>
          <w:color w:val="000000" w:themeColor="text1"/>
          <w:szCs w:val="21"/>
          <w:highlight w:val="none"/>
          <w:u w:val="single"/>
          <w14:textFill>
            <w14:solidFill>
              <w14:schemeClr w14:val="tx1"/>
            </w14:solidFill>
          </w14:textFill>
        </w:rPr>
        <w:t xml:space="preserve">视审计部门审计时间。</w:t>
      </w:r>
      <w:r/>
    </w:p>
    <w:p>
      <w:pPr>
        <w:ind w:firstLine="420"/>
        <w:jc w:val="left"/>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（2）发包人完成支付的期限：</w:t>
      </w:r>
      <w:r>
        <w:rPr>
          <w:rFonts w:hint="eastAsia" w:ascii="宋体" w:hAnsi="宋体" w:cs="宋体"/>
          <w:color w:val="000000" w:themeColor="text1"/>
          <w:szCs w:val="21"/>
          <w:highlight w:val="none"/>
          <w:u w:val="single"/>
          <w14:textFill>
            <w14:solidFill>
              <w14:schemeClr w14:val="tx1"/>
            </w14:solidFill>
          </w14:textFill>
        </w:rPr>
        <w:t xml:space="preserve">颁发最终结清证书后14天内完成支付。</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 缺陷责任期与保修</w:t>
      </w:r>
      <w:bookmarkEnd w:id="526"/>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15.2 缺陷责任期</w:t>
      </w:r>
      <w:bookmarkEnd w:id="527"/>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缺陷责任期的具体期限：</w:t>
      </w:r>
      <w:r>
        <w:rPr>
          <w:rFonts w:hint="eastAsia" w:ascii="宋体" w:hAnsi="宋体" w:cs="宋体"/>
          <w:color w:val="000000" w:themeColor="text1"/>
          <w:szCs w:val="21"/>
          <w:highlight w:val="none"/>
          <w:u w:val="single"/>
          <w14:textFill>
            <w14:solidFill>
              <w14:schemeClr w14:val="tx1"/>
            </w14:solidFill>
          </w14:textFill>
        </w:rPr>
        <w:t xml:space="preserve">自实际竣工验收合格日期起计算，两年。</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 质量保证金</w:t>
      </w:r>
      <w:r/>
    </w:p>
    <w:p>
      <w:pPr>
        <w:pStyle w:val="1048"/>
        <w:ind w:firstLine="420"/>
        <w:spacing w:line="360" w:lineRule="auto"/>
        <w:rPr>
          <w:rFonts w:ascii="宋体" w:hAnsi="宋体" w:cs="宋体"/>
          <w:color w:val="000000" w:themeColor="text1"/>
          <w:sz w:val="21"/>
          <w:szCs w:val="21"/>
          <w:highlight w:val="none"/>
          <w:u w:val="singl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关于是否扣留质量保证金的约定：</w:t>
      </w:r>
      <w:r>
        <w:rPr>
          <w:rFonts w:hint="eastAsia" w:ascii="宋体" w:hAnsi="宋体" w:cs="宋体"/>
          <w:color w:val="000000" w:themeColor="text1"/>
          <w:sz w:val="21"/>
          <w:szCs w:val="21"/>
          <w:highlight w:val="none"/>
          <w:u w:val="single"/>
          <w14:textFill>
            <w14:solidFill>
              <w14:schemeClr w14:val="tx1"/>
            </w14:solidFill>
          </w14:textFill>
        </w:rPr>
        <w:t xml:space="preserve">扣留3%工程款作为质保金。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15.3.1 承包人提供质量保证金的方式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质量保证金采用以下第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 种方式：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（1）质量保证金保函，保证金额为：</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u w:val="single"/>
          <w14:textFill>
            <w14:solidFill>
              <w14:schemeClr w14:val="tx1"/>
            </w14:solidFill>
          </w14:textFill>
        </w:rPr>
        <w:t xml:space="preserve"> 3 </w:t>
      </w:r>
      <w:r>
        <w:rPr>
          <w:rFonts w:hint="eastAsia" w:ascii="宋体" w:hAnsi="宋体" w:cs="宋体"/>
          <w:color w:val="000000" w:themeColor="text1"/>
          <w:szCs w:val="21"/>
          <w:highlight w:val="none"/>
          <w14:textFill>
            <w14:solidFill>
              <w14:schemeClr w14:val="tx1"/>
            </w14:solidFill>
          </w14:textFill>
        </w:rPr>
        <w:t xml:space="preserve">%的工程款；</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（3）其他方式:</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15.3.2 质量保证金的扣留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质量保证金的扣留采取以下第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（2）工程竣工结算时一次性扣留质量保证金；</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（3）其他扣留方式: </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关于质量保证金的补充约定：</w:t>
      </w:r>
      <w:r>
        <w:rPr>
          <w:rFonts w:hint="eastAsia" w:ascii="宋体" w:hAnsi="宋体" w:cs="宋体"/>
          <w:color w:val="000000" w:themeColor="text1"/>
          <w:szCs w:val="21"/>
          <w:highlight w:val="none"/>
          <w:u w:val="single"/>
          <w14:textFill>
            <w14:solidFill>
              <w14:schemeClr w14:val="tx1"/>
            </w14:solidFill>
          </w14:textFill>
        </w:rPr>
        <w:t xml:space="preserve">质保期满后，如无问题，一次性退还。</w:t>
      </w:r>
      <w:bookmarkEnd w:id="528"/>
      <w:r/>
      <w:bookmarkEnd w:id="52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15.4保修</w:t>
      </w:r>
      <w:bookmarkEnd w:id="530"/>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15.4.1 保修责任</w:t>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工程保修期为：</w:t>
      </w:r>
      <w:r>
        <w:rPr>
          <w:rFonts w:hint="eastAsia" w:ascii="宋体" w:hAnsi="宋体" w:cs="宋体"/>
          <w:color w:val="000000" w:themeColor="text1"/>
          <w:szCs w:val="21"/>
          <w:highlight w:val="none"/>
          <w:u w:val="single"/>
          <w14:textFill>
            <w14:solidFill>
              <w14:schemeClr w14:val="tx1"/>
            </w14:solidFill>
          </w14:textFill>
        </w:rPr>
        <w:t xml:space="preserve">详见《工程质量保修书》。</w:t>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15.4.3 修复通知</w:t>
      </w:r>
      <w:r/>
    </w:p>
    <w:p>
      <w:pPr>
        <w:ind w:firstLine="409"/>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承包人收到保修通知并到达工程现场的合理时间：</w:t>
      </w:r>
      <w:r>
        <w:rPr>
          <w:rFonts w:hint="eastAsia" w:ascii="宋体" w:hAnsi="宋体" w:cs="宋体"/>
          <w:color w:val="000000" w:themeColor="text1"/>
          <w:szCs w:val="21"/>
          <w:highlight w:val="none"/>
          <w:u w:val="single"/>
          <w14:textFill>
            <w14:solidFill>
              <w14:schemeClr w14:val="tx1"/>
            </w14:solidFill>
          </w14:textFill>
        </w:rPr>
        <w:t xml:space="preserve">原则上 24 小时内，特殊情况应提前到达现场。</w:t>
      </w:r>
      <w:bookmarkEnd w:id="531"/>
      <w:r/>
      <w:bookmarkEnd w:id="532"/>
      <w:r/>
      <w:bookmarkEnd w:id="533"/>
      <w:r/>
      <w:bookmarkEnd w:id="534"/>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557" w:name="_Toc351203648"/>
      <w:r/>
      <w:bookmarkStart w:id="558" w:name="_Toc351203649"/>
      <w:r/>
      <w:bookmarkStart w:id="559" w:name="_Toc280868717"/>
      <w:r/>
      <w:bookmarkStart w:id="560" w:name="_Toc280868718"/>
      <w:r>
        <w:rPr>
          <w:rFonts w:hint="eastAsia" w:ascii="宋体" w:hAnsi="宋体" w:cs="宋体"/>
          <w:color w:val="000000" w:themeColor="text1"/>
          <w:szCs w:val="21"/>
          <w:highlight w:val="none"/>
          <w14:textFill>
            <w14:solidFill>
              <w14:schemeClr w14:val="tx1"/>
            </w14:solidFill>
          </w14:textFill>
        </w:rPr>
        <w:t xml:space="preserve">16. 违约</w:t>
      </w:r>
      <w:bookmarkEnd w:id="557"/>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 发包人违约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16.1.1发包人违约的情形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发包人违约的其他情形：</w:t>
      </w:r>
      <w:r>
        <w:rPr>
          <w:rFonts w:hint="eastAsia" w:ascii="宋体" w:hAnsi="宋体" w:cs="宋体"/>
          <w:color w:val="000000" w:themeColor="text1"/>
          <w:szCs w:val="21"/>
          <w:highlight w:val="none"/>
          <w:u w:val="single"/>
          <w14:textFill>
            <w14:solidFill>
              <w14:schemeClr w14:val="tx1"/>
            </w14:solidFill>
          </w14:textFill>
        </w:rPr>
        <w:t xml:space="preserve"> 按通用条款执行  </w:t>
      </w:r>
      <w:r/>
    </w:p>
    <w:p>
      <w:pPr>
        <w:ind w:left="1050" w:hanging="105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16.1.2 发包人违约的责任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发包人违约责任的承担方式和计算方法：</w:t>
      </w:r>
      <w:r/>
    </w:p>
    <w:p>
      <w:pPr>
        <w:numPr>
          <w:ilvl w:val="0"/>
          <w:numId w:val="1"/>
        </w:num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因发包人原因未能在计划开工日期前7天内下达开工通知的违约责任：</w:t>
      </w:r>
      <w:r>
        <w:rPr>
          <w:rFonts w:hint="eastAsia" w:ascii="宋体" w:hAnsi="宋体" w:cs="宋体"/>
          <w:color w:val="000000" w:themeColor="text1"/>
          <w:szCs w:val="21"/>
          <w:highlight w:val="none"/>
          <w:u w:val="single"/>
          <w14:textFill>
            <w14:solidFill>
              <w14:schemeClr w14:val="tx1"/>
            </w14:solidFill>
          </w14:textFill>
        </w:rPr>
        <w:t xml:space="preserve">工期予以顺延。</w:t>
      </w:r>
      <w:r/>
    </w:p>
    <w:p>
      <w:pPr>
        <w:numPr>
          <w:ilvl w:val="0"/>
          <w:numId w:val="1"/>
        </w:num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因发包人原因未能按合同约定支付合同价款的违约责任</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（3）发包人违反第10.1款〔变更的范围〕第（2）项约定，自行实施被取消的工作或转由他人实施的违约责任：</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Cs w:val="21"/>
          <w:highlight w:val="none"/>
          <w:u w:val="single"/>
          <w14:textFill>
            <w14:solidFill>
              <w14:schemeClr w14:val="tx1"/>
            </w14:solidFill>
          </w14:textFill>
        </w:rPr>
        <w:t xml:space="preserve">另行商议。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（5）因发包人违反合同约定造成暂停施工的违约责任：</w:t>
      </w:r>
      <w:r>
        <w:rPr>
          <w:rFonts w:hint="eastAsia" w:ascii="宋体" w:hAnsi="宋体" w:cs="宋体"/>
          <w:color w:val="000000" w:themeColor="text1"/>
          <w:szCs w:val="21"/>
          <w:highlight w:val="none"/>
          <w:u w:val="single"/>
          <w14:textFill>
            <w14:solidFill>
              <w14:schemeClr w14:val="tx1"/>
            </w14:solidFill>
          </w14:textFill>
        </w:rPr>
        <w:t xml:space="preserve">另行商议。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（6）发包人无正当理由没有在约定期限内发出复工指示，导致承包人无法复工的违约责任：</w:t>
      </w:r>
      <w:r>
        <w:rPr>
          <w:rFonts w:hint="eastAsia" w:ascii="宋体" w:hAnsi="宋体" w:cs="宋体"/>
          <w:color w:val="000000" w:themeColor="text1"/>
          <w:szCs w:val="21"/>
          <w:highlight w:val="none"/>
          <w:u w:val="single"/>
          <w14:textFill>
            <w14:solidFill>
              <w14:schemeClr w14:val="tx1"/>
            </w14:solidFill>
          </w14:textFill>
        </w:rPr>
        <w:t xml:space="preserve">另行商议。</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（7）其他：</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16.1.3 因发包人违约解除合同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承包人按16.1.1项〔发包人违约的情形〕约定暂停施工满</w:t>
      </w:r>
      <w:r>
        <w:rPr>
          <w:rFonts w:hint="eastAsia" w:ascii="宋体" w:hAnsi="宋体" w:cs="宋体"/>
          <w:color w:val="000000" w:themeColor="text1"/>
          <w:szCs w:val="21"/>
          <w:highlight w:val="none"/>
          <w:u w:val="single"/>
          <w14:textFill>
            <w14:solidFill>
              <w14:schemeClr w14:val="tx1"/>
            </w14:solidFill>
          </w14:textFill>
        </w:rPr>
        <w:t xml:space="preserve"> 60 </w:t>
      </w:r>
      <w:r>
        <w:rPr>
          <w:rFonts w:hint="eastAsia" w:ascii="宋体" w:hAnsi="宋体" w:cs="宋体"/>
          <w:color w:val="000000" w:themeColor="text1"/>
          <w:szCs w:val="21"/>
          <w:highlight w:val="none"/>
          <w14:textFill>
            <w14:solidFill>
              <w14:schemeClr w14:val="tx1"/>
            </w14:solidFill>
          </w14:textFill>
        </w:rPr>
        <w:t xml:space="preserve">天后发包人仍不纠正其违约行为并致使合同目的不能实现的，承包人有权解除合同。</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 承包人违约</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16.2.1 承包人违约的情形</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承包人违约的其他情形：</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16.2.2 承包人违约的责任</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承包人违约责任的承担方式和计算方法：</w:t>
      </w:r>
      <w:r>
        <w:rPr>
          <w:rFonts w:hint="eastAsia" w:ascii="宋体" w:hAnsi="宋体" w:cs="宋体"/>
          <w:color w:val="000000" w:themeColor="text1"/>
          <w:szCs w:val="21"/>
          <w:highlight w:val="none"/>
          <w:u w:val="single"/>
          <w14:textFill>
            <w14:solidFill>
              <w14:schemeClr w14:val="tx1"/>
            </w14:solidFill>
          </w14:textFill>
        </w:rPr>
        <w:t xml:space="preserve"> 合同中有约定的按约定执行，无约定的另行商议。</w:t>
      </w:r>
      <w:r>
        <w:rPr>
          <w:rFonts w:hint="eastAsia" w:ascii="宋体" w:hAnsi="宋体" w:cs="宋体"/>
          <w:color w:val="000000" w:themeColor="text1"/>
          <w:szCs w:val="21"/>
          <w:highlight w:val="none"/>
          <w14:textFill>
            <w14:solidFill>
              <w14:schemeClr w14:val="tx1"/>
            </w14:solidFill>
          </w14:textFill>
        </w:rPr>
        <w:t xml:space="preserve"> </w:t>
      </w:r>
      <w:r/>
    </w:p>
    <w:p>
      <w:pPr>
        <w:ind w:firstLine="422"/>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注：当承包人未按时支付农民工工资时，发包人有权从应付工程款或履约保证金中扣除，且承包人需承担由于拖欠农民工工资造成的一切损失并支付违约金。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16.2.3 因承包人违约解除合同</w:t>
      </w:r>
      <w:r/>
    </w:p>
    <w:p>
      <w:pPr>
        <w:ind w:firstLine="420"/>
        <w:jc w:val="left"/>
        <w:spacing w:before="120"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关于承包人违约解除合同的特别约定：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before="120"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发包人继续使用承包人在施工现场的材料、设备、临时工程、承包人文件和由承包人或以其名义编制的其他文件的费用承担方式：</w:t>
      </w:r>
      <w:r>
        <w:rPr>
          <w:rFonts w:hint="eastAsia" w:ascii="宋体" w:hAnsi="宋体" w:cs="宋体"/>
          <w:color w:val="000000" w:themeColor="text1"/>
          <w:szCs w:val="21"/>
          <w:highlight w:val="none"/>
          <w:u w:val="single"/>
          <w14:textFill>
            <w14:solidFill>
              <w14:schemeClr w14:val="tx1"/>
            </w14:solidFill>
          </w14:textFill>
        </w:rPr>
        <w:t xml:space="preserve">另行商议。</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rPr>
          <w:rFonts w:hint="eastAsia" w:ascii="宋体" w:hAnsi="宋体" w:cs="宋体"/>
          <w:color w:val="000000" w:themeColor="text1"/>
          <w:szCs w:val="21"/>
          <w:highlight w:val="none"/>
          <w14:textFill>
            <w14:solidFill>
              <w14:schemeClr w14:val="tx1"/>
            </w14:solidFill>
          </w14:textFill>
        </w:rPr>
        <w:t xml:space="preserve">17. 不可抗力</w:t>
      </w:r>
      <w:bookmarkEnd w:id="558"/>
      <w:r>
        <w:rPr>
          <w:rFonts w:hint="eastAsia" w:ascii="宋体" w:hAnsi="宋体" w:cs="宋体"/>
          <w:color w:val="000000" w:themeColor="text1"/>
          <w:szCs w:val="21"/>
          <w:highlight w:val="none"/>
          <w14:textFill>
            <w14:solidFill>
              <w14:schemeClr w14:val="tx1"/>
            </w14:solidFill>
          </w14:textFill>
        </w:rPr>
        <w:t xml:space="preserve"> </w:t>
      </w:r>
      <w:bookmarkEnd w:id="559"/>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17.1 不可抗力的确认</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除通用合同条款约定的不可抗力事件之外，视为不可抗力的其他情形：</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因不可抗力解除合同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合同解除后，发包人在商定或确定发包人应支付款项后</w:t>
      </w:r>
      <w:r>
        <w:rPr>
          <w:rFonts w:hint="eastAsia" w:ascii="宋体" w:hAnsi="宋体" w:cs="宋体"/>
          <w:color w:val="000000" w:themeColor="text1"/>
          <w:szCs w:val="21"/>
          <w:highlight w:val="none"/>
          <w:u w:val="single"/>
          <w14:textFill>
            <w14:solidFill>
              <w14:schemeClr w14:val="tx1"/>
            </w14:solidFill>
          </w14:textFill>
        </w:rPr>
        <w:t xml:space="preserve">经双方协商后</w:t>
      </w:r>
      <w:r>
        <w:rPr>
          <w:rFonts w:hint="eastAsia" w:ascii="宋体" w:hAnsi="宋体" w:cs="宋体"/>
          <w:color w:val="000000" w:themeColor="text1"/>
          <w:szCs w:val="21"/>
          <w:highlight w:val="none"/>
          <w14:textFill>
            <w14:solidFill>
              <w14:schemeClr w14:val="tx1"/>
            </w14:solidFill>
          </w14:textFill>
        </w:rPr>
        <w:t xml:space="preserve">完成款项的支付。</w:t>
      </w:r>
      <w:r/>
    </w:p>
    <w:p>
      <w:pPr>
        <w:ind w:firstLine="420"/>
        <w:jc w:val="left"/>
        <w:keepLines/>
        <w:keepNext/>
        <w:spacing w:before="120" w:after="120" w:line="360" w:lineRule="auto"/>
        <w:rPr>
          <w:rFonts w:ascii="宋体" w:hAnsi="宋体" w:cs="宋体"/>
          <w:color w:val="000000" w:themeColor="text1"/>
          <w:szCs w:val="21"/>
          <w:highlight w:val="none"/>
          <w14:textFill>
            <w14:solidFill>
              <w14:schemeClr w14:val="tx1"/>
            </w14:solidFill>
          </w14:textFill>
        </w:rPr>
        <w:outlineLvl w:val="3"/>
      </w:pPr>
      <w:r/>
      <w:bookmarkStart w:id="561" w:name="_Toc351203650"/>
      <w:r>
        <w:rPr>
          <w:rFonts w:hint="eastAsia" w:ascii="宋体" w:hAnsi="宋体" w:cs="宋体"/>
          <w:color w:val="000000" w:themeColor="text1"/>
          <w:szCs w:val="21"/>
          <w:highlight w:val="none"/>
          <w14:textFill>
            <w14:solidFill>
              <w14:schemeClr w14:val="tx1"/>
            </w14:solidFill>
          </w14:textFill>
        </w:rPr>
        <w:t xml:space="preserve">18. 保险</w:t>
      </w:r>
      <w:bookmarkEnd w:id="561"/>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 工程保险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关于工程保险的特别约定：</w:t>
      </w:r>
      <w:r>
        <w:rPr>
          <w:rFonts w:hint="eastAsia" w:ascii="宋体" w:hAnsi="宋体" w:cs="宋体"/>
          <w:color w:val="000000" w:themeColor="text1"/>
          <w:szCs w:val="21"/>
          <w:highlight w:val="none"/>
          <w:u w:val="single"/>
          <w14:textFill>
            <w14:solidFill>
              <w14:schemeClr w14:val="tx1"/>
            </w14:solidFill>
          </w14:textFill>
        </w:rPr>
        <w:t xml:space="preserve">按江苏省及扬州市相关规定，应由承包人缴纳的保险必须按时依法办理。</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18.3 其他保险</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关于其他保险的约定：</w:t>
      </w:r>
      <w:r>
        <w:rPr>
          <w:rFonts w:hint="eastAsia" w:ascii="宋体" w:hAnsi="宋体" w:cs="宋体"/>
          <w:color w:val="000000" w:themeColor="text1"/>
          <w:szCs w:val="21"/>
          <w:highlight w:val="none"/>
          <w:u w:val="single"/>
          <w14:textFill>
            <w14:solidFill>
              <w14:schemeClr w14:val="tx1"/>
            </w14:solidFill>
          </w14:textFill>
        </w:rPr>
        <w:t xml:space="preserve">按江苏省及扬州市相关规定，应由承包人缴纳的保险必须按时依法办理。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承包人是否应为其施工设备等办理财产保险：</w:t>
      </w:r>
      <w:r>
        <w:rPr>
          <w:rFonts w:hint="eastAsia" w:ascii="宋体" w:hAnsi="宋体" w:cs="宋体"/>
          <w:color w:val="000000" w:themeColor="text1"/>
          <w:szCs w:val="21"/>
          <w:highlight w:val="none"/>
          <w:u w:val="single"/>
          <w14:textFill>
            <w14:solidFill>
              <w14:schemeClr w14:val="tx1"/>
            </w14:solidFill>
          </w14:textFill>
        </w:rPr>
        <w:t xml:space="preserve">应该办理。</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承包人是否应为从事危险作业的职工办理意外伤害保险：</w:t>
      </w:r>
      <w:r>
        <w:rPr>
          <w:rFonts w:hint="eastAsia" w:ascii="宋体" w:hAnsi="宋体" w:cs="宋体"/>
          <w:color w:val="000000" w:themeColor="text1"/>
          <w:szCs w:val="21"/>
          <w:highlight w:val="none"/>
          <w:u w:val="single"/>
          <w14:textFill>
            <w14:solidFill>
              <w14:schemeClr w14:val="tx1"/>
            </w14:solidFill>
          </w14:textFill>
        </w:rPr>
        <w:t xml:space="preserve">应该办理。</w:t>
      </w:r>
      <w:r/>
    </w:p>
    <w:p>
      <w:pPr>
        <w:ind w:firstLine="420"/>
        <w:jc w:val="left"/>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18.7 通知义务</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关于变更保险合同时的通知义务的约定：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rPr>
          <w:rFonts w:hint="eastAsia" w:ascii="宋体" w:hAnsi="宋体" w:cs="宋体"/>
          <w:color w:val="000000" w:themeColor="text1"/>
          <w:szCs w:val="21"/>
          <w:highlight w:val="none"/>
          <w14:textFill>
            <w14:solidFill>
              <w14:schemeClr w14:val="tx1"/>
            </w14:solidFill>
          </w14:textFill>
        </w:rPr>
        <w:t xml:space="preserve">     </w:t>
      </w:r>
      <w:r/>
    </w:p>
    <w:p>
      <w:pPr>
        <w:ind w:firstLine="422"/>
        <w:jc w:val="left"/>
        <w:keepLines/>
        <w:keepNext/>
        <w:spacing w:before="120" w:after="120" w:line="360" w:lineRule="auto"/>
        <w:rPr>
          <w:rFonts w:ascii="宋体" w:hAnsi="宋体" w:cs="宋体"/>
          <w:b/>
          <w:bCs/>
          <w:color w:val="000000" w:themeColor="text1"/>
          <w:szCs w:val="21"/>
          <w:highlight w:val="none"/>
          <w14:textFill>
            <w14:solidFill>
              <w14:schemeClr w14:val="tx1"/>
            </w14:solidFill>
          </w14:textFill>
        </w:rPr>
        <w:outlineLvl w:val="3"/>
      </w:pPr>
      <w:r/>
      <w:bookmarkStart w:id="562" w:name="_Toc351203651"/>
      <w:r>
        <w:rPr>
          <w:rFonts w:hint="eastAsia" w:ascii="宋体" w:hAnsi="宋体" w:cs="宋体"/>
          <w:b/>
          <w:bCs/>
          <w:color w:val="000000" w:themeColor="text1"/>
          <w:szCs w:val="21"/>
          <w:highlight w:val="none"/>
          <w14:textFill>
            <w14:solidFill>
              <w14:schemeClr w14:val="tx1"/>
            </w14:solidFill>
          </w14:textFill>
        </w:rPr>
        <w:t xml:space="preserve">20. 争议解决</w:t>
      </w:r>
      <w:bookmarkEnd w:id="562"/>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 争议评审</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合同当事人是否同意将工程争议提交争议评审小组决定：</w:t>
      </w:r>
      <w:r>
        <w:rPr>
          <w:rFonts w:hint="eastAsia" w:ascii="宋体" w:hAnsi="宋体" w:cs="宋体"/>
          <w:color w:val="000000" w:themeColor="text1"/>
          <w:szCs w:val="21"/>
          <w:highlight w:val="none"/>
          <w:u w:val="single"/>
          <w14:textFill>
            <w14:solidFill>
              <w14:schemeClr w14:val="tx1"/>
            </w14:solidFill>
          </w14:textFill>
        </w:rPr>
        <w:t xml:space="preserve">同意。</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20.3.1 争议评审小组的确定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争议评审小组成员的确定：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选定争议评审员的期限：</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争议评审小组成员的报酬承担方式：</w:t>
      </w:r>
      <w:r>
        <w:rPr>
          <w:rFonts w:hint="eastAsia" w:ascii="宋体" w:hAnsi="宋体" w:cs="宋体"/>
          <w:color w:val="000000" w:themeColor="text1"/>
          <w:szCs w:val="21"/>
          <w:highlight w:val="none"/>
          <w:u w:val="single"/>
          <w14:textFill>
            <w14:solidFill>
              <w14:schemeClr w14:val="tx1"/>
            </w14:solidFill>
          </w14:textFill>
        </w:rPr>
        <w:t xml:space="preserve">按通用条款执行。</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其他事项的约定：</w:t>
      </w:r>
      <w:r>
        <w:rPr>
          <w:rFonts w:hint="eastAsia" w:ascii="宋体" w:hAnsi="宋体" w:cs="宋体"/>
          <w:color w:val="000000" w:themeColor="text1"/>
          <w:szCs w:val="21"/>
          <w:highlight w:val="none"/>
          <w:u w:val="single"/>
          <w14:textFill>
            <w14:solidFill>
              <w14:schemeClr w14:val="tx1"/>
            </w14:solidFill>
          </w14:textFill>
        </w:rPr>
        <w:t xml:space="preserve">               /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20.3.2 争议评审小组的决定</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合同当事人关于本项的约定：</w:t>
      </w:r>
      <w:r>
        <w:rPr>
          <w:rFonts w:hint="eastAsia" w:ascii="宋体" w:hAnsi="宋体" w:cs="宋体"/>
          <w:color w:val="000000" w:themeColor="text1"/>
          <w:szCs w:val="21"/>
          <w:highlight w:val="none"/>
          <w:u w:val="single"/>
          <w14:textFill>
            <w14:solidFill>
              <w14:schemeClr w14:val="tx1"/>
            </w14:solidFill>
          </w14:textFill>
        </w:rPr>
        <w:t xml:space="preserve">按通用条款执行。</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60"/>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20.4 仲裁或诉讼</w:t>
      </w:r>
      <w:bookmarkEnd w:id="550"/>
      <w:r/>
      <w:r/>
    </w:p>
    <w:p>
      <w:pPr>
        <w:ind w:firstLine="420"/>
        <w:spacing w:after="12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因合同及合同有关事项发生的争议，按下列第</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种方式解决：</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（1）向</w:t>
      </w:r>
      <w:r>
        <w:rPr>
          <w:rFonts w:hint="eastAsia" w:ascii="宋体" w:hAnsi="宋体" w:cs="宋体"/>
          <w:color w:val="000000" w:themeColor="text1"/>
          <w:szCs w:val="21"/>
          <w:highlight w:val="none"/>
          <w:u w:val="single"/>
          <w14:textFill>
            <w14:solidFill>
              <w14:schemeClr w14:val="tx1"/>
            </w14:solidFill>
          </w14:textFill>
        </w:rPr>
        <w:t xml:space="preserve">  扬州  </w:t>
      </w:r>
      <w:r>
        <w:rPr>
          <w:rFonts w:hint="eastAsia" w:ascii="宋体" w:hAnsi="宋体" w:cs="宋体"/>
          <w:color w:val="000000" w:themeColor="text1"/>
          <w:szCs w:val="21"/>
          <w:highlight w:val="none"/>
          <w14:textFill>
            <w14:solidFill>
              <w14:schemeClr w14:val="tx1"/>
            </w14:solidFill>
          </w14:textFill>
        </w:rPr>
        <w:t xml:space="preserve">仲裁委员会申请仲裁；</w:t>
      </w:r>
      <w:r/>
    </w:p>
    <w:p>
      <w:pPr>
        <w:ind w:firstLine="420"/>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（2）向</w:t>
      </w:r>
      <w:r>
        <w:rPr>
          <w:rFonts w:hint="eastAsia" w:ascii="宋体" w:hAnsi="宋体" w:cs="宋体"/>
          <w:color w:val="000000" w:themeColor="text1"/>
          <w:szCs w:val="21"/>
          <w:highlight w:val="none"/>
          <w:u w:val="single"/>
          <w14:textFill>
            <w14:solidFill>
              <w14:schemeClr w14:val="tx1"/>
            </w14:solidFill>
          </w14:textFill>
        </w:rPr>
        <w:t xml:space="preserve">  工程所在地 </w:t>
      </w:r>
      <w:r>
        <w:rPr>
          <w:rFonts w:hint="eastAsia" w:ascii="宋体" w:hAnsi="宋体" w:cs="宋体"/>
          <w:color w:val="000000" w:themeColor="text1"/>
          <w:szCs w:val="21"/>
          <w:highlight w:val="none"/>
          <w14:textFill>
            <w14:solidFill>
              <w14:schemeClr w14:val="tx1"/>
            </w14:solidFill>
          </w14:textFill>
        </w:rPr>
        <w:t xml:space="preserve">人民法院起诉。</w:t>
      </w:r>
      <w:bookmarkEnd w:id="551"/>
      <w:r/>
      <w:bookmarkEnd w:id="552"/>
      <w:r/>
      <w:bookmarkEnd w:id="553"/>
      <w:r/>
      <w:bookmarkEnd w:id="554"/>
      <w:r/>
      <w:bookmarkEnd w:id="555"/>
      <w:r/>
      <w:bookmarkEnd w:id="556"/>
      <w:r/>
      <w:bookmarkStart w:id="563" w:name="_Toc351203652"/>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r>
      <w:r/>
    </w:p>
    <w:p>
      <w:pPr>
        <w:jc w:val="left"/>
        <w:spacing w:line="360" w:lineRule="auto"/>
        <w:rPr>
          <w:rFonts w:hint="eastAsia" w:ascii="宋体" w:hAnsi="宋体" w:cs="宋体"/>
          <w:b/>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rtlGutter/>
          <w:cols w:num="1" w:sep="0" w:space="720" w:equalWidth="1"/>
          <w:docGrid w:linePitch="360"/>
        </w:sectPr>
      </w:pPr>
      <w:r>
        <w:rPr>
          <w:rFonts w:hint="eastAsia" w:ascii="宋体" w:hAnsi="宋体" w:cs="宋体"/>
          <w:b/>
          <w:color w:val="000000" w:themeColor="text1"/>
          <w:highlight w:val="none"/>
          <w14:textFill>
            <w14:solidFill>
              <w14:schemeClr w14:val="tx1"/>
            </w14:solidFill>
          </w14:textFill>
        </w:rPr>
      </w:r>
      <w:r/>
    </w:p>
    <w:p>
      <w:pPr>
        <w:jc w:val="left"/>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附</w:t>
      </w:r>
      <w:bookmarkEnd w:id="563"/>
      <w:r>
        <w:rPr>
          <w:rFonts w:hint="eastAsia" w:ascii="宋体" w:hAnsi="宋体" w:cs="宋体"/>
          <w:b/>
          <w:color w:val="000000" w:themeColor="text1"/>
          <w:szCs w:val="21"/>
          <w:highlight w:val="none"/>
          <w14:textFill>
            <w14:solidFill>
              <w14:schemeClr w14:val="tx1"/>
            </w14:solidFill>
          </w14:textFill>
        </w:rPr>
        <w:t xml:space="preserve">件1</w:t>
      </w:r>
      <w:r/>
    </w:p>
    <w:p>
      <w:pPr>
        <w:jc w:val="center"/>
        <w:spacing w:line="360" w:lineRule="auto"/>
        <w:rPr>
          <w:rFonts w:ascii="宋体" w:hAnsi="宋体" w:cs="宋体"/>
          <w:color w:val="000000" w:themeColor="text1"/>
          <w:sz w:val="24"/>
          <w:szCs w:val="24"/>
          <w:highlight w:val="none"/>
          <w14:textFill>
            <w14:solidFill>
              <w14:schemeClr w14:val="tx1"/>
            </w14:solidFill>
          </w14:textFill>
        </w:rPr>
      </w:pPr>
      <w:r/>
      <w:bookmarkStart w:id="564" w:name="_Toc16315"/>
      <w:r/>
      <w:bookmarkStart w:id="565" w:name="_Toc32629"/>
      <w:r>
        <w:rPr>
          <w:rFonts w:hint="eastAsia" w:ascii="宋体" w:hAnsi="宋体" w:cs="宋体"/>
          <w:color w:val="000000" w:themeColor="text1"/>
          <w:sz w:val="24"/>
          <w:szCs w:val="24"/>
          <w:highlight w:val="none"/>
          <w14:textFill>
            <w14:solidFill>
              <w14:schemeClr w14:val="tx1"/>
            </w14:solidFill>
          </w14:textFill>
        </w:rPr>
        <w:t xml:space="preserve">工程质量保修书</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乙方（全称）：</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r/>
    </w:p>
    <w:p>
      <w:pPr>
        <w:ind w:firstLine="420"/>
        <w:jc w:val="left"/>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发包人和承包人根据《中华人民共和国建筑法》和《建设工程质量管理条例》，经协商一致</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（工程全称）签订工程质量保修书。</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一、工程质量保修范围和内容</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承包人在质量保修期内，按照有关法律规定和合同约定，承担工程质量保修责任。</w:t>
      </w:r>
      <w:r/>
    </w:p>
    <w:p>
      <w:pPr>
        <w:ind w:firstLine="420"/>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themeColor="text1"/>
          <w:szCs w:val="21"/>
          <w:highlight w:val="none"/>
          <w:u w:val="single"/>
          <w14:textFill>
            <w14:solidFill>
              <w14:schemeClr w14:val="tx1"/>
            </w14:solidFill>
          </w14:textFill>
        </w:rPr>
        <w:t xml:space="preserve">施工图及工程量清单范围内所有内容均在保修范围。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二、质量保修期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1、根据《建设工程质量管理条例》及有关规定，工程的质量保修期如下：</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（1）地基基础工程和主体结构工程为设计文件规定的工程合理使用年限；</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（2）屋面防水工程、有防水要求的卫生间、房间和外墙面的防渗为</w:t>
      </w:r>
      <w:r>
        <w:rPr>
          <w:rFonts w:hint="eastAsia" w:ascii="宋体" w:hAnsi="宋体" w:cs="宋体"/>
          <w:color w:val="000000" w:themeColor="text1"/>
          <w:szCs w:val="21"/>
          <w:highlight w:val="none"/>
          <w:u w:val="single"/>
          <w14:textFill>
            <w14:solidFill>
              <w14:schemeClr w14:val="tx1"/>
            </w14:solidFill>
          </w14:textFill>
        </w:rPr>
        <w:t xml:space="preserve">  5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（3）装修工程为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（4）电气管线、给排水管道、设备安装工程为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（5）供热与供冷系统为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个采暖期、供冷期；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（6）住宅小区内的给排水设施、道路等配套工程为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（7）市政工程为</w:t>
      </w:r>
      <w:r>
        <w:rPr>
          <w:rFonts w:hint="eastAsia" w:ascii="宋体" w:hAnsi="宋体" w:cs="宋体"/>
          <w:color w:val="000000" w:themeColor="text1"/>
          <w:szCs w:val="21"/>
          <w:highlight w:val="none"/>
          <w:u w:val="single"/>
          <w14:textFill>
            <w14:solidFill>
              <w14:schemeClr w14:val="tx1"/>
            </w14:solidFill>
          </w14:textFill>
        </w:rPr>
        <w:t xml:space="preserve">  2  </w:t>
      </w:r>
      <w:r>
        <w:rPr>
          <w:rFonts w:hint="eastAsia" w:ascii="宋体" w:hAnsi="宋体" w:cs="宋体"/>
          <w:color w:val="000000" w:themeColor="text1"/>
          <w:szCs w:val="21"/>
          <w:highlight w:val="none"/>
          <w14:textFill>
            <w14:solidFill>
              <w14:schemeClr w14:val="tx1"/>
            </w14:solidFill>
          </w14:textFill>
        </w:rPr>
        <w:t xml:space="preserve">年；。</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自工程全部竣工验收合格之日起开始计算。</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2、在承包人对质量保证期内出现的质量问题进行维修时，承包人应相应延长维修或更换部分的质量保证期。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3、质量保证期内因发包人原因或自然灾害而造成的损坏，承包人不承担保修责任，但承包人有义务对此进行维修，维修发生的材料和人工费用由发包人承担。</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三、缺陷责任期</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工程缺陷责任期为</w:t>
      </w:r>
      <w:r>
        <w:rPr>
          <w:rFonts w:hint="eastAsia" w:ascii="宋体" w:hAnsi="宋体" w:cs="宋体"/>
          <w:color w:val="000000" w:themeColor="text1"/>
          <w:szCs w:val="21"/>
          <w:highlight w:val="none"/>
          <w:u w:val="single"/>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缺陷责任期终止后，发包人应退还剩余的质量保证金。</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四、质量保修责任</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1．属于保修范围、内容的项目，承包人应当在接到保修通知之日起7天内派人保修。承包人不在约定期限内派人保修的，发包人可以委托他人修理。</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2．发生紧急事故需抢修的，承包人在接到事故通知后，应当立即到达事故现场抢修。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4．质量保修完成后，由发包人组织验收。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五、保修费用</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保修费用由造成质量缺陷的责任方承担。</w:t>
      </w:r>
      <w:r/>
    </w:p>
    <w:p>
      <w:pPr>
        <w:ind w:firstLine="420"/>
        <w:jc w:val="left"/>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六、双方约定的其他工程质量保修事项：</w:t>
      </w:r>
      <w:r>
        <w:rPr>
          <w:rFonts w:hint="eastAsia" w:ascii="宋体" w:hAnsi="宋体" w:cs="宋体"/>
          <w:color w:val="000000" w:themeColor="text1"/>
          <w:szCs w:val="21"/>
          <w:highlight w:val="none"/>
          <w:u w:val="single"/>
          <w14:textFill>
            <w14:solidFill>
              <w14:schemeClr w14:val="tx1"/>
            </w14:solidFill>
          </w14:textFill>
        </w:rPr>
        <w:t xml:space="preserve">保修期内因承包人不能及时履行保修义务，发包人有权另请第三方维修，费用按实际发生费用的2倍从保修金中扣除。</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工程质量保修书由发包人、承包人在工程竣工验收前共同签署，作为施工合同附件，其有效期限至保修期满。</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甲方(公章)：                      乙方(公章)：          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                            地  址：</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                        法定代表人或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委托代理人(签字)：                  委托代理人(签字)：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                            电  话：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传  真：                            传  真：                     </w:t>
      </w:r>
      <w:r/>
    </w:p>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 期：   年    月    日               </w:t>
      </w:r>
      <w:r/>
    </w:p>
    <w:p>
      <w:pPr>
        <w:pStyle w:val="1037"/>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37"/>
        <w:numPr>
          <w:ilvl w:val="0"/>
          <w:numId w:val="2"/>
        </w:numPr>
        <w:jc w:val="cente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bookmarkStart w:id="566" w:name="_Toc1188"/>
      <w:r>
        <w:rPr>
          <w:rFonts w:hint="eastAsia"/>
          <w:color w:val="000000" w:themeColor="text1"/>
          <w:highlight w:val="none"/>
          <w14:textFill>
            <w14:solidFill>
              <w14:schemeClr w14:val="tx1"/>
            </w14:solidFill>
          </w14:textFill>
        </w:rPr>
        <w:t xml:space="preserve">项目需求</w:t>
      </w:r>
      <w:bookmarkEnd w:id="564"/>
      <w:r/>
      <w:bookmarkEnd w:id="565"/>
      <w:r/>
      <w:bookmarkEnd w:id="566"/>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严格执行政府采购关于支持</w:t>
      </w:r>
      <w:r>
        <w:rPr>
          <w:rFonts w:hint="eastAsia" w:ascii="宋体" w:hAnsi="宋体" w:cs="宋体"/>
          <w:color w:val="000000" w:themeColor="text1"/>
          <w:highlight w:val="none"/>
          <w14:textFill>
            <w14:solidFill>
              <w14:schemeClr w14:val="tx1"/>
            </w14:solidFill>
          </w14:textFill>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0"/>
        </w:numPr>
        <w:spacing w:line="360" w:lineRule="auto"/>
        <w:rPr>
          <w:rFonts w:hint="eastAsia"/>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供应商对于投标产品的包装应按照“财办库〔2020〕123号《关于印发《商品包装政府采购需求标准（试行）》、《快递包装政府采购需求标准（试行）》的通知》”执行。</w:t>
      </w:r>
      <w:r/>
    </w:p>
    <w:p>
      <w:pPr>
        <w:ind w:firstLine="422"/>
        <w:spacing w:line="360" w:lineRule="auto"/>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注：本章内容里斜体且有下划线部分为实质性要求和条件，投标文件不满足的，视为无效投标处理。请各供应商制作电子投标文件时，将实质性响应的内容在政府采购交易系统</w:t>
      </w:r>
      <w:r>
        <w:rPr>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符合证明文件格式</w:t>
      </w:r>
      <w:r>
        <w:rPr>
          <w:b/>
          <w:bCs/>
          <w:color w:val="000000" w:themeColor="text1"/>
          <w:highlight w:val="none"/>
          <w14:textFill>
            <w14:solidFill>
              <w14:schemeClr w14:val="tx1"/>
            </w14:solidFill>
          </w14:textFill>
        </w:rPr>
        <w:t xml:space="preserve">”</w:t>
      </w:r>
      <w:r>
        <w:rPr>
          <w:rFonts w:hint="eastAsia"/>
          <w:b/>
          <w:bCs/>
          <w:color w:val="000000" w:themeColor="text1"/>
          <w:highlight w:val="none"/>
          <w14:textFill>
            <w14:solidFill>
              <w14:schemeClr w14:val="tx1"/>
            </w14:solidFill>
          </w14:textFill>
        </w:rPr>
        <w:t xml:space="preserve">中准确填写或上传。</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所属行业：建筑业</w:t>
      </w:r>
      <w:r/>
    </w:p>
    <w:p>
      <w:pPr>
        <w:numPr>
          <w:ilvl w:val="0"/>
          <w:numId w:val="3"/>
        </w:numPr>
        <w:ind w:firstLine="422"/>
        <w:spacing w:line="360" w:lineRule="auto"/>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工程概况</w:t>
      </w:r>
      <w:r/>
    </w:p>
    <w:p>
      <w:pPr>
        <w:numPr>
          <w:ilvl w:val="0"/>
          <w:numId w:val="4"/>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lang w:eastAsia="zh-CN"/>
          <w14:textFill>
            <w14:solidFill>
              <w14:schemeClr w14:val="tx1"/>
            </w14:solidFill>
          </w14:textFill>
        </w:rPr>
        <w:t xml:space="preserve">扬州市江都区樊川镇常春藤书屋改造及周边环境整治工程</w:t>
      </w:r>
      <w:r/>
    </w:p>
    <w:p>
      <w:pPr>
        <w:numPr>
          <w:ilvl w:val="0"/>
          <w:numId w:val="4"/>
        </w:num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项目地点：</w:t>
      </w:r>
      <w:r>
        <w:rPr>
          <w:rFonts w:hint="eastAsia" w:ascii="宋体" w:hAnsi="宋体" w:cs="宋体"/>
          <w:color w:val="000000" w:themeColor="text1"/>
          <w:szCs w:val="21"/>
          <w:highlight w:val="none"/>
          <w:lang w:eastAsia="zh-CN"/>
          <w14:textFill>
            <w14:solidFill>
              <w14:schemeClr w14:val="tx1"/>
            </w14:solidFill>
          </w14:textFill>
        </w:rPr>
        <w:t xml:space="preserve">扬州市江都区</w:t>
      </w:r>
      <w:r/>
    </w:p>
    <w:p>
      <w:pPr>
        <w:numPr>
          <w:ilvl w:val="0"/>
          <w:numId w:val="4"/>
        </w:num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项目范围：施工图纸及</w:t>
      </w:r>
      <w:r>
        <w:rPr>
          <w:rFonts w:hint="eastAsia" w:ascii="宋体" w:hAnsi="宋体"/>
          <w:bCs/>
          <w:color w:val="000000" w:themeColor="text1"/>
          <w:szCs w:val="21"/>
          <w:highlight w:val="none"/>
          <w14:textFill>
            <w14:solidFill>
              <w14:schemeClr w14:val="tx1"/>
            </w14:solidFill>
          </w14:textFill>
        </w:rPr>
        <w:t xml:space="preserve">工程量清单内的施工</w:t>
      </w:r>
      <w:r>
        <w:rPr>
          <w:rFonts w:hint="eastAsia" w:ascii="宋体" w:hAnsi="宋体" w:cs="宋体"/>
          <w:color w:val="000000" w:themeColor="text1"/>
          <w:szCs w:val="21"/>
          <w:highlight w:val="none"/>
          <w14:textFill>
            <w14:solidFill>
              <w14:schemeClr w14:val="tx1"/>
            </w14:solidFill>
          </w14:textFill>
        </w:rPr>
        <w:t xml:space="preserve">。</w:t>
      </w:r>
      <w:r/>
    </w:p>
    <w:p>
      <w:pPr>
        <w:numPr>
          <w:ilvl w:val="0"/>
          <w:numId w:val="4"/>
        </w:num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工期：</w:t>
      </w:r>
      <w:r>
        <w:rPr>
          <w:rFonts w:hint="eastAsia" w:ascii="宋体" w:hAnsi="宋体" w:cs="宋体"/>
          <w:color w:val="000000" w:themeColor="text1"/>
          <w:szCs w:val="21"/>
          <w:highlight w:val="none"/>
          <w:lang w:val="en-US" w:eastAsia="zh-CN"/>
          <w14:textFill>
            <w14:solidFill>
              <w14:schemeClr w14:val="tx1"/>
            </w14:solidFill>
          </w14:textFill>
        </w:rPr>
        <w:t xml:space="preserve">90</w:t>
      </w:r>
      <w:r>
        <w:rPr>
          <w:rFonts w:hint="eastAsia" w:ascii="宋体" w:hAnsi="宋体" w:cs="宋体"/>
          <w:color w:val="000000" w:themeColor="text1"/>
          <w:szCs w:val="21"/>
          <w:highlight w:val="none"/>
          <w14:textFill>
            <w14:solidFill>
              <w14:schemeClr w14:val="tx1"/>
            </w14:solidFill>
          </w14:textFill>
        </w:rPr>
        <w:t xml:space="preserve">天</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u w:val="none"/>
          <w:lang w:val="en-US" w:eastAsia="zh-CN"/>
          <w14:textFill>
            <w14:solidFill>
              <w14:schemeClr w14:val="tx1"/>
            </w14:solidFill>
          </w14:textFill>
        </w:rPr>
        <w:t xml:space="preserve">质保期：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2年</w:t>
      </w:r>
      <w:r>
        <w:rPr>
          <w:rFonts w:hint="eastAsia" w:ascii="宋体" w:hAnsi="宋体" w:cs="宋体"/>
          <w:color w:val="000000" w:themeColor="text1"/>
          <w:szCs w:val="21"/>
          <w:highlight w:val="none"/>
          <w:u w:val="none"/>
          <w:lang w:val="en-US" w:eastAsia="zh-CN"/>
          <w14:textFill>
            <w14:solidFill>
              <w14:schemeClr w14:val="tx1"/>
            </w14:solidFill>
          </w14:textFill>
        </w:rPr>
        <w:t xml:space="preserve">，绿化养护期：</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1年</w:t>
      </w:r>
      <w:r>
        <w:rPr>
          <w:rFonts w:hint="eastAsia" w:ascii="宋体" w:hAnsi="宋体" w:cs="宋体"/>
          <w:color w:val="000000" w:themeColor="text1"/>
          <w:szCs w:val="21"/>
          <w:highlight w:val="none"/>
          <w:u w:val="none"/>
          <w:lang w:val="en-US" w:eastAsia="zh-CN"/>
          <w14:textFill>
            <w14:solidFill>
              <w14:schemeClr w14:val="tx1"/>
            </w14:solidFill>
          </w14:textFill>
        </w:rPr>
        <w:t xml:space="preserve">。</w:t>
      </w:r>
      <w:r/>
    </w:p>
    <w:p>
      <w:pPr>
        <w:numPr>
          <w:ilvl w:val="0"/>
          <w:numId w:val="4"/>
        </w:num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质量要求：合格</w:t>
      </w:r>
      <w:r/>
    </w:p>
    <w:p>
      <w:pPr>
        <w:numPr>
          <w:ilvl w:val="0"/>
          <w:numId w:val="4"/>
        </w:num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最高限价：</w:t>
      </w:r>
      <w:r>
        <w:rPr>
          <w:rFonts w:hint="eastAsia" w:ascii="宋体" w:hAnsi="宋体" w:cs="宋体"/>
          <w:color w:val="000000" w:themeColor="text1"/>
          <w:szCs w:val="21"/>
          <w:highlight w:val="none"/>
          <w:lang w:val="en-US" w:eastAsia="zh-CN"/>
          <w14:textFill>
            <w14:solidFill>
              <w14:schemeClr w14:val="tx1"/>
            </w14:solidFill>
          </w14:textFill>
        </w:rPr>
        <w:t xml:space="preserve">313.5万</w:t>
      </w:r>
      <w:r>
        <w:rPr>
          <w:rFonts w:hint="eastAsia" w:ascii="宋体" w:hAnsi="宋体" w:cs="宋体"/>
          <w:color w:val="000000" w:themeColor="text1"/>
          <w:szCs w:val="21"/>
          <w:highlight w:val="none"/>
          <w14:textFill>
            <w14:solidFill>
              <w14:schemeClr w14:val="tx1"/>
            </w14:solidFill>
          </w14:textFill>
        </w:rPr>
        <w:t xml:space="preserve">元，报价超过最高限价的为无效报价，按照无效响应处理。</w:t>
      </w:r>
      <w:r/>
    </w:p>
    <w:p>
      <w:pPr>
        <w:ind w:firstLine="422"/>
        <w:spacing w:line="360" w:lineRule="auto"/>
        <w:rPr>
          <w:rFonts w:hint="eastAsia" w:ascii="宋体" w:hAnsi="宋体" w:cs="仿宋"/>
          <w:b/>
          <w:bCs/>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二、</w:t>
      </w:r>
      <w:r>
        <w:rPr>
          <w:rFonts w:hint="eastAsia" w:ascii="宋体" w:hAnsi="宋体" w:cs="仿宋"/>
          <w:b/>
          <w:bCs/>
          <w:color w:val="000000" w:themeColor="text1"/>
          <w:highlight w:val="none"/>
          <w14:textFill>
            <w14:solidFill>
              <w14:schemeClr w14:val="tx1"/>
            </w14:solidFill>
          </w14:textFill>
        </w:rPr>
        <w:t xml:space="preserve">其它须知：</w:t>
      </w:r>
      <w:r/>
    </w:p>
    <w:p>
      <w:pPr>
        <w:ind w:firstLine="422"/>
        <w:spacing w:line="360" w:lineRule="auto"/>
        <w:rPr>
          <w:rFonts w:hint="eastAsia" w:ascii="宋体" w:hAnsi="宋体" w:cs="仿宋"/>
          <w:b/>
          <w:i/>
          <w:color w:val="000000" w:themeColor="text1"/>
          <w:highlight w:val="none"/>
          <w:u w:val="single"/>
          <w14:textFill>
            <w14:solidFill>
              <w14:schemeClr w14:val="tx1"/>
            </w14:solidFill>
          </w14:textFill>
        </w:rPr>
      </w:pPr>
      <w:r>
        <w:rPr>
          <w:rFonts w:hint="eastAsia" w:ascii="宋体" w:hAnsi="宋体" w:cs="仿宋"/>
          <w:b/>
          <w:i/>
          <w:color w:val="000000" w:themeColor="text1"/>
          <w:highlight w:val="none"/>
          <w:u w:val="single"/>
          <w14:textFill>
            <w14:solidFill>
              <w14:schemeClr w14:val="tx1"/>
            </w14:solidFill>
          </w14:textFill>
        </w:rPr>
        <w:t xml:space="preserve">1、投标供应商不能修改采购人提供的工程量清单项目名称、计量单位、工程量、项目特征、暂估价、暂列金额等内容，否则按无效标处理。（提供已标价工程量清单）</w:t>
      </w:r>
      <w:r/>
    </w:p>
    <w:p>
      <w:pPr>
        <w:ind w:firstLine="42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2、投标人应踏勘现场，以充分了解项目位置、交通状况以及工作范围等任何足以影响其投标报价的情况。任何忽视或误解项目基本情况，而使采购人在项目实施过程中蒙受的损失，将由投标人进行赔偿。</w:t>
      </w:r>
      <w:r/>
    </w:p>
    <w:p>
      <w:pPr>
        <w:ind w:firstLine="42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3、本项目采用固定单价合同，承包范围为图纸、工程量清单、招标文件相关的内容。投标人应根据附件内容仔细核对工程量清单，核对内容包括清单数量、清单特征、计量单位等，并将疑问在提问截止时间前提出，如未提出任何疑问，则视为对采购人提供的工程量清单不存在问题，设计变更及采购人要求变动的内容按变更处理，详见合同条款。</w:t>
      </w:r>
      <w:r/>
    </w:p>
    <w:p>
      <w:pPr>
        <w:ind w:firstLine="422"/>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4、竞争性磋商报价按综合单价法报价。竞争性磋商报价应包括按招标文件规定完成工程所需的全部费用，包括：①分部分项工程费、项目措施费、其他项目费和规费、税金；②分部分项工程所发生的人工费、材料费、机械费、管理费、利润以及所有风险、责任等各项费用。</w:t>
      </w:r>
      <w:r/>
    </w:p>
    <w:p>
      <w:pPr>
        <w:ind w:firstLine="39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5、中标人必须服从现场管理，对工序和材料及时报验，原材料及配件必须符合国家标准，经复试合格后方可使用。</w:t>
      </w:r>
      <w:r/>
    </w:p>
    <w:p>
      <w:pPr>
        <w:ind w:firstLine="42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6、建设过程中产生的垃圾及时清运，费用由中标人承担；建设工程不能影响其他设施、设备的使用及功能，不能影响采购人正常工作开展。</w:t>
      </w:r>
      <w:r/>
    </w:p>
    <w:p>
      <w:pPr>
        <w:ind w:firstLine="420"/>
        <w:spacing w:line="360"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7、施工过程中，中标人需采取措施保护现场及周边相关财务、物品、设施等，因中标人的不规范操作、误操作等原因造成相关设施的损坏、设备的停用等后果均由中标人承担，由中标人原样修复并自行承担相关费用。</w:t>
      </w:r>
      <w:r/>
    </w:p>
    <w:p>
      <w:pPr>
        <w:ind w:firstLine="420"/>
        <w:jc w:val="left"/>
        <w:spacing w:line="348" w:lineRule="auto"/>
        <w:rPr>
          <w:rFonts w:hint="eastAsia"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8、投标人需积极主动地配合采购人进行施工完毕后验收，确保通过验收，若出现验收不合格的情况，投标人需要重新返工直至通过验收合格，由此导致的返工费等相关其他费用，由投标人自行承担，并且采购人有权从工程款中扣除。</w:t>
      </w:r>
      <w:r/>
    </w:p>
    <w:p>
      <w:pPr>
        <w:pStyle w:val="1033"/>
        <w:ind w:firstLine="420"/>
        <w:jc w:val="left"/>
        <w:spacing w:line="360" w:lineRule="auto"/>
        <w:rPr>
          <w:rFonts w:hint="eastAsia" w:ascii="宋体" w:hAnsi="宋体" w:cs="宋体"/>
          <w:i/>
          <w:iCs/>
          <w:color w:val="000000" w:themeColor="text1"/>
          <w:szCs w:val="21"/>
          <w:highlight w:val="none"/>
          <w:u w:val="single"/>
          <w14:textFill>
            <w14:solidFill>
              <w14:schemeClr w14:val="tx1"/>
            </w14:solidFill>
          </w14:textFill>
        </w:rPr>
      </w:pPr>
      <w:r>
        <w:rPr>
          <w:rFonts w:hint="eastAsia" w:ascii="宋体" w:hAnsi="宋体" w:cs="仿宋"/>
          <w:b/>
          <w:bCs/>
          <w:color w:val="000000" w:themeColor="text1"/>
          <w:highlight w:val="none"/>
          <w:lang w:val="en-US" w:eastAsia="zh-CN"/>
          <w14:textFill>
            <w14:solidFill>
              <w14:schemeClr w14:val="tx1"/>
            </w14:solidFill>
          </w14:textFill>
        </w:rPr>
        <w:t xml:space="preserve">三、</w:t>
      </w:r>
      <w:r>
        <w:rPr>
          <w:rFonts w:hint="eastAsia" w:ascii="宋体" w:hAnsi="宋体" w:cs="仿宋"/>
          <w:b/>
          <w:bCs/>
          <w:color w:val="000000" w:themeColor="text1"/>
          <w:highlight w:val="none"/>
          <w14:textFill>
            <w14:solidFill>
              <w14:schemeClr w14:val="tx1"/>
            </w14:solidFill>
          </w14:textFill>
        </w:rPr>
        <w:t xml:space="preserve">招标工程量清单（详见附件）</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pStyle w:val="1037"/>
        <w:jc w:val="center"/>
        <w:spacing w:line="360" w:lineRule="auto"/>
        <w:rPr>
          <w:rFonts w:hint="eastAsia" w:ascii="宋体" w:hAnsi="宋体"/>
          <w:color w:val="000000" w:themeColor="text1"/>
          <w:highlight w:val="none"/>
          <w14:textFill>
            <w14:solidFill>
              <w14:schemeClr w14:val="tx1"/>
            </w14:solidFill>
          </w14:textFill>
        </w:rPr>
      </w:pPr>
      <w:r/>
      <w:bookmarkStart w:id="567" w:name="_Toc7772"/>
      <w:r/>
      <w:bookmarkStart w:id="568" w:name="_Toc10645"/>
      <w:r>
        <w:rPr>
          <w:rFonts w:hint="eastAsia" w:ascii="宋体" w:hAnsi="宋体"/>
          <w:color w:val="000000" w:themeColor="text1"/>
          <w:highlight w:val="none"/>
          <w14:textFill>
            <w14:solidFill>
              <w14:schemeClr w14:val="tx1"/>
            </w14:solidFill>
          </w14:textFill>
        </w:rPr>
        <w:br w:type="page" w:clear="all"/>
      </w:r>
      <w:bookmarkStart w:id="569" w:name="_Toc11897"/>
      <w:r>
        <w:rPr>
          <w:rFonts w:hint="eastAsia" w:ascii="宋体" w:hAnsi="宋体"/>
          <w:color w:val="000000" w:themeColor="text1"/>
          <w:highlight w:val="none"/>
          <w14:textFill>
            <w14:solidFill>
              <w14:schemeClr w14:val="tx1"/>
            </w14:solidFill>
          </w14:textFill>
        </w:rPr>
        <w:t xml:space="preserve">第五章 评审方法及评审标准</w:t>
      </w:r>
      <w:bookmarkEnd w:id="1"/>
      <w:r/>
      <w:bookmarkEnd w:id="567"/>
      <w:r/>
      <w:bookmarkEnd w:id="568"/>
      <w:r/>
      <w:bookmarkEnd w:id="569"/>
      <w:r/>
      <w:r/>
    </w:p>
    <w:p>
      <w:pPr>
        <w:ind w:firstLine="422"/>
        <w:jc w:val="left"/>
        <w:spacing w:before="120" w:after="120"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一、评审方法</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bookmarkStart w:id="570" w:name="_Toc449017024"/>
      <w:r/>
      <w:bookmarkStart w:id="571" w:name="_Toc449016388"/>
      <w:r>
        <w:rPr>
          <w:rFonts w:ascii="宋体" w:hAnsi="宋体"/>
          <w:b/>
          <w:color w:val="000000" w:themeColor="text1"/>
          <w:szCs w:val="21"/>
          <w:highlight w:val="none"/>
          <w14:textFill>
            <w14:solidFill>
              <w14:schemeClr w14:val="tx1"/>
            </w14:solidFill>
          </w14:textFill>
        </w:rPr>
        <w:t xml:space="preserve">二、</w:t>
      </w:r>
      <w:r>
        <w:rPr>
          <w:rFonts w:hint="eastAsia" w:ascii="宋体" w:hAnsi="宋体"/>
          <w:b/>
          <w:color w:val="000000" w:themeColor="text1"/>
          <w:szCs w:val="21"/>
          <w:highlight w:val="none"/>
          <w14:textFill>
            <w14:solidFill>
              <w14:schemeClr w14:val="tx1"/>
            </w14:solidFill>
          </w14:textFill>
        </w:rPr>
        <w:t xml:space="preserve">政府采购政策功能落实</w:t>
      </w:r>
      <w:bookmarkEnd w:id="570"/>
      <w:r/>
      <w:bookmarkEnd w:id="571"/>
      <w:r/>
      <w:r/>
    </w:p>
    <w:p>
      <w:pPr>
        <w:ind w:left="315" w:firstLine="105"/>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1、小微型企业价格扣除</w:t>
      </w:r>
      <w:r/>
    </w:p>
    <w:p>
      <w:pPr>
        <w:ind w:firstLine="420"/>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（1）本项目对小型和微型企业产品给予</w:t>
      </w:r>
      <w:r>
        <w:rPr>
          <w:rFonts w:hint="eastAsia" w:ascii="宋体" w:hAnsi="宋体"/>
          <w:color w:val="000000" w:themeColor="text1"/>
          <w:szCs w:val="21"/>
          <w:highlight w:val="none"/>
          <w14:textFill>
            <w14:solidFill>
              <w14:schemeClr w14:val="tx1"/>
            </w14:solidFill>
          </w14:textFill>
        </w:rPr>
        <w:t xml:space="preserve">20%</w:t>
      </w:r>
      <w:r>
        <w:rPr>
          <w:rFonts w:ascii="宋体" w:hAnsi="宋体"/>
          <w:color w:val="000000" w:themeColor="text1"/>
          <w:szCs w:val="21"/>
          <w:highlight w:val="none"/>
          <w14:textFill>
            <w14:solidFill>
              <w14:schemeClr w14:val="tx1"/>
            </w14:solidFill>
          </w14:textFill>
        </w:rPr>
        <w:t xml:space="preserve">的扣除价格，用扣除后的价格参与评审。</w:t>
      </w:r>
      <w:r/>
    </w:p>
    <w:p>
      <w:pPr>
        <w:ind w:firstLine="420"/>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（2）供应商需按照采购文件的要求提供相应的《企业声明函》。</w:t>
      </w:r>
      <w:r/>
    </w:p>
    <w:p>
      <w:pPr>
        <w:ind w:left="420"/>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2、残疾人福利单位价格扣除</w:t>
      </w:r>
      <w:r/>
    </w:p>
    <w:p>
      <w:pPr>
        <w:ind w:left="315" w:firstLine="105"/>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（1）本项目对残疾人福利性单位视同小型、微型企业，给予</w:t>
      </w:r>
      <w:r>
        <w:rPr>
          <w:rFonts w:hint="eastAsia" w:ascii="宋体" w:hAnsi="宋体"/>
          <w:color w:val="000000" w:themeColor="text1"/>
          <w:szCs w:val="21"/>
          <w:highlight w:val="none"/>
          <w14:textFill>
            <w14:solidFill>
              <w14:schemeClr w14:val="tx1"/>
            </w14:solidFill>
          </w14:textFill>
        </w:rPr>
        <w:t xml:space="preserve">20%</w:t>
      </w:r>
      <w:r>
        <w:rPr>
          <w:rFonts w:ascii="宋体" w:hAnsi="宋体"/>
          <w:color w:val="000000" w:themeColor="text1"/>
          <w:szCs w:val="21"/>
          <w:highlight w:val="none"/>
          <w14:textFill>
            <w14:solidFill>
              <w14:schemeClr w14:val="tx1"/>
            </w14:solidFill>
          </w14:textFill>
        </w:rPr>
        <w:t xml:space="preserve">的价格扣除，用扣除</w:t>
      </w:r>
      <w:r/>
    </w:p>
    <w:p>
      <w:pPr>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后的价格参与评审。</w:t>
      </w:r>
      <w:r/>
    </w:p>
    <w:p>
      <w:pPr>
        <w:ind w:left="420"/>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（2）残疾人福利单位需按照采购文件的要求提供《残疾人福利性单位声明函》。</w:t>
      </w:r>
      <w:r/>
    </w:p>
    <w:p>
      <w:pPr>
        <w:ind w:left="420"/>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（3）残疾人福利单位标准请参照《关于促进残疾人就业政府采购政策的通知》（财库</w:t>
      </w:r>
      <w:r/>
    </w:p>
    <w:p>
      <w:pPr>
        <w:ind w:left="420" w:hanging="420"/>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〔2017〕141号）。</w:t>
      </w:r>
      <w:r/>
    </w:p>
    <w:p>
      <w:pPr>
        <w:ind w:left="420"/>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3、监狱和戒毒企业价格扣除</w:t>
      </w:r>
      <w:r/>
    </w:p>
    <w:p>
      <w:pPr>
        <w:ind w:left="420"/>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（1）本项目对监狱和戒毒企业（简称监狱企业）视同小型、微型企业，给予</w:t>
      </w:r>
      <w:r>
        <w:rPr>
          <w:rFonts w:hint="eastAsia" w:ascii="宋体" w:hAnsi="宋体"/>
          <w:color w:val="000000" w:themeColor="text1"/>
          <w:szCs w:val="21"/>
          <w:highlight w:val="none"/>
          <w14:textFill>
            <w14:solidFill>
              <w14:schemeClr w14:val="tx1"/>
            </w14:solidFill>
          </w14:textFill>
        </w:rPr>
        <w:t xml:space="preserve">20%</w:t>
      </w:r>
      <w:r>
        <w:rPr>
          <w:rFonts w:ascii="宋体" w:hAnsi="宋体"/>
          <w:color w:val="000000" w:themeColor="text1"/>
          <w:szCs w:val="21"/>
          <w:highlight w:val="none"/>
          <w14:textFill>
            <w14:solidFill>
              <w14:schemeClr w14:val="tx1"/>
            </w14:solidFill>
          </w14:textFill>
        </w:rPr>
        <w:t xml:space="preserve">的价</w:t>
      </w:r>
      <w:r/>
    </w:p>
    <w:p>
      <w:pPr>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格扣除，用扣除后的价格参与评审。</w:t>
      </w:r>
      <w:r/>
    </w:p>
    <w:p>
      <w:pPr>
        <w:ind w:left="0" w:firstLine="420"/>
        <w:jc w:val="left"/>
        <w:keepLines w:val="0"/>
        <w:keepNext w:val="0"/>
        <w:pageBreakBefore w:val="0"/>
        <w:spacing w:before="120" w:after="120" w:line="360" w:lineRule="auto"/>
        <w:widowControl w:val="off"/>
        <w:rPr>
          <w:rFonts w:hint="eastAsia" w:ascii="宋体" w:hAnsi="宋体" w:eastAsia="宋体" w:cs="Times New Roman"/>
          <w:color w:val="000000" w:themeColor="text1"/>
          <w:szCs w:val="21"/>
          <w:highlight w:val="none"/>
          <w14:textFill>
            <w14:solidFill>
              <w14:schemeClr w14:val="tx1"/>
            </w14:solidFill>
          </w14:textFill>
        </w:rPr>
      </w:pPr>
      <w:r>
        <w:rPr>
          <w:rFonts w:ascii="宋体" w:hAnsi="宋体" w:eastAsia="宋体" w:cs="Times New Roman"/>
          <w:color w:val="000000" w:themeColor="text1"/>
          <w:szCs w:val="21"/>
          <w:highlight w:val="none"/>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20"/>
        <w:jc w:val="left"/>
        <w:keepLines w:val="0"/>
        <w:keepNext w:val="0"/>
        <w:pageBreakBefore w:val="0"/>
        <w:spacing w:before="120" w:after="120" w:line="360" w:lineRule="auto"/>
        <w:widowControl w:val="off"/>
        <w:rPr>
          <w:rFonts w:hint="eastAsia" w:ascii="宋体" w:hAnsi="宋体" w:eastAsia="宋体" w:cs="Times New Roman"/>
          <w:color w:val="000000" w:themeColor="text1"/>
          <w:szCs w:val="21"/>
          <w:highlight w:val="none"/>
          <w14:textFill>
            <w14:solidFill>
              <w14:schemeClr w14:val="tx1"/>
            </w14:solidFill>
          </w14:textFill>
        </w:rPr>
      </w:pPr>
      <w:r>
        <w:rPr>
          <w:rFonts w:ascii="宋体" w:hAnsi="宋体" w:eastAsia="宋体" w:cs="Times New Roman"/>
          <w:color w:val="000000" w:themeColor="text1"/>
          <w:szCs w:val="21"/>
          <w:highlight w:val="none"/>
          <w14:textFill>
            <w14:solidFill>
              <w14:schemeClr w14:val="tx1"/>
            </w14:solidFill>
          </w14:textFill>
        </w:rPr>
        <w:t xml:space="preserve">（3）监狱企业标准请参照《关于政府采购支持监狱企业发展有关问题的通知》（财库[2014]68号）。</w:t>
      </w:r>
      <w:r/>
    </w:p>
    <w:p>
      <w:pPr>
        <w:ind w:firstLine="420"/>
        <w:jc w:val="left"/>
        <w:spacing w:before="120" w:after="120"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4、残疾人福利单位、监狱企业属于小型、微型企业的，不重复享受政策。</w:t>
      </w:r>
      <w:r/>
    </w:p>
    <w:p>
      <w:pPr>
        <w:ind w:firstLine="420"/>
        <w:jc w:val="left"/>
        <w:spacing w:before="120" w:after="120"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ascii="宋体" w:hAnsi="宋体" w:eastAsia="宋体" w:cs="Times New Roman"/>
          <w:color w:val="000000" w:themeColor="text1"/>
          <w:szCs w:val="21"/>
          <w:highlight w:val="none"/>
          <w14:textFill>
            <w14:solidFill>
              <w14:schemeClr w14:val="tx1"/>
            </w14:solidFill>
          </w14:textFill>
        </w:rPr>
        <w:t xml:space="preserve">5、大中型企业和其他自然人、法人或者其他组织并与小型、微型企业（残疾人福利单</w:t>
      </w:r>
      <w:r/>
    </w:p>
    <w:p>
      <w:pPr>
        <w:jc w:val="left"/>
        <w:spacing w:before="120" w:after="120" w:line="360" w:lineRule="auto"/>
        <w:rPr>
          <w:rFonts w:hint="eastAsia" w:ascii="宋体" w:hAnsi="宋体" w:eastAsia="宋体" w:cs="Times New Roman"/>
          <w:color w:val="000000" w:themeColor="text1"/>
          <w:szCs w:val="21"/>
          <w:highlight w:val="none"/>
          <w14:textFill>
            <w14:solidFill>
              <w14:schemeClr w14:val="tx1"/>
            </w14:solidFill>
          </w14:textFill>
        </w:rPr>
      </w:pPr>
      <w:r>
        <w:rPr>
          <w:rFonts w:ascii="宋体" w:hAnsi="宋体" w:eastAsia="宋体" w:cs="Times New Roman"/>
          <w:color w:val="000000" w:themeColor="text1"/>
          <w:szCs w:val="21"/>
          <w:highlight w:val="none"/>
          <w14:textFill>
            <w14:solidFill>
              <w14:schemeClr w14:val="tx1"/>
            </w14:solidFill>
          </w14:textFill>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Times New Roman"/>
          <w:color w:val="000000" w:themeColor="text1"/>
          <w:szCs w:val="21"/>
          <w:highlight w:val="none"/>
          <w14:textFill>
            <w14:solidFill>
              <w14:schemeClr w14:val="tx1"/>
            </w14:solidFill>
          </w14:textFill>
        </w:rPr>
        <w:t xml:space="preserve">6</w:t>
      </w:r>
      <w:r>
        <w:rPr>
          <w:rFonts w:ascii="宋体" w:hAnsi="宋体" w:eastAsia="宋体" w:cs="Times New Roman"/>
          <w:color w:val="000000" w:themeColor="text1"/>
          <w:szCs w:val="21"/>
          <w:highlight w:val="none"/>
          <w14:textFill>
            <w14:solidFill>
              <w14:schemeClr w14:val="tx1"/>
            </w14:solidFill>
          </w14:textFill>
        </w:rPr>
        <w:t xml:space="preserve">%的价格扣除，用扣除后的价格参与评审。 </w:t>
      </w:r>
      <w:r/>
    </w:p>
    <w:p>
      <w:pPr>
        <w:ind w:firstLine="420"/>
        <w:jc w:val="left"/>
        <w:spacing w:before="120" w:after="120" w:line="360" w:lineRule="auto"/>
        <w:rPr>
          <w:rFonts w:ascii="宋体" w:hAnsi="宋体" w:eastAsia="宋体" w:cs="Times New Roman"/>
          <w:color w:val="000000" w:themeColor="text1"/>
          <w:szCs w:val="21"/>
          <w:highlight w:val="none"/>
          <w14:textFill>
            <w14:solidFill>
              <w14:schemeClr w14:val="tx1"/>
            </w14:solidFill>
          </w14:textFill>
        </w:rPr>
      </w:pPr>
      <w:r>
        <w:rPr>
          <w:rFonts w:ascii="宋体" w:hAnsi="宋体" w:eastAsia="宋体" w:cs="Times New Roman"/>
          <w:color w:val="000000" w:themeColor="text1"/>
          <w:szCs w:val="21"/>
          <w:highlight w:val="none"/>
          <w14:textFill>
            <w14:solidFill>
              <w14:schemeClr w14:val="tx1"/>
            </w14:solidFill>
          </w14:textFill>
        </w:rPr>
        <w:t xml:space="preserve">6、联合体各方均为小型、微型企业（残疾人福利单位、监狱企业）的，联合体享受</w:t>
      </w:r>
      <w:r>
        <w:rPr>
          <w:rFonts w:hint="eastAsia" w:ascii="宋体" w:hAnsi="宋体" w:eastAsia="宋体" w:cs="Times New Roman"/>
          <w:color w:val="000000" w:themeColor="text1"/>
          <w:szCs w:val="21"/>
          <w:highlight w:val="none"/>
          <w14:textFill>
            <w14:solidFill>
              <w14:schemeClr w14:val="tx1"/>
            </w14:solidFill>
          </w14:textFill>
        </w:rPr>
        <w:t xml:space="preserve">20%</w:t>
      </w:r>
      <w:r>
        <w:rPr>
          <w:rFonts w:ascii="宋体" w:hAnsi="宋体" w:eastAsia="宋体" w:cs="Times New Roman"/>
          <w:color w:val="000000" w:themeColor="text1"/>
          <w:szCs w:val="21"/>
          <w:highlight w:val="none"/>
          <w14:textFill>
            <w14:solidFill>
              <w14:schemeClr w14:val="tx1"/>
            </w14:solidFill>
          </w14:textFill>
        </w:rPr>
        <w:t xml:space="preserve">价格扣除，用扣除后的价格参与评审。</w:t>
      </w:r>
      <w:r>
        <w:rPr>
          <w:rFonts w:hint="eastAsia" w:ascii="宋体" w:hAnsi="宋体" w:eastAsia="宋体" w:cs="Times New Roman"/>
          <w:color w:val="000000" w:themeColor="text1"/>
          <w:szCs w:val="21"/>
          <w:highlight w:val="none"/>
          <w14:textFill>
            <w14:solidFill>
              <w14:schemeClr w14:val="tx1"/>
            </w14:solidFill>
          </w14:textFill>
        </w:rPr>
        <w:t xml:space="preserve">大中型企业向小型、微型企业分包的，分包意向协议约定小型、微型企业合同份额占到合同总金额30%以上的，给予6%的价格扣除，用扣除后的价格参与评审。</w:t>
      </w:r>
      <w:r/>
    </w:p>
    <w:p>
      <w:pPr>
        <w:ind w:firstLine="480"/>
        <w:jc w:val="left"/>
        <w:spacing w:before="120" w:after="120" w:line="360" w:lineRule="auto"/>
        <w:rPr>
          <w:rFonts w:ascii="宋体" w:hAnsi="宋体"/>
          <w:color w:val="000000" w:themeColor="text1"/>
          <w:szCs w:val="21"/>
          <w:highlight w:val="none"/>
          <w14:textFill>
            <w14:solidFill>
              <w14:schemeClr w14:val="tx1"/>
            </w14:solidFill>
          </w14:textFill>
        </w:rPr>
      </w:pPr>
      <w:r>
        <w:rPr>
          <w:rFonts w:hint="eastAsia" w:ascii="宋体" w:hAnsi="宋体"/>
          <w:b/>
          <w:bCs/>
          <w:i/>
          <w:iCs/>
          <w:color w:val="000000" w:themeColor="text1"/>
          <w:sz w:val="32"/>
          <w:szCs w:val="32"/>
          <w:highlight w:val="none"/>
          <w:u w:val="single"/>
          <w14:textFill>
            <w14:solidFill>
              <w14:schemeClr w14:val="tx1"/>
            </w14:solidFill>
          </w14:textFill>
        </w:rPr>
        <w:t xml:space="preserve">本项目专门面向中小企业采购故价格部分不进行价格扣除。</w:t>
      </w:r>
      <w:r/>
    </w:p>
    <w:p>
      <w:pPr>
        <w:pStyle w:val="1049"/>
        <w:ind w:firstLine="422"/>
        <w:rPr>
          <w:rFonts w:hint="eastAsia"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br w:type="page" w:clear="all"/>
      </w:r>
      <w:r>
        <w:rPr>
          <w:rFonts w:hint="eastAsia" w:ascii="宋体" w:hAnsi="宋体"/>
          <w:b/>
          <w:color w:val="000000" w:themeColor="text1"/>
          <w:sz w:val="21"/>
          <w:szCs w:val="21"/>
          <w:highlight w:val="none"/>
          <w14:textFill>
            <w14:solidFill>
              <w14:schemeClr w14:val="tx1"/>
            </w14:solidFill>
          </w14:textFill>
        </w:rPr>
        <w:t xml:space="preserve">三、评审标准</w:t>
      </w:r>
      <w:r/>
    </w:p>
    <w:tbl>
      <w:tblPr>
        <w:tblStyle w:val="861"/>
        <w:tblpPr w:horzAnchor="margin" w:tblpXSpec="left" w:vertAnchor="text" w:tblpY="526" w:leftFromText="180" w:topFromText="0" w:rightFromText="180" w:bottomFromText="0"/>
        <w:tblW w:w="88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38"/>
        <w:gridCol w:w="1068"/>
        <w:gridCol w:w="5448"/>
        <w:gridCol w:w="908"/>
      </w:tblGrid>
      <w:tr>
        <w:trPr>
          <w:trHeight w:val="762"/>
        </w:trPr>
        <w:tc>
          <w:tcPr>
            <w:tcW w:w="1438" w:type="dxa"/>
            <w:vAlign w:val="center"/>
            <w:textDirection w:val="lrTb"/>
            <w:noWrap w:val="false"/>
          </w:tcPr>
          <w:p>
            <w:pPr>
              <w:ind w:firstLine="203"/>
              <w:spacing w:line="360" w:lineRule="auto"/>
              <w:rPr>
                <w:rFonts w:ascii="宋体" w:hAnsi="宋体" w:cs="仿宋"/>
                <w:b/>
                <w:bCs/>
                <w:color w:val="000000" w:themeColor="text1"/>
                <w:spacing w:val="-4"/>
                <w:highlight w:val="none"/>
                <w14:textFill>
                  <w14:solidFill>
                    <w14:schemeClr w14:val="tx1"/>
                  </w14:solidFill>
                </w14:textFill>
              </w:rPr>
            </w:pPr>
            <w:r>
              <w:rPr>
                <w:rFonts w:hint="eastAsia" w:ascii="宋体" w:hAnsi="宋体" w:cs="仿宋"/>
                <w:b/>
                <w:bCs/>
                <w:color w:val="000000" w:themeColor="text1"/>
                <w:spacing w:val="-4"/>
                <w:highlight w:val="none"/>
                <w14:textFill>
                  <w14:solidFill>
                    <w14:schemeClr w14:val="tx1"/>
                  </w14:solidFill>
                </w14:textFill>
              </w:rPr>
              <w:t xml:space="preserve">项 目</w:t>
            </w:r>
            <w:r/>
          </w:p>
        </w:tc>
        <w:tc>
          <w:tcPr>
            <w:gridSpan w:val="2"/>
            <w:tcW w:w="6516" w:type="dxa"/>
            <w:vAlign w:val="center"/>
            <w:textDirection w:val="lrTb"/>
            <w:noWrap w:val="false"/>
          </w:tcPr>
          <w:p>
            <w:pPr>
              <w:ind w:firstLine="406"/>
              <w:jc w:val="center"/>
              <w:spacing w:line="360" w:lineRule="auto"/>
              <w:rPr>
                <w:rFonts w:ascii="宋体" w:hAnsi="宋体" w:cs="仿宋"/>
                <w:b/>
                <w:bCs/>
                <w:color w:val="000000" w:themeColor="text1"/>
                <w:spacing w:val="-4"/>
                <w:highlight w:val="none"/>
                <w14:textFill>
                  <w14:solidFill>
                    <w14:schemeClr w14:val="tx1"/>
                  </w14:solidFill>
                </w14:textFill>
              </w:rPr>
            </w:pPr>
            <w:r>
              <w:rPr>
                <w:rFonts w:hint="eastAsia" w:ascii="宋体" w:hAnsi="宋体" w:cs="仿宋"/>
                <w:b/>
                <w:bCs/>
                <w:color w:val="000000" w:themeColor="text1"/>
                <w:spacing w:val="-4"/>
                <w:highlight w:val="none"/>
                <w14:textFill>
                  <w14:solidFill>
                    <w14:schemeClr w14:val="tx1"/>
                  </w14:solidFill>
                </w14:textFill>
              </w:rPr>
              <w:t xml:space="preserve">评 分 细 则</w:t>
            </w:r>
            <w:r/>
          </w:p>
        </w:tc>
        <w:tc>
          <w:tcPr>
            <w:tcW w:w="908" w:type="dxa"/>
            <w:vAlign w:val="center"/>
            <w:textDirection w:val="lrTb"/>
            <w:noWrap w:val="false"/>
          </w:tcPr>
          <w:p>
            <w:pPr>
              <w:spacing w:line="360" w:lineRule="auto"/>
              <w:rPr>
                <w:rFonts w:ascii="宋体" w:hAnsi="宋体" w:cs="仿宋"/>
                <w:b/>
                <w:bCs/>
                <w:color w:val="000000" w:themeColor="text1"/>
                <w:spacing w:val="-4"/>
                <w:highlight w:val="none"/>
                <w14:textFill>
                  <w14:solidFill>
                    <w14:schemeClr w14:val="tx1"/>
                  </w14:solidFill>
                </w14:textFill>
              </w:rPr>
            </w:pPr>
            <w:r>
              <w:rPr>
                <w:rFonts w:hint="eastAsia" w:ascii="宋体" w:hAnsi="宋体" w:cs="仿宋"/>
                <w:b/>
                <w:bCs/>
                <w:color w:val="000000" w:themeColor="text1"/>
                <w:spacing w:val="-4"/>
                <w:highlight w:val="none"/>
                <w14:textFill>
                  <w14:solidFill>
                    <w14:schemeClr w14:val="tx1"/>
                  </w14:solidFill>
                </w14:textFill>
              </w:rPr>
              <w:t xml:space="preserve">分值</w:t>
            </w:r>
            <w:r/>
          </w:p>
        </w:tc>
      </w:tr>
      <w:tr>
        <w:trPr/>
        <w:tc>
          <w:tcPr>
            <w:tcW w:w="143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价格分</w:t>
            </w:r>
            <w:r/>
          </w:p>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（30分）</w:t>
            </w:r>
            <w:r/>
          </w:p>
        </w:tc>
        <w:tc>
          <w:tcPr>
            <w:tcW w:w="106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投标报价</w:t>
            </w:r>
            <w:r/>
          </w:p>
        </w:tc>
        <w:tc>
          <w:tcPr>
            <w:tcW w:w="5448" w:type="dxa"/>
            <w:vAlign w:val="center"/>
            <w:textDirection w:val="lrTb"/>
            <w:noWrap w:val="false"/>
          </w:tcPr>
          <w:p>
            <w:p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满足磋商文件要求且最后报价最低的供应商的价格为磋商基准价，其价格分为满分。其他供应商的价格分统一按照下列公式计算：磋商报价得分=（磋商基准价/最后磋商报价）×30（四舍五入，保留两位小数）</w:t>
            </w:r>
            <w:r/>
          </w:p>
        </w:tc>
        <w:tc>
          <w:tcPr>
            <w:tcW w:w="90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30分</w:t>
            </w:r>
            <w:r/>
          </w:p>
        </w:tc>
      </w:tr>
      <w:tr>
        <w:trPr>
          <w:trHeight w:val="448"/>
        </w:trPr>
        <w:tc>
          <w:tcPr>
            <w:tcW w:w="1438" w:type="dxa"/>
            <w:vAlign w:val="center"/>
            <w:vMerge w:val="restart"/>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技术分</w:t>
            </w:r>
            <w:r/>
          </w:p>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w:t>
            </w:r>
            <w:r>
              <w:rPr>
                <w:rFonts w:hint="eastAsia" w:ascii="宋体" w:hAnsi="宋体" w:cs="仿宋"/>
                <w:color w:val="000000" w:themeColor="text1"/>
                <w:spacing w:val="-4"/>
                <w:highlight w:val="none"/>
                <w:lang w:val="en-US" w:eastAsia="zh-CN"/>
                <w14:textFill>
                  <w14:solidFill>
                    <w14:schemeClr w14:val="tx1"/>
                  </w14:solidFill>
                </w14:textFill>
              </w:rPr>
              <w:t xml:space="preserve">50</w:t>
            </w:r>
            <w:r>
              <w:rPr>
                <w:rFonts w:hint="eastAsia" w:ascii="宋体" w:hAnsi="宋体" w:cs="仿宋"/>
                <w:color w:val="000000" w:themeColor="text1"/>
                <w:spacing w:val="-4"/>
                <w:highlight w:val="none"/>
                <w14:textFill>
                  <w14:solidFill>
                    <w14:schemeClr w14:val="tx1"/>
                  </w14:solidFill>
                </w14:textFill>
              </w:rPr>
              <w:t xml:space="preserve">分）</w:t>
            </w:r>
            <w:r/>
          </w:p>
        </w:tc>
        <w:tc>
          <w:tcPr>
            <w:tcW w:w="1068" w:type="dxa"/>
            <w:vAlign w:val="center"/>
            <w:vMerge w:val="restart"/>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施工组织设计</w:t>
            </w:r>
            <w:r/>
          </w:p>
        </w:tc>
        <w:tc>
          <w:tcPr>
            <w:tcW w:w="5448" w:type="dxa"/>
            <w:vAlign w:val="center"/>
            <w:textDirection w:val="lrTb"/>
            <w:noWrap w:val="false"/>
          </w:tcPr>
          <w:p>
            <w:pPr>
              <w:jc w:val="left"/>
              <w:spacing w:line="360" w:lineRule="auto"/>
              <w:tabs>
                <w:tab w:val="left" w:pos="2445" w:leader="none"/>
              </w:tabs>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1、总体部署：</w:t>
            </w:r>
            <w:r>
              <w:rPr>
                <w:rFonts w:hint="eastAsia" w:ascii="宋体" w:hAnsi="宋体" w:cs="宋体"/>
                <w:color w:val="000000" w:themeColor="text1"/>
                <w:szCs w:val="21"/>
                <w:highlight w:val="none"/>
                <w14:textFill>
                  <w14:solidFill>
                    <w14:schemeClr w14:val="tx1"/>
                  </w14:solidFill>
                </w14:textFill>
              </w:rPr>
              <w:t xml:space="preserve">对工程的总体设想、组织形式、各项管理目标、控制措施以及施工的协调措施等内容进行评分，</w:t>
            </w:r>
            <w:r>
              <w:rPr>
                <w:rFonts w:hint="eastAsia" w:ascii="宋体" w:hAnsi="宋体" w:cs="仿宋"/>
                <w:color w:val="000000" w:themeColor="text1"/>
                <w:spacing w:val="-4"/>
                <w:highlight w:val="none"/>
                <w14:textFill>
                  <w14:solidFill>
                    <w14:schemeClr w14:val="tx1"/>
                  </w14:solidFill>
                </w14:textFill>
              </w:rPr>
              <w:t xml:space="preserve">方案科学合理，可操作性强的得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分；方案较合理，可操作性较强的得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分；方案基本合理，可操作性一般的得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restart"/>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lang w:val="en-US" w:eastAsia="zh-CN"/>
                <w14:textFill>
                  <w14:solidFill>
                    <w14:schemeClr w14:val="tx1"/>
                  </w14:solidFill>
                </w14:textFill>
              </w:rPr>
              <w:t xml:space="preserve">50</w:t>
            </w:r>
            <w:r>
              <w:rPr>
                <w:rFonts w:hint="eastAsia" w:ascii="宋体" w:hAnsi="宋体" w:cs="仿宋"/>
                <w:color w:val="000000" w:themeColor="text1"/>
                <w:spacing w:val="-4"/>
                <w:highlight w:val="none"/>
                <w14:textFill>
                  <w14:solidFill>
                    <w14:schemeClr w14:val="tx1"/>
                  </w14:solidFill>
                </w14:textFill>
              </w:rPr>
              <w:t xml:space="preserve">分</w:t>
            </w:r>
            <w:r/>
          </w:p>
        </w:tc>
      </w:tr>
      <w:tr>
        <w:trPr>
          <w:trHeight w:val="527"/>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2、结合本工程特点的针对性措施：</w:t>
            </w:r>
            <w:r>
              <w:rPr>
                <w:rFonts w:hint="eastAsia" w:ascii="宋体" w:hAnsi="宋体" w:cs="宋体"/>
                <w:color w:val="000000" w:themeColor="text1"/>
                <w:szCs w:val="21"/>
                <w:highlight w:val="none"/>
                <w14:textFill>
                  <w14:solidFill>
                    <w14:schemeClr w14:val="tx1"/>
                  </w14:solidFill>
                </w14:textFill>
              </w:rPr>
              <w:t xml:space="preserve">根据行业经验及结合本工程关键施工技术、工艺及工程项目实施的重点、难点提出解决方案。</w:t>
            </w:r>
            <w:r>
              <w:rPr>
                <w:rFonts w:hint="eastAsia" w:ascii="宋体" w:hAnsi="宋体" w:cs="仿宋"/>
                <w:color w:val="000000" w:themeColor="text1"/>
                <w:spacing w:val="-4"/>
                <w:highlight w:val="none"/>
                <w14:textFill>
                  <w14:solidFill>
                    <w14:schemeClr w14:val="tx1"/>
                  </w14:solidFill>
                </w14:textFill>
              </w:rPr>
              <w:t xml:space="preserve">措施科学合理，可操作性强的得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分；措施较合理，可操作性较强的得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分；措施基本合理，可操作性一般的得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556"/>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3、主要施工方法：方案科学合理，可操作性强的得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分；方案较合理，可操作性较强的得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分；方案基本合理，可操作性一般的得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513"/>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4、质量保证体系及措施：</w:t>
            </w:r>
            <w:r>
              <w:rPr>
                <w:rFonts w:hint="eastAsia" w:ascii="宋体" w:hAnsi="宋体" w:cs="宋体"/>
                <w:color w:val="000000" w:themeColor="text1"/>
                <w:szCs w:val="21"/>
                <w:highlight w:val="none"/>
                <w14:textFill>
                  <w14:solidFill>
                    <w14:schemeClr w14:val="tx1"/>
                  </w14:solidFill>
                </w14:textFill>
              </w:rPr>
              <w:t xml:space="preserve">能够有效实施管理工作，采取科学合理的措施保证工程的质量。</w:t>
            </w:r>
            <w:r>
              <w:rPr>
                <w:rFonts w:hint="eastAsia" w:ascii="宋体" w:hAnsi="宋体" w:cs="仿宋"/>
                <w:color w:val="000000" w:themeColor="text1"/>
                <w:spacing w:val="-4"/>
                <w:highlight w:val="none"/>
                <w14:textFill>
                  <w14:solidFill>
                    <w14:schemeClr w14:val="tx1"/>
                  </w14:solidFill>
                </w14:textFill>
              </w:rPr>
              <w:t xml:space="preserve">措施科学合理，可操作性强的得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分；措施较合理，可操作性较强的得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分；措施基本合理，可操作性一般的得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513"/>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5、安全保证体系及安全防护措施：建立安全保证体系及安全防护措施。</w:t>
            </w:r>
            <w:r>
              <w:rPr>
                <w:rFonts w:hint="eastAsia" w:ascii="宋体" w:hAnsi="宋体" w:cs="仿宋"/>
                <w:color w:val="000000" w:themeColor="text1"/>
                <w:spacing w:val="-4"/>
                <w:highlight w:val="none"/>
                <w14:textFill>
                  <w14:solidFill>
                    <w14:schemeClr w14:val="tx1"/>
                  </w14:solidFill>
                </w14:textFill>
              </w:rPr>
              <w:t xml:space="preserve">措施科学合理，可操作性强的得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分；措施较合理，可操作性较强的得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分；措施基本合理，可操作性一般的得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404"/>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6、施工进度计划及工期保证措施：</w:t>
            </w:r>
            <w:r>
              <w:rPr>
                <w:rFonts w:hint="eastAsia" w:ascii="宋体" w:hAnsi="宋体" w:cs="宋体"/>
                <w:color w:val="000000" w:themeColor="text1"/>
                <w:szCs w:val="21"/>
                <w:highlight w:val="none"/>
                <w14:textFill>
                  <w14:solidFill>
                    <w14:schemeClr w14:val="tx1"/>
                  </w14:solidFill>
                </w14:textFill>
              </w:rPr>
              <w:t xml:space="preserve">工作人员计划安排合理，组织管理体系健全，有效保证工程的进度要求。</w:t>
            </w:r>
            <w:r>
              <w:rPr>
                <w:rFonts w:hint="eastAsia" w:ascii="宋体" w:hAnsi="宋体" w:cs="仿宋"/>
                <w:color w:val="000000" w:themeColor="text1"/>
                <w:spacing w:val="-4"/>
                <w:highlight w:val="none"/>
                <w14:textFill>
                  <w14:solidFill>
                    <w14:schemeClr w14:val="tx1"/>
                  </w14:solidFill>
                </w14:textFill>
              </w:rPr>
              <w:t xml:space="preserve">措施科学合理，可操作性强的得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分；措施较合理，可操作性较强的得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分；措施基本合理，可操作性一般的得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1130"/>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keepLines w:val="0"/>
              <w:keepNext w:val="0"/>
              <w:spacing w:line="360" w:lineRule="auto"/>
              <w:widowControl/>
              <w:rPr>
                <w:rFonts w:hint="eastAsia" w:ascii="宋体" w:hAnsi="宋体" w:eastAsia="宋体" w:cs="宋体"/>
                <w:color w:val="000000" w:themeColor="text1"/>
                <w:szCs w:val="21"/>
                <w:highlight w:val="none"/>
                <w:lang w:val="en-US" w:eastAsia="zh-CN"/>
                <w14:textFill>
                  <w14:solidFill>
                    <w14:schemeClr w14:val="tx1"/>
                  </w14:solidFill>
                </w14:textFill>
              </w:rPr>
              <w:suppressLineNumbers w:val="0"/>
            </w:pPr>
            <w:r>
              <w:rPr>
                <w:rFonts w:hint="eastAsia" w:ascii="宋体" w:hAnsi="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对本工程制定的其它措施或方案：制定的方案条理清晰</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仿宋"/>
                <w:color w:val="000000" w:themeColor="text1"/>
                <w:spacing w:val="-4"/>
                <w:highlight w:val="none"/>
                <w14:textFill>
                  <w14:solidFill>
                    <w14:schemeClr w14:val="tx1"/>
                  </w14:solidFill>
                </w14:textFill>
              </w:rPr>
              <w:t xml:space="preserve">措施科学合理，可操作性强的得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分；措施较合理，可操作性较强的得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分；措施基本合理，可操作性一般的得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1178"/>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Calibri" w:hAnsi="Calibri" w:eastAsia="宋体" w:cs="Times New Roman"/>
                <w:color w:val="000000" w:themeColor="text1"/>
                <w:highlight w:val="none"/>
                <w14:textFill>
                  <w14:solidFill>
                    <w14:schemeClr w14:val="tx1"/>
                  </w14:solidFill>
                </w14:textFill>
              </w:rPr>
              <w:t xml:space="preserve">施工现场平面布置和临时设施、临时道路布置</w:t>
            </w:r>
            <w:r>
              <w:rPr>
                <w:rFonts w:hint="eastAsia" w:ascii="Calibri" w:hAnsi="Calibri" w:eastAsia="宋体" w:cs="Times New Roman"/>
                <w:color w:val="000000" w:themeColor="text1"/>
                <w:highlight w:val="none"/>
                <w:lang w:eastAsia="zh-CN"/>
                <w14:textFill>
                  <w14:solidFill>
                    <w14:schemeClr w14:val="tx1"/>
                  </w14:solidFill>
                </w14:textFill>
              </w:rPr>
              <w:t xml:space="preserve">：</w:t>
            </w:r>
            <w:r>
              <w:rPr>
                <w:rFonts w:hint="eastAsia" w:ascii="宋体" w:hAnsi="宋体" w:cs="仿宋"/>
                <w:color w:val="000000" w:themeColor="text1"/>
                <w:spacing w:val="-4"/>
                <w:highlight w:val="none"/>
                <w14:textFill>
                  <w14:solidFill>
                    <w14:schemeClr w14:val="tx1"/>
                  </w14:solidFill>
                </w14:textFill>
              </w:rPr>
              <w:t xml:space="preserve">方案科学合理，可操作性强的得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分；方案较合理，可操作性较强的得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分；方案基本合理，可操作性一般的得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383"/>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、劳动力、机械设备和材料投入计划</w:t>
            </w:r>
            <w:r>
              <w:rPr>
                <w:rFonts w:hint="eastAsia" w:ascii="宋体" w:hAnsi="宋体" w:cs="仿宋"/>
                <w:color w:val="000000" w:themeColor="text1"/>
                <w:spacing w:val="-4"/>
                <w:highlight w:val="none"/>
                <w14:textFill>
                  <w14:solidFill>
                    <w14:schemeClr w14:val="tx1"/>
                  </w14:solidFill>
                </w14:textFill>
              </w:rPr>
              <w:t xml:space="preserve">：劳动力、机械设备和材料投入计划合理，组织管理体系健全。计划科学合理，可操作性强的得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分；计划较合理，可操作性较强的得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分；计划基本合理，可操作性一般的得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501"/>
        </w:trPr>
        <w:tc>
          <w:tcPr>
            <w:tcW w:w="143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vMerge w:val="continue"/>
            <w:textDirection w:val="lrTb"/>
            <w:noWrap w:val="false"/>
          </w:tcPr>
          <w:p>
            <w:pPr>
              <w:ind w:firstLine="303"/>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5448" w:type="dxa"/>
            <w:vAlign w:val="center"/>
            <w:textDirection w:val="lrTb"/>
            <w:noWrap w:val="false"/>
          </w:tcPr>
          <w:p>
            <w:pPr>
              <w:jc w:val="left"/>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cs="宋体"/>
                <w:color w:val="000000" w:themeColor="text1"/>
                <w:szCs w:val="21"/>
                <w:highlight w:val="none"/>
                <w14:textFill>
                  <w14:solidFill>
                    <w14:schemeClr w14:val="tx1"/>
                  </w14:solidFill>
                </w14:textFill>
              </w:rPr>
              <w:t xml:space="preserve">、农民工工资保证：农民工工资发放制度保证措施</w:t>
            </w:r>
            <w:r>
              <w:rPr>
                <w:rFonts w:hint="eastAsia" w:ascii="宋体" w:hAnsi="宋体" w:cs="仿宋"/>
                <w:color w:val="000000" w:themeColor="text1"/>
                <w:spacing w:val="-4"/>
                <w:highlight w:val="none"/>
                <w14:textFill>
                  <w14:solidFill>
                    <w14:schemeClr w14:val="tx1"/>
                  </w14:solidFill>
                </w14:textFill>
              </w:rPr>
              <w:t xml:space="preserve">科学合理，可操作性强的得</w:t>
            </w:r>
            <w:r>
              <w:rPr>
                <w:rFonts w:hint="eastAsia" w:ascii="宋体" w:hAnsi="宋体" w:cs="仿宋"/>
                <w:color w:val="000000" w:themeColor="text1"/>
                <w:spacing w:val="-4"/>
                <w:highlight w:val="none"/>
                <w:lang w:val="en-US" w:eastAsia="zh-CN"/>
                <w14:textFill>
                  <w14:solidFill>
                    <w14:schemeClr w14:val="tx1"/>
                  </w14:solidFill>
                </w14:textFill>
              </w:rPr>
              <w:t xml:space="preserve">5</w:t>
            </w:r>
            <w:r>
              <w:rPr>
                <w:rFonts w:hint="eastAsia" w:ascii="宋体" w:hAnsi="宋体" w:cs="仿宋"/>
                <w:color w:val="000000" w:themeColor="text1"/>
                <w:spacing w:val="-4"/>
                <w:highlight w:val="non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措施</w:t>
            </w:r>
            <w:r>
              <w:rPr>
                <w:rFonts w:hint="eastAsia" w:ascii="宋体" w:hAnsi="宋体" w:cs="仿宋"/>
                <w:color w:val="000000" w:themeColor="text1"/>
                <w:spacing w:val="-4"/>
                <w:highlight w:val="none"/>
                <w14:textFill>
                  <w14:solidFill>
                    <w14:schemeClr w14:val="tx1"/>
                  </w14:solidFill>
                </w14:textFill>
              </w:rPr>
              <w:t xml:space="preserve">合理，可操作性较强的得</w:t>
            </w: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w:t>
            </w:r>
            <w:r>
              <w:rPr>
                <w:rFonts w:hint="eastAsia" w:ascii="宋体" w:hAnsi="宋体" w:cs="宋体"/>
                <w:color w:val="000000" w:themeColor="text1"/>
                <w:szCs w:val="21"/>
                <w:highlight w:val="none"/>
                <w14:textFill>
                  <w14:solidFill>
                    <w14:schemeClr w14:val="tx1"/>
                  </w14:solidFill>
                </w14:textFill>
              </w:rPr>
              <w:t xml:space="preserve">措施</w:t>
            </w:r>
            <w:r>
              <w:rPr>
                <w:rFonts w:hint="eastAsia" w:ascii="宋体" w:hAnsi="宋体" w:cs="仿宋"/>
                <w:color w:val="000000" w:themeColor="text1"/>
                <w:spacing w:val="-4"/>
                <w:highlight w:val="none"/>
                <w14:textFill>
                  <w14:solidFill>
                    <w14:schemeClr w14:val="tx1"/>
                  </w14:solidFill>
                </w14:textFill>
              </w:rPr>
              <w:t xml:space="preserve">基本合理，可操作性一般的得</w:t>
            </w:r>
            <w:r>
              <w:rPr>
                <w:rFonts w:hint="eastAsia" w:ascii="宋体" w:hAnsi="宋体" w:cs="仿宋"/>
                <w:color w:val="000000" w:themeColor="text1"/>
                <w:spacing w:val="-4"/>
                <w:highlight w:val="none"/>
                <w:lang w:val="en-US" w:eastAsia="zh-CN"/>
                <w14:textFill>
                  <w14:solidFill>
                    <w14:schemeClr w14:val="tx1"/>
                  </w14:solidFill>
                </w14:textFill>
              </w:rPr>
              <w:t xml:space="preserve">1</w:t>
            </w:r>
            <w:r>
              <w:rPr>
                <w:rFonts w:hint="eastAsia" w:ascii="宋体" w:hAnsi="宋体" w:cs="仿宋"/>
                <w:color w:val="000000" w:themeColor="text1"/>
                <w:spacing w:val="-4"/>
                <w:highlight w:val="none"/>
                <w14:textFill>
                  <w14:solidFill>
                    <w14:schemeClr w14:val="tx1"/>
                  </w14:solidFill>
                </w14:textFill>
              </w:rPr>
              <w:t xml:space="preserve">分；未提供不得分。</w:t>
            </w:r>
            <w:r/>
          </w:p>
        </w:tc>
        <w:tc>
          <w:tcPr>
            <w:tcW w:w="908" w:type="dxa"/>
            <w:vAlign w:val="center"/>
            <w:vMerge w:val="continue"/>
            <w:textDirection w:val="lrTb"/>
            <w:noWrap w:val="false"/>
          </w:tcPr>
          <w:p>
            <w:pPr>
              <w:ind w:firstLine="404"/>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r>
      <w:tr>
        <w:trPr>
          <w:trHeight w:val="1321"/>
        </w:trPr>
        <w:tc>
          <w:tcPr>
            <w:tcW w:w="1438" w:type="dxa"/>
            <w:vAlign w:val="center"/>
            <w:vMerge w:val="restart"/>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商务分</w:t>
            </w:r>
            <w:r/>
          </w:p>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w:t>
            </w:r>
            <w:r>
              <w:rPr>
                <w:rFonts w:hint="eastAsia" w:ascii="宋体" w:hAnsi="宋体" w:cs="仿宋"/>
                <w:color w:val="000000" w:themeColor="text1"/>
                <w:spacing w:val="-4"/>
                <w:highlight w:val="none"/>
                <w:lang w:val="en-US" w:eastAsia="zh-CN"/>
                <w14:textFill>
                  <w14:solidFill>
                    <w14:schemeClr w14:val="tx1"/>
                  </w14:solidFill>
                </w14:textFill>
              </w:rPr>
              <w:t xml:space="preserve">20</w:t>
            </w:r>
            <w:r>
              <w:rPr>
                <w:rFonts w:hint="eastAsia" w:ascii="宋体" w:hAnsi="宋体" w:cs="仿宋"/>
                <w:color w:val="000000" w:themeColor="text1"/>
                <w:spacing w:val="-4"/>
                <w:highlight w:val="none"/>
                <w14:textFill>
                  <w14:solidFill>
                    <w14:schemeClr w14:val="tx1"/>
                  </w14:solidFill>
                </w14:textFill>
              </w:rPr>
              <w:t xml:space="preserve">分）</w:t>
            </w:r>
            <w:r/>
          </w:p>
        </w:tc>
        <w:tc>
          <w:tcPr>
            <w:tcW w:w="1068" w:type="dxa"/>
            <w:vAlign w:val="center"/>
            <w:textDirection w:val="lrTb"/>
            <w:noWrap w:val="false"/>
          </w:tcPr>
          <w:p>
            <w:pPr>
              <w:ind w:firstLine="101"/>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业绩</w:t>
            </w:r>
            <w:r/>
          </w:p>
        </w:tc>
        <w:tc>
          <w:tcPr>
            <w:tcW w:w="5448" w:type="dxa"/>
            <w:textDirection w:val="lrTb"/>
            <w:noWrap w:val="false"/>
          </w:tcPr>
          <w:p>
            <w:p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20</w:t>
            </w:r>
            <w:r>
              <w:rPr>
                <w:rFonts w:hint="eastAsia" w:ascii="宋体" w:hAnsi="宋体" w:cs="仿宋"/>
                <w:color w:val="000000" w:themeColor="text1"/>
                <w:highlight w:val="none"/>
                <w:lang w:val="en-US" w:eastAsia="zh-CN"/>
                <w14:textFill>
                  <w14:solidFill>
                    <w14:schemeClr w14:val="tx1"/>
                  </w14:solidFill>
                </w14:textFill>
              </w:rPr>
              <w:t xml:space="preserve">23</w:t>
            </w:r>
            <w:r>
              <w:rPr>
                <w:rFonts w:hint="eastAsia" w:ascii="宋体" w:hAnsi="宋体" w:cs="仿宋"/>
                <w:color w:val="000000" w:themeColor="text1"/>
                <w:highlight w:val="none"/>
                <w14:textFill>
                  <w14:solidFill>
                    <w14:schemeClr w14:val="tx1"/>
                  </w14:solidFill>
                </w14:textFill>
              </w:rPr>
              <w:t xml:space="preserve">年</w:t>
            </w:r>
            <w:r>
              <w:rPr>
                <w:rFonts w:hint="eastAsia" w:ascii="宋体" w:hAnsi="宋体" w:cs="仿宋"/>
                <w:color w:val="000000" w:themeColor="text1"/>
                <w:highlight w:val="none"/>
                <w:lang w:val="en-US" w:eastAsia="zh-CN"/>
                <w14:textFill>
                  <w14:solidFill>
                    <w14:schemeClr w14:val="tx1"/>
                  </w14:solidFill>
                </w14:textFill>
              </w:rPr>
              <w:t xml:space="preserve">4月</w:t>
            </w:r>
            <w:r>
              <w:rPr>
                <w:rFonts w:hint="eastAsia" w:ascii="宋体" w:hAnsi="宋体" w:cs="仿宋"/>
                <w:color w:val="000000" w:themeColor="text1"/>
                <w:highlight w:val="none"/>
                <w14:textFill>
                  <w14:solidFill>
                    <w14:schemeClr w14:val="tx1"/>
                  </w14:solidFill>
                </w14:textFill>
              </w:rPr>
              <w:t xml:space="preserve">以</w:t>
            </w:r>
            <w:r>
              <w:rPr>
                <w:rFonts w:hint="eastAsia" w:ascii="宋体" w:hAnsi="宋体" w:cs="仿宋"/>
                <w:color w:val="000000" w:themeColor="text1"/>
                <w:highlight w:val="none"/>
                <w14:textFill>
                  <w14:solidFill>
                    <w14:schemeClr w14:val="tx1"/>
                  </w14:solidFill>
                </w14:textFill>
              </w:rPr>
              <w:t xml:space="preserve">来，投标人承担过类似工程业绩的有1个得</w:t>
            </w:r>
            <w:r>
              <w:rPr>
                <w:rFonts w:hint="eastAsia" w:ascii="宋体" w:hAnsi="宋体" w:cs="仿宋"/>
                <w:color w:val="000000" w:themeColor="text1"/>
                <w:highlight w:val="none"/>
                <w:lang w:val="en-US" w:eastAsia="zh-CN"/>
                <w14:textFill>
                  <w14:solidFill>
                    <w14:schemeClr w14:val="tx1"/>
                  </w14:solidFill>
                </w14:textFill>
              </w:rPr>
              <w:t xml:space="preserve">3</w:t>
            </w:r>
            <w:r>
              <w:rPr>
                <w:rFonts w:hint="eastAsia" w:ascii="宋体" w:hAnsi="宋体" w:cs="仿宋"/>
                <w:color w:val="000000" w:themeColor="text1"/>
                <w:highlight w:val="none"/>
                <w14:textFill>
                  <w14:solidFill>
                    <w14:schemeClr w14:val="tx1"/>
                  </w14:solidFill>
                </w14:textFill>
              </w:rPr>
              <w:t xml:space="preserve">分，最高得</w:t>
            </w:r>
            <w:r>
              <w:rPr>
                <w:rFonts w:hint="eastAsia" w:ascii="宋体" w:hAnsi="宋体" w:cs="仿宋"/>
                <w:color w:val="000000" w:themeColor="text1"/>
                <w:highlight w:val="none"/>
                <w:lang w:val="en-US" w:eastAsia="zh-CN"/>
                <w14:textFill>
                  <w14:solidFill>
                    <w14:schemeClr w14:val="tx1"/>
                  </w14:solidFill>
                </w14:textFill>
              </w:rPr>
              <w:t xml:space="preserve">9</w:t>
            </w:r>
            <w:r>
              <w:rPr>
                <w:rFonts w:hint="eastAsia" w:ascii="宋体" w:hAnsi="宋体" w:cs="仿宋"/>
                <w:color w:val="000000" w:themeColor="text1"/>
                <w:highlight w:val="none"/>
                <w14:textFill>
                  <w14:solidFill>
                    <w14:schemeClr w14:val="tx1"/>
                  </w14:solidFill>
                </w14:textFill>
              </w:rPr>
              <w:t xml:space="preserve">分。</w:t>
            </w:r>
            <w:r/>
          </w:p>
          <w:p>
            <w:p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b w:val="0"/>
                <w:bCs w:val="0"/>
                <w:color w:val="000000" w:themeColor="text1"/>
                <w:highlight w:val="none"/>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业绩时间以竣工验收报告时间为准</w:t>
            </w:r>
            <w:r>
              <w:rPr>
                <w:rFonts w:hint="eastAsia" w:ascii="宋体" w:hAnsi="宋体" w:cs="宋体"/>
                <w:color w:val="000000" w:themeColor="text1"/>
                <w:szCs w:val="21"/>
                <w:highlight w:val="none"/>
                <w:lang w:val="en-US" w:eastAsia="zh-CN"/>
                <w14:textFill>
                  <w14:solidFill>
                    <w14:schemeClr w14:val="tx1"/>
                  </w14:solidFill>
                </w14:textFill>
              </w:rPr>
              <w:t xml:space="preserve">，提供提供中标通知书（或成交通知书）、施工合同、竣工验收证明原件扫描上传</w:t>
            </w:r>
            <w:r>
              <w:rPr>
                <w:rFonts w:hint="eastAsia" w:ascii="宋体" w:hAnsi="宋体" w:cs="仿宋"/>
                <w:b w:val="0"/>
                <w:bCs w:val="0"/>
                <w:color w:val="000000" w:themeColor="text1"/>
                <w:highlight w:val="none"/>
                <w14:textFill>
                  <w14:solidFill>
                    <w14:schemeClr w14:val="tx1"/>
                  </w14:solidFill>
                </w14:textFill>
              </w:rPr>
              <w:t xml:space="preserve">）</w:t>
            </w:r>
            <w:r/>
          </w:p>
        </w:tc>
        <w:tc>
          <w:tcPr>
            <w:tcW w:w="90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lang w:val="en-US" w:eastAsia="zh-CN"/>
                <w14:textFill>
                  <w14:solidFill>
                    <w14:schemeClr w14:val="tx1"/>
                  </w14:solidFill>
                </w14:textFill>
              </w:rPr>
              <w:t xml:space="preserve">9</w:t>
            </w:r>
            <w:r>
              <w:rPr>
                <w:rFonts w:hint="eastAsia" w:ascii="宋体" w:hAnsi="宋体" w:cs="仿宋"/>
                <w:color w:val="000000" w:themeColor="text1"/>
                <w:spacing w:val="-4"/>
                <w:highlight w:val="none"/>
                <w14:textFill>
                  <w14:solidFill>
                    <w14:schemeClr w14:val="tx1"/>
                  </w14:solidFill>
                </w14:textFill>
              </w:rPr>
              <w:t xml:space="preserve">分</w:t>
            </w:r>
            <w:r/>
          </w:p>
        </w:tc>
      </w:tr>
      <w:tr>
        <w:trPr>
          <w:trHeight w:val="842"/>
        </w:trPr>
        <w:tc>
          <w:tcPr>
            <w:tcW w:w="1438" w:type="dxa"/>
            <w:vMerge w:val="continue"/>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体系认证</w:t>
            </w:r>
            <w:r/>
          </w:p>
        </w:tc>
        <w:tc>
          <w:tcPr>
            <w:tcW w:w="5448" w:type="dxa"/>
            <w:textDirection w:val="lrTb"/>
            <w:noWrap w:val="false"/>
          </w:tcPr>
          <w:p>
            <w:pPr>
              <w:spacing w:line="360" w:lineRule="auto"/>
              <w:rPr>
                <w:rFonts w:hint="eastAsia" w:ascii="宋体" w:hAnsi="宋体" w:cs="仿宋"/>
                <w:b/>
                <w:bCs/>
                <w:color w:val="000000" w:themeColor="text1"/>
                <w:highlight w:val="none"/>
                <w14:textFill>
                  <w14:solidFill>
                    <w14:schemeClr w14:val="tx1"/>
                  </w14:solidFill>
                </w14:textFill>
              </w:rPr>
            </w:pPr>
            <w:r>
              <w:rPr>
                <w:rFonts w:hint="eastAsia" w:ascii="宋体" w:hAnsi="宋体" w:cs="仿宋"/>
                <w:color w:val="000000" w:themeColor="text1"/>
                <w:highlight w:val="none"/>
                <w14:textFill>
                  <w14:solidFill>
                    <w14:schemeClr w14:val="tx1"/>
                  </w14:solidFill>
                </w14:textFill>
              </w:rPr>
              <w:t xml:space="preserve">投标人具有有效期内的质量管理体系认证、环境管理体系认证、职业健康安全管理体系认证证书的，每项得</w:t>
            </w:r>
            <w:r>
              <w:rPr>
                <w:rFonts w:hint="eastAsia" w:ascii="宋体" w:hAnsi="宋体" w:cs="仿宋"/>
                <w:color w:val="000000" w:themeColor="text1"/>
                <w:highlight w:val="none"/>
                <w:lang w:val="en-US" w:eastAsia="zh-CN"/>
                <w14:textFill>
                  <w14:solidFill>
                    <w14:schemeClr w14:val="tx1"/>
                  </w14:solidFill>
                </w14:textFill>
              </w:rPr>
              <w:t xml:space="preserve">1</w:t>
            </w:r>
            <w:r>
              <w:rPr>
                <w:rFonts w:hint="eastAsia" w:ascii="宋体" w:hAnsi="宋体" w:cs="仿宋"/>
                <w:color w:val="000000" w:themeColor="text1"/>
                <w:highlight w:val="none"/>
                <w14:textFill>
                  <w14:solidFill>
                    <w14:schemeClr w14:val="tx1"/>
                  </w14:solidFill>
                </w14:textFill>
              </w:rPr>
              <w:t xml:space="preserve">分，最高得</w:t>
            </w:r>
            <w:r>
              <w:rPr>
                <w:rFonts w:hint="eastAsia" w:ascii="宋体" w:hAnsi="宋体" w:cs="仿宋"/>
                <w:color w:val="000000" w:themeColor="text1"/>
                <w:highlight w:val="none"/>
                <w:lang w:val="en-US" w:eastAsia="zh-CN"/>
                <w14:textFill>
                  <w14:solidFill>
                    <w14:schemeClr w14:val="tx1"/>
                  </w14:solidFill>
                </w14:textFill>
              </w:rPr>
              <w:t xml:space="preserve">3</w:t>
            </w:r>
            <w:r>
              <w:rPr>
                <w:rFonts w:hint="eastAsia" w:ascii="宋体" w:hAnsi="宋体" w:cs="仿宋"/>
                <w:color w:val="000000" w:themeColor="text1"/>
                <w:highlight w:val="none"/>
                <w14:textFill>
                  <w14:solidFill>
                    <w14:schemeClr w14:val="tx1"/>
                  </w14:solidFill>
                </w14:textFill>
              </w:rPr>
              <w:t xml:space="preserve">分。</w:t>
            </w:r>
            <w:r>
              <w:rPr>
                <w:rFonts w:hint="eastAsia" w:ascii="宋体" w:hAnsi="宋体" w:cs="仿宋"/>
                <w:b w:val="0"/>
                <w:bCs w:val="0"/>
                <w:color w:val="000000" w:themeColor="text1"/>
                <w:highlight w:val="none"/>
                <w14:textFill>
                  <w14:solidFill>
                    <w14:schemeClr w14:val="tx1"/>
                  </w14:solidFill>
                </w14:textFill>
              </w:rPr>
              <w:t xml:space="preserve">（提供证书</w:t>
            </w:r>
            <w:r>
              <w:rPr>
                <w:rFonts w:hint="eastAsia" w:ascii="宋体" w:hAnsi="宋体" w:cs="仿宋"/>
                <w:b w:val="0"/>
                <w:bCs w:val="0"/>
                <w:color w:val="000000" w:themeColor="text1"/>
                <w:highlight w:val="none"/>
                <w:lang w:val="zh-CN"/>
                <w14:textFill>
                  <w14:solidFill>
                    <w14:schemeClr w14:val="tx1"/>
                  </w14:solidFill>
                </w14:textFill>
              </w:rPr>
              <w:t xml:space="preserve">原件扫描上传</w:t>
            </w:r>
            <w:r>
              <w:rPr>
                <w:rFonts w:hint="eastAsia" w:ascii="宋体" w:hAnsi="宋体" w:cs="仿宋"/>
                <w:b w:val="0"/>
                <w:bCs w:val="0"/>
                <w:color w:val="000000" w:themeColor="text1"/>
                <w:highlight w:val="none"/>
                <w14:textFill>
                  <w14:solidFill>
                    <w14:schemeClr w14:val="tx1"/>
                  </w14:solidFill>
                </w14:textFill>
              </w:rPr>
              <w:t xml:space="preserve">）</w:t>
            </w:r>
            <w:r>
              <w:rPr>
                <w:rFonts w:hint="eastAsia" w:ascii="宋体" w:hAnsi="宋体" w:cs="仿宋"/>
                <w:b/>
                <w:bCs/>
                <w:color w:val="000000" w:themeColor="text1"/>
                <w:highlight w:val="none"/>
                <w:lang w:val="en-US" w:eastAsia="zh-CN"/>
                <w14:textFill>
                  <w14:solidFill>
                    <w14:schemeClr w14:val="tx1"/>
                  </w14:solidFill>
                </w14:textFill>
              </w:rPr>
              <w:t xml:space="preserve">（</w:t>
            </w:r>
            <w:r>
              <w:rPr>
                <w:rFonts w:hint="eastAsia" w:ascii="宋体" w:hAnsi="宋体" w:cs="仿宋"/>
                <w:b/>
                <w:bCs/>
                <w:color w:val="000000" w:themeColor="text1"/>
                <w:highlight w:val="none"/>
                <w14:textFill>
                  <w14:solidFill>
                    <w14:schemeClr w14:val="tx1"/>
                  </w14:solidFill>
                </w14:textFill>
              </w:rPr>
              <w:t xml:space="preserve">以上证书均需提供证书原件扫描上传及全国认证认可信息公共服务平台查询截图上传，提供不全或未提供不得分）</w:t>
            </w:r>
            <w:r/>
          </w:p>
          <w:p>
            <w:pPr>
              <w:spacing w:line="360" w:lineRule="auto"/>
              <w:rPr>
                <w:rFonts w:ascii="宋体" w:hAnsi="宋体" w:cs="仿宋"/>
                <w:color w:val="000000" w:themeColor="text1"/>
                <w:highlight w:val="none"/>
                <w14:textFill>
                  <w14:solidFill>
                    <w14:schemeClr w14:val="tx1"/>
                  </w14:solidFill>
                </w14:textFill>
              </w:rPr>
            </w:pPr>
            <w:r>
              <w:rPr>
                <w:rFonts w:hint="eastAsia" w:ascii="宋体" w:hAnsi="宋体" w:cs="仿宋"/>
                <w:b/>
                <w:bCs/>
                <w:color w:val="000000" w:themeColor="text1"/>
                <w:highlight w:val="none"/>
                <w14:textFill>
                  <w14:solidFill>
                    <w14:schemeClr w14:val="tx1"/>
                  </w14:solidFill>
                </w14:textFill>
              </w:rPr>
              <w:t xml:space="preserve">（全国认证认可信息公共服务平台网址：http：//cx.cnca.cn/CertECloud/result/skipResultList?certItemOne=A&amp;currentPosition=undefined，要求证书查询结果为有效。</w:t>
            </w:r>
            <w:r>
              <w:rPr>
                <w:rFonts w:hint="eastAsia" w:ascii="宋体" w:hAnsi="宋体" w:cs="仿宋"/>
                <w:b/>
                <w:bCs/>
                <w:color w:val="000000" w:themeColor="text1"/>
                <w:highlight w:val="none"/>
                <w:lang w:val="en-US" w:eastAsia="zh-CN"/>
                <w14:textFill>
                  <w14:solidFill>
                    <w14:schemeClr w14:val="tx1"/>
                  </w14:solidFill>
                </w14:textFill>
              </w:rPr>
              <w:t xml:space="preserve">）</w:t>
            </w:r>
            <w:r/>
          </w:p>
        </w:tc>
        <w:tc>
          <w:tcPr>
            <w:tcW w:w="90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lang w:val="en-US" w:eastAsia="zh-CN"/>
                <w14:textFill>
                  <w14:solidFill>
                    <w14:schemeClr w14:val="tx1"/>
                  </w14:solidFill>
                </w14:textFill>
              </w:rPr>
              <w:t xml:space="preserve">3</w:t>
            </w:r>
            <w:r>
              <w:rPr>
                <w:rFonts w:hint="eastAsia" w:ascii="宋体" w:hAnsi="宋体" w:cs="仿宋"/>
                <w:color w:val="000000" w:themeColor="text1"/>
                <w:spacing w:val="-4"/>
                <w:highlight w:val="none"/>
                <w14:textFill>
                  <w14:solidFill>
                    <w14:schemeClr w14:val="tx1"/>
                  </w14:solidFill>
                </w14:textFill>
              </w:rPr>
              <w:t xml:space="preserve">分</w:t>
            </w:r>
            <w:r/>
          </w:p>
        </w:tc>
      </w:tr>
      <w:tr>
        <w:trPr>
          <w:trHeight w:val="972"/>
        </w:trPr>
        <w:tc>
          <w:tcPr>
            <w:tcW w:w="1438" w:type="dxa"/>
            <w:vMerge w:val="continue"/>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ascii="宋体" w:hAnsi="宋体" w:cs="仿宋"/>
                <w:color w:val="000000" w:themeColor="text1"/>
                <w:spacing w:val="-4"/>
                <w:highlight w:val="none"/>
                <w14:textFill>
                  <w14:solidFill>
                    <w14:schemeClr w14:val="tx1"/>
                  </w14:solidFill>
                </w14:textFill>
              </w:rPr>
            </w:r>
            <w:r/>
          </w:p>
        </w:tc>
        <w:tc>
          <w:tcPr>
            <w:tcW w:w="106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14:textFill>
                  <w14:solidFill>
                    <w14:schemeClr w14:val="tx1"/>
                  </w14:solidFill>
                </w14:textFill>
              </w:rPr>
              <w:t xml:space="preserve">项目管理机构</w:t>
            </w:r>
            <w:r/>
          </w:p>
        </w:tc>
        <w:tc>
          <w:tcPr>
            <w:tcW w:w="5448" w:type="dxa"/>
            <w:textDirection w:val="lrTb"/>
            <w:noWrap w:val="false"/>
          </w:tcPr>
          <w:p>
            <w:pPr>
              <w:spacing w:line="360" w:lineRule="auto"/>
              <w:rPr>
                <w:rFonts w:hint="eastAsia" w:ascii="宋体" w:hAnsi="宋体" w:cs="仿宋"/>
                <w:color w:val="000000" w:themeColor="text1"/>
                <w:highlight w:val="none"/>
                <w:lang w:eastAsia="zh-CN"/>
                <w14:textFill>
                  <w14:solidFill>
                    <w14:schemeClr w14:val="tx1"/>
                  </w14:solidFill>
                </w14:textFill>
              </w:rPr>
            </w:pPr>
            <w:r>
              <w:rPr>
                <w:rFonts w:hint="eastAsia" w:ascii="宋体" w:hAnsi="宋体" w:cs="仿宋"/>
                <w:color w:val="000000" w:themeColor="text1"/>
                <w:highlight w:val="none"/>
                <w:lang w:val="en-US" w:eastAsia="zh-CN"/>
                <w14:textFill>
                  <w14:solidFill>
                    <w14:schemeClr w14:val="tx1"/>
                  </w14:solidFill>
                </w14:textFill>
              </w:rPr>
              <w:t xml:space="preserve">1、</w:t>
            </w:r>
            <w:r>
              <w:rPr>
                <w:rFonts w:hint="eastAsia" w:ascii="宋体" w:hAnsi="宋体" w:cs="仿宋"/>
                <w:color w:val="000000" w:themeColor="text1"/>
                <w:highlight w:val="none"/>
                <w:lang w:eastAsia="zh-CN"/>
                <w14:textFill>
                  <w14:solidFill>
                    <w14:schemeClr w14:val="tx1"/>
                  </w14:solidFill>
                </w14:textFill>
              </w:rPr>
              <w:t xml:space="preserve">项目</w:t>
            </w:r>
            <w:r>
              <w:rPr>
                <w:rFonts w:hint="eastAsia" w:ascii="宋体" w:hAnsi="宋体" w:cs="仿宋"/>
                <w:color w:val="000000" w:themeColor="text1"/>
                <w:highlight w:val="none"/>
                <w:lang w:val="en-US" w:eastAsia="zh-CN"/>
                <w14:textFill>
                  <w14:solidFill>
                    <w14:schemeClr w14:val="tx1"/>
                  </w14:solidFill>
                </w14:textFill>
              </w:rPr>
              <w:t xml:space="preserve">技术</w:t>
            </w:r>
            <w:r>
              <w:rPr>
                <w:rFonts w:hint="eastAsia" w:ascii="宋体" w:hAnsi="宋体" w:cs="仿宋"/>
                <w:color w:val="000000" w:themeColor="text1"/>
                <w:highlight w:val="none"/>
                <w:lang w:eastAsia="zh-CN"/>
                <w14:textFill>
                  <w14:solidFill>
                    <w14:schemeClr w14:val="tx1"/>
                  </w14:solidFill>
                </w14:textFill>
              </w:rPr>
              <w:t xml:space="preserve">负责</w:t>
            </w:r>
            <w:r>
              <w:rPr>
                <w:rFonts w:hint="eastAsia" w:ascii="宋体" w:hAnsi="宋体" w:cs="仿宋"/>
                <w:color w:val="000000" w:themeColor="text1"/>
                <w:highlight w:val="none"/>
                <w14:textFill>
                  <w14:solidFill>
                    <w14:schemeClr w14:val="tx1"/>
                  </w14:solidFill>
                </w14:textFill>
              </w:rPr>
              <w:t xml:space="preserve">人具</w:t>
            </w:r>
            <w:r>
              <w:rPr>
                <w:rFonts w:hint="eastAsia" w:ascii="宋体" w:hAnsi="宋体" w:cs="仿宋"/>
                <w:color w:val="000000" w:themeColor="text1"/>
                <w:highlight w:val="none"/>
                <w:lang w:val="en-US" w:eastAsia="zh-CN"/>
                <w14:textFill>
                  <w14:solidFill>
                    <w14:schemeClr w14:val="tx1"/>
                  </w14:solidFill>
                </w14:textFill>
              </w:rPr>
              <w:t xml:space="preserve">备</w:t>
            </w:r>
            <w:r>
              <w:rPr>
                <w:rFonts w:hint="eastAsia" w:ascii="宋体" w:hAnsi="宋体" w:cs="仿宋"/>
                <w:color w:val="000000" w:themeColor="text1"/>
                <w:highlight w:val="none"/>
                <w:lang w:eastAsia="zh-CN"/>
                <w14:textFill>
                  <w14:solidFill>
                    <w14:schemeClr w14:val="tx1"/>
                  </w14:solidFill>
                </w14:textFill>
              </w:rPr>
              <w:t xml:space="preserve">高级</w:t>
            </w:r>
            <w:r>
              <w:rPr>
                <w:rFonts w:hint="eastAsia" w:ascii="宋体" w:hAnsi="宋体" w:cs="仿宋"/>
                <w:color w:val="000000" w:themeColor="text1"/>
                <w:highlight w:val="none"/>
                <w14:textFill>
                  <w14:solidFill>
                    <w14:schemeClr w14:val="tx1"/>
                  </w14:solidFill>
                </w14:textFill>
              </w:rPr>
              <w:t xml:space="preserve">及以上工程师职称的得</w:t>
            </w:r>
            <w:r>
              <w:rPr>
                <w:rFonts w:hint="eastAsia" w:ascii="宋体" w:hAnsi="宋体" w:cs="仿宋"/>
                <w:color w:val="000000" w:themeColor="text1"/>
                <w:highlight w:val="none"/>
                <w:lang w:val="en-US" w:eastAsia="zh-CN"/>
                <w14:textFill>
                  <w14:solidFill>
                    <w14:schemeClr w14:val="tx1"/>
                  </w14:solidFill>
                </w14:textFill>
              </w:rPr>
              <w:t xml:space="preserve">3</w:t>
            </w:r>
            <w:r>
              <w:rPr>
                <w:rFonts w:hint="eastAsia" w:ascii="宋体" w:hAnsi="宋体" w:cs="仿宋"/>
                <w:color w:val="000000" w:themeColor="text1"/>
                <w:highlight w:val="none"/>
                <w14:textFill>
                  <w14:solidFill>
                    <w14:schemeClr w14:val="tx1"/>
                  </w14:solidFill>
                </w14:textFill>
              </w:rPr>
              <w:t xml:space="preserve">分</w:t>
            </w:r>
            <w:r>
              <w:rPr>
                <w:rFonts w:hint="eastAsia" w:ascii="宋体" w:hAnsi="宋体" w:cs="仿宋"/>
                <w:color w:val="000000" w:themeColor="text1"/>
                <w:highlight w:val="none"/>
                <w:lang w:eastAsia="zh-CN"/>
                <w14:textFill>
                  <w14:solidFill>
                    <w14:schemeClr w14:val="tx1"/>
                  </w14:solidFill>
                </w14:textFill>
              </w:rPr>
              <w:t xml:space="preserve">；具备工程师职称的得</w:t>
            </w:r>
            <w:r>
              <w:rPr>
                <w:rFonts w:hint="eastAsia" w:ascii="宋体" w:hAnsi="宋体" w:cs="仿宋"/>
                <w:color w:val="000000" w:themeColor="text1"/>
                <w:highlight w:val="none"/>
                <w:lang w:val="en-US" w:eastAsia="zh-CN"/>
                <w14:textFill>
                  <w14:solidFill>
                    <w14:schemeClr w14:val="tx1"/>
                  </w14:solidFill>
                </w14:textFill>
              </w:rPr>
              <w:t xml:space="preserve">1分</w:t>
            </w:r>
            <w:r>
              <w:rPr>
                <w:rFonts w:hint="eastAsia" w:ascii="宋体" w:hAnsi="宋体" w:cs="仿宋"/>
                <w:color w:val="000000" w:themeColor="text1"/>
                <w:highlight w:val="none"/>
                <w:lang w:eastAsia="zh-CN"/>
                <w14:textFill>
                  <w14:solidFill>
                    <w14:schemeClr w14:val="tx1"/>
                  </w14:solidFill>
                </w14:textFill>
              </w:rPr>
              <w:t xml:space="preserve">。（</w:t>
            </w:r>
            <w:r>
              <w:rPr>
                <w:rFonts w:hint="eastAsia" w:ascii="宋体" w:hAnsi="宋体" w:cs="仿宋"/>
                <w:color w:val="000000" w:themeColor="text1"/>
                <w:highlight w:val="none"/>
                <w14:textFill>
                  <w14:solidFill>
                    <w14:schemeClr w14:val="tx1"/>
                  </w14:solidFill>
                </w14:textFill>
              </w:rPr>
              <w:t xml:space="preserve">提供职称证书、投标人为其缴纳的近一个月社保证明</w:t>
            </w:r>
            <w:r>
              <w:rPr>
                <w:rFonts w:hint="eastAsia" w:ascii="宋体" w:hAnsi="宋体" w:cs="仿宋"/>
                <w:color w:val="000000" w:themeColor="text1"/>
                <w:highlight w:val="none"/>
                <w:lang w:eastAsia="zh-CN"/>
                <w14:textFill>
                  <w14:solidFill>
                    <w14:schemeClr w14:val="tx1"/>
                  </w14:solidFill>
                </w14:textFill>
              </w:rPr>
              <w:t xml:space="preserve">原件扫描上传。）</w:t>
            </w:r>
            <w:r/>
          </w:p>
          <w:p>
            <w:pPr>
              <w:spacing w:line="360" w:lineRule="auto"/>
              <w:rPr>
                <w:rFonts w:hint="default" w:ascii="宋体" w:hAnsi="宋体" w:cs="仿宋"/>
                <w:color w:val="000000" w:themeColor="text1"/>
                <w:highlight w:val="none"/>
                <w:lang w:val="en-US" w:eastAsia="zh-CN"/>
                <w14:textFill>
                  <w14:solidFill>
                    <w14:schemeClr w14:val="tx1"/>
                  </w14:solidFill>
                </w14:textFill>
              </w:rPr>
            </w:pPr>
            <w:r>
              <w:rPr>
                <w:rFonts w:hint="eastAsia" w:ascii="宋体" w:hAnsi="宋体" w:cs="仿宋"/>
                <w:color w:val="000000" w:themeColor="text1"/>
                <w:highlight w:val="none"/>
                <w:lang w:val="en-US" w:eastAsia="zh-CN"/>
                <w14:textFill>
                  <w14:solidFill>
                    <w14:schemeClr w14:val="tx1"/>
                  </w14:solidFill>
                </w14:textFill>
              </w:rPr>
              <w:t xml:space="preserve">2、项目组成员具备施工员、质检员、材料员、资料员、二级及以上造价工程师，证书齐全的得3分，不齐全不得分。</w:t>
            </w:r>
            <w:r>
              <w:rPr>
                <w:rFonts w:hint="eastAsia" w:ascii="宋体" w:hAnsi="宋体" w:cs="仿宋"/>
                <w:color w:val="000000" w:themeColor="text1"/>
                <w:highlight w:val="none"/>
                <w:lang w:eastAsia="zh-CN"/>
                <w14:textFill>
                  <w14:solidFill>
                    <w14:schemeClr w14:val="tx1"/>
                  </w14:solidFill>
                </w14:textFill>
              </w:rPr>
              <w:t xml:space="preserve">（</w:t>
            </w:r>
            <w:r>
              <w:rPr>
                <w:rFonts w:hint="eastAsia" w:ascii="宋体" w:hAnsi="宋体" w:cs="仿宋"/>
                <w:color w:val="000000" w:themeColor="text1"/>
                <w:highlight w:val="none"/>
                <w14:textFill>
                  <w14:solidFill>
                    <w14:schemeClr w14:val="tx1"/>
                  </w14:solidFill>
                </w14:textFill>
              </w:rPr>
              <w:t xml:space="preserve">提供职称证书、投标人为其缴纳的近一个月社保证明</w:t>
            </w:r>
            <w:r>
              <w:rPr>
                <w:rFonts w:hint="eastAsia" w:ascii="宋体" w:hAnsi="宋体" w:cs="仿宋"/>
                <w:color w:val="000000" w:themeColor="text1"/>
                <w:highlight w:val="none"/>
                <w:lang w:eastAsia="zh-CN"/>
                <w14:textFill>
                  <w14:solidFill>
                    <w14:schemeClr w14:val="tx1"/>
                  </w14:solidFill>
                </w14:textFill>
              </w:rPr>
              <w:t xml:space="preserve">原件扫描上传。）</w:t>
            </w:r>
            <w:r/>
          </w:p>
          <w:p>
            <w:pPr>
              <w:spacing w:line="360" w:lineRule="auto"/>
              <w:rPr>
                <w:color w:val="000000" w:themeColor="text1"/>
                <w:highlight w:val="none"/>
                <w14:textFill>
                  <w14:solidFill>
                    <w14:schemeClr w14:val="tx1"/>
                  </w14:solidFill>
                </w14:textFill>
              </w:rPr>
            </w:pPr>
            <w:r>
              <w:rPr>
                <w:rFonts w:hint="eastAsia" w:ascii="宋体" w:hAnsi="宋体" w:cs="仿宋"/>
                <w:color w:val="000000" w:themeColor="text1"/>
                <w:highlight w:val="none"/>
                <w:lang w:val="en-US" w:eastAsia="zh-CN"/>
                <w14:textFill>
                  <w14:solidFill>
                    <w14:schemeClr w14:val="tx1"/>
                  </w14:solidFill>
                </w14:textFill>
              </w:rPr>
              <w:t xml:space="preserve">3、</w:t>
            </w:r>
            <w:r>
              <w:rPr>
                <w:rFonts w:hint="eastAsia" w:ascii="宋体" w:hAnsi="宋体" w:cs="仿宋"/>
                <w:color w:val="000000" w:themeColor="text1"/>
                <w:highlight w:val="none"/>
                <w14:textFill>
                  <w14:solidFill>
                    <w14:schemeClr w14:val="tx1"/>
                  </w14:solidFill>
                </w14:textFill>
              </w:rPr>
              <w:t xml:space="preserve">项目组</w:t>
            </w:r>
            <w:r>
              <w:rPr>
                <w:rFonts w:hint="eastAsia" w:ascii="宋体" w:hAnsi="宋体" w:cs="仿宋"/>
                <w:color w:val="000000" w:themeColor="text1"/>
                <w:highlight w:val="none"/>
                <w:lang w:eastAsia="zh-CN"/>
                <w14:textFill>
                  <w14:solidFill>
                    <w14:schemeClr w14:val="tx1"/>
                  </w14:solidFill>
                </w14:textFill>
              </w:rPr>
              <w:t xml:space="preserve">成员中具有注册</w:t>
            </w:r>
            <w:r>
              <w:rPr>
                <w:rFonts w:hint="eastAsia" w:ascii="宋体" w:hAnsi="宋体" w:cs="仿宋"/>
                <w:color w:val="000000" w:themeColor="text1"/>
                <w:highlight w:val="none"/>
                <w14:textFill>
                  <w14:solidFill>
                    <w14:schemeClr w14:val="tx1"/>
                  </w14:solidFill>
                </w14:textFill>
              </w:rPr>
              <w:t xml:space="preserve">安全工程师的得</w:t>
            </w:r>
            <w:r>
              <w:rPr>
                <w:rFonts w:hint="eastAsia" w:ascii="宋体" w:hAnsi="宋体" w:cs="仿宋"/>
                <w:color w:val="000000" w:themeColor="text1"/>
                <w:highlight w:val="none"/>
                <w:lang w:val="en-US" w:eastAsia="zh-CN"/>
                <w14:textFill>
                  <w14:solidFill>
                    <w14:schemeClr w14:val="tx1"/>
                  </w14:solidFill>
                </w14:textFill>
              </w:rPr>
              <w:t xml:space="preserve">2</w:t>
            </w:r>
            <w:r>
              <w:rPr>
                <w:rFonts w:hint="eastAsia" w:ascii="宋体" w:hAnsi="宋体" w:cs="仿宋"/>
                <w:color w:val="000000" w:themeColor="text1"/>
                <w:highlight w:val="none"/>
                <w14:textFill>
                  <w14:solidFill>
                    <w14:schemeClr w14:val="tx1"/>
                  </w14:solidFill>
                </w14:textFill>
              </w:rPr>
              <w:t xml:space="preserve">分。（提供证书、投标人为其缴纳的近一个月社保证明</w:t>
            </w:r>
            <w:r>
              <w:rPr>
                <w:rFonts w:hint="eastAsia" w:ascii="宋体" w:hAnsi="宋体" w:cs="仿宋"/>
                <w:color w:val="000000" w:themeColor="text1"/>
                <w:highlight w:val="none"/>
                <w:lang w:eastAsia="zh-CN"/>
                <w14:textFill>
                  <w14:solidFill>
                    <w14:schemeClr w14:val="tx1"/>
                  </w14:solidFill>
                </w14:textFill>
              </w:rPr>
              <w:t xml:space="preserve">原件扫描上传。</w:t>
            </w:r>
            <w:r>
              <w:rPr>
                <w:rFonts w:hint="eastAsia" w:ascii="宋体" w:hAnsi="宋体" w:cs="仿宋"/>
                <w:color w:val="000000" w:themeColor="text1"/>
                <w:highlight w:val="none"/>
                <w14:textFill>
                  <w14:solidFill>
                    <w14:schemeClr w14:val="tx1"/>
                  </w14:solidFill>
                </w14:textFill>
              </w:rPr>
              <w:t xml:space="preserve">）</w:t>
            </w:r>
            <w:r/>
          </w:p>
        </w:tc>
        <w:tc>
          <w:tcPr>
            <w:tcW w:w="908" w:type="dxa"/>
            <w:vAlign w:val="center"/>
            <w:textDirection w:val="lrTb"/>
            <w:noWrap w:val="false"/>
          </w:tcPr>
          <w:p>
            <w:pPr>
              <w:jc w:val="center"/>
              <w:spacing w:line="360" w:lineRule="auto"/>
              <w:rPr>
                <w:rFonts w:ascii="宋体" w:hAnsi="宋体" w:cs="仿宋"/>
                <w:color w:val="000000" w:themeColor="text1"/>
                <w:spacing w:val="-4"/>
                <w:highlight w:val="none"/>
                <w14:textFill>
                  <w14:solidFill>
                    <w14:schemeClr w14:val="tx1"/>
                  </w14:solidFill>
                </w14:textFill>
              </w:rPr>
            </w:pPr>
            <w:r>
              <w:rPr>
                <w:rFonts w:hint="eastAsia" w:ascii="宋体" w:hAnsi="宋体" w:cs="仿宋"/>
                <w:color w:val="000000" w:themeColor="text1"/>
                <w:spacing w:val="-4"/>
                <w:highlight w:val="none"/>
                <w:lang w:val="en-US" w:eastAsia="zh-CN"/>
                <w14:textFill>
                  <w14:solidFill>
                    <w14:schemeClr w14:val="tx1"/>
                  </w14:solidFill>
                </w14:textFill>
              </w:rPr>
              <w:t xml:space="preserve">8</w:t>
            </w:r>
            <w:r>
              <w:rPr>
                <w:rFonts w:hint="eastAsia" w:ascii="宋体" w:hAnsi="宋体" w:cs="仿宋"/>
                <w:color w:val="000000" w:themeColor="text1"/>
                <w:spacing w:val="-4"/>
                <w:highlight w:val="none"/>
                <w14:textFill>
                  <w14:solidFill>
                    <w14:schemeClr w14:val="tx1"/>
                  </w14:solidFill>
                </w14:textFill>
              </w:rPr>
              <w:t xml:space="preserve">分</w:t>
            </w:r>
            <w:r/>
          </w:p>
        </w:tc>
      </w:tr>
    </w:tbl>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numPr>
          <w:ilvl w:val="0"/>
          <w:numId w:val="5"/>
        </w:num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评标采用综合评分法。所有评分项由评委独立评审，最终以评委打分汇总的平均值为投标单位得分。评标过程中所有小数均保留两位。</w:t>
      </w:r>
      <w:r/>
    </w:p>
    <w:p>
      <w:pPr>
        <w:pStyle w:val="1033"/>
        <w:numPr>
          <w:ilvl w:val="0"/>
          <w:numId w:val="5"/>
        </w:numPr>
        <w:ind w:firstLine="42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以上参与评分的相关证书、合同等证明材料原件扫描件未提供不得分。</w:t>
      </w:r>
      <w:r/>
    </w:p>
    <w:p>
      <w:pPr>
        <w:pStyle w:val="1037"/>
        <w:jc w:val="center"/>
        <w:spacing w:line="360" w:lineRule="auto"/>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br w:type="page" w:clear="all"/>
      </w:r>
      <w:r/>
    </w:p>
    <w:p>
      <w:pPr>
        <w:pStyle w:val="1037"/>
        <w:jc w:val="center"/>
        <w:spacing w:line="360" w:lineRule="auto"/>
        <w:rPr>
          <w:rFonts w:hint="eastAsia" w:ascii="宋体" w:hAnsi="宋体"/>
          <w:color w:val="000000" w:themeColor="text1"/>
          <w:sz w:val="52"/>
          <w:highlight w:val="none"/>
          <w14:textFill>
            <w14:solidFill>
              <w14:schemeClr w14:val="tx1"/>
            </w14:solidFill>
          </w14:textFill>
        </w:rPr>
      </w:pPr>
      <w:r/>
      <w:bookmarkStart w:id="572" w:name="_Toc11906"/>
      <w:r/>
      <w:bookmarkStart w:id="573" w:name="_Toc8140"/>
      <w:r/>
      <w:bookmarkStart w:id="574" w:name="_Toc7178"/>
      <w:r>
        <w:rPr>
          <w:rFonts w:hint="eastAsia" w:ascii="宋体" w:hAnsi="宋体"/>
          <w:color w:val="000000" w:themeColor="text1"/>
          <w:highlight w:val="none"/>
          <w14:textFill>
            <w14:solidFill>
              <w14:schemeClr w14:val="tx1"/>
            </w14:solidFill>
          </w14:textFill>
        </w:rPr>
        <w:t xml:space="preserve">第六章 竞争性磋商响应文件格式</w:t>
      </w:r>
      <w:bookmarkEnd w:id="2"/>
      <w:r/>
      <w:bookmarkEnd w:id="572"/>
      <w:r/>
      <w:bookmarkEnd w:id="573"/>
      <w:r/>
      <w:bookmarkEnd w:id="574"/>
      <w:r/>
      <w:r/>
    </w:p>
    <w:p>
      <w:pPr>
        <w:jc w:val="center"/>
        <w:spacing w:line="360" w:lineRule="auto"/>
        <w:rPr>
          <w:rFonts w:hint="eastAsia" w:ascii="宋体" w:hAnsi="宋体"/>
          <w:b/>
          <w:color w:val="000000" w:themeColor="text1"/>
          <w:sz w:val="22"/>
          <w:highlight w:val="none"/>
          <w14:textFill>
            <w14:solidFill>
              <w14:schemeClr w14:val="tx1"/>
            </w14:solidFill>
          </w14:textFill>
        </w:rPr>
      </w:pPr>
      <w:r>
        <w:rPr>
          <w:rFonts w:hint="eastAsia" w:ascii="宋体" w:hAnsi="宋体"/>
          <w:b/>
          <w:color w:val="000000" w:themeColor="text1"/>
          <w:sz w:val="22"/>
          <w:highlight w:val="none"/>
          <w14:textFill>
            <w14:solidFill>
              <w14:schemeClr w14:val="tx1"/>
            </w14:solidFill>
          </w14:textFill>
        </w:rPr>
      </w:r>
      <w:r/>
    </w:p>
    <w:p>
      <w:pPr>
        <w:jc w:val="center"/>
        <w:spacing w:line="360" w:lineRule="auto"/>
        <w:rPr>
          <w:rFonts w:hint="eastAsia" w:ascii="宋体" w:hAnsi="宋体" w:cs="Arial"/>
          <w:b/>
          <w:bCs/>
          <w:color w:val="000000" w:themeColor="text1"/>
          <w:sz w:val="72"/>
          <w:szCs w:val="72"/>
          <w:highlight w:val="none"/>
          <w14:textFill>
            <w14:solidFill>
              <w14:schemeClr w14:val="tx1"/>
            </w14:solidFill>
          </w14:textFill>
        </w:rPr>
      </w:pPr>
      <w:r>
        <w:rPr>
          <w:rFonts w:hint="eastAsia" w:ascii="宋体" w:hAnsi="宋体" w:cs="Arial"/>
          <w:b/>
          <w:bCs/>
          <w:color w:val="000000" w:themeColor="text1"/>
          <w:sz w:val="72"/>
          <w:szCs w:val="72"/>
          <w:highlight w:val="none"/>
          <w14:textFill>
            <w14:solidFill>
              <w14:schemeClr w14:val="tx1"/>
            </w14:solidFill>
          </w14:textFill>
        </w:rPr>
        <w:t xml:space="preserve">竞争性磋商响应文件</w:t>
      </w:r>
      <w:r/>
    </w:p>
    <w:p>
      <w:pPr>
        <w:jc w:val="center"/>
        <w:spacing w:line="360" w:lineRule="auto"/>
        <w:rPr>
          <w:rFonts w:hint="eastAsia" w:ascii="宋体" w:hAnsi="宋体"/>
          <w:b/>
          <w:color w:val="000000" w:themeColor="text1"/>
          <w:sz w:val="72"/>
          <w:szCs w:val="21"/>
          <w:highlight w:val="none"/>
          <w14:textFill>
            <w14:solidFill>
              <w14:schemeClr w14:val="tx1"/>
            </w14:solidFill>
          </w14:textFill>
        </w:rPr>
      </w:pPr>
      <w:r>
        <w:rPr>
          <w:rFonts w:hint="eastAsia" w:ascii="宋体" w:hAnsi="宋体"/>
          <w:b/>
          <w:color w:val="000000" w:themeColor="text1"/>
          <w:sz w:val="72"/>
          <w:szCs w:val="21"/>
          <w:highlight w:val="none"/>
          <w14:textFill>
            <w14:solidFill>
              <w14:schemeClr w14:val="tx1"/>
            </w14:solidFill>
          </w14:textFill>
        </w:rPr>
      </w:r>
      <w:r/>
    </w:p>
    <w:p>
      <w:pPr>
        <w:jc w:val="center"/>
        <w:spacing w:line="360" w:lineRule="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spacing w:line="360" w:lineRule="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spacing w:line="360" w:lineRule="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center"/>
        <w:spacing w:line="360" w:lineRule="auto"/>
        <w:rPr>
          <w:rFonts w:hint="eastAsia" w:ascii="宋体" w:hAnsi="宋体"/>
          <w:b/>
          <w:color w:val="000000" w:themeColor="text1"/>
          <w:sz w:val="36"/>
          <w:szCs w:val="21"/>
          <w:highlight w:val="none"/>
          <w14:textFill>
            <w14:solidFill>
              <w14:schemeClr w14:val="tx1"/>
            </w14:solidFill>
          </w14:textFill>
        </w:rPr>
      </w:pPr>
      <w:r>
        <w:rPr>
          <w:rFonts w:hint="eastAsia" w:ascii="宋体" w:hAnsi="宋体"/>
          <w:b/>
          <w:color w:val="000000" w:themeColor="text1"/>
          <w:sz w:val="36"/>
          <w:szCs w:val="21"/>
          <w:highlight w:val="none"/>
          <w14:textFill>
            <w14:solidFill>
              <w14:schemeClr w14:val="tx1"/>
            </w14:solidFill>
          </w14:textFill>
        </w:rPr>
      </w:r>
      <w:r/>
    </w:p>
    <w:p>
      <w:pPr>
        <w:jc w:val="left"/>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jc w:val="center"/>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r>
      <w:r/>
    </w:p>
    <w:p>
      <w:pPr>
        <w:ind w:firstLine="1084"/>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编 号：</w:t>
      </w:r>
      <w:r>
        <w:rPr>
          <w:rFonts w:hint="eastAsia" w:ascii="宋体" w:hAnsi="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磋商供应商名称 ：</w:t>
      </w:r>
      <w:r>
        <w:rPr>
          <w:rFonts w:hint="eastAsia" w:ascii="宋体" w:hAnsi="宋体"/>
          <w:b/>
          <w:color w:val="000000" w:themeColor="text1"/>
          <w:sz w:val="36"/>
          <w:highlight w:val="none"/>
          <w:u w:val="single"/>
          <w14:textFill>
            <w14:solidFill>
              <w14:schemeClr w14:val="tx1"/>
            </w14:solidFill>
          </w14:textFill>
        </w:rPr>
        <w:t xml:space="preserve">               </w:t>
      </w:r>
      <w:r/>
    </w:p>
    <w:p>
      <w:pPr>
        <w:spacing w:line="360" w:lineRule="auto"/>
        <w:rPr>
          <w:rFonts w:hint="eastAsia"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084"/>
        <w:spacing w:line="360" w:lineRule="auto"/>
        <w:rPr>
          <w:rFonts w:hint="eastAsia"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供  应  商：</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（电子签章）</w:t>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br w:type="page" w:clear="all"/>
      </w:r>
      <w:r>
        <w:rPr>
          <w:rFonts w:hint="eastAsia" w:ascii="宋体" w:hAnsi="宋体"/>
          <w:b/>
          <w:bCs/>
          <w:color w:val="000000" w:themeColor="text1"/>
          <w:sz w:val="32"/>
          <w:szCs w:val="32"/>
          <w:highlight w:val="none"/>
          <w14:textFill>
            <w14:solidFill>
              <w14:schemeClr w14:val="tx1"/>
            </w14:solidFill>
          </w14:textFill>
        </w:rPr>
        <w:t xml:space="preserve">磋商主要文件目录</w:t>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一、资格审查响应对照表</w:t>
      </w:r>
      <w:r/>
    </w:p>
    <w:p>
      <w:pPr>
        <w:ind w:left="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二、符合性审查响应对照表</w:t>
      </w:r>
      <w:r/>
    </w:p>
    <w:p>
      <w:pPr>
        <w:ind w:left="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三、非实质性响应对照表</w:t>
      </w:r>
      <w:r/>
    </w:p>
    <w:p>
      <w:pPr>
        <w:ind w:firstLine="480"/>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四</w:t>
      </w:r>
      <w:r>
        <w:rPr>
          <w:rFonts w:hint="eastAsia" w:ascii="宋体" w:hAnsi="宋体"/>
          <w:b/>
          <w:bCs/>
          <w:color w:val="000000" w:themeColor="text1"/>
          <w:sz w:val="24"/>
          <w:highlight w:val="none"/>
          <w14:textFill>
            <w14:solidFill>
              <w14:schemeClr w14:val="tx1"/>
            </w14:solidFill>
          </w14:textFill>
        </w:rPr>
        <w:t xml:space="preserve">、</w:t>
      </w:r>
      <w:r>
        <w:rPr>
          <w:rFonts w:hint="eastAsia" w:ascii="宋体" w:hAnsi="宋体"/>
          <w:i/>
          <w:color w:val="000000" w:themeColor="text1"/>
          <w:sz w:val="24"/>
          <w:highlight w:val="none"/>
          <w:u w:val="single"/>
          <w14:textFill>
            <w14:solidFill>
              <w14:schemeClr w14:val="tx1"/>
            </w14:solidFill>
          </w14:textFill>
        </w:rPr>
        <w:t xml:space="preserve">磋商响应报价表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五、</w:t>
      </w:r>
      <w:r>
        <w:rPr>
          <w:rFonts w:hint="eastAsia" w:ascii="宋体" w:hAnsi="宋体"/>
          <w:color w:val="000000" w:themeColor="text1"/>
          <w:sz w:val="24"/>
          <w:szCs w:val="24"/>
          <w:highlight w:val="none"/>
          <w14:textFill>
            <w14:solidFill>
              <w14:schemeClr w14:val="tx1"/>
            </w14:solidFill>
          </w14:textFill>
        </w:rPr>
        <w:t xml:space="preserve">技术参数响应及偏离表</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六</w:t>
      </w:r>
      <w:r>
        <w:rPr>
          <w:rFonts w:hint="eastAsia" w:ascii="宋体" w:hAnsi="宋体" w:cs="Courier New"/>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商务条款响应及偏离表</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七、其他（供应商认为有必要提供的声明和文件，如有自拟并自行添加）</w:t>
      </w:r>
      <w:r/>
    </w:p>
    <w:p>
      <w:p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一、资格审查响应对照表</w:t>
      </w:r>
      <w:r/>
    </w:p>
    <w:tbl>
      <w:tblPr>
        <w:tblStyle w:val="8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法人或者其他组织的营业执照等证明文件，自然人的身份证明</w:t>
            </w:r>
            <w:r>
              <w:rPr>
                <w:rFonts w:hint="eastAsia" w:ascii="宋体" w:hAnsi="宋体"/>
                <w:color w:val="000000" w:themeColor="text1"/>
                <w:szCs w:val="21"/>
                <w:highlight w:val="none"/>
                <w14:textFill>
                  <w14:solidFill>
                    <w14:schemeClr w14:val="tx1"/>
                  </w14:solidFill>
                </w14:textFill>
              </w:rPr>
              <w:t xml:space="preserve">（身份证为正、反面）</w:t>
            </w:r>
            <w:r/>
          </w:p>
        </w:tc>
        <w:tc>
          <w:tcPr>
            <w:tcW w:w="2158"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依法缴纳职工社会保障资金的证明材料</w:t>
            </w:r>
            <w:r>
              <w:rPr>
                <w:rFonts w:hint="eastAsia" w:ascii="宋体" w:hAnsi="宋体" w:cs="宋体"/>
                <w:b/>
                <w:bCs/>
                <w:color w:val="000000" w:themeColor="text1"/>
                <w:szCs w:val="21"/>
                <w:highlight w:val="none"/>
                <w14:textFill>
                  <w14:solidFill>
                    <w14:schemeClr w14:val="tx1"/>
                  </w14:solidFill>
                </w14:textFill>
              </w:rPr>
              <w:t xml:space="preserve">(税务、银行或社会保险基金管理部门出具的近一个月缴纳职工社会保障资金的缴款凭证或缴款证明)（可提供“基本资格条件承诺函”）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供应商近三个月内任意一份依法纳税的缴款凭证</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上一年度的财务状况情况</w:t>
            </w:r>
            <w:r>
              <w:rPr>
                <w:rFonts w:hint="eastAsia" w:ascii="宋体" w:hAnsi="宋体" w:cs="宋体"/>
                <w:b/>
                <w:bCs/>
                <w:color w:val="000000" w:themeColor="text1"/>
                <w:szCs w:val="21"/>
                <w:highlight w:val="none"/>
                <w14:textFill>
                  <w14:solidFill>
                    <w14:schemeClr w14:val="tx1"/>
                  </w14:solidFill>
                </w14:textFill>
              </w:rPr>
              <w:t xml:space="preserve">（成立不满一年不需提供）（可提供“基本资格条件承诺函”）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具备履行合同所必需的设备和专业技术能力的证明材料</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rPr>
                <w:rFonts w:hint="eastAsia" w:ascii="宋体" w:hAnsi="宋体" w:cs="宋体"/>
                <w:color w:val="000000" w:themeColor="text1"/>
                <w:szCs w:val="21"/>
                <w:highlight w:val="none"/>
                <w14:textFill>
                  <w14:solidFill>
                    <w14:schemeClr w14:val="tx1"/>
                  </w14:solidFill>
                </w14:textFill>
              </w:rPr>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5447"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参加本次政府采购活动前3年内在经营活动中没有重大违法记录的书面声明</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5447" w:type="dxa"/>
            <w:vAlign w:val="center"/>
            <w:textDirection w:val="lrTb"/>
            <w:noWrap w:val="false"/>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rPr>
                <w:rFonts w:hint="eastAsia" w:ascii="宋体" w:hAnsi="宋体" w:cs="宋体"/>
                <w:b/>
                <w:bCs/>
                <w:color w:val="000000" w:themeColor="text1"/>
                <w:szCs w:val="21"/>
                <w:highlight w:val="none"/>
                <w14:textFill>
                  <w14:solidFill>
                    <w14:schemeClr w14:val="tx1"/>
                  </w14:solidFill>
                </w14:textFill>
              </w:rPr>
              <w:t xml:space="preserve">（可提供“基本资格条件承诺函”）</w:t>
            </w:r>
            <w:r>
              <w:rPr>
                <w:b/>
                <w:bCs/>
              </w:rPr>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14"/>
        </w:trPr>
        <w:tc>
          <w:tcPr>
            <w:tcW w:w="646"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544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供应商信用承诺函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90"/>
        </w:trPr>
        <w:tc>
          <w:tcPr>
            <w:gridSpan w:val="3"/>
            <w:tcW w:w="825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9</w:t>
            </w:r>
            <w:r/>
          </w:p>
        </w:tc>
        <w:tc>
          <w:tcPr>
            <w:tcW w:w="5447"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10</w:t>
            </w:r>
            <w:r/>
          </w:p>
        </w:tc>
        <w:tc>
          <w:tcPr>
            <w:tcW w:w="5447"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详见公告</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251"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11</w:t>
            </w:r>
            <w:r/>
          </w:p>
        </w:tc>
        <w:tc>
          <w:tcPr>
            <w:tcW w:w="5447" w:type="dxa"/>
            <w:vAlign w:val="center"/>
            <w:textDirection w:val="lrTb"/>
            <w:noWrap w:val="false"/>
          </w:tcPr>
          <w:p>
            <w:pPr>
              <w:jc w:val="left"/>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磋商响应函</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w:t>
            </w:r>
            <w:r/>
          </w:p>
        </w:tc>
        <w:tc>
          <w:tcPr>
            <w:tcW w:w="5447" w:type="dxa"/>
            <w:vAlign w:val="center"/>
            <w:textDirection w:val="lrTb"/>
            <w:noWrap w:val="false"/>
          </w:tcPr>
          <w:p>
            <w:pPr>
              <w:jc w:val="left"/>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jc w:val="center"/>
        <w:spacing w:before="156" w:after="156"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jc w:val="center"/>
        <w:spacing w:line="5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xml:space="preserve">基本资格条件承诺函</w:t>
      </w:r>
      <w:r/>
    </w:p>
    <w:p>
      <w:pPr>
        <w:spacing w:line="530" w:lineRule="exact"/>
        <w:tabs>
          <w:tab w:val="left" w:pos="6300" w:leader="none"/>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致                   （采购代理机构名称）：</w:t>
      </w:r>
      <w:r/>
    </w:p>
    <w:p>
      <w:pPr>
        <w:ind w:firstLine="420"/>
        <w:spacing w:line="56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我公司自愿参加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w:t>
      </w:r>
      <w:r>
        <w:rPr>
          <w:rFonts w:ascii="宋体" w:hAnsi="宋体"/>
          <w:color w:val="000000" w:themeColor="text1"/>
          <w:szCs w:val="21"/>
          <w:highlight w:val="none"/>
          <w14:textFill>
            <w14:solidFill>
              <w14:schemeClr w14:val="tx1"/>
            </w14:solidFill>
          </w14:textFill>
        </w:rPr>
        <w:t xml:space="preserve">名称）</w:t>
      </w:r>
      <w:r>
        <w:rPr>
          <w:rFonts w:hint="eastAsia" w:ascii="宋体" w:hAnsi="宋体"/>
          <w:color w:val="000000" w:themeColor="text1"/>
          <w:szCs w:val="21"/>
          <w:highlight w:val="none"/>
          <w14:textFill>
            <w14:solidFill>
              <w14:schemeClr w14:val="tx1"/>
            </w14:solidFill>
          </w14:textFill>
        </w:rPr>
        <w:t xml:space="preserve">政府采购活动，并</w:t>
      </w:r>
      <w:r>
        <w:rPr>
          <w:rFonts w:ascii="宋体" w:hAnsi="宋体"/>
          <w:color w:val="000000" w:themeColor="text1"/>
          <w:szCs w:val="21"/>
          <w:highlight w:val="none"/>
          <w14:textFill>
            <w14:solidFill>
              <w14:schemeClr w14:val="tx1"/>
            </w14:solidFill>
          </w14:textFill>
        </w:rPr>
        <w:t xml:space="preserve">郑重承诺：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1.我方具有良好的商业信誉和健全的财务会计制度，具有履行合同所必需的设备和专业技术能力，具</w:t>
      </w:r>
      <w:r>
        <w:rPr>
          <w:rFonts w:ascii="宋体" w:hAnsi="宋体"/>
          <w:color w:val="000000" w:themeColor="text1"/>
          <w:szCs w:val="21"/>
          <w:highlight w:val="none"/>
          <w:lang w:val="zh-CN"/>
          <w14:textFill>
            <w14:solidFill>
              <w14:schemeClr w14:val="tx1"/>
            </w14:solidFill>
          </w14:textFill>
        </w:rPr>
        <w:t xml:space="preserve">有依法缴纳税收和社会保障金的良好记录</w:t>
      </w:r>
      <w:r>
        <w:rPr>
          <w:rFonts w:ascii="宋体" w:hAnsi="宋体"/>
          <w:color w:val="000000" w:themeColor="text1"/>
          <w:szCs w:val="21"/>
          <w:highlight w:val="none"/>
          <w14:textFill>
            <w14:solidFill>
              <w14:schemeClr w14:val="tx1"/>
            </w14:solidFill>
          </w14:textFill>
        </w:rPr>
        <w:t xml:space="preserve">，参加本项目采购活动前三年内无重大违法活动记录。</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3.我方在采购项目评审（评标）环节结束后，随时接受采购人、采购代理机构的检查验证，配合提供相关证明材料，证明符合《中华人民共和国政府采购法》规定的投标人基本资格条件。</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我方对以上承诺负全部法律责任。</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特此承诺。</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法定代表人（签章）：</w:t>
      </w:r>
      <w:r/>
    </w:p>
    <w:p>
      <w:pPr>
        <w:ind w:firstLine="420"/>
        <w:spacing w:line="5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p>
      <w:pPr>
        <w:ind w:firstLine="420"/>
        <w:spacing w:line="56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供应商名称（签章）：</w:t>
      </w:r>
      <w:r/>
    </w:p>
    <w:p>
      <w:pPr>
        <w:ind w:firstLine="420"/>
        <w:spacing w:line="56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jc w:val="center"/>
        <w:spacing w:line="360" w:lineRule="auto"/>
        <w:rPr>
          <w:rFonts w:ascii="宋体" w:hAnsi="宋体"/>
          <w:b/>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年   月   日</w:t>
      </w:r>
      <w:r>
        <w:rPr>
          <w:rFonts w:hint="eastAsia" w:ascii="宋体" w:hAnsi="宋体"/>
          <w:b/>
          <w:color w:val="000000" w:themeColor="text1"/>
          <w:szCs w:val="21"/>
          <w:highlight w:val="none"/>
          <w14:textFill>
            <w14:solidFill>
              <w14:schemeClr w14:val="tx1"/>
            </w14:solidFill>
          </w14:textFill>
        </w:rPr>
        <w:br w:type="page" w:clear="all"/>
      </w:r>
      <w:r>
        <w:rPr>
          <w:rFonts w:hint="eastAsia" w:ascii="宋体" w:hAnsi="宋体"/>
          <w:b/>
          <w:color w:val="000000" w:themeColor="text1"/>
          <w:szCs w:val="21"/>
          <w:highlight w:val="none"/>
          <w14:textFill>
            <w14:solidFill>
              <w14:schemeClr w14:val="tx1"/>
            </w14:solidFill>
          </w14:textFill>
        </w:rPr>
        <w:t xml:space="preserve">供应商信用承诺书</w:t>
      </w:r>
      <w:r/>
    </w:p>
    <w:p>
      <w:pPr>
        <w:spacing w:line="360" w:lineRule="auto"/>
        <w:rPr>
          <w:rFonts w:ascii="方正仿宋_GBK"/>
          <w:color w:val="000000" w:themeColor="text1"/>
          <w:szCs w:val="32"/>
          <w:highlight w:val="none"/>
          <w14:textFill>
            <w14:solidFill>
              <w14:schemeClr w14:val="tx1"/>
            </w14:solidFill>
          </w14:textFill>
        </w:rPr>
      </w:pPr>
      <w:r>
        <w:rPr>
          <w:rFonts w:ascii="方正仿宋_GBK"/>
          <w:color w:val="000000" w:themeColor="text1"/>
          <w:szCs w:val="32"/>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承诺主体名称：</w:t>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十、本承诺书自签订之日起生效。</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承诺单位（签章）：           </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法定代表人（负责人）：</w:t>
      </w:r>
      <w:r/>
    </w:p>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年    月    日</w:t>
      </w:r>
      <w:r/>
    </w:p>
    <w:p>
      <w:pPr>
        <w:jc w:val="center"/>
        <w:spacing w:line="360" w:lineRule="auto"/>
        <w:rPr>
          <w:rFonts w:hint="eastAsia" w:ascii="宋体" w:hAnsi="宋体"/>
          <w:b/>
          <w:bCs/>
          <w:color w:val="000000" w:themeColor="text1"/>
          <w:highlight w:val="none"/>
          <w14:textFill>
            <w14:solidFill>
              <w14:schemeClr w14:val="tx1"/>
            </w14:solidFill>
          </w14:textFill>
        </w:rPr>
        <w:sectPr>
          <w:headerReference w:type="default" r:id="rId10"/>
          <w:footerReference w:type="defaul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
          <w:bCs/>
          <w:color w:val="000000" w:themeColor="text1"/>
          <w:highlight w:val="none"/>
          <w14:textFill>
            <w14:solidFill>
              <w14:schemeClr w14:val="tx1"/>
            </w14:solidFill>
          </w14:textFill>
        </w:rPr>
      </w:r>
      <w:r/>
    </w:p>
    <w:p>
      <w:pPr>
        <w:jc w:val="center"/>
        <w:spacing w:line="360" w:lineRule="auto"/>
        <w:rPr>
          <w:rFonts w:hint="eastAsia"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r>
      <w:r/>
    </w:p>
    <w:p>
      <w:pPr>
        <w:jc w:val="center"/>
        <w:spacing w:line="360" w:lineRule="auto"/>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 xml:space="preserve">磋商响应函</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致：（代理公司）</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根据贵方的</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号磋商文件，正式授权下述签字人_________ (姓名和职务)代表我方______________（供应商的名称），全权处理本次项目磋商采购的有关事宜。</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据此函，__________（签字人）兹宣布同意如下：</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1.按磋商文件规定的各项要求，向买方提供所需服务。</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6.遵守磋商文件中要求的收费项目和标准。</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7.与本磋商采购有关的正式通讯地址为：</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地 址：                         邮 编：</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电 话：                         传 真：</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供应商开户行：                  账 户： </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法定代表人姓名（签章）：         联系电话：</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供应商名称（公章）：            </w:t>
      </w:r>
      <w:r/>
    </w:p>
    <w:p>
      <w:pPr>
        <w:pStyle w:val="1050"/>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日 期：________年____月____日</w:t>
      </w:r>
      <w:r/>
    </w:p>
    <w:p>
      <w:pPr>
        <w:pStyle w:val="1050"/>
        <w:ind w:firstLine="422"/>
        <w:jc w:val="center"/>
        <w:spacing w:after="312" w:line="360" w:lineRule="auto"/>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br w:type="page" w:clear="all"/>
      </w:r>
      <w:r>
        <w:rPr>
          <w:rFonts w:hint="eastAsia" w:ascii="宋体" w:hAnsi="宋体"/>
          <w:b/>
          <w:color w:val="000000" w:themeColor="text1"/>
          <w:sz w:val="21"/>
          <w:szCs w:val="21"/>
          <w:highlight w:val="none"/>
          <w14:textFill>
            <w14:solidFill>
              <w14:schemeClr w14:val="tx1"/>
            </w14:solidFill>
          </w14:textFill>
        </w:rPr>
        <w:t xml:space="preserve">法人授权书</w:t>
      </w:r>
      <w:r/>
    </w:p>
    <w:p>
      <w:pPr>
        <w:pStyle w:val="1050"/>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本授权书声明：</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（供应商名称）授权</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1050"/>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本授权书于</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日起生效，特此声明。</w:t>
      </w:r>
      <w:r/>
    </w:p>
    <w:p>
      <w:pPr>
        <w:pStyle w:val="1050"/>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被授权人姓名：</w:t>
      </w:r>
      <w:r>
        <w:rPr>
          <w:rFonts w:ascii="宋体" w:hAnsi="宋体"/>
          <w:color w:val="000000" w:themeColor="text1"/>
          <w:sz w:val="21"/>
          <w:szCs w:val="21"/>
          <w:highlight w:val="none"/>
          <w14:textFill>
            <w14:solidFill>
              <w14:schemeClr w14:val="tx1"/>
            </w14:solidFill>
          </w14:textFill>
        </w:rPr>
        <w:t xml:space="preserve">_____________________</w:t>
      </w:r>
      <w:r>
        <w:rPr>
          <w:rFonts w:hint="eastAsia"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__</w:t>
      </w:r>
      <w:r>
        <w:rPr>
          <w:rFonts w:hint="eastAsia" w:ascii="宋体" w:hAnsi="宋体"/>
          <w:color w:val="000000" w:themeColor="text1"/>
          <w:sz w:val="21"/>
          <w:szCs w:val="21"/>
          <w:highlight w:val="none"/>
          <w14:textFill>
            <w14:solidFill>
              <w14:schemeClr w14:val="tx1"/>
            </w14:solidFill>
          </w14:textFill>
        </w:rPr>
        <w:t xml:space="preserve">     </w:t>
      </w:r>
      <w:r/>
    </w:p>
    <w:p>
      <w:pPr>
        <w:pStyle w:val="1050"/>
        <w:ind w:firstLine="42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联系电话（手机）：</w:t>
      </w:r>
      <w:r>
        <w:rPr>
          <w:rFonts w:hint="eastAsia" w:ascii="宋体" w:hAnsi="宋体"/>
          <w:color w:val="000000" w:themeColor="text1"/>
          <w:sz w:val="21"/>
          <w:szCs w:val="21"/>
          <w:highlight w:val="none"/>
          <w:u w:val="single"/>
          <w14:textFill>
            <w14:solidFill>
              <w14:schemeClr w14:val="tx1"/>
            </w14:solidFill>
          </w14:textFill>
        </w:rPr>
        <w:t xml:space="preserve">                             </w:t>
      </w:r>
      <w:r/>
    </w:p>
    <w:p>
      <w:pPr>
        <w:pStyle w:val="1050"/>
        <w:ind w:firstLine="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单位名称：</w:t>
      </w:r>
      <w:r>
        <w:rPr>
          <w:rFonts w:ascii="宋体" w:hAnsi="宋体"/>
          <w:color w:val="000000" w:themeColor="text1"/>
          <w:sz w:val="21"/>
          <w:szCs w:val="21"/>
          <w:highlight w:val="none"/>
          <w14:textFill>
            <w14:solidFill>
              <w14:schemeClr w14:val="tx1"/>
            </w14:solidFill>
          </w14:textFill>
        </w:rPr>
        <w:t xml:space="preserve">____________________________________</w:t>
      </w:r>
      <w:r/>
    </w:p>
    <w:p>
      <w:pPr>
        <w:pStyle w:val="1050"/>
        <w:ind w:firstLine="420"/>
        <w:spacing w:line="360" w:lineRule="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单位地址：</w:t>
      </w:r>
      <w:r>
        <w:rPr>
          <w:color w:val="000000" w:themeColor="text1"/>
          <w:sz w:val="21"/>
          <w:szCs w:val="21"/>
          <w:highlight w:val="none"/>
          <w:u w:val="single"/>
          <w14:textFill>
            <w14:solidFill>
              <w14:schemeClr w14:val="tx1"/>
            </w14:solidFill>
          </w14:textFill>
        </w:rPr>
        <w:t xml:space="preserve">                                         </w:t>
      </w:r>
      <w:r/>
    </w:p>
    <w:p>
      <w:pPr>
        <w:pStyle w:val="1050"/>
        <w:ind w:firstLine="42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日期：</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r/>
    </w:p>
    <w:p>
      <w:pPr>
        <w:spacing w:line="360" w:lineRule="auto"/>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ind w:firstLine="420"/>
        <w:spacing w:line="360" w:lineRule="auto"/>
        <w:rPr>
          <w:rFonts w:ascii="宋体" w:hAnsi="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color w:val="000000" w:themeColor="text1"/>
          <w:highlight w:val="none"/>
          <w14:textFill>
            <w14:solidFill>
              <w14:schemeClr w14:val="tx1"/>
            </w14:solidFill>
          </w14:textFill>
        </w:rPr>
        <w:t xml:space="preserve">法人、被授权人身份证复印件</w:t>
      </w:r>
      <w:r/>
    </w:p>
    <w:p>
      <w:pPr>
        <w:numPr>
          <w:ilvl w:val="0"/>
          <w:numId w:val="6"/>
        </w:num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符合性审查响应对照表</w:t>
      </w:r>
      <w:r/>
    </w:p>
    <w:tbl>
      <w:tblPr>
        <w:tblStyle w:val="8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符合性审查响应内容</w:t>
            </w:r>
            <w:r/>
          </w:p>
        </w:tc>
        <w:tc>
          <w:tcPr>
            <w:tcW w:w="1680"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5447" w:type="dxa"/>
            <w:vAlign w:val="center"/>
            <w:textDirection w:val="lrTb"/>
            <w:noWrap w:val="false"/>
          </w:tcPr>
          <w:p>
            <w:pPr>
              <w:spacing w:line="360" w:lineRule="auto"/>
              <w:rPr>
                <w:rFonts w:hint="eastAsia"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spacing w:line="360" w:lineRule="auto"/>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br w:type="page" w:clear="all"/>
      </w:r>
      <w:r/>
    </w:p>
    <w:p>
      <w:pPr>
        <w:numPr>
          <w:ilvl w:val="0"/>
          <w:numId w:val="6"/>
        </w:numPr>
        <w:jc w:val="cente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t xml:space="preserve">非实质性响应对照表</w:t>
      </w:r>
      <w:r/>
    </w:p>
    <w:p>
      <w:pPr>
        <w:spacing w:line="360" w:lineRule="auto"/>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tbl>
      <w:tblPr>
        <w:tblStyle w:val="8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5447"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非实质性响应内容</w:t>
            </w:r>
            <w:r/>
          </w:p>
        </w:tc>
        <w:tc>
          <w:tcPr>
            <w:tcW w:w="1680"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c>
          <w:tcPr>
            <w:tcW w:w="1308" w:type="dxa"/>
            <w:vAlign w:val="center"/>
            <w:textDirection w:val="lrTb"/>
            <w:noWrap w:val="false"/>
          </w:tcPr>
          <w:p>
            <w:pPr>
              <w:jc w:val="center"/>
              <w:spacing w:line="360" w:lineRule="auto"/>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《企业声明函》</w:t>
            </w:r>
            <w:r/>
          </w:p>
        </w:tc>
        <w:tc>
          <w:tcPr>
            <w:tcW w:w="1680"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《残疾人福利性单位声明函》</w:t>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5447"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680"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308" w:type="dxa"/>
            <w:vAlign w:val="center"/>
            <w:textDirection w:val="lrTb"/>
            <w:noWrap w:val="false"/>
          </w:tcPr>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jc w:val="left"/>
        <w:spacing w:line="360" w:lineRule="auto"/>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before="312" w:after="312" w:line="360" w:lineRule="auto"/>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br w:type="page" w:clear="all"/>
      </w:r>
      <w:r>
        <w:rPr>
          <w:rFonts w:hint="eastAsia"/>
          <w:b/>
          <w:bCs/>
          <w:color w:val="000000" w:themeColor="text1"/>
          <w:highlight w:val="none"/>
          <w14:textFill>
            <w14:solidFill>
              <w14:schemeClr w14:val="tx1"/>
            </w14:solidFill>
          </w14:textFill>
        </w:rPr>
        <w:t xml:space="preserve">中小企业声明函（工程、服务）</w:t>
      </w:r>
      <w:r/>
    </w:p>
    <w:p>
      <w:pPr>
        <w:ind w:firstLine="4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 </w:t>
      </w:r>
      <w:r>
        <w:rPr>
          <w:rFonts w:hint="eastAsia"/>
          <w:color w:val="000000" w:themeColor="text1"/>
          <w:highlight w:val="none"/>
          <w:u w:val="single"/>
          <w14:textFill>
            <w14:solidFill>
              <w14:schemeClr w14:val="tx1"/>
            </w14:solidFill>
          </w14:textFill>
        </w:rPr>
        <w:t xml:space="preserve">（标的名称）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（采购文件中明确的所属行业）（该行业类别不可修改）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w:t>
      </w:r>
      <w:r>
        <w:rPr>
          <w:color w:val="000000" w:themeColor="text1"/>
          <w:highlight w:val="none"/>
          <w:lang w:eastAsia="en-US"/>
          <w14:textFill>
            <w14:solidFill>
              <w14:schemeClr w14:val="tx1"/>
            </w14:solidFill>
          </w14:textFill>
        </w:rPr>
        <w:fldChar w:fldCharType="begin"/>
      </w:r>
      <w:r>
        <w:rPr>
          <w:rFonts w:ascii="仿宋" w:eastAsia="Times New Roman"/>
          <w:color w:val="000000" w:themeColor="text1"/>
          <w:spacing w:val="-1"/>
          <w:highlight w:val="none"/>
          <w:vertAlign w:val="superscript"/>
          <w14:textFill>
            <w14:solidFill>
              <w14:schemeClr w14:val="tx1"/>
            </w14:solidFill>
          </w14:textFill>
        </w:rPr>
        <w:instrText xml:space="preserve"> HYPERLINK \l "br1" </w:instrText>
      </w:r>
      <w:r>
        <w:rPr>
          <w:color w:val="000000" w:themeColor="text1"/>
          <w:highlight w:val="none"/>
          <w:lang w:eastAsia="en-US"/>
          <w14:textFill>
            <w14:solidFill>
              <w14:schemeClr w14:val="tx1"/>
            </w14:solidFill>
          </w14:textFill>
        </w:rPr>
        <w:fldChar w:fldCharType="separate"/>
      </w:r>
      <w:r>
        <w:rPr>
          <w:rFonts w:ascii="仿宋" w:eastAsia="Times New Roman"/>
          <w:color w:val="000000" w:themeColor="text1"/>
          <w:spacing w:val="-1"/>
          <w:highlight w:val="none"/>
          <w:vertAlign w:val="superscript"/>
          <w14:textFill>
            <w14:solidFill>
              <w14:schemeClr w14:val="tx1"/>
            </w14:solidFill>
          </w14:textFill>
        </w:rPr>
        <w:t xml:space="preserve">1</w:t>
      </w:r>
      <w:r>
        <w:rPr>
          <w:color w:val="000000" w:themeColor="text1"/>
          <w:highlight w:val="none"/>
          <w:lang w:eastAsia="en-US"/>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2. </w:t>
      </w:r>
      <w:r>
        <w:rPr>
          <w:rFonts w:hint="eastAsia"/>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 ，属于</w:t>
      </w:r>
      <w:r>
        <w:rPr>
          <w:rFonts w:hint="eastAsia"/>
          <w:color w:val="000000" w:themeColor="text1"/>
          <w:highlight w:val="none"/>
          <w:u w:val="single"/>
          <w14:textFill>
            <w14:solidFill>
              <w14:schemeClr w14:val="tx1"/>
            </w14:solidFill>
          </w14:textFill>
        </w:rPr>
        <w:t xml:space="preserve">（采购文件中明确的所属行业（该行业类别不可修改））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注</w:t>
      </w:r>
      <w:r>
        <w:rPr>
          <w:rFonts w:hint="eastAsia" w:ascii="宋体" w:hAnsi="宋体"/>
          <w:color w:val="000000" w:themeColor="text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从业人员（不仅指在职职工）、营业收入、资产总额填报上一年度数据，无上一年度数据的新成立企业可不填报。</w:t>
      </w:r>
      <w:r/>
    </w:p>
    <w:p>
      <w:pPr>
        <w:ind w:firstLine="42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2、供应商如不提供此声明函，价格将不做相应扣除。</w:t>
      </w:r>
      <w:r/>
    </w:p>
    <w:p>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3、企业声明函请完整填写，中标后将公示。</w:t>
      </w:r>
      <w:r/>
    </w:p>
    <w:p>
      <w:pPr>
        <w:ind w:firstLine="4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6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ind w:firstLine="462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38"/>
        <w:jc w:val="center"/>
        <w:spacing w:before="300" w:after="300" w:line="360" w:lineRule="auto"/>
        <w:widowControl/>
        <w:rPr>
          <w:rFonts w:ascii="宋体" w:hAnsi="宋体"/>
          <w:color w:val="000000" w:themeColor="text1"/>
          <w:sz w:val="21"/>
          <w:szCs w:val="21"/>
          <w:highlight w:val="none"/>
          <w14:textFill>
            <w14:solidFill>
              <w14:schemeClr w14:val="tx1"/>
            </w14:solidFill>
          </w14:textFill>
        </w:rPr>
      </w:pPr>
      <w:r/>
      <w:bookmarkStart w:id="575" w:name="_Toc109304977"/>
      <w:r/>
      <w:bookmarkStart w:id="576" w:name="_Toc5595"/>
      <w:r>
        <w:rPr>
          <w:rFonts w:hint="eastAsia" w:ascii="宋体" w:hAnsi="宋体" w:cs="微软雅黑"/>
          <w:bCs w:val="0"/>
          <w:color w:val="000000" w:themeColor="text1"/>
          <w:sz w:val="21"/>
          <w:szCs w:val="21"/>
          <w:highlight w:val="none"/>
          <w14:textFill>
            <w14:solidFill>
              <w14:schemeClr w14:val="tx1"/>
            </w14:solidFill>
          </w14:textFill>
        </w:rPr>
        <w:t xml:space="preserve">中小微企业划型标准</w:t>
      </w:r>
      <w:bookmarkEnd w:id="575"/>
      <w:r>
        <w:rPr>
          <w:rFonts w:hint="eastAsia" w:ascii="宋体" w:hAnsi="宋体" w:cs="微软雅黑"/>
          <w:bCs w:val="0"/>
          <w:color w:val="000000" w:themeColor="text1"/>
          <w:sz w:val="21"/>
          <w:szCs w:val="21"/>
          <w:highlight w:val="none"/>
          <w14:textFill>
            <w14:solidFill>
              <w14:schemeClr w14:val="tx1"/>
            </w14:solidFill>
          </w14:textFill>
        </w:rPr>
        <w:t xml:space="preserve"> </w:t>
      </w:r>
      <w:bookmarkEnd w:id="576"/>
      <w:r/>
      <w:r/>
    </w:p>
    <w:p>
      <w:pPr>
        <w:pStyle w:val="1051"/>
        <w:ind w:firstLine="420"/>
        <w:spacing w:before="300" w:after="452" w:line="360" w:lineRule="auto"/>
        <w:widowControl/>
        <w:rPr>
          <w:rFonts w:hint="eastAsia" w:ascii="宋体" w:hAnsi="宋体"/>
          <w:color w:val="000000" w:themeColor="text1"/>
          <w:sz w:val="21"/>
          <w:szCs w:val="21"/>
          <w:highlight w:val="none"/>
          <w14:textFill>
            <w14:solidFill>
              <w14:schemeClr w14:val="tx1"/>
            </w14:solidFill>
          </w14:textFill>
        </w:rPr>
      </w:pPr>
      <w:r>
        <w:rPr>
          <w:rFonts w:hint="eastAsia" w:ascii="宋体" w:hAnsi="宋体" w:cs="仿宋"/>
          <w:color w:val="000000" w:themeColor="text1"/>
          <w:sz w:val="21"/>
          <w:szCs w:val="21"/>
          <w:highlight w:val="none"/>
          <w14:textFill>
            <w14:solidFill>
              <w14:schemeClr w14:val="tx1"/>
            </w14:solidFill>
          </w14:textFill>
        </w:rPr>
        <w:t xml:space="preserve">    </w:t>
      </w:r>
      <w:r>
        <w:rPr>
          <w:rStyle w:val="1052"/>
          <w:rFonts w:hint="eastAsia" w:ascii="宋体" w:hAnsi="宋体" w:cs="仿宋"/>
          <w:color w:val="000000" w:themeColor="text1"/>
          <w:sz w:val="21"/>
          <w:szCs w:val="21"/>
          <w:highlight w:val="none"/>
          <w14:textFill>
            <w14:solidFill>
              <w14:schemeClr w14:val="tx1"/>
            </w14:solidFill>
          </w14:textFill>
        </w:rPr>
        <w:t xml:space="preserve">中小微企业划型标准如下：</w:t>
      </w:r>
      <w:r/>
    </w:p>
    <w:tbl>
      <w:tblPr>
        <w:tblStyle w:val="861"/>
        <w:tblW w:w="0" w:type="auto"/>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jc w:val="left"/>
              <w:spacing w:line="360" w:lineRule="auto"/>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万万元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1051"/>
              <w:ind w:firstLine="420"/>
              <w:jc w:val="center"/>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1051"/>
              <w:ind w:firstLine="420"/>
              <w:spacing w:after="150" w:line="360" w:lineRule="auto"/>
              <w:widowControl/>
              <w:rPr>
                <w:rFonts w:ascii="宋体" w:hAnsi="宋体"/>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X＜10</w:t>
            </w:r>
            <w:r/>
          </w:p>
        </w:tc>
      </w:tr>
    </w:tbl>
    <w:p>
      <w:pPr>
        <w:pStyle w:val="1051"/>
        <w:ind w:firstLine="420"/>
        <w:spacing w:before="300" w:after="452" w:line="360" w:lineRule="auto"/>
        <w:widowControl/>
        <w:rPr>
          <w:rStyle w:val="1052"/>
          <w:rFonts w:ascii="宋体" w:hAnsi="宋体" w:cs="仿宋"/>
          <w:color w:val="000000" w:themeColor="text1"/>
          <w:sz w:val="21"/>
          <w:szCs w:val="21"/>
          <w:highlight w:val="none"/>
          <w14:textFill>
            <w14:solidFill>
              <w14:schemeClr w14:val="tx1"/>
            </w14:solidFill>
          </w14:textFill>
        </w:rPr>
      </w:pPr>
      <w:r>
        <w:rPr>
          <w:rStyle w:val="1052"/>
          <w:rFonts w:hint="eastAsia" w:ascii="宋体" w:hAnsi="宋体" w:cs="仿宋"/>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color w:val="000000" w:themeColor="text1"/>
          <w:highlight w:val="none"/>
          <w14:textFill>
            <w14:solidFill>
              <w14:schemeClr w14:val="tx1"/>
            </w14:solidFill>
          </w14:textFill>
        </w:rPr>
      </w:pPr>
      <w:r>
        <w:rPr>
          <w:rStyle w:val="1052"/>
          <w:rFonts w:ascii="宋体" w:hAnsi="宋体" w:cs="仿宋"/>
          <w:color w:val="000000" w:themeColor="text1"/>
          <w:szCs w:val="21"/>
          <w:highlight w:val="none"/>
          <w14:textFill>
            <w14:solidFill>
              <w14:schemeClr w14:val="tx1"/>
            </w14:solidFill>
          </w14:textFill>
        </w:rPr>
        <w:br w:type="page" w:clear="all"/>
      </w:r>
      <w:r>
        <w:rPr>
          <w:rFonts w:hint="eastAsia" w:ascii="宋体" w:hAnsi="宋体"/>
          <w:b/>
          <w:bCs/>
          <w:color w:val="000000" w:themeColor="text1"/>
          <w:highlight w:val="none"/>
          <w14:textFill>
            <w14:solidFill>
              <w14:schemeClr w14:val="tx1"/>
            </w14:solidFill>
          </w14:textFill>
        </w:rPr>
        <w:t xml:space="preserve">残疾人福利性单位声明函</w:t>
      </w:r>
      <w:r/>
    </w:p>
    <w:p>
      <w:pPr>
        <w:ind w:firstLine="624"/>
        <w:spacing w:line="360" w:lineRule="auto"/>
        <w:rPr>
          <w:rFonts w:hint="eastAsia" w:ascii="仿宋_GB2312" w:eastAsia="仿宋_GB2312"/>
          <w:color w:val="000000" w:themeColor="text1"/>
          <w:spacing w:val="6"/>
          <w:sz w:val="30"/>
          <w:szCs w:val="30"/>
          <w:highlight w:val="none"/>
          <w14:textFill>
            <w14:solidFill>
              <w14:schemeClr w14:val="tx1"/>
            </w14:solidFill>
          </w14:textFill>
        </w:rPr>
      </w:pPr>
      <w:r>
        <w:rPr>
          <w:rFonts w:hint="eastAsia" w:ascii="仿宋_GB2312" w:eastAsia="仿宋_GB2312"/>
          <w:color w:val="000000" w:themeColor="text1"/>
          <w:spacing w:val="6"/>
          <w:sz w:val="30"/>
          <w:szCs w:val="30"/>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圆整（¥：     ）。</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供应商全称（盖章）：</w:t>
      </w:r>
      <w:r/>
    </w:p>
    <w:p>
      <w:pPr>
        <w:ind w:right="1560" w:firstLine="420"/>
        <w:jc w:val="center"/>
        <w:spacing w:line="360" w:lineRule="auto"/>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spacing w:line="360" w:lineRule="auto"/>
        <w:rPr>
          <w:rFonts w:hint="eastAsia" w:ascii="宋体" w:hAnsi="宋体"/>
          <w:b/>
          <w:bCs/>
          <w:color w:val="000000" w:themeColor="text1"/>
          <w:sz w:val="32"/>
          <w:szCs w:val="32"/>
          <w:highlight w:val="none"/>
          <w14:textFill>
            <w14:solidFill>
              <w14:schemeClr w14:val="tx1"/>
            </w14:solidFill>
          </w14:textFill>
        </w:rPr>
      </w:pPr>
      <w:r/>
      <w:bookmarkStart w:id="577" w:name="_Toc109304978"/>
      <w:r/>
      <w:r/>
    </w:p>
    <w:p>
      <w:pPr>
        <w:pStyle w:val="1035"/>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35"/>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1035"/>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shd w:val="clear" w:color="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br w:type="page" w:clear="all"/>
      </w:r>
      <w:r/>
    </w:p>
    <w:p>
      <w:pPr>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四、磋商响应报价表</w:t>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pStyle w:val="1053"/>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项目名称： </w:t>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项目编号：     </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本次为首次报价                                                      </w:t>
      </w:r>
      <w:r/>
    </w:p>
    <w:tbl>
      <w:tblPr>
        <w:tblStyle w:val="8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第一轮报价</w:t>
            </w:r>
            <w:r/>
          </w:p>
        </w:tc>
      </w:tr>
      <w:tr>
        <w:trPr>
          <w:cantSplit/>
          <w:trHeight w:val="1800"/>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报价</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大写：</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小写：            (人民币)元</w:t>
            </w:r>
            <w:r/>
          </w:p>
        </w:tc>
      </w:tr>
      <w:tr>
        <w:trPr>
          <w:cantSplit/>
          <w:trHeight w:val="1849"/>
        </w:trPr>
        <w:tc>
          <w:tcPr>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tc>
        <w:tc>
          <w:tcPr>
            <w:tcBorders>
              <w:top w:val="single" w:color="000000" w:sz="4" w:space="0"/>
              <w:left w:val="single" w:color="000000" w:sz="4" w:space="0"/>
              <w:bottom w:val="single" w:color="000000" w:sz="4" w:space="0"/>
              <w:right w:val="single" w:color="000000" w:sz="4" w:space="0"/>
            </w:tcBorders>
            <w:tcW w:w="8222" w:type="dxa"/>
            <w:vAlign w:val="center"/>
            <w:textDirection w:val="lrTb"/>
            <w:noWrap w:val="false"/>
          </w:tcPr>
          <w:p>
            <w:pPr>
              <w:jc w:val="cente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w:t>
      </w:r>
      <w:r/>
    </w:p>
    <w:p>
      <w:pPr>
        <w:jc w:val="right"/>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日期：    年   月    日</w:t>
      </w:r>
      <w:r/>
    </w:p>
    <w:p>
      <w:pPr>
        <w:pStyle w:val="1035"/>
        <w:jc w:val="center"/>
        <w:spacing w:line="360" w:lineRule="auto"/>
        <w:rPr>
          <w:rFonts w:hint="eastAsia"/>
          <w:color w:val="000000" w:themeColor="text1"/>
          <w:highlight w:val="none"/>
          <w14:textFill>
            <w14:solidFill>
              <w14:schemeClr w14:val="tx1"/>
            </w14:solidFill>
          </w14:textFill>
        </w:rPr>
      </w:pPr>
      <w:r>
        <w:rPr>
          <w:rFonts w:ascii="宋体" w:hAnsi="宋体"/>
          <w:bCs w:val="0"/>
          <w:color w:val="000000" w:themeColor="text1"/>
          <w:highlight w:val="none"/>
          <w14:textFill>
            <w14:solidFill>
              <w14:schemeClr w14:val="tx1"/>
            </w14:solidFill>
          </w14:textFill>
        </w:rPr>
        <w:br w:type="page" w:clear="all"/>
      </w:r>
      <w:bookmarkStart w:id="578" w:name="_Toc2503"/>
      <w:r>
        <w:rPr>
          <w:rFonts w:hint="eastAsia" w:ascii="宋体" w:hAnsi="宋体"/>
          <w:bCs w:val="0"/>
          <w:color w:val="000000" w:themeColor="text1"/>
          <w:highlight w:val="none"/>
          <w14:textFill>
            <w14:solidFill>
              <w14:schemeClr w14:val="tx1"/>
            </w14:solidFill>
          </w14:textFill>
        </w:rPr>
        <w:t xml:space="preserve">分项报价表</w:t>
      </w:r>
      <w:bookmarkEnd w:id="578"/>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本次为首轮报价</w:t>
      </w:r>
      <w:r/>
    </w:p>
    <w:p>
      <w:pPr>
        <w:pStyle w:val="1053"/>
        <w:spacing w:line="360" w:lineRule="auto"/>
        <w:rPr>
          <w:rFonts w:hint="eastAsia"/>
          <w:color w:val="000000" w:themeColor="text1"/>
          <w:sz w:val="21"/>
          <w:szCs w:val="22"/>
          <w:highlight w:val="none"/>
          <w14:textFill>
            <w14:solidFill>
              <w14:schemeClr w14:val="tx1"/>
            </w14:solidFill>
          </w14:textFill>
        </w:rPr>
      </w:pPr>
      <w:r>
        <w:rPr>
          <w:rFonts w:hint="eastAsia"/>
          <w:color w:val="000000" w:themeColor="text1"/>
          <w:sz w:val="21"/>
          <w:szCs w:val="22"/>
          <w:highlight w:val="none"/>
          <w14:textFill>
            <w14:solidFill>
              <w14:schemeClr w14:val="tx1"/>
            </w14:solidFill>
          </w14:textFill>
        </w:rPr>
        <w:t xml:space="preserve">项目名称： </w:t>
      </w:r>
      <w:r/>
    </w:p>
    <w:p>
      <w:pPr>
        <w:pStyle w:val="1053"/>
        <w:spacing w:line="360" w:lineRule="auto"/>
        <w:rPr>
          <w:rFonts w:hint="eastAsia"/>
          <w:color w:val="000000" w:themeColor="text1"/>
          <w:sz w:val="21"/>
          <w:szCs w:val="22"/>
          <w:highlight w:val="none"/>
          <w14:textFill>
            <w14:solidFill>
              <w14:schemeClr w14:val="tx1"/>
            </w14:solidFill>
          </w14:textFill>
        </w:rPr>
      </w:pPr>
      <w:r>
        <w:rPr>
          <w:rFonts w:hint="eastAsia"/>
          <w:color w:val="000000" w:themeColor="text1"/>
          <w:sz w:val="21"/>
          <w:szCs w:val="22"/>
          <w:highlight w:val="none"/>
          <w14:textFill>
            <w14:solidFill>
              <w14:schemeClr w14:val="tx1"/>
            </w14:solidFill>
          </w14:textFill>
        </w:rPr>
        <w:t xml:space="preserve">项目编号：</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1、行数不够，可自行添加。</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hint="eastAsia" w:ascii="宋体" w:hAnsi="宋体" w:cs="Arial"/>
          <w:b/>
          <w:bCs/>
          <w:i/>
          <w:iCs/>
          <w:color w:val="000000" w:themeColor="text1"/>
          <w:szCs w:val="24"/>
          <w:highlight w:val="none"/>
          <w:u w:val="single"/>
          <w14:textFill>
            <w14:solidFill>
              <w14:schemeClr w14:val="tx1"/>
            </w14:solidFill>
          </w14:textFill>
        </w:rPr>
        <w:t xml:space="preserve">本工程另附工程量清单</w:t>
      </w:r>
      <w:r>
        <w:rPr>
          <w:rFonts w:hint="eastAsia" w:ascii="宋体" w:hAnsi="宋体"/>
          <w:b/>
          <w:bCs/>
          <w:i/>
          <w:iCs/>
          <w:color w:val="000000" w:themeColor="text1"/>
          <w:szCs w:val="21"/>
          <w:highlight w:val="none"/>
          <w:u w:val="singl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pStyle w:val="1035"/>
        <w:spacing w:line="360" w:lineRule="auto"/>
        <w:rPr>
          <w:rFonts w:hint="eastAsia" w:ascii="宋体" w:hAnsi="宋体"/>
          <w:b w:val="0"/>
          <w:bCs w:val="0"/>
          <w:color w:val="000000" w:themeColor="text1"/>
          <w:sz w:val="21"/>
          <w:szCs w:val="21"/>
          <w:highlight w:val="none"/>
          <w14:textFill>
            <w14:solidFill>
              <w14:schemeClr w14:val="tx1"/>
            </w14:solidFill>
          </w14:textFill>
        </w:rPr>
      </w:pPr>
      <w:r>
        <w:rPr>
          <w:rFonts w:hint="eastAsia" w:ascii="宋体" w:hAnsi="宋体"/>
          <w:b w:val="0"/>
          <w:bCs w:val="0"/>
          <w:color w:val="000000" w:themeColor="text1"/>
          <w:sz w:val="21"/>
          <w:szCs w:val="21"/>
          <w:highlight w:val="none"/>
          <w14:textFill>
            <w14:solidFill>
              <w14:schemeClr w14:val="tx1"/>
            </w14:solidFill>
          </w14:textFill>
        </w:rPr>
      </w:r>
      <w:r/>
    </w:p>
    <w:p>
      <w:pPr>
        <w:pStyle w:val="1038"/>
        <w:jc w:val="center"/>
        <w:spacing w:line="360" w:lineRule="auto"/>
        <w:rPr>
          <w:rFonts w:hint="eastAsia" w:ascii="宋体" w:hAnsi="宋体"/>
          <w:bCs w:val="0"/>
          <w:color w:val="000000" w:themeColor="text1"/>
          <w:highlight w:val="none"/>
          <w14:textFill>
            <w14:solidFill>
              <w14:schemeClr w14:val="tx1"/>
            </w14:solidFill>
          </w14:textFill>
        </w:rPr>
      </w:pPr>
      <w:r>
        <w:rPr>
          <w:rFonts w:hint="eastAsia" w:ascii="宋体" w:hAnsi="宋体"/>
          <w:bCs w:val="0"/>
          <w:color w:val="000000" w:themeColor="text1"/>
          <w:highlight w:val="none"/>
          <w14:textFill>
            <w14:solidFill>
              <w14:schemeClr w14:val="tx1"/>
            </w14:solidFill>
          </w14:textFill>
        </w:rPr>
      </w:r>
      <w:r/>
    </w:p>
    <w:p>
      <w:pPr>
        <w:jc w:val="center"/>
        <w:spacing w:line="360" w:lineRule="auto"/>
        <w:rPr>
          <w:rFonts w:hint="eastAsia" w:ascii="宋体" w:hAnsi="宋体"/>
          <w:b/>
          <w:bCs/>
          <w:color w:val="000000" w:themeColor="text1"/>
          <w:szCs w:val="2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br w:type="page" w:clear="all"/>
      </w:r>
      <w:r/>
    </w:p>
    <w:p>
      <w:pPr>
        <w:pStyle w:val="1038"/>
        <w:jc w:val="center"/>
        <w:spacing w:line="360" w:lineRule="auto"/>
        <w:rPr>
          <w:rFonts w:hint="eastAsia" w:ascii="宋体" w:hAnsi="宋体"/>
          <w:bCs w:val="0"/>
          <w:color w:val="000000" w:themeColor="text1"/>
          <w:highlight w:val="none"/>
          <w14:textFill>
            <w14:solidFill>
              <w14:schemeClr w14:val="tx1"/>
            </w14:solidFill>
          </w14:textFill>
        </w:rPr>
      </w:pPr>
      <w:r/>
      <w:bookmarkStart w:id="579" w:name="_Toc19223"/>
      <w:r>
        <w:rPr>
          <w:rFonts w:hint="eastAsia" w:ascii="宋体" w:hAnsi="宋体"/>
          <w:bCs w:val="0"/>
          <w:color w:val="000000" w:themeColor="text1"/>
          <w:highlight w:val="none"/>
          <w14:textFill>
            <w14:solidFill>
              <w14:schemeClr w14:val="tx1"/>
            </w14:solidFill>
          </w14:textFill>
        </w:rPr>
        <w:t xml:space="preserve">五、技术参数响应及偏离表</w:t>
      </w:r>
      <w:bookmarkEnd w:id="577"/>
      <w:r/>
      <w:bookmarkEnd w:id="579"/>
      <w:r/>
      <w:r/>
    </w:p>
    <w:tbl>
      <w:tblPr>
        <w:tblStyle w:val="8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852"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采购要求</w:t>
            </w:r>
            <w:r/>
          </w:p>
        </w:tc>
        <w:tc>
          <w:tcPr>
            <w:tcW w:w="2852"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磋商响应</w:t>
            </w:r>
            <w:r/>
          </w:p>
        </w:tc>
        <w:tc>
          <w:tcPr>
            <w:tcW w:w="1308"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超出、符合或偏离</w:t>
            </w:r>
            <w:r/>
          </w:p>
        </w:tc>
        <w:tc>
          <w:tcPr>
            <w:tcW w:w="1173" w:type="dxa"/>
            <w:vAlign w:val="center"/>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cantSplit/>
          <w:trHeight w:val="640"/>
        </w:trPr>
        <w:tc>
          <w:tcPr>
            <w:tcW w:w="984"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2852"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08"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173" w:type="dxa"/>
            <w:vAlign w:val="top"/>
            <w:textDirection w:val="lrTb"/>
            <w:noWrap w:val="false"/>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注：1、按照基本技术要求详细填列。</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2、行数不够，可自行添加。</w:t>
      </w:r>
      <w:r/>
    </w:p>
    <w:p>
      <w:pPr>
        <w:pStyle w:val="1038"/>
        <w:jc w:val="center"/>
        <w:spacing w:line="360" w:lineRule="auto"/>
        <w:rPr>
          <w:rFonts w:hint="eastAsia" w:ascii="宋体" w:hAnsi="宋体"/>
          <w:bCs w:val="0"/>
          <w:color w:val="000000" w:themeColor="text1"/>
          <w:highlight w:val="none"/>
          <w14:textFill>
            <w14:solidFill>
              <w14:schemeClr w14:val="tx1"/>
            </w14:solidFill>
          </w14:textFill>
        </w:rPr>
      </w:pPr>
      <w:r/>
      <w:bookmarkStart w:id="580" w:name="_Hlt26955054"/>
      <w:r/>
      <w:bookmarkEnd w:id="580"/>
      <w:r/>
      <w:bookmarkStart w:id="581" w:name="_Toc109304979"/>
      <w:r>
        <w:rPr>
          <w:rFonts w:ascii="宋体" w:hAnsi="宋体"/>
          <w:bCs w:val="0"/>
          <w:color w:val="000000" w:themeColor="text1"/>
          <w:highlight w:val="none"/>
          <w14:textFill>
            <w14:solidFill>
              <w14:schemeClr w14:val="tx1"/>
            </w14:solidFill>
          </w14:textFill>
        </w:rPr>
        <w:br w:type="page" w:clear="all"/>
      </w:r>
      <w:bookmarkStart w:id="582" w:name="_Toc11354"/>
      <w:r>
        <w:rPr>
          <w:rFonts w:hint="eastAsia" w:ascii="宋体" w:hAnsi="宋体"/>
          <w:bCs w:val="0"/>
          <w:color w:val="000000" w:themeColor="text1"/>
          <w:highlight w:val="none"/>
          <w14:textFill>
            <w14:solidFill>
              <w14:schemeClr w14:val="tx1"/>
            </w14:solidFill>
          </w14:textFill>
        </w:rPr>
        <w:t xml:space="preserve">六、商务条款响应及偏离表</w:t>
      </w:r>
      <w:bookmarkEnd w:id="581"/>
      <w:r/>
      <w:bookmarkEnd w:id="582"/>
      <w:r/>
      <w:r/>
    </w:p>
    <w:tbl>
      <w:tblPr>
        <w:tblStyle w:val="861"/>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项目</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采购文件要求</w:t>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是否响应</w:t>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供应商的承诺或说明</w:t>
            </w:r>
            <w:r/>
          </w:p>
        </w:tc>
      </w:tr>
      <w:tr>
        <w:trPr>
          <w:trHeight w:val="59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施工工期</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85"/>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施工质量要求</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507"/>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t xml:space="preserve">安全生产</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72"/>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83"/>
        </w:trPr>
        <w:tc>
          <w:tcPr>
            <w:tcBorders>
              <w:top w:val="single" w:color="000000" w:sz="4" w:space="0"/>
              <w:left w:val="single" w:color="000000" w:sz="4" w:space="0"/>
              <w:bottom w:val="single" w:color="000000" w:sz="4" w:space="0"/>
              <w:right w:val="single" w:color="000000" w:sz="4" w:space="0"/>
            </w:tcBorders>
            <w:tcW w:w="16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513"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84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995"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bl>
    <w:p>
      <w:pPr>
        <w:jc w:val="left"/>
        <w:spacing w:line="360" w:lineRule="auto"/>
        <w:widowControl/>
        <w:rPr>
          <w:rFonts w:ascii="宋体" w:hAnsi="宋体"/>
          <w:b/>
          <w:color w:val="000000" w:themeColor="text1"/>
          <w:highlight w:val="none"/>
          <w14:textFill>
            <w14:solidFill>
              <w14:schemeClr w14:val="tx1"/>
            </w14:solidFill>
          </w14:textFill>
        </w:rPr>
      </w:pPr>
      <w:r/>
      <w:bookmarkStart w:id="583" w:name="_Hlt26955064"/>
      <w:r/>
      <w:bookmarkEnd w:id="583"/>
      <w:r/>
      <w:bookmarkStart w:id="584" w:name="_Hlt26580838"/>
      <w:r/>
      <w:bookmarkEnd w:id="584"/>
      <w:r/>
      <w:bookmarkStart w:id="585" w:name="_Hlt26671343"/>
      <w:r/>
      <w:bookmarkEnd w:id="585"/>
      <w:r/>
      <w:bookmarkStart w:id="586" w:name="_Hlt24879081"/>
      <w:r/>
      <w:bookmarkEnd w:id="586"/>
      <w:r/>
      <w:bookmarkStart w:id="587" w:name="_Hlt26955056"/>
      <w:r/>
      <w:bookmarkEnd w:id="587"/>
      <w:r/>
      <w:bookmarkStart w:id="588" w:name="_Hlt26671372"/>
      <w:r/>
      <w:bookmarkEnd w:id="588"/>
      <w:r/>
      <w:bookmarkStart w:id="589" w:name="_Hlt26782999"/>
      <w:r/>
      <w:bookmarkEnd w:id="589"/>
      <w:r/>
      <w:bookmarkStart w:id="590" w:name="_Hlt26609391"/>
      <w:r/>
      <w:bookmarkEnd w:id="590"/>
      <w:r>
        <w:rPr>
          <w:rFonts w:ascii="宋体" w:hAnsi="宋体"/>
          <w:b/>
          <w:color w:val="000000" w:themeColor="text1"/>
          <w:highlight w:val="none"/>
          <w14:textFill>
            <w14:solidFill>
              <w14:schemeClr w14:val="tx1"/>
            </w14:solidFill>
          </w14:textFill>
        </w:rPr>
        <w:br w:type="page" w:clear="all"/>
      </w:r>
      <w:r/>
    </w:p>
    <w:p>
      <w:pPr>
        <w:jc w:val="center"/>
        <w:spacing w:before="312" w:line="360" w:lineRule="auto"/>
        <w:rPr>
          <w:rFonts w:ascii="宋体" w:hAnsi="宋体"/>
          <w:b/>
          <w:color w:val="000000" w:themeColor="text1"/>
          <w:highlight w:val="none"/>
          <w14:textFill>
            <w14:solidFill>
              <w14:schemeClr w14:val="tx1"/>
            </w14:solidFill>
          </w14:textFill>
        </w:rPr>
        <w:outlineLvl w:val="0"/>
      </w:pPr>
      <w:r/>
      <w:bookmarkStart w:id="591" w:name="_Toc25615"/>
      <w:r/>
      <w:bookmarkStart w:id="592" w:name="_Toc5989"/>
      <w:r>
        <w:rPr>
          <w:rFonts w:hint="eastAsia" w:ascii="宋体" w:hAnsi="宋体"/>
          <w:b/>
          <w:color w:val="000000" w:themeColor="text1"/>
          <w:highlight w:val="none"/>
          <w14:textFill>
            <w14:solidFill>
              <w14:schemeClr w14:val="tx1"/>
            </w14:solidFill>
          </w14:textFill>
        </w:rPr>
        <w:t xml:space="preserve">主要标的信息（成交后将公示）</w:t>
      </w:r>
      <w:bookmarkEnd w:id="591"/>
      <w:r/>
      <w:bookmarkEnd w:id="592"/>
      <w:r/>
      <w:r/>
    </w:p>
    <w:p>
      <w:pPr>
        <w:spacing w:after="312" w:line="360" w:lineRule="auto"/>
        <w:rPr>
          <w:rFonts w:hint="eastAsia" w:ascii="宋体" w:hAnsi="宋体"/>
          <w:b/>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供应商全称：</w:t>
      </w:r>
      <w:r/>
    </w:p>
    <w:tbl>
      <w:tblPr>
        <w:tblStyle w:val="86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vAlign w:val="top"/>
            <w:textDirection w:val="lrTb"/>
            <w:noWrap w:val="false"/>
          </w:tcPr>
          <w:p>
            <w:pPr>
              <w:jc w:val="cente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工程类</w:t>
            </w:r>
            <w:r/>
          </w:p>
        </w:tc>
      </w:tr>
      <w:tr>
        <w:trPr>
          <w:trHeight w:val="3884"/>
        </w:trPr>
        <w:tc>
          <w:tcPr>
            <w:tcW w:w="8149" w:type="dxa"/>
            <w:vAlign w:val="top"/>
            <w:textDirection w:val="lrTb"/>
            <w:noWrap w:val="false"/>
          </w:tcPr>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名称：</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施工范围：</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施工工期：</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施工质量要求：</w:t>
            </w:r>
            <w:r/>
          </w:p>
          <w:p>
            <w:pPr>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项目负责人：</w:t>
            </w:r>
            <w:r/>
          </w:p>
          <w:p>
            <w:pPr>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执业证书信息：</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幼圆">
    <w:panose1 w:val="02010509060101010101"/>
  </w:font>
  <w:font w:name="仿宋_GB2312">
    <w:panose1 w:val="02010609060101010101"/>
  </w:font>
  <w:font w:name="黑体">
    <w:panose1 w:val="02010609060101010101"/>
  </w:font>
  <w:font w:name="Courier New">
    <w:panose1 w:val="02070309020205020404"/>
  </w:font>
  <w:font w:name="方正仿宋_GBK">
    <w:panose1 w:val="020B05030202020202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pPr>
                          <w:r>
                            <w:fldChar w:fldCharType="begin"/>
                          </w:r>
                          <w:r>
                            <w:instrText xml:space="preserve"> PAGE  \* MERGEFORMAT </w:instrText>
                          </w:r>
                          <w:r>
                            <w:fldChar w:fldCharType="separate"/>
                          </w:r>
                          <w:r>
                            <w:t xml:space="preserve">47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47</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7"/>
                          </w:pPr>
                          <w:r>
                            <w:fldChar w:fldCharType="begin"/>
                          </w:r>
                          <w:r>
                            <w:instrText xml:space="preserve"> PAGE  \* MERGEFORMAT </w:instrText>
                          </w:r>
                          <w:r>
                            <w:fldChar w:fldCharType="separate"/>
                          </w:r>
                          <w:r>
                            <w:t xml:space="preserve">51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51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57"/>
                          </w:pPr>
                          <w:r>
                            <w:fldChar w:fldCharType="begin"/>
                          </w:r>
                          <w:r>
                            <w:instrText xml:space="preserve"> PAGE  \* MERGEFORMAT </w:instrText>
                          </w:r>
                          <w:r>
                            <w:fldChar w:fldCharType="separate"/>
                          </w:r>
                          <w:r>
                            <w:t xml:space="preserve">75</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7"/>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right"/>
      <w:pBdr>
        <w:bottom w:val="none" w:color="auto" w:sz="0" w:space="1"/>
      </w:pBdr>
    </w:pPr>
    <w:r>
      <w:t xml:space="preserve">                                       </w:t>
    </w:r>
    <w:r/>
  </w:p>
  <w:p>
    <w:pPr>
      <w:pStyle w:val="1054"/>
      <w:jc w:val="right"/>
      <w:pBdr>
        <w:bottom w:val="single" w:color="auto" w:sz="4" w:space="0"/>
      </w:pBdr>
    </w:pPr>
    <w:r>
      <w:rPr>
        <w:rFonts w:hint="eastAsia"/>
        <w:lang w:val="en-US" w:eastAsia="zh-CN"/>
      </w:rPr>
      <w:t xml:space="preserve">苏合邦筑工程咨询集团股份有限公司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Fonts w:hint="eastAsia"/>
        <w:szCs w:val="22"/>
      </w:rPr>
    </w:pPr>
    <w:r/>
    <w:bookmarkStart w:id="593" w:name="_Hlk69393956"/>
    <w:r/>
    <w:bookmarkStart w:id="594" w:name="_Hlk69393955"/>
    <w:r>
      <w:t xml:space="preserve">                                                 </w:t>
    </w:r>
    <w:bookmarkEnd w:id="593"/>
    <w:r/>
    <w:bookmarkEnd w:id="594"/>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0" w:default="1">
    <w:name w:val="Normal"/>
    <w:link w:val="105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51">
    <w:name w:val="Heading 1"/>
    <w:basedOn w:val="850"/>
    <w:next w:val="850"/>
    <w:uiPriority w:val="1"/>
    <w:qFormat/>
    <w:pPr>
      <w:ind w:right="268"/>
      <w:jc w:val="center"/>
      <w:outlineLvl w:val="0"/>
    </w:pPr>
    <w:rPr>
      <w:rFonts w:ascii="宋体" w:hAnsi="宋体" w:eastAsia="宋体" w:cs="宋体"/>
      <w:b/>
      <w:bCs/>
      <w:sz w:val="36"/>
      <w:szCs w:val="36"/>
      <w:lang w:val="en-US" w:eastAsia="zh-CN" w:bidi="ar-SA"/>
    </w:rPr>
  </w:style>
  <w:style w:type="paragraph" w:styleId="852">
    <w:name w:val="Heading 2"/>
    <w:basedOn w:val="850"/>
    <w:next w:val="850"/>
    <w:link w:val="887"/>
    <w:uiPriority w:val="9"/>
    <w:unhideWhenUsed/>
    <w:qFormat/>
    <w:pPr>
      <w:keepLines/>
      <w:keepNext/>
      <w:spacing w:before="360" w:after="200"/>
      <w:outlineLvl w:val="1"/>
    </w:pPr>
    <w:rPr>
      <w:rFonts w:ascii="Arial" w:hAnsi="Arial" w:eastAsia="Arial" w:cs="Arial"/>
      <w:sz w:val="34"/>
    </w:rPr>
  </w:style>
  <w:style w:type="paragraph" w:styleId="853">
    <w:name w:val="Heading 3"/>
    <w:basedOn w:val="850"/>
    <w:next w:val="850"/>
    <w:link w:val="888"/>
    <w:uiPriority w:val="9"/>
    <w:unhideWhenUsed/>
    <w:qFormat/>
    <w:pPr>
      <w:keepLines/>
      <w:keepNext/>
      <w:spacing w:before="320" w:after="200"/>
      <w:outlineLvl w:val="2"/>
    </w:pPr>
    <w:rPr>
      <w:rFonts w:ascii="Arial" w:hAnsi="Arial" w:eastAsia="Arial" w:cs="Arial"/>
      <w:sz w:val="30"/>
      <w:szCs w:val="30"/>
    </w:rPr>
  </w:style>
  <w:style w:type="paragraph" w:styleId="854">
    <w:name w:val="Heading 4"/>
    <w:basedOn w:val="850"/>
    <w:next w:val="850"/>
    <w:link w:val="889"/>
    <w:uiPriority w:val="9"/>
    <w:unhideWhenUsed/>
    <w:qFormat/>
    <w:pPr>
      <w:keepLines/>
      <w:keepNext/>
      <w:spacing w:before="320" w:after="200"/>
      <w:outlineLvl w:val="3"/>
    </w:pPr>
    <w:rPr>
      <w:rFonts w:ascii="Arial" w:hAnsi="Arial" w:eastAsia="Arial" w:cs="Arial"/>
      <w:b/>
      <w:bCs/>
      <w:sz w:val="26"/>
      <w:szCs w:val="26"/>
    </w:rPr>
  </w:style>
  <w:style w:type="paragraph" w:styleId="855">
    <w:name w:val="Heading 5"/>
    <w:basedOn w:val="850"/>
    <w:next w:val="850"/>
    <w:link w:val="890"/>
    <w:uiPriority w:val="9"/>
    <w:unhideWhenUsed/>
    <w:qFormat/>
    <w:pPr>
      <w:keepLines/>
      <w:keepNext/>
      <w:spacing w:before="320" w:after="200"/>
      <w:outlineLvl w:val="4"/>
    </w:pPr>
    <w:rPr>
      <w:rFonts w:ascii="Arial" w:hAnsi="Arial" w:eastAsia="Arial" w:cs="Arial"/>
      <w:b/>
      <w:bCs/>
      <w:sz w:val="24"/>
      <w:szCs w:val="24"/>
    </w:rPr>
  </w:style>
  <w:style w:type="paragraph" w:styleId="856">
    <w:name w:val="Heading 6"/>
    <w:basedOn w:val="850"/>
    <w:next w:val="850"/>
    <w:link w:val="891"/>
    <w:uiPriority w:val="9"/>
    <w:unhideWhenUsed/>
    <w:qFormat/>
    <w:pPr>
      <w:keepLines/>
      <w:keepNext/>
      <w:spacing w:before="320" w:after="200"/>
      <w:outlineLvl w:val="5"/>
    </w:pPr>
    <w:rPr>
      <w:rFonts w:ascii="Arial" w:hAnsi="Arial" w:eastAsia="Arial" w:cs="Arial"/>
      <w:b/>
      <w:bCs/>
      <w:sz w:val="22"/>
      <w:szCs w:val="22"/>
    </w:rPr>
  </w:style>
  <w:style w:type="paragraph" w:styleId="857">
    <w:name w:val="Heading 7"/>
    <w:basedOn w:val="850"/>
    <w:next w:val="850"/>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58">
    <w:name w:val="Heading 8"/>
    <w:basedOn w:val="850"/>
    <w:next w:val="850"/>
    <w:link w:val="893"/>
    <w:uiPriority w:val="9"/>
    <w:unhideWhenUsed/>
    <w:qFormat/>
    <w:pPr>
      <w:keepLines/>
      <w:keepNext/>
      <w:spacing w:before="320" w:after="200"/>
      <w:outlineLvl w:val="7"/>
    </w:pPr>
    <w:rPr>
      <w:rFonts w:ascii="Arial" w:hAnsi="Arial" w:eastAsia="Arial" w:cs="Arial"/>
      <w:i/>
      <w:iCs/>
      <w:sz w:val="22"/>
      <w:szCs w:val="22"/>
    </w:rPr>
  </w:style>
  <w:style w:type="paragraph" w:styleId="859">
    <w:name w:val="Heading 9"/>
    <w:basedOn w:val="850"/>
    <w:next w:val="850"/>
    <w:link w:val="894"/>
    <w:uiPriority w:val="9"/>
    <w:unhideWhenUsed/>
    <w:qFormat/>
    <w:pPr>
      <w:keepLines/>
      <w:keepNext/>
      <w:spacing w:before="320" w:after="200"/>
      <w:outlineLvl w:val="8"/>
    </w:pPr>
    <w:rPr>
      <w:rFonts w:ascii="Arial" w:hAnsi="Arial" w:eastAsia="Arial" w:cs="Arial"/>
      <w:i/>
      <w:iCs/>
      <w:sz w:val="21"/>
      <w:szCs w:val="21"/>
    </w:rPr>
  </w:style>
  <w:style w:type="character" w:styleId="860" w:default="1">
    <w:name w:val="Default Paragraph Font"/>
    <w:uiPriority w:val="0"/>
    <w:semiHidden/>
    <w:qFormat/>
  </w:style>
  <w:style w:type="table" w:styleId="861" w:default="1">
    <w:name w:val="Normal Table"/>
    <w:uiPriority w:val="0"/>
    <w:semiHidden/>
    <w:qFormat/>
    <w:tblPr>
      <w:tblCellMar>
        <w:left w:w="108" w:type="dxa"/>
        <w:top w:w="0" w:type="dxa"/>
        <w:right w:w="108" w:type="dxa"/>
        <w:bottom w:w="0" w:type="dxa"/>
      </w:tblCellMar>
    </w:tblPr>
  </w:style>
  <w:style w:type="paragraph" w:styleId="862">
    <w:name w:val="toc 7"/>
    <w:basedOn w:val="850"/>
    <w:next w:val="850"/>
    <w:uiPriority w:val="39"/>
    <w:unhideWhenUsed/>
    <w:qFormat/>
    <w:pPr>
      <w:ind w:left="1701" w:right="0" w:firstLine="0"/>
      <w:spacing w:after="57"/>
    </w:pPr>
  </w:style>
  <w:style w:type="paragraph" w:styleId="863">
    <w:name w:val="Caption"/>
    <w:basedOn w:val="850"/>
    <w:next w:val="85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4">
    <w:name w:val="Body Text"/>
    <w:basedOn w:val="850"/>
    <w:uiPriority w:val="1"/>
    <w:qFormat/>
    <w:pPr>
      <w:ind w:left="580"/>
    </w:pPr>
    <w:rPr>
      <w:rFonts w:ascii="宋体" w:hAnsi="宋体" w:eastAsia="宋体" w:cs="宋体"/>
      <w:sz w:val="21"/>
      <w:szCs w:val="21"/>
      <w:lang w:val="en-US" w:eastAsia="zh-CN" w:bidi="ar-SA"/>
    </w:rPr>
  </w:style>
  <w:style w:type="paragraph" w:styleId="865">
    <w:name w:val="toc 5"/>
    <w:basedOn w:val="850"/>
    <w:next w:val="850"/>
    <w:uiPriority w:val="39"/>
    <w:unhideWhenUsed/>
    <w:qFormat/>
    <w:pPr>
      <w:ind w:left="1134" w:right="0" w:firstLine="0"/>
      <w:spacing w:after="57"/>
    </w:pPr>
  </w:style>
  <w:style w:type="paragraph" w:styleId="866">
    <w:name w:val="toc 3"/>
    <w:basedOn w:val="850"/>
    <w:next w:val="850"/>
    <w:uiPriority w:val="39"/>
    <w:unhideWhenUsed/>
    <w:qFormat/>
    <w:pPr>
      <w:ind w:left="567" w:right="0" w:firstLine="0"/>
      <w:spacing w:after="57"/>
    </w:pPr>
  </w:style>
  <w:style w:type="paragraph" w:styleId="867">
    <w:name w:val="toc 8"/>
    <w:basedOn w:val="850"/>
    <w:next w:val="850"/>
    <w:uiPriority w:val="39"/>
    <w:unhideWhenUsed/>
    <w:qFormat/>
    <w:pPr>
      <w:ind w:left="1984" w:right="0" w:firstLine="0"/>
      <w:spacing w:after="57"/>
    </w:pPr>
  </w:style>
  <w:style w:type="paragraph" w:styleId="868">
    <w:name w:val="endnote text"/>
    <w:basedOn w:val="850"/>
    <w:link w:val="1031"/>
    <w:uiPriority w:val="99"/>
    <w:semiHidden/>
    <w:unhideWhenUsed/>
    <w:qFormat/>
    <w:pPr>
      <w:spacing w:after="0" w:line="240" w:lineRule="auto"/>
    </w:pPr>
    <w:rPr>
      <w:sz w:val="20"/>
    </w:rPr>
  </w:style>
  <w:style w:type="paragraph" w:styleId="869">
    <w:name w:val="Footer"/>
    <w:basedOn w:val="850"/>
    <w:uiPriority w:val="0"/>
    <w:qFormat/>
    <w:pPr>
      <w:jc w:val="left"/>
      <w:tabs>
        <w:tab w:val="center" w:pos="4153" w:leader="none"/>
        <w:tab w:val="right" w:pos="8306" w:leader="none"/>
      </w:tabs>
    </w:pPr>
    <w:rPr>
      <w:sz w:val="18"/>
    </w:rPr>
  </w:style>
  <w:style w:type="paragraph" w:styleId="870">
    <w:name w:val="Header"/>
    <w:basedOn w:val="85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1">
    <w:name w:val="toc 1"/>
    <w:basedOn w:val="850"/>
    <w:uiPriority w:val="1"/>
    <w:qFormat/>
    <w:pPr>
      <w:ind w:right="302"/>
      <w:jc w:val="center"/>
      <w:spacing w:before="3"/>
    </w:pPr>
    <w:rPr>
      <w:rFonts w:ascii="宋体" w:hAnsi="宋体" w:eastAsia="宋体" w:cs="宋体"/>
      <w:sz w:val="28"/>
      <w:szCs w:val="28"/>
      <w:lang w:val="en-US" w:eastAsia="zh-CN" w:bidi="ar-SA"/>
    </w:rPr>
  </w:style>
  <w:style w:type="paragraph" w:styleId="872">
    <w:name w:val="toc 4"/>
    <w:basedOn w:val="850"/>
    <w:next w:val="850"/>
    <w:uiPriority w:val="39"/>
    <w:unhideWhenUsed/>
    <w:qFormat/>
    <w:pPr>
      <w:ind w:left="850" w:right="0" w:firstLine="0"/>
      <w:spacing w:after="57"/>
    </w:pPr>
  </w:style>
  <w:style w:type="paragraph" w:styleId="873">
    <w:name w:val="Subtitle"/>
    <w:basedOn w:val="850"/>
    <w:next w:val="850"/>
    <w:link w:val="897"/>
    <w:uiPriority w:val="11"/>
    <w:qFormat/>
    <w:pPr>
      <w:spacing w:before="200" w:after="200"/>
    </w:pPr>
    <w:rPr>
      <w:sz w:val="24"/>
      <w:szCs w:val="24"/>
    </w:rPr>
  </w:style>
  <w:style w:type="paragraph" w:styleId="874">
    <w:name w:val="footnote text"/>
    <w:basedOn w:val="850"/>
    <w:link w:val="1030"/>
    <w:uiPriority w:val="99"/>
    <w:semiHidden/>
    <w:unhideWhenUsed/>
    <w:qFormat/>
    <w:pPr>
      <w:spacing w:after="40" w:line="240" w:lineRule="auto"/>
    </w:pPr>
    <w:rPr>
      <w:sz w:val="18"/>
    </w:rPr>
  </w:style>
  <w:style w:type="paragraph" w:styleId="875">
    <w:name w:val="toc 6"/>
    <w:basedOn w:val="850"/>
    <w:next w:val="850"/>
    <w:uiPriority w:val="39"/>
    <w:unhideWhenUsed/>
    <w:qFormat/>
    <w:pPr>
      <w:ind w:left="1417" w:right="0" w:firstLine="0"/>
      <w:spacing w:after="57"/>
    </w:pPr>
  </w:style>
  <w:style w:type="paragraph" w:styleId="876">
    <w:name w:val="table of figures"/>
    <w:basedOn w:val="850"/>
    <w:next w:val="850"/>
    <w:uiPriority w:val="99"/>
    <w:unhideWhenUsed/>
    <w:qFormat/>
    <w:pPr>
      <w:spacing w:after="0" w:afterAutospacing="0"/>
    </w:pPr>
  </w:style>
  <w:style w:type="paragraph" w:styleId="877">
    <w:name w:val="toc 2"/>
    <w:basedOn w:val="850"/>
    <w:next w:val="850"/>
    <w:uiPriority w:val="39"/>
    <w:unhideWhenUsed/>
    <w:qFormat/>
    <w:pPr>
      <w:ind w:left="283" w:right="0" w:firstLine="0"/>
      <w:spacing w:after="57"/>
    </w:pPr>
  </w:style>
  <w:style w:type="paragraph" w:styleId="878">
    <w:name w:val="toc 9"/>
    <w:basedOn w:val="850"/>
    <w:next w:val="850"/>
    <w:uiPriority w:val="39"/>
    <w:unhideWhenUsed/>
    <w:qFormat/>
    <w:pPr>
      <w:ind w:left="2268" w:right="0" w:firstLine="0"/>
      <w:spacing w:after="57"/>
    </w:pPr>
  </w:style>
  <w:style w:type="paragraph" w:styleId="879">
    <w:name w:val="Normal (Web)"/>
    <w:basedOn w:val="850"/>
    <w:uiPriority w:val="0"/>
    <w:qFormat/>
    <w:rPr>
      <w:sz w:val="24"/>
    </w:rPr>
  </w:style>
  <w:style w:type="paragraph" w:styleId="880">
    <w:name w:val="Title"/>
    <w:basedOn w:val="850"/>
    <w:next w:val="850"/>
    <w:link w:val="896"/>
    <w:uiPriority w:val="10"/>
    <w:qFormat/>
    <w:pPr>
      <w:contextualSpacing/>
      <w:spacing w:before="300" w:after="200"/>
    </w:pPr>
    <w:rPr>
      <w:sz w:val="48"/>
      <w:szCs w:val="48"/>
    </w:rPr>
  </w:style>
  <w:style w:type="table" w:styleId="881">
    <w:name w:val="Table Grid"/>
    <w:basedOn w:val="86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Strong"/>
    <w:basedOn w:val="860"/>
    <w:uiPriority w:val="0"/>
    <w:qFormat/>
    <w:rPr>
      <w:b/>
    </w:rPr>
  </w:style>
  <w:style w:type="character" w:styleId="883">
    <w:name w:val="endnote reference"/>
    <w:basedOn w:val="860"/>
    <w:uiPriority w:val="99"/>
    <w:semiHidden/>
    <w:unhideWhenUsed/>
    <w:qFormat/>
    <w:rPr>
      <w:vertAlign w:val="superscript"/>
    </w:rPr>
  </w:style>
  <w:style w:type="character" w:styleId="884">
    <w:name w:val="Hyperlink"/>
    <w:uiPriority w:val="99"/>
    <w:unhideWhenUsed/>
    <w:qFormat/>
    <w:rPr>
      <w:color w:val="0026e5" w:themeColor="hyperlink"/>
      <w:u w:val="single"/>
      <w14:textFill>
        <w14:solidFill>
          <w14:schemeClr w14:val="hlink"/>
        </w14:solidFill>
      </w14:textFill>
    </w:rPr>
  </w:style>
  <w:style w:type="character" w:styleId="885">
    <w:name w:val="footnote reference"/>
    <w:basedOn w:val="860"/>
    <w:uiPriority w:val="99"/>
    <w:unhideWhenUsed/>
    <w:qFormat/>
    <w:rPr>
      <w:vertAlign w:val="superscript"/>
    </w:rPr>
  </w:style>
  <w:style w:type="character" w:styleId="886" w:customStyle="1">
    <w:name w:val="Heading 1 Char"/>
    <w:basedOn w:val="860"/>
    <w:uiPriority w:val="9"/>
    <w:qFormat/>
    <w:rPr>
      <w:rFonts w:ascii="Arial" w:hAnsi="Arial" w:eastAsia="Arial" w:cs="Arial"/>
      <w:sz w:val="40"/>
      <w:szCs w:val="40"/>
    </w:rPr>
  </w:style>
  <w:style w:type="character" w:styleId="887" w:customStyle="1">
    <w:name w:val="Heading 2 Char"/>
    <w:basedOn w:val="860"/>
    <w:link w:val="852"/>
    <w:uiPriority w:val="9"/>
    <w:qFormat/>
    <w:rPr>
      <w:rFonts w:ascii="Arial" w:hAnsi="Arial" w:eastAsia="Arial" w:cs="Arial"/>
      <w:sz w:val="34"/>
    </w:rPr>
  </w:style>
  <w:style w:type="character" w:styleId="888" w:customStyle="1">
    <w:name w:val="Heading 3 Char"/>
    <w:basedOn w:val="860"/>
    <w:link w:val="853"/>
    <w:uiPriority w:val="9"/>
    <w:qFormat/>
    <w:rPr>
      <w:rFonts w:ascii="Arial" w:hAnsi="Arial" w:eastAsia="Arial" w:cs="Arial"/>
      <w:sz w:val="30"/>
      <w:szCs w:val="30"/>
    </w:rPr>
  </w:style>
  <w:style w:type="character" w:styleId="889" w:customStyle="1">
    <w:name w:val="Heading 4 Char"/>
    <w:basedOn w:val="860"/>
    <w:link w:val="854"/>
    <w:uiPriority w:val="9"/>
    <w:qFormat/>
    <w:rPr>
      <w:rFonts w:ascii="Arial" w:hAnsi="Arial" w:eastAsia="Arial" w:cs="Arial"/>
      <w:b/>
      <w:bCs/>
      <w:sz w:val="26"/>
      <w:szCs w:val="26"/>
    </w:rPr>
  </w:style>
  <w:style w:type="character" w:styleId="890" w:customStyle="1">
    <w:name w:val="Heading 5 Char"/>
    <w:basedOn w:val="860"/>
    <w:link w:val="855"/>
    <w:uiPriority w:val="9"/>
    <w:qFormat/>
    <w:rPr>
      <w:rFonts w:ascii="Arial" w:hAnsi="Arial" w:eastAsia="Arial" w:cs="Arial"/>
      <w:b/>
      <w:bCs/>
      <w:sz w:val="24"/>
      <w:szCs w:val="24"/>
    </w:rPr>
  </w:style>
  <w:style w:type="character" w:styleId="891" w:customStyle="1">
    <w:name w:val="Heading 6 Char"/>
    <w:basedOn w:val="860"/>
    <w:link w:val="856"/>
    <w:uiPriority w:val="9"/>
    <w:qFormat/>
    <w:rPr>
      <w:rFonts w:ascii="Arial" w:hAnsi="Arial" w:eastAsia="Arial" w:cs="Arial"/>
      <w:b/>
      <w:bCs/>
      <w:sz w:val="22"/>
      <w:szCs w:val="22"/>
    </w:rPr>
  </w:style>
  <w:style w:type="character" w:styleId="892" w:customStyle="1">
    <w:name w:val="Heading 7 Char"/>
    <w:basedOn w:val="860"/>
    <w:link w:val="857"/>
    <w:uiPriority w:val="9"/>
    <w:qFormat/>
    <w:rPr>
      <w:rFonts w:ascii="Arial" w:hAnsi="Arial" w:eastAsia="Arial" w:cs="Arial"/>
      <w:b/>
      <w:bCs/>
      <w:i/>
      <w:iCs/>
      <w:sz w:val="22"/>
      <w:szCs w:val="22"/>
    </w:rPr>
  </w:style>
  <w:style w:type="character" w:styleId="893" w:customStyle="1">
    <w:name w:val="Heading 8 Char"/>
    <w:basedOn w:val="860"/>
    <w:link w:val="858"/>
    <w:uiPriority w:val="9"/>
    <w:qFormat/>
    <w:rPr>
      <w:rFonts w:ascii="Arial" w:hAnsi="Arial" w:eastAsia="Arial" w:cs="Arial"/>
      <w:i/>
      <w:iCs/>
      <w:sz w:val="22"/>
      <w:szCs w:val="22"/>
    </w:rPr>
  </w:style>
  <w:style w:type="character" w:styleId="894" w:customStyle="1">
    <w:name w:val="Heading 9 Char"/>
    <w:basedOn w:val="860"/>
    <w:link w:val="859"/>
    <w:uiPriority w:val="9"/>
    <w:qFormat/>
    <w:rPr>
      <w:rFonts w:ascii="Arial" w:hAnsi="Arial" w:eastAsia="Arial" w:cs="Arial"/>
      <w:i/>
      <w:iCs/>
      <w:sz w:val="21"/>
      <w:szCs w:val="21"/>
    </w:rPr>
  </w:style>
  <w:style w:type="paragraph" w:styleId="895">
    <w:name w:val="No Spacing"/>
    <w:uiPriority w:val="1"/>
    <w:qFormat/>
    <w:pPr>
      <w:spacing w:before="0" w:after="0" w:line="240" w:lineRule="auto"/>
    </w:pPr>
    <w:rPr>
      <w:rFonts w:hint="default" w:ascii="Times New Roman" w:hAnsi="Times New Roman" w:eastAsia="宋体" w:cs="Times New Roman"/>
    </w:rPr>
  </w:style>
  <w:style w:type="character" w:styleId="896" w:customStyle="1">
    <w:name w:val="Title Char"/>
    <w:basedOn w:val="860"/>
    <w:link w:val="880"/>
    <w:uiPriority w:val="10"/>
    <w:qFormat/>
    <w:rPr>
      <w:sz w:val="48"/>
      <w:szCs w:val="48"/>
    </w:rPr>
  </w:style>
  <w:style w:type="character" w:styleId="897" w:customStyle="1">
    <w:name w:val="Subtitle Char"/>
    <w:basedOn w:val="860"/>
    <w:link w:val="873"/>
    <w:uiPriority w:val="11"/>
    <w:qFormat/>
    <w:rPr>
      <w:sz w:val="24"/>
      <w:szCs w:val="24"/>
    </w:rPr>
  </w:style>
  <w:style w:type="paragraph" w:styleId="898">
    <w:name w:val="Quote"/>
    <w:basedOn w:val="850"/>
    <w:next w:val="850"/>
    <w:link w:val="899"/>
    <w:uiPriority w:val="29"/>
    <w:qFormat/>
    <w:pPr>
      <w:ind w:left="720" w:right="720"/>
    </w:pPr>
    <w:rPr>
      <w:i/>
    </w:rPr>
  </w:style>
  <w:style w:type="character" w:styleId="899" w:customStyle="1">
    <w:name w:val="Quote Char"/>
    <w:link w:val="898"/>
    <w:uiPriority w:val="29"/>
    <w:qFormat/>
    <w:rPr>
      <w:i/>
    </w:rPr>
  </w:style>
  <w:style w:type="paragraph" w:styleId="900">
    <w:name w:val="Intense Quote"/>
    <w:basedOn w:val="850"/>
    <w:next w:val="850"/>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Intense Quote Char"/>
    <w:link w:val="900"/>
    <w:uiPriority w:val="30"/>
    <w:qFormat/>
    <w:rPr>
      <w:i/>
    </w:rPr>
  </w:style>
  <w:style w:type="character" w:styleId="902" w:customStyle="1">
    <w:name w:val="Header Char"/>
    <w:basedOn w:val="860"/>
    <w:uiPriority w:val="99"/>
    <w:qFormat/>
  </w:style>
  <w:style w:type="character" w:styleId="903" w:customStyle="1">
    <w:name w:val="Footer Char"/>
    <w:basedOn w:val="860"/>
    <w:uiPriority w:val="99"/>
    <w:qFormat/>
  </w:style>
  <w:style w:type="character" w:styleId="904" w:customStyle="1">
    <w:name w:val="Caption Char"/>
    <w:uiPriority w:val="99"/>
    <w:qFormat/>
  </w:style>
  <w:style w:type="table" w:styleId="905" w:customStyle="1">
    <w:name w:val="Table Grid Light"/>
    <w:basedOn w:val="8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06" w:customStyle="1">
    <w:name w:val="Plain Table 1"/>
    <w:basedOn w:val="86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6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6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6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1"/>
    <w:basedOn w:val="86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2"/>
    <w:basedOn w:val="86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3"/>
    <w:basedOn w:val="86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4"/>
    <w:basedOn w:val="86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5"/>
    <w:basedOn w:val="86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6"/>
    <w:basedOn w:val="86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18" w:customStyle="1">
    <w:name w:val="Grid Table 2"/>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9" w:customStyle="1">
    <w:name w:val="Grid Table 2 - Accent 1"/>
    <w:basedOn w:val="86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0" w:customStyle="1">
    <w:name w:val="Grid Table 2 - Accent 2"/>
    <w:basedOn w:val="86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1" w:customStyle="1">
    <w:name w:val="Grid Table 2 - Accent 3"/>
    <w:basedOn w:val="86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22" w:customStyle="1">
    <w:name w:val="Grid Table 2 - Accent 4"/>
    <w:basedOn w:val="86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23" w:customStyle="1">
    <w:name w:val="Grid Table 2 - Accent 5"/>
    <w:basedOn w:val="86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24" w:customStyle="1">
    <w:name w:val="Grid Table 2 - Accent 6"/>
    <w:basedOn w:val="86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25" w:customStyle="1">
    <w:name w:val="Grid Table 3"/>
    <w:basedOn w:val="86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1"/>
    <w:basedOn w:val="86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2"/>
    <w:basedOn w:val="86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3"/>
    <w:basedOn w:val="86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4"/>
    <w:basedOn w:val="86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5"/>
    <w:basedOn w:val="86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6"/>
    <w:basedOn w:val="86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4"/>
    <w:basedOn w:val="86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3" w:customStyle="1">
    <w:name w:val="Grid Table 4 - Accent 1"/>
    <w:basedOn w:val="86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34" w:customStyle="1">
    <w:name w:val="Grid Table 4 - Accent 2"/>
    <w:basedOn w:val="86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35" w:customStyle="1">
    <w:name w:val="Grid Table 4 - Accent 3"/>
    <w:basedOn w:val="86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36" w:customStyle="1">
    <w:name w:val="Grid Table 4 - Accent 4"/>
    <w:basedOn w:val="86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37" w:customStyle="1">
    <w:name w:val="Grid Table 4 - Accent 5"/>
    <w:basedOn w:val="86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38" w:customStyle="1">
    <w:name w:val="Grid Table 4 - Accent 6"/>
    <w:basedOn w:val="86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39" w:customStyle="1">
    <w:name w:val="Grid Table 5 Dark"/>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0" w:customStyle="1">
    <w:name w:val="Grid Table 5 Dark- Accent 1"/>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1" w:customStyle="1">
    <w:name w:val="Grid Table 5 Dark - Accent 2"/>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42" w:customStyle="1">
    <w:name w:val="Grid Table 5 Dark - Accent 3"/>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43" w:customStyle="1">
    <w:name w:val="Grid Table 5 Dark- Accent 4"/>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44" w:customStyle="1">
    <w:name w:val="Grid Table 5 Dark - Accent 5"/>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45" w:customStyle="1">
    <w:name w:val="Grid Table 5 Dark - Accent 6"/>
    <w:basedOn w:val="86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46" w:customStyle="1">
    <w:name w:val="Grid Table 6 Colorful"/>
    <w:basedOn w:val="86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7" w:customStyle="1">
    <w:name w:val="Grid Table 6 Colorful - Accent 1"/>
    <w:basedOn w:val="86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48" w:customStyle="1">
    <w:name w:val="Grid Table 6 Colorful - Accent 2"/>
    <w:basedOn w:val="86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49" w:customStyle="1">
    <w:name w:val="Grid Table 6 Colorful - Accent 3"/>
    <w:basedOn w:val="86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50" w:customStyle="1">
    <w:name w:val="Grid Table 6 Colorful - Accent 4"/>
    <w:basedOn w:val="86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1" w:customStyle="1">
    <w:name w:val="Grid Table 6 Colorful - Accent 5"/>
    <w:basedOn w:val="86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2" w:customStyle="1">
    <w:name w:val="Grid Table 6 Colorful - Accent 6"/>
    <w:basedOn w:val="86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53" w:customStyle="1">
    <w:name w:val="Grid Table 7 Colorful"/>
    <w:basedOn w:val="86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Grid Table 7 Colorful - Accent 1"/>
    <w:basedOn w:val="86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55" w:customStyle="1">
    <w:name w:val="Grid Table 7 Colorful - Accent 2"/>
    <w:basedOn w:val="86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6" w:customStyle="1">
    <w:name w:val="Grid Table 7 Colorful - Accent 3"/>
    <w:basedOn w:val="86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57" w:customStyle="1">
    <w:name w:val="Grid Table 7 Colorful - Accent 4"/>
    <w:basedOn w:val="86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8" w:customStyle="1">
    <w:name w:val="Grid Table 7 Colorful - Accent 5"/>
    <w:basedOn w:val="86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59" w:customStyle="1">
    <w:name w:val="Grid Table 7 Colorful - Accent 6"/>
    <w:basedOn w:val="86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0" w:customStyle="1">
    <w:name w:val="List Table 1 Light"/>
    <w:basedOn w:val="86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1" w:customStyle="1">
    <w:name w:val="List Table 1 Light - Accent 1"/>
    <w:basedOn w:val="86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62" w:customStyle="1">
    <w:name w:val="List Table 1 Light - Accent 2"/>
    <w:basedOn w:val="86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63" w:customStyle="1">
    <w:name w:val="List Table 1 Light - Accent 3"/>
    <w:basedOn w:val="86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64" w:customStyle="1">
    <w:name w:val="List Table 1 Light - Accent 4"/>
    <w:basedOn w:val="86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65" w:customStyle="1">
    <w:name w:val="List Table 1 Light - Accent 5"/>
    <w:basedOn w:val="86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66" w:customStyle="1">
    <w:name w:val="List Table 1 Light - Accent 6"/>
    <w:basedOn w:val="86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67" w:customStyle="1">
    <w:name w:val="List Table 2"/>
    <w:basedOn w:val="86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8" w:customStyle="1">
    <w:name w:val="List Table 2 - Accent 1"/>
    <w:basedOn w:val="86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69" w:customStyle="1">
    <w:name w:val="List Table 2 - Accent 2"/>
    <w:basedOn w:val="86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0" w:customStyle="1">
    <w:name w:val="List Table 2 - Accent 3"/>
    <w:basedOn w:val="86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1" w:customStyle="1">
    <w:name w:val="List Table 2 - Accent 4"/>
    <w:basedOn w:val="86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72" w:customStyle="1">
    <w:name w:val="List Table 2 - Accent 5"/>
    <w:basedOn w:val="86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73" w:customStyle="1">
    <w:name w:val="List Table 2 - Accent 6"/>
    <w:basedOn w:val="86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74" w:customStyle="1">
    <w:name w:val="List Table 3"/>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5" w:customStyle="1">
    <w:name w:val="List Table 3 - Accent 1"/>
    <w:basedOn w:val="86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76" w:customStyle="1">
    <w:name w:val="List Table 3 - Accent 2"/>
    <w:basedOn w:val="86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77" w:customStyle="1">
    <w:name w:val="List Table 3 - Accent 3"/>
    <w:basedOn w:val="86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78" w:customStyle="1">
    <w:name w:val="List Table 3 - Accent 4"/>
    <w:basedOn w:val="86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79" w:customStyle="1">
    <w:name w:val="List Table 3 - Accent 5"/>
    <w:basedOn w:val="86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0" w:customStyle="1">
    <w:name w:val="List Table 3 - Accent 6"/>
    <w:basedOn w:val="86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1" w:customStyle="1">
    <w:name w:val="List Table 4"/>
    <w:basedOn w:val="86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2" w:customStyle="1">
    <w:name w:val="List Table 4 - Accent 1"/>
    <w:basedOn w:val="86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3" w:customStyle="1">
    <w:name w:val="List Table 4 - Accent 2"/>
    <w:basedOn w:val="86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84" w:customStyle="1">
    <w:name w:val="List Table 4 - Accent 3"/>
    <w:basedOn w:val="86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85" w:customStyle="1">
    <w:name w:val="List Table 4 - Accent 4"/>
    <w:basedOn w:val="86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86" w:customStyle="1">
    <w:name w:val="List Table 4 - Accent 5"/>
    <w:basedOn w:val="86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87" w:customStyle="1">
    <w:name w:val="List Table 4 - Accent 6"/>
    <w:basedOn w:val="86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88" w:customStyle="1">
    <w:name w:val="List Table 5 Dark"/>
    <w:basedOn w:val="86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1"/>
    <w:basedOn w:val="86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2"/>
    <w:basedOn w:val="86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3"/>
    <w:basedOn w:val="86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4"/>
    <w:basedOn w:val="86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5"/>
    <w:basedOn w:val="86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6"/>
    <w:basedOn w:val="86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6 Colorful"/>
    <w:basedOn w:val="86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6" w:customStyle="1">
    <w:name w:val="List Table 6 Colorful - Accent 1"/>
    <w:basedOn w:val="86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97" w:customStyle="1">
    <w:name w:val="List Table 6 Colorful - Accent 2"/>
    <w:basedOn w:val="86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98" w:customStyle="1">
    <w:name w:val="List Table 6 Colorful - Accent 3"/>
    <w:basedOn w:val="86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99" w:customStyle="1">
    <w:name w:val="List Table 6 Colorful - Accent 4"/>
    <w:basedOn w:val="86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0" w:customStyle="1">
    <w:name w:val="List Table 6 Colorful - Accent 5"/>
    <w:basedOn w:val="86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1" w:customStyle="1">
    <w:name w:val="List Table 6 Colorful - Accent 6"/>
    <w:basedOn w:val="86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02" w:customStyle="1">
    <w:name w:val="List Table 7 Colorful"/>
    <w:basedOn w:val="86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3" w:customStyle="1">
    <w:name w:val="List Table 7 Colorful - Accent 1"/>
    <w:basedOn w:val="86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04" w:customStyle="1">
    <w:name w:val="List Table 7 Colorful - Accent 2"/>
    <w:basedOn w:val="86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05" w:customStyle="1">
    <w:name w:val="List Table 7 Colorful - Accent 3"/>
    <w:basedOn w:val="86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06" w:customStyle="1">
    <w:name w:val="List Table 7 Colorful - Accent 4"/>
    <w:basedOn w:val="86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07" w:customStyle="1">
    <w:name w:val="List Table 7 Colorful - Accent 5"/>
    <w:basedOn w:val="86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08" w:customStyle="1">
    <w:name w:val="List Table 7 Colorful - Accent 6"/>
    <w:basedOn w:val="86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09" w:customStyle="1">
    <w:name w:val="Lined - Accent"/>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0" w:customStyle="1">
    <w:name w:val="Lined - Accent 1"/>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1" w:customStyle="1">
    <w:name w:val="Lined - Accent 2"/>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2" w:customStyle="1">
    <w:name w:val="Lined - Accent 3"/>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13" w:customStyle="1">
    <w:name w:val="Lined - Accent 4"/>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14" w:customStyle="1">
    <w:name w:val="Lined - Accent 5"/>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15" w:customStyle="1">
    <w:name w:val="Lined - Accent 6"/>
    <w:basedOn w:val="86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16" w:customStyle="1">
    <w:name w:val="Bordered &amp; Lined - Accent"/>
    <w:basedOn w:val="86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7" w:customStyle="1">
    <w:name w:val="Bordered &amp; Lined - Accent 1"/>
    <w:basedOn w:val="86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8" w:customStyle="1">
    <w:name w:val="Bordered &amp; Lined - Accent 2"/>
    <w:basedOn w:val="86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19" w:customStyle="1">
    <w:name w:val="Bordered &amp; Lined - Accent 3"/>
    <w:basedOn w:val="86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0" w:customStyle="1">
    <w:name w:val="Bordered &amp; Lined - Accent 4"/>
    <w:basedOn w:val="86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1" w:customStyle="1">
    <w:name w:val="Bordered &amp; Lined - Accent 5"/>
    <w:basedOn w:val="86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2" w:customStyle="1">
    <w:name w:val="Bordered &amp; Lined - Accent 6"/>
    <w:basedOn w:val="86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3" w:customStyle="1">
    <w:name w:val="Bordered"/>
    <w:basedOn w:val="86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4" w:customStyle="1">
    <w:name w:val="Bordered - Accent 1"/>
    <w:basedOn w:val="86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25" w:customStyle="1">
    <w:name w:val="Bordered - Accent 2"/>
    <w:basedOn w:val="86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26" w:customStyle="1">
    <w:name w:val="Bordered - Accent 3"/>
    <w:basedOn w:val="86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27" w:customStyle="1">
    <w:name w:val="Bordered - Accent 4"/>
    <w:basedOn w:val="86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28" w:customStyle="1">
    <w:name w:val="Bordered - Accent 5"/>
    <w:basedOn w:val="86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29" w:customStyle="1">
    <w:name w:val="Bordered - Accent 6"/>
    <w:basedOn w:val="86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0" w:customStyle="1">
    <w:name w:val="Footnote Text Char"/>
    <w:link w:val="874"/>
    <w:uiPriority w:val="99"/>
    <w:qFormat/>
    <w:rPr>
      <w:sz w:val="18"/>
    </w:rPr>
  </w:style>
  <w:style w:type="character" w:styleId="1031" w:customStyle="1">
    <w:name w:val="Endnote Text Char"/>
    <w:link w:val="868"/>
    <w:uiPriority w:val="99"/>
    <w:qFormat/>
    <w:rPr>
      <w:sz w:val="20"/>
    </w:rPr>
  </w:style>
  <w:style w:type="paragraph" w:styleId="1032" w:customStyle="1">
    <w:name w:val="TOC Heading"/>
    <w:uiPriority w:val="39"/>
    <w:unhideWhenUsed/>
    <w:qFormat/>
    <w:rPr>
      <w:rFonts w:hint="default" w:ascii="Times New Roman" w:hAnsi="Times New Roman" w:eastAsia="宋体" w:cs="Times New Roman"/>
    </w:rPr>
  </w:style>
  <w:style w:type="paragraph" w:styleId="1033" w:customStyle="1">
    <w:name w:val="正文（缩进）"/>
    <w:basedOn w:val="850"/>
    <w:uiPriority w:val="0"/>
    <w:qFormat/>
    <w:pPr>
      <w:ind w:firstLine="480"/>
    </w:pPr>
    <w:rPr>
      <w:rFonts w:ascii="Calibri" w:hAnsi="Calibri" w:eastAsia="宋体" w:cs="Times New Roman"/>
      <w:szCs w:val="24"/>
    </w:rPr>
  </w:style>
  <w:style w:type="paragraph" w:styleId="1034" w:customStyle="1">
    <w:name w:val="索引 41"/>
    <w:basedOn w:val="850"/>
    <w:next w:val="850"/>
    <w:uiPriority w:val="0"/>
    <w:qFormat/>
    <w:pPr>
      <w:ind w:left="1418" w:hanging="420"/>
      <w:jc w:val="both"/>
      <w:widowControl w:val="off"/>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lang w:val="en-US" w:eastAsia="zh-CN" w:bidi="ar-SA"/>
    </w:rPr>
  </w:style>
  <w:style w:type="paragraph" w:styleId="1035" w:customStyle="1">
    <w:name w:val="标题 31"/>
    <w:basedOn w:val="850"/>
    <w:next w:val="850"/>
    <w:uiPriority w:val="0"/>
    <w:qFormat/>
    <w:pPr>
      <w:keepLines/>
      <w:keepNext/>
      <w:spacing w:before="260" w:after="260" w:line="416" w:lineRule="auto"/>
      <w:outlineLvl w:val="2"/>
    </w:pPr>
    <w:rPr>
      <w:rFonts w:ascii="Calibri" w:hAnsi="Calibri"/>
      <w:b/>
      <w:bCs/>
      <w:sz w:val="32"/>
      <w:szCs w:val="32"/>
    </w:rPr>
  </w:style>
  <w:style w:type="paragraph" w:styleId="1036" w:customStyle="1">
    <w:name w:val="目录 11"/>
    <w:basedOn w:val="850"/>
    <w:next w:val="850"/>
    <w:uiPriority w:val="39"/>
    <w:unhideWhenUsed/>
    <w:qFormat/>
    <w:rPr>
      <w:rFonts w:ascii="Calibri" w:hAnsi="Calibri" w:eastAsia="宋体" w:cs="Times New Roman"/>
    </w:rPr>
  </w:style>
  <w:style w:type="paragraph" w:styleId="1037" w:customStyle="1">
    <w:name w:val="标题 11"/>
    <w:basedOn w:val="850"/>
    <w:next w:val="850"/>
    <w:uiPriority w:val="99"/>
    <w:qFormat/>
    <w:pPr>
      <w:keepLines/>
      <w:keepNext/>
      <w:spacing w:before="340" w:after="330" w:line="578" w:lineRule="auto"/>
      <w:outlineLvl w:val="0"/>
    </w:pPr>
    <w:rPr>
      <w:rFonts w:ascii="Calibri" w:hAnsi="Calibri"/>
      <w:b/>
      <w:bCs/>
      <w:sz w:val="44"/>
      <w:szCs w:val="44"/>
    </w:rPr>
  </w:style>
  <w:style w:type="paragraph" w:styleId="1038" w:customStyle="1">
    <w:name w:val="标题 21"/>
    <w:basedOn w:val="850"/>
    <w:next w:val="1039"/>
    <w:uiPriority w:val="9"/>
    <w:qFormat/>
    <w:pPr>
      <w:keepLines/>
      <w:keepNext/>
      <w:spacing w:before="260" w:after="260" w:line="416" w:lineRule="auto"/>
      <w:outlineLvl w:val="1"/>
    </w:pPr>
    <w:rPr>
      <w:rFonts w:ascii="Cambria" w:hAnsi="Cambria"/>
      <w:b/>
      <w:bCs/>
      <w:sz w:val="32"/>
      <w:szCs w:val="32"/>
    </w:rPr>
  </w:style>
  <w:style w:type="paragraph" w:styleId="1039" w:customStyle="1">
    <w:name w:val="正文缩进1"/>
    <w:basedOn w:val="850"/>
    <w:uiPriority w:val="0"/>
    <w:unhideWhenUsed/>
    <w:qFormat/>
    <w:pPr>
      <w:ind w:firstLine="420"/>
    </w:pPr>
    <w:rPr>
      <w:rFonts w:ascii="Calibri" w:hAnsi="Calibri" w:eastAsia="宋体" w:cs="Times New Roman"/>
    </w:rPr>
  </w:style>
  <w:style w:type="paragraph" w:styleId="1040" w:customStyle="1">
    <w:name w:val="纯文本11"/>
    <w:basedOn w:val="850"/>
    <w:uiPriority w:val="99"/>
    <w:unhideWhenUsed/>
    <w:qFormat/>
    <w:rPr>
      <w:rFonts w:ascii="宋体" w:hAnsi="Courier New"/>
      <w:sz w:val="20"/>
      <w:szCs w:val="20"/>
    </w:rPr>
  </w:style>
  <w:style w:type="paragraph" w:styleId="1041" w:customStyle="1">
    <w:name w:val="_Style 4"/>
    <w:next w:val="850"/>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lang w:val="en-US" w:eastAsia="zh-CN" w:bidi="ar-SA"/>
    </w:rPr>
  </w:style>
  <w:style w:type="paragraph" w:styleId="1042" w:customStyle="1">
    <w:name w:val="正文文本缩进1"/>
    <w:uiPriority w:val="0"/>
    <w:qFormat/>
    <w:pPr>
      <w:ind w:left="420"/>
      <w:jc w:val="both"/>
      <w:spacing w:after="120"/>
      <w:widowControl w:val="off"/>
    </w:pPr>
    <w:rPr>
      <w:rFonts w:hint="default" w:ascii="Times New Roman" w:hAnsi="Times New Roman" w:eastAsia="宋体" w:cs="Times New Roman"/>
      <w:sz w:val="21"/>
      <w:szCs w:val="21"/>
      <w:lang w:val="en-US" w:eastAsia="zh-CN" w:bidi="ar-SA"/>
    </w:rPr>
  </w:style>
  <w:style w:type="paragraph" w:styleId="1043" w:customStyle="1">
    <w:name w:val="正文1"/>
    <w:basedOn w:val="850"/>
    <w:next w:val="1044"/>
    <w:uiPriority w:val="0"/>
    <w:qFormat/>
    <w:pPr>
      <w:jc w:val="left"/>
      <w:spacing w:line="360" w:lineRule="atLeast"/>
    </w:pPr>
    <w:rPr>
      <w:rFonts w:ascii="宋体" w:hAnsi="Calibri" w:eastAsia="宋体" w:cs="Times New Roman"/>
      <w:sz w:val="24"/>
      <w:szCs w:val="20"/>
    </w:rPr>
  </w:style>
  <w:style w:type="paragraph" w:styleId="1044" w:customStyle="1">
    <w:name w:val="正文文本1"/>
    <w:basedOn w:val="1043"/>
    <w:next w:val="1045"/>
    <w:uiPriority w:val="0"/>
    <w:qFormat/>
    <w:pPr>
      <w:spacing w:after="120"/>
    </w:pPr>
    <w:rPr>
      <w:lang w:val="en-US" w:eastAsia="en-US"/>
    </w:rPr>
  </w:style>
  <w:style w:type="paragraph" w:styleId="1045" w:customStyle="1">
    <w:name w:val="一级条标题"/>
    <w:basedOn w:val="1046"/>
    <w:next w:val="104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6" w:customStyle="1">
    <w:name w:val="章标题"/>
    <w:next w:val="850"/>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47" w:customStyle="1">
    <w:name w:val="段"/>
    <w:basedOn w:val="1043"/>
    <w:next w:val="850"/>
    <w:uiPriority w:val="0"/>
    <w:qFormat/>
    <w:pPr>
      <w:ind w:firstLine="200"/>
      <w:widowControl/>
    </w:pPr>
    <w:rPr>
      <w:rFonts w:ascii="宋体"/>
      <w:sz w:val="20"/>
      <w:szCs w:val="20"/>
    </w:rPr>
  </w:style>
  <w:style w:type="paragraph" w:styleId="1048" w:customStyle="1">
    <w:name w:val="正文_2"/>
    <w:uiPriority w:val="0"/>
    <w:qFormat/>
    <w:rPr>
      <w:rFonts w:hint="default" w:ascii="Times New Roman" w:hAnsi="Times New Roman" w:eastAsia="宋体" w:cs="Times New Roman"/>
      <w:lang w:val="en-US" w:eastAsia="zh-CN" w:bidi="ar-SA"/>
    </w:rPr>
  </w:style>
  <w:style w:type="paragraph" w:styleId="1049" w:customStyle="1">
    <w:name w:val="普通正文"/>
    <w:basedOn w:val="850"/>
    <w:uiPriority w:val="0"/>
    <w:qFormat/>
    <w:pPr>
      <w:ind w:firstLine="480"/>
      <w:jc w:val="left"/>
      <w:spacing w:before="120" w:after="120" w:line="360" w:lineRule="auto"/>
    </w:pPr>
    <w:rPr>
      <w:rFonts w:ascii="Arial" w:hAnsi="Arial" w:eastAsia="宋体" w:cs="Times New Roman"/>
      <w:sz w:val="24"/>
      <w:szCs w:val="24"/>
    </w:rPr>
  </w:style>
  <w:style w:type="paragraph" w:styleId="1050" w:customStyle="1">
    <w:name w:val="Char"/>
    <w:basedOn w:val="850"/>
    <w:uiPriority w:val="0"/>
    <w:qFormat/>
    <w:pPr>
      <w:ind w:firstLine="200"/>
      <w:tabs>
        <w:tab w:val="left" w:pos="360" w:leader="none"/>
      </w:tabs>
    </w:pPr>
    <w:rPr>
      <w:rFonts w:ascii="Times New Roman" w:hAnsi="Times New Roman" w:eastAsia="宋体" w:cs="Times New Roman"/>
      <w:sz w:val="28"/>
      <w:szCs w:val="30"/>
    </w:rPr>
  </w:style>
  <w:style w:type="paragraph" w:styleId="1051" w:customStyle="1">
    <w:name w:val="普通(网站)1"/>
    <w:basedOn w:val="850"/>
    <w:uiPriority w:val="0"/>
    <w:unhideWhenUsed/>
    <w:qFormat/>
    <w:pPr>
      <w:jc w:val="left"/>
    </w:pPr>
    <w:rPr>
      <w:rFonts w:ascii="Calibri" w:hAnsi="Calibri" w:eastAsia="宋体" w:cs="Times New Roman"/>
      <w:sz w:val="24"/>
      <w:szCs w:val="24"/>
    </w:rPr>
  </w:style>
  <w:style w:type="character" w:styleId="1052" w:customStyle="1">
    <w:name w:val="要点1"/>
    <w:link w:val="850"/>
    <w:uiPriority w:val="0"/>
    <w:qFormat/>
    <w:rPr>
      <w:rFonts w:hint="default" w:ascii="Times New Roman" w:hAnsi="Times New Roman" w:eastAsia="宋体" w:cs="Times New Roman"/>
      <w:sz w:val="21"/>
      <w:szCs w:val="22"/>
      <w:lang w:val="en-US" w:eastAsia="zh-CN" w:bidi="ar-SA"/>
    </w:rPr>
  </w:style>
  <w:style w:type="paragraph" w:styleId="1053" w:customStyle="1">
    <w:name w:val="日期1"/>
    <w:basedOn w:val="850"/>
    <w:next w:val="850"/>
    <w:uiPriority w:val="0"/>
    <w:qFormat/>
    <w:rPr>
      <w:sz w:val="24"/>
      <w:szCs w:val="20"/>
    </w:rPr>
  </w:style>
  <w:style w:type="paragraph" w:styleId="1054" w:customStyle="1">
    <w:name w:val="页眉1"/>
    <w:basedOn w:val="1055"/>
    <w:uiPriority w:val="0"/>
    <w:qFormat/>
    <w:pPr>
      <w:jc w:val="center"/>
      <w:tabs>
        <w:tab w:val="center" w:pos="4153" w:leader="none"/>
        <w:tab w:val="right" w:pos="8306" w:leader="none"/>
      </w:tabs>
      <w:pBdr>
        <w:bottom w:val="single" w:color="000000" w:sz="6" w:space="1"/>
      </w:pBdr>
    </w:pPr>
    <w:rPr>
      <w:sz w:val="18"/>
      <w:szCs w:val="18"/>
    </w:rPr>
  </w:style>
  <w:style w:type="paragraph" w:styleId="1055" w:customStyle="1">
    <w:name w:val="正文111"/>
    <w:next w:val="1056"/>
    <w:uiPriority w:val="0"/>
    <w:qFormat/>
    <w:pPr>
      <w:jc w:val="both"/>
      <w:widowControl w:val="off"/>
    </w:pPr>
    <w:rPr>
      <w:rFonts w:hint="default" w:ascii="Calibri" w:hAnsi="Calibri" w:eastAsia="宋体" w:cs="Times New Roman"/>
      <w:sz w:val="21"/>
      <w:szCs w:val="24"/>
      <w:lang w:val="en-US" w:eastAsia="zh-CN" w:bidi="ar-SA"/>
    </w:rPr>
  </w:style>
  <w:style w:type="paragraph" w:styleId="1056" w:customStyle="1">
    <w:name w:val="文本块1"/>
    <w:basedOn w:val="1055"/>
    <w:uiPriority w:val="0"/>
    <w:qFormat/>
    <w:pPr>
      <w:ind w:left="567" w:right="454" w:firstLine="498"/>
      <w:jc w:val="left"/>
      <w:widowControl/>
    </w:pPr>
    <w:rPr>
      <w:rFonts w:ascii="仿宋_GB2312" w:eastAsia="仿宋_GB2312"/>
      <w:sz w:val="30"/>
      <w:szCs w:val="20"/>
    </w:rPr>
  </w:style>
  <w:style w:type="paragraph" w:styleId="1057" w:customStyle="1">
    <w:name w:val="页脚11"/>
    <w:basedOn w:val="850"/>
    <w:uiPriority w:val="99"/>
    <w:unhideWhenUsed/>
    <w:qFormat/>
    <w:pPr>
      <w:jc w:val="left"/>
      <w:tabs>
        <w:tab w:val="center" w:pos="4153" w:leader="none"/>
        <w:tab w:val="right" w:pos="8306" w:leader="none"/>
      </w:tabs>
    </w:pPr>
    <w:rPr>
      <w:sz w:val="18"/>
      <w:szCs w:val="18"/>
    </w:rPr>
  </w:style>
  <w:style w:type="paragraph" w:styleId="1058" w:customStyle="1">
    <w:name w:val="页脚1"/>
    <w:basedOn w:val="1055"/>
    <w:uiPriority w:val="0"/>
    <w:qFormat/>
    <w:pPr>
      <w:jc w:val="left"/>
      <w:tabs>
        <w:tab w:val="center" w:pos="4153" w:leader="none"/>
        <w:tab w:val="right" w:pos="8306" w:leader="none"/>
      </w:tabs>
    </w:pPr>
    <w:rPr>
      <w:sz w:val="18"/>
      <w:szCs w:val="18"/>
    </w:rPr>
  </w:style>
  <w:style w:type="paragraph" w:styleId="1059" w:customStyle="1">
    <w:name w:val="页眉11"/>
    <w:basedOn w:val="850"/>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60">
    <w:name w:val="List Paragraph"/>
    <w:basedOn w:val="850"/>
    <w:uiPriority w:val="1"/>
    <w:qFormat/>
    <w:pPr>
      <w:ind w:left="580" w:firstLine="419"/>
    </w:pPr>
    <w:rPr>
      <w:rFonts w:ascii="宋体" w:hAnsi="宋体" w:eastAsia="宋体" w:cs="宋体"/>
      <w:lang w:val="en-US" w:eastAsia="zh-CN" w:bidi="ar-SA"/>
    </w:rPr>
  </w:style>
  <w:style w:type="numbering" w:styleId="106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李嘉豪</dc:creator>
  <cp:lastModifiedBy>郭静</cp:lastModifiedBy>
  <cp:revision>6</cp:revision>
  <dcterms:created xsi:type="dcterms:W3CDTF">2024-09-30T07:06:00Z</dcterms:created>
  <dcterms:modified xsi:type="dcterms:W3CDTF">2026-04-14T07:38:47Z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5AABC1C4166D4F73AB4E7E09FC3F8822_13</vt:lpwstr>
  </property>
  <property fmtid="{D5CDD505-2E9C-101B-9397-08002B2CF9AE}" pid="4" name="KSOTemplateDocerSaveRecord">
    <vt:lpwstr>eyJoZGlkIjoiNjVlYjJhODI3Nzk5OTU0OTZiOWVmZTI1NGJlOTEwZjEiLCJ1c2VySWQiOiI3OTg5NjIzODYifQ==</vt:lpwstr>
  </property>
</Properties>
</file>