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5"/>
        <w:jc w:val="center"/>
        <w:spacing w:line="312" w:lineRule="auto"/>
        <w:widowControl w:val="off"/>
        <w:rPr>
          <w:rStyle w:val="1303"/>
          <w:rFonts w:hAnsi="宋体" w:cs="宋体"/>
          <w:color w:val="auto"/>
          <w:sz w:val="84"/>
          <w:szCs w:val="84"/>
          <w:highlight w:val="none"/>
        </w:rPr>
      </w:pPr>
      <w:r>
        <w:rPr>
          <w:rFonts w:hAnsi="宋体" w:cs="宋体"/>
          <w:color w:val="auto"/>
          <w:sz w:val="84"/>
          <w:szCs w:val="84"/>
          <w:highlight w:val="none"/>
        </w:rPr>
      </w:r>
      <w:r/>
    </w:p>
    <w:p>
      <w:pPr>
        <w:pStyle w:val="1067"/>
        <w:rPr>
          <w:rStyle w:val="1303"/>
          <w:rFonts w:hAnsi="宋体" w:eastAsia="宋体" w:cs="宋体"/>
          <w:color w:val="auto"/>
          <w:sz w:val="84"/>
          <w:szCs w:val="84"/>
          <w:highlight w:val="none"/>
        </w:rPr>
      </w:pPr>
      <w:r>
        <w:rPr>
          <w:rFonts w:hAnsi="宋体" w:eastAsia="宋体" w:cs="宋体"/>
          <w:color w:val="auto"/>
          <w:sz w:val="84"/>
          <w:szCs w:val="84"/>
          <w:highlight w:val="none"/>
        </w:rPr>
      </w:r>
      <w:r/>
    </w:p>
    <w:p>
      <w:pPr>
        <w:pStyle w:val="1055"/>
        <w:jc w:val="center"/>
        <w:spacing w:line="312" w:lineRule="auto"/>
        <w:widowControl w:val="off"/>
        <w:rPr>
          <w:rStyle w:val="1303"/>
          <w:rFonts w:hAnsi="宋体" w:cs="宋体"/>
          <w:color w:val="auto"/>
          <w:szCs w:val="24"/>
          <w:highlight w:val="none"/>
        </w:rPr>
      </w:pPr>
      <w:r>
        <w:rPr>
          <w:rStyle w:val="1303"/>
          <w:rFonts w:hint="eastAsia" w:hAnsi="宋体" w:cs="宋体"/>
          <w:color w:val="auto"/>
          <w:sz w:val="84"/>
          <w:szCs w:val="84"/>
          <w:highlight w:val="none"/>
        </w:rPr>
        <w:t xml:space="preserve">竞争性磋商文件</w:t>
      </w:r>
      <w:r/>
    </w:p>
    <w:p>
      <w:pPr>
        <w:pStyle w:val="1055"/>
        <w:jc w:val="left"/>
        <w:spacing w:line="312" w:lineRule="auto"/>
        <w:widowControl w:val="off"/>
        <w:rPr>
          <w:rStyle w:val="1303"/>
          <w:rFonts w:hAnsi="宋体" w:cs="宋体"/>
          <w:b/>
          <w:color w:val="auto"/>
          <w:szCs w:val="24"/>
          <w:highlight w:val="none"/>
        </w:rPr>
      </w:pPr>
      <w:r>
        <w:rPr>
          <w:rFonts w:hAnsi="宋体" w:cs="宋体"/>
          <w:b/>
          <w:color w:val="auto"/>
          <w:szCs w:val="24"/>
          <w:highlight w:val="none"/>
        </w:rPr>
      </w:r>
      <w:r/>
    </w:p>
    <w:p>
      <w:pPr>
        <w:pStyle w:val="1067"/>
        <w:spacing w:line="312" w:lineRule="auto"/>
        <w:rPr>
          <w:rFonts w:ascii="宋体" w:hAnsi="宋体" w:eastAsia="宋体" w:cs="宋体"/>
          <w:color w:val="auto"/>
          <w:highlight w:val="none"/>
        </w:rPr>
      </w:pPr>
      <w:r>
        <w:rPr>
          <w:rFonts w:ascii="宋体" w:hAnsi="宋体" w:eastAsia="宋体" w:cs="宋体"/>
          <w:color w:val="auto"/>
          <w:highlight w:val="none"/>
        </w:rPr>
      </w:r>
      <w:r/>
    </w:p>
    <w:p>
      <w:pPr>
        <w:pStyle w:val="1067"/>
        <w:spacing w:line="312" w:lineRule="auto"/>
        <w:rPr>
          <w:rFonts w:ascii="宋体" w:hAnsi="宋体" w:eastAsia="宋体" w:cs="宋体"/>
          <w:color w:val="auto"/>
          <w:highlight w:val="none"/>
        </w:rPr>
      </w:pPr>
      <w:r>
        <w:rPr>
          <w:rFonts w:ascii="宋体" w:hAnsi="宋体" w:eastAsia="宋体" w:cs="宋体"/>
          <w:color w:val="auto"/>
          <w:highlight w:val="none"/>
        </w:rPr>
      </w:r>
      <w:r/>
    </w:p>
    <w:p>
      <w:pPr>
        <w:pStyle w:val="1067"/>
        <w:spacing w:line="312" w:lineRule="auto"/>
        <w:rPr>
          <w:rFonts w:ascii="宋体" w:hAnsi="宋体" w:eastAsia="宋体" w:cs="宋体"/>
          <w:color w:val="auto"/>
          <w:highlight w:val="none"/>
        </w:rPr>
      </w:pPr>
      <w:r>
        <w:rPr>
          <w:rFonts w:ascii="宋体" w:hAnsi="宋体" w:eastAsia="宋体" w:cs="宋体"/>
          <w:color w:val="auto"/>
          <w:highlight w:val="none"/>
        </w:rPr>
      </w:r>
      <w:r/>
    </w:p>
    <w:p>
      <w:pPr>
        <w:pStyle w:val="1067"/>
        <w:spacing w:line="312" w:lineRule="auto"/>
        <w:rPr>
          <w:rStyle w:val="1303"/>
          <w:rFonts w:hAnsi="宋体" w:eastAsia="宋体" w:cs="宋体"/>
          <w:b/>
          <w:color w:val="auto"/>
          <w:szCs w:val="24"/>
          <w:highlight w:val="none"/>
        </w:rPr>
      </w:pPr>
      <w:r>
        <w:rPr>
          <w:rFonts w:hAnsi="宋体" w:eastAsia="宋体" w:cs="宋体"/>
          <w:b/>
          <w:color w:val="auto"/>
          <w:szCs w:val="24"/>
          <w:highlight w:val="none"/>
        </w:rPr>
      </w:r>
      <w:r/>
    </w:p>
    <w:p>
      <w:pPr>
        <w:pStyle w:val="1067"/>
        <w:spacing w:line="312" w:lineRule="auto"/>
        <w:rPr>
          <w:rStyle w:val="1303"/>
          <w:rFonts w:hAnsi="宋体" w:eastAsia="宋体" w:cs="宋体"/>
          <w:b/>
          <w:color w:val="auto"/>
          <w:szCs w:val="24"/>
          <w:highlight w:val="none"/>
        </w:rPr>
      </w:pPr>
      <w:r>
        <w:rPr>
          <w:rFonts w:hAnsi="宋体" w:eastAsia="宋体" w:cs="宋体"/>
          <w:b/>
          <w:color w:val="auto"/>
          <w:szCs w:val="24"/>
          <w:highlight w:val="none"/>
        </w:rPr>
      </w:r>
      <w:r/>
    </w:p>
    <w:p>
      <w:pPr>
        <w:pStyle w:val="1055"/>
        <w:ind w:firstLine="630"/>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p>
      <w:pPr>
        <w:pStyle w:val="1055"/>
        <w:ind w:left="840" w:firstLine="420"/>
        <w:jc w:val="left"/>
        <w:spacing w:line="480" w:lineRule="auto"/>
        <w:widowControl w:val="off"/>
        <w:rPr>
          <w:rStyle w:val="1303"/>
          <w:rFonts w:hint="eastAsia" w:hAnsi="宋体" w:cs="宋体"/>
          <w:color w:val="auto"/>
          <w:sz w:val="28"/>
          <w:szCs w:val="28"/>
          <w:highlight w:val="none"/>
          <w:u w:val="single"/>
          <w:lang w:eastAsia="zh-CN"/>
        </w:rPr>
      </w:pPr>
      <w:r>
        <w:rPr>
          <w:rStyle w:val="1303"/>
          <w:rFonts w:hint="eastAsia" w:hAnsi="宋体" w:cs="宋体"/>
          <w:color w:val="auto"/>
          <w:sz w:val="28"/>
          <w:szCs w:val="28"/>
          <w:highlight w:val="none"/>
        </w:rPr>
        <w:t xml:space="preserve">项目名称：</w:t>
      </w:r>
      <w:r>
        <w:rPr>
          <w:rStyle w:val="1303"/>
          <w:rFonts w:hint="eastAsia" w:hAnsi="宋体" w:cs="宋体"/>
          <w:color w:val="auto"/>
          <w:sz w:val="28"/>
          <w:szCs w:val="28"/>
          <w:highlight w:val="none"/>
          <w:u w:val="single"/>
          <w:lang w:eastAsia="zh-CN"/>
        </w:rPr>
        <w:t xml:space="preserve">会见楼1、2层维修改造项目土建装饰工程</w:t>
      </w:r>
      <w:r/>
    </w:p>
    <w:p>
      <w:pPr>
        <w:pStyle w:val="1055"/>
        <w:ind w:left="840" w:firstLine="420"/>
        <w:jc w:val="left"/>
        <w:spacing w:line="480" w:lineRule="auto"/>
        <w:widowControl w:val="off"/>
        <w:rPr>
          <w:rStyle w:val="1303"/>
          <w:rFonts w:hint="eastAsia" w:hAnsi="宋体" w:eastAsia="宋体" w:cs="宋体"/>
          <w:color w:val="auto"/>
          <w:sz w:val="28"/>
          <w:szCs w:val="28"/>
          <w:highlight w:val="none"/>
          <w:u w:val="single"/>
          <w:lang w:eastAsia="zh-CN"/>
        </w:rPr>
      </w:pPr>
      <w:r>
        <w:rPr>
          <w:rStyle w:val="1303"/>
          <w:rFonts w:hint="eastAsia" w:hAnsi="宋体" w:cs="宋体"/>
          <w:color w:val="auto"/>
          <w:sz w:val="28"/>
          <w:szCs w:val="28"/>
          <w:highlight w:val="none"/>
        </w:rPr>
        <w:t xml:space="preserve">项目编号：</w:t>
      </w:r>
      <w:r>
        <w:rPr>
          <w:rStyle w:val="1303"/>
          <w:rFonts w:hint="eastAsia" w:hAnsi="宋体" w:cs="宋体"/>
          <w:color w:val="auto"/>
          <w:sz w:val="28"/>
          <w:szCs w:val="28"/>
          <w:highlight w:val="none"/>
          <w:u w:val="single"/>
          <w:lang w:eastAsia="zh-CN"/>
        </w:rPr>
        <w:t xml:space="preserve">JSZC-320000-JSKJ-C2026-0011</w:t>
      </w:r>
      <w:r/>
    </w:p>
    <w:p>
      <w:pPr>
        <w:pStyle w:val="1055"/>
        <w:ind w:left="840" w:firstLine="420"/>
        <w:jc w:val="left"/>
        <w:spacing w:line="480" w:lineRule="auto"/>
        <w:widowControl w:val="off"/>
        <w:rPr>
          <w:rStyle w:val="1303"/>
          <w:rFonts w:hint="eastAsia" w:hAnsi="宋体" w:eastAsia="宋体" w:cs="宋体"/>
          <w:color w:val="auto"/>
          <w:sz w:val="28"/>
          <w:szCs w:val="28"/>
          <w:highlight w:val="none"/>
          <w:lang w:eastAsia="zh-CN"/>
        </w:rPr>
      </w:pPr>
      <w:r>
        <w:rPr>
          <w:rStyle w:val="1303"/>
          <w:rFonts w:hint="eastAsia" w:hAnsi="宋体" w:cs="宋体"/>
          <w:color w:val="auto"/>
          <w:sz w:val="28"/>
          <w:szCs w:val="28"/>
          <w:highlight w:val="none"/>
        </w:rPr>
        <w:t xml:space="preserve">采 购 人：</w:t>
      </w:r>
      <w:r>
        <w:rPr>
          <w:rStyle w:val="1303"/>
          <w:rFonts w:hint="eastAsia" w:hAnsi="宋体" w:cs="宋体"/>
          <w:color w:val="auto"/>
          <w:sz w:val="28"/>
          <w:szCs w:val="28"/>
          <w:highlight w:val="none"/>
          <w:u w:val="single"/>
        </w:rPr>
        <w:t xml:space="preserve">江苏省</w:t>
      </w:r>
      <w:r>
        <w:rPr>
          <w:rStyle w:val="1303"/>
          <w:rFonts w:hint="eastAsia" w:hAnsi="宋体" w:cs="宋体"/>
          <w:color w:val="auto"/>
          <w:sz w:val="28"/>
          <w:szCs w:val="28"/>
          <w:highlight w:val="none"/>
          <w:u w:val="single"/>
          <w:lang w:eastAsia="zh-CN"/>
        </w:rPr>
        <w:t xml:space="preserve">徐州监狱</w:t>
      </w:r>
      <w:r/>
    </w:p>
    <w:p>
      <w:pPr>
        <w:pStyle w:val="1068"/>
        <w:rPr>
          <w:color w:val="auto"/>
          <w:highlight w:val="none"/>
        </w:rPr>
        <w:outlineLvl w:val="9"/>
      </w:pPr>
      <w:r>
        <w:rPr>
          <w:color w:val="auto"/>
          <w:highlight w:val="none"/>
        </w:rPr>
      </w:r>
      <w:r/>
    </w:p>
    <w:p>
      <w:pPr>
        <w:pStyle w:val="1067"/>
        <w:spacing w:line="312" w:lineRule="auto"/>
        <w:rPr>
          <w:rStyle w:val="1303"/>
          <w:rFonts w:hAnsi="宋体" w:eastAsia="宋体" w:cs="宋体"/>
          <w:color w:val="auto"/>
          <w:szCs w:val="24"/>
          <w:highlight w:val="none"/>
        </w:rPr>
      </w:pPr>
      <w:r>
        <w:rPr>
          <w:rFonts w:hAnsi="宋体" w:eastAsia="宋体" w:cs="宋体"/>
          <w:color w:val="auto"/>
          <w:szCs w:val="24"/>
          <w:highlight w:val="none"/>
        </w:rPr>
      </w:r>
      <w:r/>
    </w:p>
    <w:p>
      <w:pPr>
        <w:pStyle w:val="1067"/>
        <w:spacing w:line="312" w:lineRule="auto"/>
        <w:rPr>
          <w:rStyle w:val="1303"/>
          <w:rFonts w:hAnsi="宋体" w:eastAsia="宋体" w:cs="宋体"/>
          <w:color w:val="auto"/>
          <w:szCs w:val="24"/>
          <w:highlight w:val="none"/>
        </w:rPr>
      </w:pPr>
      <w:r>
        <w:rPr>
          <w:rFonts w:hAnsi="宋体" w:eastAsia="宋体" w:cs="宋体"/>
          <w:color w:val="auto"/>
          <w:szCs w:val="24"/>
          <w:highlight w:val="none"/>
        </w:rPr>
      </w:r>
      <w:r/>
    </w:p>
    <w:p>
      <w:pPr>
        <w:pStyle w:val="1067"/>
        <w:spacing w:line="312" w:lineRule="auto"/>
        <w:rPr>
          <w:rStyle w:val="1303"/>
          <w:rFonts w:hAnsi="宋体" w:eastAsia="宋体" w:cs="宋体"/>
          <w:color w:val="auto"/>
          <w:szCs w:val="24"/>
          <w:highlight w:val="none"/>
        </w:rPr>
      </w:pPr>
      <w:r>
        <w:rPr>
          <w:rFonts w:hAnsi="宋体" w:eastAsia="宋体" w:cs="宋体"/>
          <w:color w:val="auto"/>
          <w:szCs w:val="24"/>
          <w:highlight w:val="none"/>
        </w:rPr>
      </w:r>
      <w:r/>
    </w:p>
    <w:p>
      <w:pPr>
        <w:pStyle w:val="1055"/>
        <w:ind w:firstLine="960"/>
        <w:jc w:val="left"/>
        <w:spacing w:line="312" w:lineRule="auto"/>
        <w:widowControl w:val="off"/>
        <w:rPr>
          <w:rStyle w:val="1303"/>
          <w:rFonts w:hAnsi="宋体" w:cs="宋体"/>
          <w:color w:val="auto"/>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mc:AlternateContent>
          <mc:Choice Requires="wpg">
            <w:drawing>
              <wp:inline xmlns:wp="http://schemas.openxmlformats.org/drawingml/2006/wordprocessingDrawing" distT="0" distB="0" distL="0" distR="0">
                <wp:extent cx="4776470" cy="685800"/>
                <wp:effectExtent l="0" t="0" r="5080"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25"/>
                        <a:stretch/>
                      </pic:blipFill>
                      <pic:spPr bwMode="auto">
                        <a:xfrm>
                          <a:off x="0" y="0"/>
                          <a:ext cx="477647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76.1pt;height:54.0pt;mso-wrap-distance-left:0.0pt;mso-wrap-distance-top:0.0pt;mso-wrap-distance-right:0.0pt;mso-wrap-distance-bottom:0.0pt;" stroked="f">
                <v:path textboxrect="0,0,0,0"/>
                <v:imagedata r:id="rId25" o:title=""/>
              </v:shape>
            </w:pict>
          </mc:Fallback>
        </mc:AlternateContent>
      </w:r>
      <w:r/>
    </w:p>
    <w:p>
      <w:pPr>
        <w:pStyle w:val="1067"/>
        <w:ind w:left="0" w:right="0" w:firstLine="0"/>
        <w:spacing w:line="312"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55"/>
        <w:jc w:val="center"/>
        <w:spacing w:line="312" w:lineRule="auto"/>
        <w:widowControl w:val="off"/>
        <w:rPr>
          <w:rStyle w:val="1303"/>
          <w:rFonts w:hAnsi="宋体" w:cs="宋体"/>
          <w:color w:val="auto"/>
          <w:szCs w:val="24"/>
          <w:highlight w:val="none"/>
        </w:rPr>
      </w:pPr>
      <w:r>
        <w:rPr>
          <w:rStyle w:val="1303"/>
          <w:rFonts w:hint="eastAsia" w:hAnsi="宋体" w:cs="宋体"/>
          <w:color w:val="auto"/>
          <w:sz w:val="28"/>
          <w:szCs w:val="28"/>
          <w:highlight w:val="none"/>
        </w:rPr>
        <w:t xml:space="preserve">二〇二六年</w:t>
      </w:r>
      <w:r>
        <w:rPr>
          <w:rStyle w:val="1303"/>
          <w:rFonts w:hint="eastAsia" w:hAnsi="宋体" w:cs="宋体"/>
          <w:color w:val="auto"/>
          <w:sz w:val="28"/>
          <w:szCs w:val="28"/>
          <w:highlight w:val="none"/>
          <w:lang w:val="en-US" w:eastAsia="zh-CN"/>
        </w:rPr>
        <w:t xml:space="preserve">五</w:t>
      </w:r>
      <w:r>
        <w:rPr>
          <w:rStyle w:val="1303"/>
          <w:rFonts w:hint="eastAsia" w:hAnsi="宋体" w:cs="宋体"/>
          <w:color w:val="auto"/>
          <w:sz w:val="28"/>
          <w:szCs w:val="28"/>
          <w:highlight w:val="none"/>
        </w:rPr>
        <w:t xml:space="preserve">月</w:t>
      </w:r>
      <w:r>
        <w:rPr>
          <w:rStyle w:val="1303"/>
          <w:rFonts w:hint="eastAsia" w:hAnsi="宋体" w:cs="宋体"/>
          <w:color w:val="auto"/>
          <w:szCs w:val="24"/>
          <w:highlight w:val="none"/>
        </w:rPr>
        <w:t xml:space="preserve"> </w:t>
      </w:r>
      <w:r/>
    </w:p>
    <w:p>
      <w:pPr>
        <w:spacing w:line="312" w:lineRule="auto"/>
        <w:widowControl w:val="off"/>
        <w:rPr>
          <w:rFonts w:ascii="宋体" w:hAnsi="宋体" w:cs="宋体"/>
          <w:b/>
          <w:color w:val="auto"/>
          <w:sz w:val="24"/>
          <w:szCs w:val="24"/>
          <w:highlight w:val="none"/>
        </w:rPr>
      </w:pPr>
      <w:r>
        <w:rPr>
          <w:rFonts w:hint="eastAsia" w:ascii="宋体" w:hAnsi="宋体" w:cs="宋体"/>
          <w:b/>
          <w:bCs/>
          <w:color w:val="auto"/>
          <w:sz w:val="24"/>
          <w:szCs w:val="24"/>
          <w:highlight w:val="none"/>
        </w:rPr>
        <w:br w:type="page" w:clear="all"/>
      </w:r>
      <w:r/>
    </w:p>
    <w:sdt>
      <w:sdtPr>
        <w15:appearance w15:val="boundingBox"/>
        <w:id w:val="147480767"/>
        <w:docPartObj>
          <w:docPartGallery w:val="Table of Contents"/>
          <w:docPartUnique w:val="true"/>
        </w:docPartObj>
        <w:rPr>
          <w:rFonts w:hint="eastAsia" w:ascii="宋体" w:hAnsi="宋体" w:eastAsia="等线 Light" w:cs="宋体"/>
          <w:color w:val="auto"/>
          <w:sz w:val="24"/>
          <w:szCs w:val="24"/>
          <w:highlight w:val="none"/>
        </w:rPr>
      </w:sdtPr>
      <w:sdtContent>
        <w:p>
          <w:pPr>
            <w:jc w:val="center"/>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目录</w:t>
          </w:r>
          <w:r/>
        </w:p>
        <w:p>
          <w:pPr>
            <w:pStyle w:val="1032"/>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zh-CN"/>
            </w:rPr>
            <w:fldChar w:fldCharType="begin"/>
          </w:r>
          <w:r>
            <w:rPr>
              <w:rFonts w:hint="eastAsia" w:ascii="宋体" w:hAnsi="宋体" w:cs="宋体"/>
              <w:b/>
              <w:bCs/>
              <w:color w:val="auto"/>
              <w:sz w:val="24"/>
              <w:szCs w:val="24"/>
              <w:highlight w:val="none"/>
              <w:lang w:val="zh-CN"/>
            </w:rPr>
            <w:instrText xml:space="preserve">TOC \o "1-2" \h \u </w:instrText>
          </w:r>
          <w:r>
            <w:rPr>
              <w:rFonts w:hint="eastAsia" w:ascii="宋体" w:hAnsi="宋体" w:cs="宋体"/>
              <w:b/>
              <w:bCs/>
              <w:color w:val="auto"/>
              <w:sz w:val="24"/>
              <w:szCs w:val="24"/>
              <w:highlight w:val="none"/>
              <w:lang w:val="zh-CN"/>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"_Toc6637"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lang w:bidi="ar"/>
            </w:rPr>
            <w:t xml:space="preserve">竞争性磋商公告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_Toc6637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32"/>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"_Toc26855"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第一章 项目说明</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_Toc26855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32"/>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"_Toc3287"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第二章 响应文件要求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_Toc3287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32"/>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"_Toc26207"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第三章 磋商相关说明</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_Toc26207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32"/>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"_Toc25069"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第四章 确定成交供应商及合同签订等</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_Toc25069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32"/>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"_Toc3645"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第五章 磋商文件的澄清或者修改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_Toc3645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32"/>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"_Toc17934"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第六章 询问和质疑</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_Toc17934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32"/>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"_Toc23372"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第七章 评分细则（综合评分法）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_Toc23372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32"/>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"_Toc19632"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第八章 项目要求（采购需求）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_Toc19632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32"/>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"_Toc28565"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第九章 响应文件相关格式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_Toc28565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4"/>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"_Toc16997"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一、承诺书</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_Toc16997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4"/>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"_Toc30057"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二、磋商报价表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_Toc30057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4"/>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三、分项价格表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4"/>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"_Toc16844"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四、投 标 承 诺 书</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_Toc16844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4"/>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"_Toc11988"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五、偏离表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_Toc11988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4"/>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"_Toc2849"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5.1商务偏离表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_Toc2849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4"/>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"_Toc8511"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5.2技术偏离表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_Toc8511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4"/>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"_Toc24131"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六、授权委托书</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_Toc24131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4"/>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"_Toc26568"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七、中小企业声明函</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_Toc26568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4"/>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"_Toc3451"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八、残疾人福利性单位声明函（非残疾人福利性单位可以不提供）</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_Toc3451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4"/>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"_Toc2515"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九、供应商参加政府采购活动前3年内在经营活动中没有重大违法记录的书面声明</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_Toc2515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4"/>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"_Toc28643"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十、具备履行合同所必需的设备和专业技术能力的书面声明</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_Toc28643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4"/>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"_Toc536"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十一、项目负责人承诺书</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_Toc536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4"/>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"_Toc15680"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十二、</w:t>
          </w:r>
          <w:r>
            <w:rPr>
              <w:rFonts w:hint="eastAsia" w:ascii="宋体" w:hAnsi="宋体" w:eastAsia="宋体" w:cs="宋体"/>
              <w:color w:val="auto"/>
              <w:sz w:val="24"/>
              <w:szCs w:val="24"/>
              <w:highlight w:val="none"/>
            </w:rPr>
            <w:t xml:space="preserve">甲控品牌材料投标产品承诺书</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_Toc15680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4"/>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"_Toc14753"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十三、响应文件编制及评分细则要求提供的其他资料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_Toc14753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4"/>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"_Toc29022"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十三、预付款保函支付条款模板</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_Toc29022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32"/>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"_Toc24634"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第十章 拟签订的合同文本</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_Toc24634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32"/>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"_Toc15200"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第一部分 合同协议书</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_Toc15200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32"/>
            <w:keepLines w:val="0"/>
            <w:keepNext w:val="0"/>
            <w:pageBreakBefore w:val="0"/>
            <w:spacing w:line="288" w:lineRule="auto"/>
            <w:widowControl/>
            <w:tabs>
              <w:tab w:val="right" w:pos="9692"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"_Toc13549"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第二部分 通用合同条款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_Toc13549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32"/>
            <w:keepLines w:val="0"/>
            <w:keepNext w:val="0"/>
            <w:pageBreakBefore w:val="0"/>
            <w:spacing w:line="288" w:lineRule="auto"/>
            <w:widowControl/>
            <w:tabs>
              <w:tab w:val="right" w:pos="9692" w:leader="dot"/>
            </w:tabs>
            <w:rPr>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"_Toc24759"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第三部分 专用合同条款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_Toc24759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397"/>
            <w:jc w:val="both"/>
            <w:keepLines w:val="0"/>
            <w:keepNext w:val="0"/>
            <w:spacing w:line="300" w:lineRule="auto"/>
            <w:widowControl w:val="off"/>
            <w:rPr>
              <w:rFonts w:ascii="宋体" w:hAnsi="宋体" w:eastAsia="宋体" w:cs="宋体"/>
              <w:b/>
              <w:bCs/>
              <w:color w:val="auto"/>
              <w:sz w:val="24"/>
              <w:szCs w:val="24"/>
              <w:highlight w:val="none"/>
              <w:lang w:val="zh-CN"/>
            </w:rPr>
          </w:pPr>
          <w:r>
            <w:rPr>
              <w:rFonts w:hint="eastAsia" w:ascii="宋体" w:hAnsi="宋体" w:eastAsia="宋体" w:cs="宋体"/>
              <w:bCs/>
              <w:color w:val="auto"/>
              <w:sz w:val="24"/>
              <w:szCs w:val="24"/>
              <w:highlight w:val="none"/>
              <w:lang w:val="zh-CN"/>
            </w:rPr>
            <w:fldChar w:fldCharType="end"/>
          </w:r>
          <w:r/>
        </w:p>
      </w:sdtContent>
    </w:sdt>
    <w:p>
      <w:pPr>
        <w:pStyle w:val="1055"/>
        <w:jc w:val="center"/>
        <w:spacing w:line="312" w:lineRule="auto"/>
        <w:widowControl w:val="off"/>
        <w:rPr>
          <w:rStyle w:val="1303"/>
          <w:rFonts w:hAnsi="宋体" w:cs="宋体"/>
          <w:b/>
          <w:color w:val="auto"/>
          <w:sz w:val="44"/>
          <w:szCs w:val="44"/>
          <w:highlight w:val="none"/>
        </w:rPr>
      </w:pPr>
      <w:r>
        <w:rPr>
          <w:rStyle w:val="1303"/>
          <w:rFonts w:hint="eastAsia" w:hAnsi="宋体" w:cs="宋体"/>
          <w:b/>
          <w:color w:val="auto"/>
          <w:sz w:val="44"/>
          <w:szCs w:val="44"/>
          <w:highlight w:val="none"/>
        </w:rPr>
        <w:t xml:space="preserve">竞争性磋商文件</w:t>
      </w:r>
      <w:r/>
    </w:p>
    <w:p>
      <w:pPr>
        <w:pStyle w:val="1055"/>
        <w:jc w:val="center"/>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项目编号：</w:t>
      </w:r>
      <w:r>
        <w:rPr>
          <w:rStyle w:val="1303"/>
          <w:rFonts w:hint="eastAsia" w:hAnsi="宋体" w:cs="宋体"/>
          <w:color w:val="auto"/>
          <w:szCs w:val="24"/>
          <w:highlight w:val="none"/>
          <w:lang w:eastAsia="zh-CN"/>
        </w:rPr>
        <w:t xml:space="preserve">JSZC-320000-JSKJ-C2026-0011</w:t>
      </w:r>
      <w:r>
        <w:rPr>
          <w:rStyle w:val="1303"/>
          <w:rFonts w:hint="eastAsia" w:hAnsi="宋体" w:cs="宋体"/>
          <w:color w:val="auto"/>
          <w:szCs w:val="24"/>
          <w:highlight w:val="none"/>
        </w:rPr>
        <w:t xml:space="preserve"> </w:t>
      </w:r>
      <w:r/>
    </w:p>
    <w:p>
      <w:pPr>
        <w:pStyle w:val="1055"/>
        <w:ind w:firstLine="499"/>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szCs w:val="24"/>
          <w:highlight w:val="none"/>
          <w:u w:val="single"/>
        </w:rPr>
        <w:t xml:space="preserve">江苏科建工程项目管理有限公司</w:t>
      </w:r>
      <w:r>
        <w:rPr>
          <w:rStyle w:val="1303"/>
          <w:rFonts w:hint="eastAsia" w:hAnsi="宋体" w:cs="宋体"/>
          <w:color w:val="auto"/>
          <w:szCs w:val="24"/>
          <w:highlight w:val="none"/>
        </w:rPr>
        <w:t xml:space="preserve">对</w:t>
      </w:r>
      <w:r>
        <w:rPr>
          <w:rFonts w:hint="eastAsia" w:ascii="宋体" w:hAnsi="宋体" w:cs="宋体"/>
          <w:color w:val="auto"/>
          <w:sz w:val="24"/>
          <w:szCs w:val="24"/>
          <w:highlight w:val="none"/>
          <w:u w:val="single"/>
          <w:lang w:eastAsia="zh-CN"/>
        </w:rPr>
        <w:t xml:space="preserve">会见楼1、2层维修改造项目土建装饰工程</w:t>
      </w:r>
      <w:r>
        <w:rPr>
          <w:rStyle w:val="1303"/>
          <w:rFonts w:hint="eastAsia" w:hAnsi="宋体" w:cs="宋体"/>
          <w:color w:val="auto"/>
          <w:szCs w:val="24"/>
          <w:highlight w:val="none"/>
        </w:rPr>
        <w:t xml:space="preserve">采取竞争性磋商采购方式进行采购。</w:t>
      </w:r>
      <w:r>
        <w:rPr>
          <w:rFonts w:hint="eastAsia" w:ascii="宋体" w:hAnsi="宋体" w:cs="宋体"/>
          <w:color w:val="auto"/>
          <w:sz w:val="24"/>
          <w:szCs w:val="24"/>
          <w:highlight w:val="none"/>
        </w:rPr>
        <w:t xml:space="preserve">欢迎符合相应资格条件的供应商</w:t>
      </w:r>
      <w:r>
        <w:rPr>
          <w:rStyle w:val="1303"/>
          <w:rFonts w:hint="eastAsia" w:hAnsi="宋体" w:cs="宋体"/>
          <w:color w:val="auto"/>
          <w:szCs w:val="24"/>
          <w:highlight w:val="none"/>
        </w:rPr>
        <w:t xml:space="preserve">按以下竞争性磋商文件（以下简称磋商文件）要求参加磋商。</w:t>
      </w:r>
      <w:r/>
    </w:p>
    <w:p>
      <w:pPr>
        <w:pStyle w:val="1272"/>
        <w:jc w:val="center"/>
        <w:keepLines w:val="0"/>
        <w:keepNext w:val="0"/>
        <w:spacing w:line="312" w:lineRule="auto"/>
        <w:widowControl w:val="off"/>
        <w:rPr>
          <w:rStyle w:val="1303"/>
          <w:rFonts w:hAnsi="宋体" w:cs="宋体"/>
          <w:color w:val="auto"/>
          <w:szCs w:val="24"/>
          <w:highlight w:val="none"/>
        </w:rPr>
      </w:pPr>
      <w:r/>
      <w:bookmarkStart w:id="0" w:name="_Toc26855"/>
      <w:r/>
      <w:bookmarkStart w:id="1" w:name="_Toc21952"/>
      <w:r/>
      <w:bookmarkStart w:id="2" w:name="_Toc80122283"/>
      <w:r>
        <w:rPr>
          <w:rStyle w:val="1303"/>
          <w:rFonts w:hint="eastAsia" w:hAnsi="宋体" w:cs="宋体"/>
          <w:color w:val="auto"/>
          <w:szCs w:val="24"/>
          <w:highlight w:val="none"/>
        </w:rPr>
        <w:t xml:space="preserve">第一章 项目说明</w:t>
      </w:r>
      <w:bookmarkEnd w:id="0"/>
      <w:r/>
      <w:bookmarkEnd w:id="1"/>
      <w:r/>
      <w:bookmarkEnd w:id="2"/>
      <w:r/>
      <w:r/>
    </w:p>
    <w:p>
      <w:pPr>
        <w:pStyle w:val="1055"/>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一、项目概况</w:t>
      </w:r>
      <w:r/>
    </w:p>
    <w:p>
      <w:pPr>
        <w:pStyle w:val="1055"/>
        <w:ind w:firstLine="480"/>
        <w:jc w:val="left"/>
        <w:spacing w:line="312" w:lineRule="auto"/>
        <w:widowControl w:val="off"/>
        <w:rPr>
          <w:rFonts w:hint="eastAsia" w:ascii="宋体" w:hAnsi="宋体" w:eastAsia="宋体" w:cs="宋体"/>
          <w:b/>
          <w:color w:val="auto"/>
          <w:sz w:val="24"/>
          <w:szCs w:val="24"/>
          <w:highlight w:val="none"/>
          <w:lang w:eastAsia="zh-CN"/>
        </w:rPr>
      </w:pPr>
      <w:r>
        <w:rPr>
          <w:rFonts w:hint="eastAsia" w:ascii="宋体" w:hAnsi="宋体" w:cs="宋体"/>
          <w:color w:val="auto"/>
          <w:sz w:val="24"/>
          <w:szCs w:val="24"/>
          <w:highlight w:val="none"/>
        </w:rPr>
        <w:t xml:space="preserve">1、采 购 人：江苏省</w:t>
      </w:r>
      <w:r>
        <w:rPr>
          <w:rFonts w:hint="eastAsia" w:ascii="宋体" w:hAnsi="宋体" w:cs="宋体"/>
          <w:color w:val="auto"/>
          <w:sz w:val="24"/>
          <w:szCs w:val="24"/>
          <w:highlight w:val="none"/>
          <w:lang w:eastAsia="zh-CN"/>
        </w:rPr>
        <w:t xml:space="preserve">徐州监狱</w:t>
      </w:r>
      <w:r/>
    </w:p>
    <w:p>
      <w:pPr>
        <w:pStyle w:val="1055"/>
        <w:ind w:firstLine="480"/>
        <w:jc w:val="left"/>
        <w:spacing w:line="312" w:lineRule="auto"/>
        <w:widowControl w:val="off"/>
        <w:rPr>
          <w:rFonts w:hint="eastAsia" w:ascii="宋体" w:hAnsi="宋体" w:eastAsia="宋体" w:cs="宋体"/>
          <w:color w:val="auto"/>
          <w:sz w:val="24"/>
          <w:szCs w:val="24"/>
          <w:highlight w:val="none"/>
          <w:lang w:eastAsia="zh-CN"/>
        </w:rPr>
      </w:pPr>
      <w:r>
        <w:rPr>
          <w:rFonts w:hint="eastAsia" w:ascii="宋体" w:hAnsi="宋体" w:cs="宋体"/>
          <w:bCs/>
          <w:color w:val="auto"/>
          <w:sz w:val="24"/>
          <w:szCs w:val="24"/>
          <w:highlight w:val="none"/>
        </w:rPr>
        <w:t xml:space="preserve">2、项目名称</w:t>
      </w:r>
      <w:r>
        <w:rPr>
          <w:rFonts w:hint="eastAsia" w:ascii="宋体" w:hAnsi="宋体" w:cs="宋体"/>
          <w:color w:val="auto"/>
          <w:sz w:val="24"/>
          <w:szCs w:val="24"/>
          <w:highlight w:val="none"/>
        </w:rPr>
        <w:t xml:space="preserve">：</w:t>
      </w:r>
      <w:r>
        <w:rPr>
          <w:rStyle w:val="1303"/>
          <w:rFonts w:hint="eastAsia" w:hAnsi="宋体" w:cs="宋体"/>
          <w:color w:val="auto"/>
          <w:szCs w:val="24"/>
          <w:highlight w:val="none"/>
          <w:lang w:eastAsia="zh-CN"/>
        </w:rPr>
        <w:t xml:space="preserve">会见楼1、2层维修改造项目土建装饰工程</w:t>
      </w:r>
      <w:r>
        <w:rPr>
          <w:rFonts w:hint="eastAsia" w:ascii="宋体" w:hAnsi="宋体" w:cs="宋体"/>
          <w:color w:val="auto"/>
          <w:sz w:val="24"/>
          <w:szCs w:val="24"/>
          <w:highlight w:val="none"/>
        </w:rPr>
        <w:t xml:space="preserve">3、项目编号：</w:t>
      </w:r>
      <w:r>
        <w:rPr>
          <w:rStyle w:val="1303"/>
          <w:rFonts w:hint="eastAsia" w:hAnsi="宋体" w:cs="宋体"/>
          <w:color w:val="auto"/>
          <w:szCs w:val="24"/>
          <w:highlight w:val="none"/>
          <w:lang w:eastAsia="zh-CN"/>
        </w:rPr>
        <w:t xml:space="preserve">JSZC-320000-JSKJ-C2026-0011</w:t>
      </w:r>
      <w:r/>
    </w:p>
    <w:p>
      <w:pPr>
        <w:pStyle w:val="1055"/>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4、采购预算（采购项目预算金额）：详见第八章《项目要求（采购需求）》。</w:t>
      </w:r>
      <w:r/>
    </w:p>
    <w:p>
      <w:pPr>
        <w:pStyle w:val="1055"/>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二、采购需求：详见第八章《项目要求（采购需求）》。</w:t>
      </w:r>
      <w:r/>
    </w:p>
    <w:p>
      <w:pPr>
        <w:pStyle w:val="1055"/>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三、采购方式：本项目采用竞争性磋商采购方式。</w:t>
      </w:r>
      <w:r/>
    </w:p>
    <w:p>
      <w:pPr>
        <w:pStyle w:val="1055"/>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四、采购人确定的采购项目属性：工程。</w:t>
      </w:r>
      <w:r/>
    </w:p>
    <w:p>
      <w:pPr>
        <w:pStyle w:val="1055"/>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五、采购邀请：通过发布公告的方式欢迎符合相应资格条件的供应商参与竞争性磋商采购活动。</w:t>
      </w:r>
      <w:r/>
    </w:p>
    <w:p>
      <w:pPr>
        <w:pStyle w:val="1055"/>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六、合同草案条款：见《磋商文件》第十章《拟签订的合同文本》。</w:t>
      </w:r>
      <w:r/>
    </w:p>
    <w:p>
      <w:pPr>
        <w:pStyle w:val="1055"/>
        <w:jc w:val="left"/>
        <w:spacing w:line="312" w:lineRule="auto"/>
        <w:widowControl w:val="off"/>
        <w:rPr>
          <w:rFonts w:ascii="宋体" w:hAnsi="宋体" w:cs="宋体"/>
          <w:color w:val="auto"/>
          <w:sz w:val="24"/>
          <w:szCs w:val="24"/>
          <w:highlight w:val="none"/>
        </w:rPr>
      </w:pPr>
      <w:r>
        <w:rPr>
          <w:rFonts w:hint="eastAsia" w:ascii="宋体" w:hAnsi="宋体" w:cs="宋体"/>
          <w:bCs/>
          <w:color w:val="auto"/>
          <w:sz w:val="24"/>
          <w:szCs w:val="24"/>
          <w:highlight w:val="none"/>
        </w:rPr>
        <w:t xml:space="preserve">七、供应商</w:t>
      </w:r>
      <w:r>
        <w:rPr>
          <w:rFonts w:hint="eastAsia" w:ascii="宋体" w:hAnsi="宋体" w:cs="宋体"/>
          <w:color w:val="auto"/>
          <w:sz w:val="24"/>
          <w:szCs w:val="24"/>
          <w:highlight w:val="none"/>
        </w:rPr>
        <w:t xml:space="preserve">资格条件</w:t>
      </w:r>
      <w:r/>
    </w:p>
    <w:p>
      <w:pPr>
        <w:pStyle w:val="1055"/>
        <w:ind w:left="42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详见本项目竞争性磋商公告（项目编号：</w:t>
      </w:r>
      <w:r>
        <w:rPr>
          <w:rStyle w:val="1303"/>
          <w:rFonts w:hint="eastAsia" w:hAnsi="宋体" w:cs="宋体"/>
          <w:color w:val="auto"/>
          <w:szCs w:val="24"/>
          <w:highlight w:val="none"/>
          <w:lang w:eastAsia="zh-CN"/>
        </w:rPr>
        <w:t xml:space="preserve">JSZC-320000-JSKJ-C2026-0011</w:t>
      </w:r>
      <w:r>
        <w:rPr>
          <w:rFonts w:hint="eastAsia" w:ascii="宋体" w:hAnsi="宋体" w:cs="宋体"/>
          <w:color w:val="auto"/>
          <w:sz w:val="24"/>
          <w:szCs w:val="24"/>
          <w:highlight w:val="none"/>
        </w:rPr>
        <w:t xml:space="preserve">）。</w:t>
      </w:r>
      <w:r/>
    </w:p>
    <w:p>
      <w:pPr>
        <w:pStyle w:val="1055"/>
        <w:jc w:val="left"/>
        <w:spacing w:line="312" w:lineRule="auto"/>
        <w:widowControl w:val="off"/>
        <w:rPr>
          <w:rStyle w:val="1303"/>
          <w:rFonts w:hAnsi="宋体" w:cs="宋体"/>
          <w:b/>
          <w:bCs/>
          <w:color w:val="auto"/>
          <w:szCs w:val="24"/>
          <w:highlight w:val="none"/>
        </w:rPr>
      </w:pPr>
      <w:r>
        <w:rPr>
          <w:rStyle w:val="1303"/>
          <w:rFonts w:hint="eastAsia" w:hAnsi="宋体" w:cs="宋体"/>
          <w:b/>
          <w:bCs/>
          <w:color w:val="auto"/>
          <w:szCs w:val="24"/>
          <w:highlight w:val="none"/>
        </w:rPr>
        <w:t xml:space="preserve">八、报价要求</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1、供应商报价为要约，采购人无承诺表示时视为未成交，采购人认为必要时可重新进行竞争性磋商采购或采取其它方式采购。</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2、按照《磋商报价表》要求填写首次报价。</w:t>
      </w:r>
      <w:r/>
    </w:p>
    <w:p>
      <w:pPr>
        <w:pStyle w:val="1055"/>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1055"/>
        <w:jc w:val="left"/>
        <w:spacing w:line="312" w:lineRule="auto"/>
        <w:widowControl w:val="off"/>
        <w:rPr>
          <w:rStyle w:val="1303"/>
          <w:rFonts w:hAnsi="宋体" w:cs="宋体"/>
          <w:color w:val="auto"/>
          <w:szCs w:val="24"/>
          <w:highlight w:val="none"/>
        </w:rPr>
      </w:pPr>
      <w:r/>
      <w:bookmarkStart w:id="3" w:name="_Toc80122284"/>
      <w:r>
        <w:rPr>
          <w:rStyle w:val="1303"/>
          <w:rFonts w:hint="eastAsia" w:hAnsi="宋体" w:cs="宋体"/>
          <w:color w:val="auto"/>
          <w:szCs w:val="24"/>
          <w:highlight w:val="none"/>
        </w:rPr>
        <w:t xml:space="preserve">九、</w:t>
      </w:r>
      <w:r>
        <w:rPr>
          <w:rFonts w:hint="eastAsia" w:ascii="宋体" w:hAnsi="宋体" w:cs="宋体"/>
          <w:color w:val="auto"/>
          <w:sz w:val="24"/>
          <w:szCs w:val="24"/>
          <w:highlight w:val="none"/>
        </w:rPr>
        <w:t xml:space="preserve">供应商提交磋商保证金：不需交纳。</w:t>
      </w:r>
      <w:r/>
    </w:p>
    <w:p>
      <w:pPr>
        <w:pStyle w:val="1272"/>
        <w:jc w:val="center"/>
        <w:keepLines w:val="0"/>
        <w:keepNext w:val="0"/>
        <w:spacing w:before="0" w:after="0" w:line="312" w:lineRule="auto"/>
        <w:widowControl w:val="off"/>
        <w:rPr>
          <w:rStyle w:val="1303"/>
          <w:rFonts w:hAnsi="宋体" w:cs="宋体"/>
          <w:color w:val="auto"/>
          <w:szCs w:val="24"/>
          <w:highlight w:val="none"/>
        </w:rPr>
      </w:pPr>
      <w:r/>
      <w:bookmarkStart w:id="4" w:name="_Toc53"/>
      <w:r/>
      <w:bookmarkStart w:id="5" w:name="_Toc3287"/>
      <w:r>
        <w:rPr>
          <w:rStyle w:val="1303"/>
          <w:rFonts w:hint="eastAsia" w:hAnsi="宋体" w:cs="宋体"/>
          <w:color w:val="auto"/>
          <w:szCs w:val="24"/>
          <w:highlight w:val="none"/>
        </w:rPr>
        <w:t xml:space="preserve">第二章 响应文件要求</w:t>
      </w:r>
      <w:bookmarkEnd w:id="3"/>
      <w:r/>
      <w:bookmarkEnd w:id="4"/>
      <w:r/>
      <w:bookmarkEnd w:id="5"/>
      <w:r/>
      <w:r/>
    </w:p>
    <w:p>
      <w:pPr>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十、获取竞争性磋商文件：详见本项目竞争性磋商公告。</w:t>
      </w:r>
      <w:r/>
    </w:p>
    <w:p>
      <w:pPr>
        <w:jc w:val="left"/>
        <w:spacing w:line="312"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十一、提交响应文件要求</w:t>
      </w:r>
      <w:r/>
    </w:p>
    <w:p>
      <w:pPr>
        <w:jc w:val="center"/>
        <w:spacing w:line="312"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12"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12" w:lineRule="auto"/>
        <w:rPr>
          <w:rFonts w:ascii="宋体" w:hAnsi="宋体" w:cs="宋体"/>
          <w:bCs/>
          <w:color w:val="auto"/>
          <w:sz w:val="24"/>
          <w:szCs w:val="24"/>
          <w:highlight w:val="none"/>
        </w:rPr>
      </w:pPr>
      <w:r>
        <w:rPr>
          <w:rFonts w:hint="eastAsia" w:ascii="宋体" w:hAnsi="宋体" w:cs="宋体"/>
          <w:b/>
          <w:color w:val="auto"/>
          <w:sz w:val="24"/>
          <w:szCs w:val="24"/>
          <w:highlight w:val="none"/>
        </w:rPr>
        <w:t xml:space="preserve">第一部分 基本要求</w:t>
      </w:r>
      <w:r/>
    </w:p>
    <w:p>
      <w:pPr>
        <w:ind w:firstLine="480"/>
        <w:jc w:val="lef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（一）本项目通过“苏采云”系统进行电子采购，即供应商响应文件从政府采购客户端工具制作并通过“苏采云”系统提交。</w:t>
      </w:r>
      <w:r/>
    </w:p>
    <w:p>
      <w:pPr>
        <w:ind w:firstLine="480"/>
        <w:jc w:val="lef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w:t>
      </w:r>
      <w:r>
        <w:rPr>
          <w:rStyle w:val="1303"/>
          <w:rFonts w:hint="eastAsia" w:hAnsi="宋体" w:cs="宋体"/>
          <w:color w:val="auto"/>
          <w:szCs w:val="24"/>
          <w:highlight w:val="none"/>
        </w:rPr>
        <w:t xml:space="preserve">取：</w:t>
      </w:r>
      <w:r>
        <w:rPr>
          <w:rFonts w:hint="eastAsia" w:ascii="宋体" w:hAnsi="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bCs/>
          <w:color w:val="auto"/>
          <w:sz w:val="24"/>
          <w:szCs w:val="24"/>
          <w:highlight w:val="none"/>
        </w:rPr>
        <w:t xml:space="preserve">。</w:t>
      </w:r>
      <w:r/>
    </w:p>
    <w:p>
      <w:pPr>
        <w:ind w:firstLine="480"/>
        <w:jc w:val="lef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Style w:val="1303"/>
          <w:rFonts w:hint="eastAsia" w:hAnsi="宋体" w:cs="宋体"/>
          <w:color w:val="auto"/>
          <w:szCs w:val="24"/>
          <w:highlight w:val="none"/>
        </w:rPr>
        <w:t xml:space="preserve">使用需要第三方认证的电子签名、数据电文，通过互联网方式提交首次响应文件。即：使用“电子签名认证证书（CA数字证书）”登录“苏采云”系统</w:t>
      </w:r>
      <w:r>
        <w:rPr>
          <w:rFonts w:hint="eastAsia" w:ascii="宋体" w:hAnsi="宋体" w:cs="宋体"/>
          <w:bCs/>
          <w:color w:val="auto"/>
          <w:sz w:val="24"/>
          <w:szCs w:val="24"/>
          <w:highlight w:val="none"/>
        </w:rPr>
        <w:t xml:space="preserve">（网址：http://jszfcg.jsczt.cn/；或进入徐州政府采购网（网址：https://czj.xz.gov.cn/zfcg/index.html）--业务工作--用户登录，点击“苏采云”进入系统），按照要求通过互联网方式提交首次响应文件。</w:t>
      </w:r>
      <w:r/>
    </w:p>
    <w:p>
      <w:pPr>
        <w:ind w:firstLine="482"/>
        <w:jc w:val="left"/>
        <w:spacing w:line="312"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4、“苏采云”系统使用要求：</w:t>
      </w:r>
      <w:r/>
    </w:p>
    <w:p>
      <w:pPr>
        <w:ind w:firstLine="480"/>
        <w:jc w:val="lef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4.1使用谷歌浏览器参与不见面开标及磋商环节。</w:t>
      </w:r>
      <w:r/>
    </w:p>
    <w:p>
      <w:pPr>
        <w:ind w:firstLine="480"/>
        <w:jc w:val="lef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4.2电脑需提前准备好麦克风、音响，摄像头，提前检查保证能够正常使用。</w:t>
      </w:r>
      <w:r/>
    </w:p>
    <w:p>
      <w:pPr>
        <w:ind w:firstLine="480"/>
        <w:jc w:val="lef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4.3操作系统至少win7以上，建议使用win10操作系统。</w:t>
      </w:r>
      <w:r/>
    </w:p>
    <w:p>
      <w:pPr>
        <w:ind w:firstLine="480"/>
        <w:jc w:val="left"/>
        <w:spacing w:line="312"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（二</w:t>
      </w:r>
      <w:r>
        <w:rPr>
          <w:rFonts w:hint="eastAsia" w:ascii="宋体" w:hAnsi="宋体" w:cs="宋体"/>
          <w:bCs/>
          <w:color w:val="auto"/>
          <w:sz w:val="24"/>
          <w:szCs w:val="24"/>
          <w:highlight w:val="none"/>
        </w:rPr>
        <w:t xml:space="preserve">）首次响应文件提交时间、地点：：</w:t>
      </w:r>
      <w:r/>
    </w:p>
    <w:p>
      <w:pPr>
        <w:ind w:firstLine="480"/>
        <w:jc w:val="lef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1、首次响应文件提交的截止时间：</w:t>
      </w:r>
      <w:r>
        <w:rPr>
          <w:rFonts w:hint="eastAsia" w:ascii="宋体" w:hAnsi="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rPr>
        <w:t xml:space="preserve">年5月</w:t>
      </w:r>
      <w:r>
        <w:rPr>
          <w:rFonts w:hint="eastAsia" w:ascii="宋体" w:hAnsi="宋体" w:cs="宋体"/>
          <w:b/>
          <w:color w:val="auto"/>
          <w:sz w:val="24"/>
          <w:szCs w:val="24"/>
          <w:highlight w:val="none"/>
          <w:lang w:eastAsia="zh-CN"/>
        </w:rPr>
        <w:t xml:space="preserve">18</w:t>
      </w:r>
      <w:r>
        <w:rPr>
          <w:rFonts w:hint="eastAsia" w:ascii="宋体" w:hAnsi="宋体" w:cs="宋体"/>
          <w:b/>
          <w:color w:val="auto"/>
          <w:sz w:val="24"/>
          <w:szCs w:val="24"/>
          <w:highlight w:val="none"/>
        </w:rPr>
        <w:t xml:space="preserve">日09：30（北京时间）</w:t>
      </w:r>
      <w:r>
        <w:rPr>
          <w:rFonts w:hint="eastAsia" w:ascii="宋体" w:hAnsi="宋体" w:cs="宋体"/>
          <w:bCs/>
          <w:color w:val="auto"/>
          <w:sz w:val="24"/>
          <w:szCs w:val="24"/>
          <w:highlight w:val="none"/>
        </w:rPr>
        <w:t xml:space="preserve">，截止时间后提交的响应文件为无效文件将被拒收。</w:t>
      </w:r>
      <w:r/>
    </w:p>
    <w:p>
      <w:pPr>
        <w:ind w:firstLine="480"/>
        <w:jc w:val="left"/>
        <w:spacing w:line="312"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2、提交首次响应文</w:t>
      </w:r>
      <w:r>
        <w:rPr>
          <w:rFonts w:hint="eastAsia" w:ascii="宋体" w:hAnsi="宋体" w:cs="宋体"/>
          <w:color w:val="auto"/>
          <w:sz w:val="24"/>
          <w:szCs w:val="24"/>
          <w:highlight w:val="none"/>
        </w:rPr>
        <w:t xml:space="preserve">件地点：“苏采云”系统（网址：http://jszfcg.jsczt.cn/）“开标大厅”。</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3、首次响应文件开启时间：</w:t>
      </w:r>
      <w:r>
        <w:rPr>
          <w:rFonts w:hint="eastAsia" w:ascii="宋体" w:hAnsi="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rPr>
        <w:t xml:space="preserve">年5月</w:t>
      </w:r>
      <w:r>
        <w:rPr>
          <w:rFonts w:hint="eastAsia" w:ascii="宋体" w:hAnsi="宋体" w:cs="宋体"/>
          <w:b/>
          <w:color w:val="auto"/>
          <w:sz w:val="24"/>
          <w:szCs w:val="24"/>
          <w:highlight w:val="none"/>
          <w:lang w:eastAsia="zh-CN"/>
        </w:rPr>
        <w:t xml:space="preserve">18</w:t>
      </w:r>
      <w:r>
        <w:rPr>
          <w:rFonts w:hint="eastAsia" w:ascii="宋体" w:hAnsi="宋体" w:cs="宋体"/>
          <w:b/>
          <w:color w:val="auto"/>
          <w:sz w:val="24"/>
          <w:szCs w:val="24"/>
          <w:highlight w:val="none"/>
        </w:rPr>
        <w:t xml:space="preserve">日 09：30</w:t>
      </w:r>
      <w:r>
        <w:rPr>
          <w:rFonts w:hint="eastAsia" w:ascii="宋体" w:hAnsi="宋体" w:cs="宋体"/>
          <w:b/>
          <w:bCs/>
          <w:color w:val="auto"/>
          <w:sz w:val="24"/>
          <w:szCs w:val="24"/>
          <w:highlight w:val="none"/>
        </w:rPr>
        <w:t xml:space="preserve">（北京时间）</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4、首次响应文件开启地点：“苏采云”系统（网址：http://jszfcg.jsczt.cn/）“开标大厅”。</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（四）不接受不按要求加盖公章（电子签章）的首次响应文件。电子签章相关要求见“苏采云”系统。</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宋体" w:hAnsi="宋体" w:cs="宋体"/>
          <w:b/>
          <w:color w:val="auto"/>
          <w:sz w:val="24"/>
          <w:szCs w:val="24"/>
          <w:highlight w:val="none"/>
        </w:rPr>
        <w:t xml:space="preserve">开启后“苏采云”系统提示解密30分钟内，通过“苏采云”系统</w:t>
      </w:r>
      <w:r>
        <w:rPr>
          <w:rFonts w:hint="eastAsia" w:ascii="宋体" w:hAnsi="宋体" w:cs="宋体"/>
          <w:color w:val="auto"/>
          <w:sz w:val="24"/>
          <w:szCs w:val="24"/>
          <w:highlight w:val="none"/>
        </w:rPr>
        <w:t xml:space="preserve">（使用“CA数字证书”）解密。</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（六）采购文件（后缀名为“.kedt”）、供应商操作手册及政府采购客户端工具可通过“苏采云”系统（网址：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50"/>
          <w:rFonts w:hint="eastAsia" w:ascii="宋体" w:hAnsi="宋体" w:cs="宋体"/>
          <w:color w:val="auto"/>
          <w:sz w:val="24"/>
          <w:szCs w:val="24"/>
          <w:highlight w:val="none"/>
        </w:rPr>
        <w:t xml:space="preserve">http://jszfcg.jsczt.cn/</w:t>
      </w:r>
      <w:r>
        <w:rPr>
          <w:rStyle w:val="1050"/>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（七）相关说明: 供应商在“苏采云”系统中提交首次响应文件的时间即为数据电文（响应文件，下同）的发送时间和接收时间。</w:t>
      </w:r>
      <w:r/>
    </w:p>
    <w:p>
      <w:pPr>
        <w:jc w:val="center"/>
        <w:spacing w:line="312"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第二部分 响应文件组成</w:t>
      </w:r>
      <w:r/>
    </w:p>
    <w:p>
      <w:pPr>
        <w:jc w:val="left"/>
        <w:spacing w:line="312"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十二、响应文件编制要求，请按照以下要求（包括但不限于以下要求）制作：</w:t>
      </w:r>
      <w:r/>
    </w:p>
    <w:p>
      <w:pPr>
        <w:jc w:val="left"/>
        <w:spacing w:line="312"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（一）基本目录</w:t>
      </w:r>
      <w:r/>
    </w:p>
    <w:p>
      <w:pPr>
        <w:ind w:firstLine="480"/>
        <w:jc w:val="lef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color w:val="auto"/>
          <w:sz w:val="24"/>
          <w:szCs w:val="24"/>
          <w:highlight w:val="none"/>
        </w:rPr>
        <w:t xml:space="preserve">《磋商报价表》（加盖电子签章，格式见磋商文件《响应文件相关格式》；或</w:t>
      </w:r>
      <w:r>
        <w:rPr>
          <w:rFonts w:hint="eastAsia" w:ascii="宋体" w:hAnsi="宋体" w:cs="宋体"/>
          <w:bCs/>
          <w:color w:val="auto"/>
          <w:sz w:val="24"/>
          <w:szCs w:val="24"/>
          <w:highlight w:val="none"/>
        </w:rPr>
        <w:t xml:space="preserve">政府采购客户端工具输入报价自动生成）；</w:t>
      </w:r>
      <w:r/>
    </w:p>
    <w:p>
      <w:pPr>
        <w:ind w:firstLine="480"/>
        <w:jc w:val="lef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2、供应商认为需要提供的其他资料的扫描件（如有）。</w:t>
      </w:r>
      <w:r/>
    </w:p>
    <w:p>
      <w:pPr>
        <w:jc w:val="left"/>
        <w:spacing w:line="312" w:lineRule="auto"/>
        <w:rPr>
          <w:rFonts w:ascii="宋体" w:hAnsi="宋体" w:cs="宋体"/>
          <w:bCs/>
          <w:color w:val="auto"/>
          <w:sz w:val="24"/>
          <w:szCs w:val="24"/>
          <w:highlight w:val="none"/>
        </w:rPr>
      </w:pPr>
      <w:r>
        <w:rPr>
          <w:rFonts w:hint="eastAsia" w:ascii="宋体" w:hAnsi="宋体" w:cs="宋体"/>
          <w:b/>
          <w:bCs/>
          <w:color w:val="auto"/>
          <w:sz w:val="24"/>
          <w:szCs w:val="24"/>
          <w:highlight w:val="none"/>
        </w:rPr>
        <w:t xml:space="preserve">（二）资格审查条件（1-7项必须提供，否则</w:t>
      </w:r>
      <w:r>
        <w:rPr>
          <w:rFonts w:hint="eastAsia" w:ascii="宋体" w:hAnsi="宋体" w:cs="宋体"/>
          <w:b/>
          <w:color w:val="auto"/>
          <w:sz w:val="24"/>
          <w:szCs w:val="24"/>
          <w:highlight w:val="none"/>
        </w:rPr>
        <w:t xml:space="preserve">响应无效</w:t>
      </w:r>
      <w:r>
        <w:rPr>
          <w:rFonts w:hint="eastAsia" w:ascii="宋体" w:hAnsi="宋体" w:cs="宋体"/>
          <w:bCs/>
          <w:color w:val="auto"/>
          <w:sz w:val="24"/>
          <w:szCs w:val="24"/>
          <w:highlight w:val="none"/>
        </w:rPr>
        <w:t xml:space="preserve">）</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1.具有独立承担民事责任的能力，提供供应商合法有效的营业执照扫描件（或事业单位法人证书扫描件，或民办非企业单位登记证书扫描件）；</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财务状况报告（至少提供供应商的本项目开标时间前6个月内任何时间的资产负债表和利润表扫描件各一份；或提供供应商（2024年度或2025年度）经审计的财务报告扫描件一份；或提供供应商的本项目开标时间前6个月内银行出具的资信证明扫描件一份）；</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具有履行合同所必需的设备和专业技术能力的证明（响应文件中提供《具备履行合同所必需的设备和专业技术能力的书面声明（附证明材料扫描件）》，加盖电子签章，格式见采购文件第九章《响应文件相关格式》,所附证明材料扫描件可不加盖电子签章）；</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5.供应商参加政府采购活动前3年内在经营活动中没有重大违法记录的书面声明（加盖电子签章，格式见采购文件第九章《响应文件相关格式》）；</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6、本项目特定资格要求：（提供以下资料的扫描件，加盖电子签章）</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（1）供应商须具备建筑工程施工总承包三级（含）以上或建筑装修装饰工程专业承包二级（含）以上资质证书，同时具有有效的《安全生产许可证》。</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（2）拟派项目负责人须具备建筑工程专业二级（含）以上注册建造师资格，并取得《建筑施工企业项目负责人安全生产考核合格证书》（B证）。</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（3）项目负责人必须满足下列条件</w:t>
      </w:r>
      <w:r>
        <w:rPr>
          <w:rFonts w:hint="eastAsia" w:ascii="宋体" w:hAnsi="宋体" w:cs="宋体"/>
          <w:b/>
          <w:bCs/>
          <w:color w:val="auto"/>
          <w:sz w:val="24"/>
          <w:szCs w:val="24"/>
          <w:highlight w:val="none"/>
        </w:rPr>
        <w:t xml:space="preserve">（提供项目负责人承诺书）</w:t>
      </w:r>
      <w:r>
        <w:rPr>
          <w:rFonts w:hint="eastAsia" w:ascii="宋体" w:hAnsi="宋体" w:cs="宋体"/>
          <w:color w:val="auto"/>
          <w:sz w:val="24"/>
          <w:szCs w:val="24"/>
          <w:highlight w:val="none"/>
        </w:rPr>
        <w:t xml:space="preserve">：</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a.项目负责人必须在本企业注册且无在建工程；</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b.项目负责人不得同时在两个或者两个以上单位受聘或者执业；</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c.项目负责人无行贿犯罪行为记录；或者有行贿犯罪行为记录，但自记录之日起已超过5年的。</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7、落实政府采购政策需满足的资格要求：此项目属于专门面向中小微企业采购的项目，投标人应为中小微企业、监狱企业、残疾人福利性单位。</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为中小企业（含中型、小型、微型企业，下同）的，提供《中小企业声明函》（电子签章，须填写完整。格式见磋商文件《响应文件相关格式》）。《中小企业声明函》查询渠道用微信搜索“中小企业规模类型自测小程序”。</w:t>
      </w:r>
      <w:r/>
    </w:p>
    <w:p>
      <w:pPr>
        <w:pStyle w:val="1039"/>
        <w:ind w:firstLine="480"/>
        <w:spacing w:line="312" w:lineRule="auto"/>
        <w:rPr>
          <w:rFonts w:ascii="宋体" w:hAnsi="宋体" w:cs="宋体"/>
          <w:color w:val="auto"/>
          <w:highlight w:val="none"/>
        </w:rPr>
      </w:pPr>
      <w:r>
        <w:rPr>
          <w:rFonts w:hint="eastAsia" w:ascii="宋体" w:hAnsi="宋体" w:cs="宋体"/>
          <w:color w:val="auto"/>
          <w:highlight w:val="none"/>
        </w:rPr>
        <w:t xml:space="preserve">注：</w:t>
      </w:r>
      <w:r>
        <w:rPr>
          <w:rFonts w:hint="eastAsia" w:ascii="宋体" w:hAnsi="宋体" w:cs="宋体"/>
          <w:bCs/>
          <w:color w:val="auto"/>
          <w:highlight w:val="none"/>
        </w:rPr>
        <w:t xml:space="preserve">中小微企业</w:t>
      </w:r>
      <w:r>
        <w:rPr>
          <w:rFonts w:hint="eastAsia" w:ascii="宋体" w:hAnsi="宋体" w:cs="宋体"/>
          <w:color w:val="auto"/>
          <w:highlight w:val="none"/>
        </w:rPr>
        <w:t xml:space="preserve">，应当符合以下条件：</w:t>
      </w:r>
      <w:r/>
    </w:p>
    <w:p>
      <w:pPr>
        <w:ind w:firstLine="480"/>
        <w:spacing w:line="312" w:lineRule="auto"/>
        <w:widowControl w:val="off"/>
        <w:rPr>
          <w:rFonts w:ascii="宋体" w:hAnsi="宋体" w:cs="宋体"/>
          <w:color w:val="auto"/>
          <w:sz w:val="24"/>
          <w:szCs w:val="24"/>
          <w:highlight w:val="none"/>
        </w:rPr>
      </w:pPr>
      <w:r>
        <w:rPr>
          <w:rFonts w:hint="eastAsia" w:ascii="宋体" w:hAnsi="宋体" w:cs="宋体"/>
          <w:bCs/>
          <w:color w:val="auto"/>
          <w:sz w:val="24"/>
          <w:highlight w:val="none"/>
        </w:rPr>
        <w:t xml:space="preserve">中小企业需满足的条件</w:t>
      </w:r>
      <w:r>
        <w:rPr>
          <w:rFonts w:hint="eastAsia" w:ascii="宋体" w:hAnsi="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投标人为监狱企业的，视同小微企业，提供省级以上监狱管理局、戒毒管理局（含新疆生产建设兵团）出具的属于监狱企业的证明文件原件扫描件。具体以《财政部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spacing w:line="312" w:lineRule="auto"/>
        <w:widowControl w:val="off"/>
        <w:rPr>
          <w:rFonts w:ascii="宋体" w:hAnsi="宋体" w:cs="宋体"/>
          <w:b/>
          <w:bCs/>
          <w:color w:val="auto"/>
          <w:sz w:val="24"/>
          <w:szCs w:val="24"/>
          <w:highlight w:val="none"/>
        </w:rPr>
      </w:pPr>
      <w:r>
        <w:rPr>
          <w:rFonts w:hint="eastAsia" w:ascii="宋体" w:hAnsi="宋体" w:cs="宋体"/>
          <w:color w:val="auto"/>
          <w:sz w:val="24"/>
          <w:szCs w:val="24"/>
          <w:highlight w:val="none"/>
        </w:rPr>
        <w:t xml:space="preserve">投标人为残疾人福利性单位的，视同小微企业，提供《残疾人福利性单位声明函》（加盖电子签章，格式见磋商文件第九章 《响应文件相关格式》）。具体以《三部门联合发布关于促进残疾人就业政府采购政策的通知》（财库〔2017〕141号）规定为准。</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8、说明</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8.1本项目不接受联合体参与采购活动。</w:t>
      </w:r>
      <w:r/>
    </w:p>
    <w:p>
      <w:pPr>
        <w:pStyle w:val="1055"/>
        <w:ind w:firstLine="482"/>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8.2单位负责人为同一人或者存在直接控股、管理关系的不同供应商，不得参加同一合同项下的政府采购活动。</w:t>
      </w:r>
      <w:r/>
    </w:p>
    <w:p>
      <w:pPr>
        <w:pStyle w:val="1055"/>
        <w:ind w:firstLine="482"/>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8.3为本采购项目提供整体设计、规范编制或者项目管理、审查等服务的供应商，不得再参加本采购项目的采购活动。</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8.4查询及使用供应商信用记录：</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⑴由采购人查询信用信息。</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⑵查询渠道包括：</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①“信用中国”网（www.creditchina.gov.cn）；</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②中国政府采购网（www.ccgp.gov.cn）；</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③“信用江苏”网（http://www.jscredit.gov.cn/）；</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④“信用中国（江苏徐州）”网（ http://</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Style w:val="1303"/>
          <w:rFonts w:hint="eastAsia" w:hAnsi="宋体" w:cs="宋体"/>
          <w:color w:val="auto"/>
          <w:szCs w:val="24"/>
          <w:highlight w:val="none"/>
        </w:rPr>
        <w:t xml:space="preserve">www.xuzhoucredit.gov.cn）。</w:t>
      </w:r>
      <w:r>
        <w:rPr>
          <w:rStyle w:val="1303"/>
          <w:rFonts w:hint="eastAsia" w:hAnsi="宋体" w:cs="宋体"/>
          <w:color w:val="auto"/>
          <w:szCs w:val="24"/>
          <w:highlight w:val="none"/>
        </w:rPr>
        <w:fldChar w:fldCharType="end"/>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⑶截止时点（查询环节）：首次响应文件开启后资格审查结束前。</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⑷信用信息查询记录和证据留存的具体方式：网页截屏打印，与其他采购文件一并保存。</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⑸信用信息的使用规则：</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spacing w:line="312"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（三）符合性审查条件（必须提供，否则</w:t>
      </w:r>
      <w:r>
        <w:rPr>
          <w:rFonts w:hint="eastAsia" w:ascii="宋体" w:hAnsi="宋体" w:cs="宋体"/>
          <w:b/>
          <w:color w:val="auto"/>
          <w:sz w:val="24"/>
          <w:szCs w:val="24"/>
          <w:highlight w:val="none"/>
        </w:rPr>
        <w:t xml:space="preserve">响应无效</w:t>
      </w:r>
      <w:r>
        <w:rPr>
          <w:rFonts w:hint="eastAsia" w:ascii="宋体" w:hAnsi="宋体" w:cs="宋体"/>
          <w:b/>
          <w:bCs/>
          <w:color w:val="auto"/>
          <w:sz w:val="24"/>
          <w:szCs w:val="24"/>
          <w:highlight w:val="none"/>
        </w:rPr>
        <w:t xml:space="preserve">）</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1、《承诺书》（加盖电子签章，格式见磋商文件《响应文件相关格式》）</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2、《磋商报价表》（加盖电子签章，格式见磋商文件《响应文件相关格式》；或</w:t>
      </w:r>
      <w:r>
        <w:rPr>
          <w:rFonts w:hint="eastAsia" w:ascii="宋体" w:hAnsi="宋体" w:cs="宋体"/>
          <w:bCs/>
          <w:color w:val="auto"/>
          <w:sz w:val="24"/>
          <w:szCs w:val="24"/>
          <w:highlight w:val="none"/>
        </w:rPr>
        <w:t xml:space="preserve">政府采购客户端工具输入报价自动生成）</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3、《分项价格表》（具有标价的工程量清单与报价表）（加盖电子签章，格式见磋商文件《响应文件相关格式》）；</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4、《投标承诺书》（加盖电子签章，格式见磋商文件《响应文件相关格式》）</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5、《偏离表》（加盖电子签章，格式见磋商文件《响应文件相关格式》）；</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6、《项目负责人承诺书》（加盖电子签章，格式见磋商文件《响应文件相关格式》）</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b/>
          <w:bCs/>
          <w:color w:val="auto"/>
          <w:sz w:val="24"/>
          <w:szCs w:val="24"/>
          <w:highlight w:val="none"/>
        </w:rPr>
        <w:t xml:space="preserve">《甲控品牌材料投标产品承诺书》</w:t>
      </w:r>
      <w:r>
        <w:rPr>
          <w:rFonts w:hint="eastAsia" w:ascii="宋体" w:hAnsi="宋体" w:cs="宋体"/>
          <w:color w:val="auto"/>
          <w:sz w:val="24"/>
          <w:szCs w:val="24"/>
          <w:highlight w:val="none"/>
        </w:rPr>
        <w:t xml:space="preserve">（加盖电子签章，格式见磋商文件《响应文件相关格式》）</w:t>
      </w:r>
      <w:r/>
    </w:p>
    <w:p>
      <w:pPr>
        <w:ind w:firstLine="482"/>
        <w:jc w:val="left"/>
        <w:spacing w:line="312"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8、《授权委托书》（如法定代表人参加时提供法定代表人身份证明）（加盖电子签章，格式见磋商文件《响应文件相关格式》）。</w:t>
      </w:r>
      <w:r>
        <w:rPr>
          <w:rFonts w:hint="eastAsia" w:ascii="宋体" w:hAnsi="宋体" w:cs="宋体"/>
          <w:b/>
          <w:bCs/>
          <w:color w:val="auto"/>
          <w:sz w:val="24"/>
          <w:szCs w:val="24"/>
          <w:highlight w:val="none"/>
        </w:rPr>
        <w:t xml:space="preserve">特别提醒：竞争性磋商文件中如需法定代表人（签字或盖章）或受托人（签字或盖章），供应商应打印成文档，签字或盖章后再扫描上传，最后再电子签章。</w:t>
      </w:r>
      <w:r/>
    </w:p>
    <w:p>
      <w:pPr>
        <w:jc w:val="left"/>
        <w:spacing w:line="312"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（四）综合评审评分项</w:t>
      </w:r>
      <w:r/>
    </w:p>
    <w:p>
      <w:pPr>
        <w:ind w:firstLine="42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1、技术部分</w:t>
      </w:r>
      <w:r/>
    </w:p>
    <w:p>
      <w:pPr>
        <w:ind w:firstLine="42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要求见《磋商文件》第七章《评分细则》及第八章《项目要求（采购需求）》</w:t>
      </w:r>
      <w:r/>
    </w:p>
    <w:p>
      <w:pPr>
        <w:ind w:firstLine="42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2、商务部分</w:t>
      </w:r>
      <w:r/>
    </w:p>
    <w:p>
      <w:pPr>
        <w:ind w:firstLine="42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要求见《磋商文件》第七章《评分细则》。</w:t>
      </w:r>
      <w:r/>
    </w:p>
    <w:p>
      <w:pPr>
        <w:jc w:val="left"/>
        <w:spacing w:line="312"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（五）价格折扣文件</w:t>
      </w:r>
      <w:r>
        <w:rPr>
          <w:rFonts w:hint="eastAsia" w:ascii="宋体" w:hAnsi="宋体" w:cs="宋体"/>
          <w:color w:val="auto"/>
          <w:sz w:val="24"/>
          <w:szCs w:val="24"/>
          <w:highlight w:val="none"/>
        </w:rPr>
        <w:t xml:space="preserve"> ：无。</w:t>
      </w:r>
      <w:r/>
    </w:p>
    <w:p>
      <w:pPr>
        <w:jc w:val="left"/>
        <w:spacing w:line="312"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十三、提交的首次响应文件的密封、签署、盖章要求：</w:t>
      </w:r>
      <w:r/>
    </w:p>
    <w:p>
      <w:pPr>
        <w:ind w:firstLine="482"/>
        <w:jc w:val="left"/>
        <w:spacing w:line="312"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1、密封（加密）要求：</w:t>
      </w:r>
      <w:r/>
    </w:p>
    <w:p>
      <w:pPr>
        <w:ind w:firstLine="480"/>
        <w:jc w:val="lef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12" w:lineRule="auto"/>
        <w:rPr>
          <w:rFonts w:ascii="宋体" w:hAnsi="宋体" w:cs="宋体"/>
          <w:bCs/>
          <w:color w:val="auto"/>
          <w:sz w:val="24"/>
          <w:szCs w:val="24"/>
          <w:highlight w:val="none"/>
        </w:rPr>
      </w:pPr>
      <w:r>
        <w:rPr>
          <w:rFonts w:hint="eastAsia" w:ascii="宋体" w:hAnsi="宋体" w:cs="宋体"/>
          <w:b/>
          <w:color w:val="auto"/>
          <w:sz w:val="24"/>
          <w:szCs w:val="24"/>
          <w:highlight w:val="none"/>
        </w:rPr>
        <w:t xml:space="preserve">2、签署要求：</w:t>
      </w:r>
      <w:r>
        <w:rPr>
          <w:rFonts w:hint="eastAsia" w:ascii="宋体" w:hAnsi="宋体" w:cs="宋体"/>
          <w:bCs/>
          <w:color w:val="auto"/>
          <w:sz w:val="24"/>
          <w:szCs w:val="24"/>
          <w:highlight w:val="none"/>
        </w:rPr>
        <w:t xml:space="preserve">见《磋商文件》第九章响应文件相关格式要求。</w:t>
      </w:r>
      <w:r/>
    </w:p>
    <w:p>
      <w:pPr>
        <w:ind w:firstLine="482"/>
        <w:jc w:val="left"/>
        <w:spacing w:line="312" w:lineRule="auto"/>
        <w:rPr>
          <w:rFonts w:ascii="宋体" w:hAnsi="宋体" w:cs="宋体"/>
          <w:b/>
          <w:color w:val="auto"/>
          <w:sz w:val="24"/>
          <w:szCs w:val="24"/>
          <w:highlight w:val="none"/>
        </w:rPr>
      </w:pPr>
      <w:r>
        <w:rPr>
          <w:rFonts w:hint="eastAsia" w:ascii="宋体" w:hAnsi="宋体" w:cs="宋体"/>
          <w:b/>
          <w:bCs/>
          <w:color w:val="auto"/>
          <w:sz w:val="24"/>
          <w:szCs w:val="24"/>
          <w:highlight w:val="none"/>
        </w:rPr>
        <w:t xml:space="preserve">特别提醒：竞争性磋商文件中如需“被授权代表签字或盖章”，供应商可打印成文档，签字或盖章后再扫描上传，最后再电子签章。</w:t>
      </w:r>
      <w:r/>
    </w:p>
    <w:p>
      <w:pPr>
        <w:ind w:firstLine="482"/>
        <w:jc w:val="left"/>
        <w:spacing w:line="312" w:lineRule="auto"/>
        <w:rPr>
          <w:rFonts w:ascii="宋体" w:hAnsi="宋体" w:cs="宋体"/>
          <w:bCs/>
          <w:color w:val="auto"/>
          <w:sz w:val="24"/>
          <w:szCs w:val="24"/>
          <w:highlight w:val="none"/>
        </w:rPr>
      </w:pPr>
      <w:r>
        <w:rPr>
          <w:rFonts w:hint="eastAsia" w:ascii="宋体" w:hAnsi="宋体" w:cs="宋体"/>
          <w:b/>
          <w:color w:val="auto"/>
          <w:sz w:val="24"/>
          <w:szCs w:val="24"/>
          <w:highlight w:val="none"/>
        </w:rPr>
        <w:t xml:space="preserve">3、盖章要求：</w:t>
      </w:r>
      <w:r>
        <w:rPr>
          <w:rFonts w:hint="eastAsia" w:ascii="宋体" w:hAnsi="宋体" w:cs="宋体"/>
          <w:bCs/>
          <w:color w:val="auto"/>
          <w:sz w:val="24"/>
          <w:szCs w:val="24"/>
          <w:highlight w:val="none"/>
        </w:rPr>
        <w:t xml:space="preserve">见《磋商文件》第九章响应文件相关格式要求。供应商须通过“苏采云”系统提供的政府采购客户端工具（使用“CA数字证书”）加盖电子签章。</w:t>
      </w:r>
      <w:r/>
    </w:p>
    <w:p>
      <w:pPr>
        <w:ind w:firstLine="482"/>
        <w:jc w:val="left"/>
        <w:spacing w:line="312"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4、说明：通过“苏采云”系统提交政府采购客户端工具导出加密的响应文件（后缀名为zip）。响应文件不得超</w:t>
      </w:r>
      <w:r>
        <w:rPr>
          <w:rFonts w:hint="eastAsia" w:ascii="宋体" w:hAnsi="宋体" w:cs="宋体"/>
          <w:b/>
          <w:bCs/>
          <w:color w:val="auto"/>
          <w:sz w:val="24"/>
          <w:szCs w:val="24"/>
          <w:highlight w:val="none"/>
        </w:rPr>
        <w:t xml:space="preserve">过150M！（以系统为准） </w:t>
      </w:r>
      <w:r/>
    </w:p>
    <w:p>
      <w:pPr>
        <w:ind w:firstLine="482"/>
        <w:jc w:val="left"/>
        <w:spacing w:line="312"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5、特别说明：</w:t>
      </w:r>
      <w:r/>
    </w:p>
    <w:p>
      <w:pPr>
        <w:ind w:firstLine="480"/>
        <w:jc w:val="lef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5.1供应商应当按照《磋商文件》的要求编制响应文件，并对其提交的响应文件的真实性、合法性承担法律责任。</w:t>
      </w:r>
      <w:r/>
    </w:p>
    <w:p>
      <w:pPr>
        <w:ind w:firstLine="480"/>
        <w:jc w:val="left"/>
        <w:spacing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5.2供应商中标（成交）后，须向代理机构提供</w:t>
      </w:r>
      <w:bookmarkStart w:id="6" w:name="_Hlk105221193"/>
      <w:r>
        <w:rPr>
          <w:rFonts w:hint="eastAsia" w:ascii="宋体" w:hAnsi="宋体" w:cs="宋体"/>
          <w:bCs/>
          <w:color w:val="auto"/>
          <w:sz w:val="24"/>
          <w:szCs w:val="24"/>
          <w:highlight w:val="none"/>
        </w:rPr>
        <w:t xml:space="preserve">纸质版响应文件一正四副及电子响应文件（U盘2份）</w:t>
      </w:r>
      <w:bookmarkEnd w:id="6"/>
      <w:r>
        <w:rPr>
          <w:rFonts w:hint="eastAsia" w:ascii="宋体" w:hAnsi="宋体" w:cs="宋体"/>
          <w:bCs/>
          <w:color w:val="auto"/>
          <w:sz w:val="24"/>
          <w:szCs w:val="24"/>
          <w:highlight w:val="none"/>
        </w:rPr>
        <w:t xml:space="preserve">。采购人索取成交供应商的响应文件，须在双方签订政府采购合同后，由采购代理机构提供给采购人。</w:t>
      </w:r>
      <w:r/>
    </w:p>
    <w:p>
      <w:pPr>
        <w:pStyle w:val="1272"/>
        <w:jc w:val="center"/>
        <w:keepLines w:val="0"/>
        <w:keepNext w:val="0"/>
        <w:spacing w:before="0" w:after="0" w:line="312" w:lineRule="auto"/>
        <w:widowControl w:val="off"/>
        <w:rPr>
          <w:rStyle w:val="1303"/>
          <w:rFonts w:hAnsi="宋体" w:cs="宋体"/>
          <w:color w:val="auto"/>
          <w:szCs w:val="24"/>
          <w:highlight w:val="none"/>
        </w:rPr>
      </w:pPr>
      <w:r/>
      <w:bookmarkStart w:id="7" w:name="_Toc80122285"/>
      <w:r/>
      <w:bookmarkStart w:id="8" w:name="_Toc26207"/>
      <w:r/>
      <w:bookmarkStart w:id="9" w:name="_Toc11675"/>
      <w:r>
        <w:rPr>
          <w:rStyle w:val="1303"/>
          <w:rFonts w:hint="eastAsia" w:hAnsi="宋体" w:cs="宋体"/>
          <w:color w:val="auto"/>
          <w:szCs w:val="24"/>
          <w:highlight w:val="none"/>
        </w:rPr>
        <w:t xml:space="preserve">第三章 磋商相关说明</w:t>
      </w:r>
      <w:bookmarkEnd w:id="7"/>
      <w:r/>
      <w:bookmarkEnd w:id="8"/>
      <w:r/>
      <w:bookmarkEnd w:id="9"/>
      <w:r/>
      <w:r/>
    </w:p>
    <w:p>
      <w:pPr>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十四、磋商程序</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2、供应商可通过CA数字证书，在首次响应文件开启时间后，使用CA数字证书在规定时间内解密各自响应文件。</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3、磋商顺序按照电子标书解密先后时间进行，解密时间相同的，不分先后顺序。</w:t>
      </w:r>
      <w:r/>
    </w:p>
    <w:p>
      <w:pPr>
        <w:ind w:firstLine="482"/>
        <w:spacing w:line="312"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4、磋商方式：本次磋商采用“苏采云”系统中的视频会议，供应商自行选择任意地点参加远程磋商会议。</w:t>
      </w:r>
      <w:r>
        <w:rPr>
          <w:rFonts w:hint="eastAsia" w:ascii="宋体" w:hAnsi="宋体" w:cs="宋体"/>
          <w:b/>
          <w:bCs/>
          <w:color w:val="auto"/>
          <w:sz w:val="24"/>
          <w:szCs w:val="24"/>
          <w:highlight w:val="none"/>
        </w:rPr>
        <w:t xml:space="preserve">请供应商在磋商前全程等候在“苏采云”系统开标大厅，并确保视频设备正常使用，</w:t>
      </w:r>
      <w:r>
        <w:rPr>
          <w:rFonts w:hint="eastAsia" w:ascii="宋体" w:hAnsi="宋体" w:cs="宋体"/>
          <w:color w:val="auto"/>
          <w:sz w:val="24"/>
          <w:szCs w:val="24"/>
          <w:highlight w:val="none"/>
        </w:rPr>
        <w:t xml:space="preserve">随时接听磋商小组发出的磋商视频邀请</w:t>
      </w:r>
      <w:r>
        <w:rPr>
          <w:rFonts w:hint="eastAsia" w:ascii="宋体" w:hAnsi="宋体" w:cs="宋体"/>
          <w:b/>
          <w:color w:val="auto"/>
          <w:sz w:val="24"/>
          <w:szCs w:val="24"/>
          <w:highlight w:val="none"/>
        </w:rPr>
        <w:t xml:space="preserve">（所有邀请等待时间2分钟，2分钟内所邀请供应商无响应，视同放弃磋商的权利，由解密顺序下一家进行磋商，不再后补）</w:t>
      </w:r>
      <w:r>
        <w:rPr>
          <w:rFonts w:hint="eastAsia" w:ascii="宋体" w:hAnsi="宋体" w:cs="宋体"/>
          <w:color w:val="auto"/>
          <w:sz w:val="24"/>
          <w:szCs w:val="24"/>
          <w:highlight w:val="none"/>
        </w:rPr>
        <w:t xml:space="preserve">。</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5、未在规定时间内进行答疑澄清的，视同放弃澄清。</w:t>
      </w:r>
      <w:r/>
    </w:p>
    <w:p>
      <w:pPr>
        <w:ind w:firstLine="482"/>
        <w:jc w:val="left"/>
        <w:spacing w:line="312"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b/>
          <w:bCs/>
          <w:color w:val="auto"/>
          <w:sz w:val="24"/>
          <w:szCs w:val="24"/>
          <w:highlight w:val="none"/>
        </w:rPr>
        <w:t xml:space="preserve">未在规定时间内进行报价的，视为响应无效。</w:t>
      </w:r>
      <w:r/>
    </w:p>
    <w:p>
      <w:pPr>
        <w:ind w:firstLine="482"/>
        <w:jc w:val="left"/>
        <w:spacing w:line="312"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注：各供应商在未进行第二次报价前，请不要离开开标系统，随时接受评标委员会提出的二次报价，因供应商未能及时二次报价而引起的废标及损失，由供应商负责。</w:t>
      </w:r>
      <w:r/>
    </w:p>
    <w:p>
      <w:pPr>
        <w:numPr>
          <w:ilvl w:val="0"/>
          <w:numId w:val="3"/>
        </w:num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被邀请参与磋商的供应商如未按上述磋商要求执行，视同放弃磋商的权利。</w:t>
      </w:r>
      <w:r/>
    </w:p>
    <w:p>
      <w:pPr>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十五、评审方法和评审标准</w:t>
      </w:r>
      <w:r/>
    </w:p>
    <w:p>
      <w:pPr>
        <w:ind w:firstLine="478"/>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1、评审方法：综合评估法</w:t>
      </w:r>
      <w:r/>
    </w:p>
    <w:p>
      <w:pPr>
        <w:ind w:firstLine="478"/>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2、评审标准：详见《评分细则》</w:t>
      </w:r>
      <w:r/>
    </w:p>
    <w:p>
      <w:pPr>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十六、评审程序</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1、磋商评审小组的组建：采购人组建。磋商小组成员构成：3 人。磋商小组确定方式：</w:t>
      </w:r>
      <w:r>
        <w:rPr>
          <w:rFonts w:hint="eastAsia" w:ascii="宋体" w:hAnsi="宋体" w:cs="宋体"/>
          <w:color w:val="auto"/>
          <w:sz w:val="24"/>
          <w:szCs w:val="24"/>
          <w:highlight w:val="none"/>
          <w:lang w:val="en-US" w:eastAsia="zh-CN"/>
        </w:rPr>
        <w:t xml:space="preserve">从</w:t>
      </w:r>
      <w:r>
        <w:rPr>
          <w:rFonts w:hint="eastAsia" w:ascii="宋体" w:hAnsi="宋体" w:cs="宋体"/>
          <w:color w:val="auto"/>
          <w:sz w:val="24"/>
          <w:szCs w:val="24"/>
          <w:highlight w:val="none"/>
        </w:rPr>
        <w:t xml:space="preserve">《江苏省政府采购专家库》随机抽取。    </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本项目资格审查由磋商小组负责。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3、磋商小组所有成员应当集中与单一供应商分别进行磋商，并给予所有参加磋商的供应商平等的磋商机会。</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5、磋商结束后，磋商进入报价环节，磋商小组应当要求所有参加磋商的供应商在规定时间内进行最后报价。供应商可按照磋商小组的要求在磋商现场进行不少于两次的报价，本项目二次报价为最后报价。</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6、已提交响应文件的供应商，在提交最后报价之前，可以根据磋商情况退出磋商。</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ind w:firstLine="482"/>
        <w:jc w:val="left"/>
        <w:spacing w:line="312" w:lineRule="auto"/>
        <w:rPr>
          <w:rFonts w:ascii="宋体" w:hAnsi="宋体" w:cs="宋体"/>
          <w:color w:val="auto"/>
          <w:sz w:val="24"/>
          <w:highlight w:val="none"/>
        </w:rPr>
      </w:pPr>
      <w:r>
        <w:rPr>
          <w:rFonts w:hint="eastAsia" w:ascii="宋体" w:hAnsi="宋体" w:cs="宋体"/>
          <w:color w:val="auto"/>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实施政府采购异常低价审查的有关要求如下</w:t>
      </w:r>
      <w:r>
        <w:rPr>
          <w:rFonts w:hint="eastAsia" w:ascii="宋体" w:hAnsi="宋体" w:cs="宋体"/>
          <w:color w:val="auto"/>
          <w:sz w:val="24"/>
          <w:highlight w:val="none"/>
        </w:rPr>
        <w:t xml:space="preserve">：</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（一）评审中出现下列情形之一的，评审（评标）委员会应当启动异常低价投标（响应）审查程序：</w:t>
      </w:r>
      <w:r/>
    </w:p>
    <w:p>
      <w:pPr>
        <w:ind w:firstLine="482"/>
        <w:jc w:val="left"/>
        <w:spacing w:line="312"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312"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312"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4.评审（评标）委员会基于专业判断，认为供应商报价过低，有可能影响产品质量或者不能诚信履约的其他情形。</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相关法律法规对供应商报价有规定的，从其规定。</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rPr>
        <w:t xml:space="preserve">评审（评标）委员会启动异常低价投标（响应）审查后，属于前述第1项至第4项情形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说明应当采用通过“苏采云”系统（使用“CA数字证书”,加盖电子签章）形式。</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2"/>
        <w:jc w:val="left"/>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spacing w:line="312" w:lineRule="auto"/>
        <w:widowControl w:val="off"/>
        <w:rPr>
          <w:rFonts w:ascii="宋体" w:hAnsi="宋体" w:cs="宋体"/>
          <w:color w:val="auto"/>
          <w:sz w:val="24"/>
          <w:szCs w:val="24"/>
          <w:highlight w:val="none"/>
        </w:rPr>
      </w:pPr>
      <w:r>
        <w:rPr>
          <w:rFonts w:hint="eastAsia" w:ascii="宋体" w:hAnsi="宋体" w:cs="宋体"/>
          <w:b/>
          <w:bCs/>
          <w:color w:val="auto"/>
          <w:sz w:val="24"/>
          <w:szCs w:val="24"/>
          <w:highlight w:val="none"/>
        </w:rPr>
        <w:t xml:space="preserve">十七、有下列情形之一的，其响应无效：</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1、电子响应文件未按规定期限提交的； </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2、电子响应文件未按磋商文件要求签章的；</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3、供应商未在规定时间内解密电子响应文件的；</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4、供应商的法定代表人授权代表，无法定代表人授权委托书的；</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5、不具备磋商文件中规定的资格要求或未按磋商文件规定的要求提供资格、资信证明文件的；</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7、响应文件未按磋商文件规定的内容和要求填写的；没有在投标系统指定位置上传对应文件、材料的；</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8、响应文件中有磋商文件未允许提供的选择性内容；</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9、不同供应商委托同一单位或者个人办理投标事宜的；</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10、不同供应商的单位负责人为同一人或者存在直接控股、管理关系的；</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14、项目（标段）投标总价超过本项目（标段）预算或最高限价的；</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15、提供虚假材料的（包括工商营业执照、财务报表、资格证明文件等）；</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16、响应文件含有采购人不能接受的附加条件的；</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18、除单一来源采购项目外，为采购项目提供整体设计、规范编制或者项目管理、监理、检测等服务的；</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19、与采购文件提供的工程量清单中项目名称、项目特征、计量单位、工程量不一致的；</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20、响应文件内容不全或不符合磋商文件中规定的其它实质性要求的；</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21、报价清单与采购文件明确列出的不可竞争费用项目或费率或计算基础不一致的；</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22、报价清单与采购文件规定的暂估价、暂列金额不一致的；</w:t>
      </w:r>
      <w:r/>
    </w:p>
    <w:p>
      <w:pPr>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23、法律法规和磋商文件规定的其它无效情形。</w:t>
      </w:r>
      <w:r/>
    </w:p>
    <w:p>
      <w:pPr>
        <w:jc w:val="center"/>
        <w:spacing w:line="312" w:lineRule="auto"/>
        <w:widowControl w:val="off"/>
        <w:rPr>
          <w:rFonts w:ascii="宋体" w:hAnsi="宋体" w:cs="宋体"/>
          <w:b/>
          <w:bCs/>
          <w:color w:val="auto"/>
          <w:sz w:val="24"/>
          <w:szCs w:val="24"/>
          <w:highlight w:val="none"/>
        </w:rPr>
        <w:outlineLvl w:val="0"/>
      </w:pPr>
      <w:r/>
      <w:bookmarkStart w:id="10" w:name="_Toc80122286"/>
      <w:r/>
      <w:bookmarkStart w:id="11" w:name="_Toc25069"/>
      <w:r/>
      <w:bookmarkStart w:id="12" w:name="_Toc31496"/>
      <w:r>
        <w:rPr>
          <w:rFonts w:hint="eastAsia" w:ascii="宋体" w:hAnsi="宋体" w:cs="宋体"/>
          <w:b/>
          <w:bCs/>
          <w:color w:val="auto"/>
          <w:sz w:val="24"/>
          <w:szCs w:val="24"/>
          <w:highlight w:val="none"/>
        </w:rPr>
        <w:t xml:space="preserve">第四章 确定成交供应商及合同签订等</w:t>
      </w:r>
      <w:bookmarkEnd w:id="10"/>
      <w:r/>
      <w:bookmarkEnd w:id="11"/>
      <w:r/>
      <w:bookmarkEnd w:id="12"/>
      <w:r/>
      <w:r/>
    </w:p>
    <w:p>
      <w:pPr>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放弃成交的供应商不得参加对该项目重新开展的采购活动。</w:t>
      </w:r>
      <w:r/>
    </w:p>
    <w:p>
      <w:pPr>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采购人对未成交的供应商不做未成交原因的解释。</w:t>
      </w:r>
      <w:r/>
    </w:p>
    <w:p>
      <w:pPr>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二十、采购人与成交供应商应当在成交通知书发出之日起</w:t>
      </w:r>
      <w:r>
        <w:rPr>
          <w:rFonts w:hint="eastAsia" w:ascii="宋体" w:hAnsi="宋体" w:cs="宋体"/>
          <w:color w:val="auto"/>
          <w:sz w:val="24"/>
          <w:szCs w:val="24"/>
          <w:highlight w:val="none"/>
          <w:u w:val="single"/>
        </w:rPr>
        <w:t xml:space="preserve">30</w:t>
      </w:r>
      <w:r>
        <w:rPr>
          <w:rFonts w:hint="eastAsia" w:ascii="宋体" w:hAnsi="宋体" w:cs="宋体"/>
          <w:color w:val="auto"/>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二十一、</w:t>
      </w:r>
      <w:r>
        <w:rPr>
          <w:rStyle w:val="1303"/>
          <w:rFonts w:hint="eastAsia" w:hAnsi="宋体" w:cs="宋体"/>
          <w:color w:val="auto"/>
          <w:szCs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宋体" w:hAnsi="宋体" w:cs="宋体"/>
          <w:color w:val="auto"/>
          <w:sz w:val="24"/>
          <w:szCs w:val="24"/>
          <w:highlight w:val="none"/>
        </w:rPr>
        <w:t xml:space="preserve">。</w:t>
      </w:r>
      <w:r/>
    </w:p>
    <w:p>
      <w:pPr>
        <w:jc w:val="center"/>
        <w:spacing w:line="312" w:lineRule="auto"/>
        <w:widowControl w:val="off"/>
        <w:rPr>
          <w:rFonts w:ascii="宋体" w:hAnsi="宋体" w:cs="宋体"/>
          <w:b/>
          <w:bCs/>
          <w:color w:val="auto"/>
          <w:sz w:val="24"/>
          <w:szCs w:val="24"/>
          <w:highlight w:val="none"/>
        </w:rPr>
        <w:outlineLvl w:val="0"/>
      </w:pPr>
      <w:r/>
      <w:bookmarkStart w:id="13" w:name="_Toc80122287"/>
      <w:r/>
      <w:bookmarkStart w:id="14" w:name="_Toc15896"/>
      <w:r/>
      <w:bookmarkStart w:id="15" w:name="_Toc3645"/>
      <w:r>
        <w:rPr>
          <w:rFonts w:hint="eastAsia" w:ascii="宋体" w:hAnsi="宋体" w:cs="宋体"/>
          <w:b/>
          <w:bCs/>
          <w:color w:val="auto"/>
          <w:sz w:val="24"/>
          <w:szCs w:val="24"/>
          <w:highlight w:val="none"/>
        </w:rPr>
        <w:t xml:space="preserve">第五章 磋商文件的澄清或者修改</w:t>
      </w:r>
      <w:bookmarkEnd w:id="13"/>
      <w:r/>
      <w:bookmarkEnd w:id="14"/>
      <w:r/>
      <w:bookmarkEnd w:id="15"/>
      <w:r/>
      <w:r/>
    </w:p>
    <w:p>
      <w:pPr>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二十二、竞争性磋商文件的澄清或者修改</w:t>
      </w:r>
      <w:r/>
    </w:p>
    <w:p>
      <w:pPr>
        <w:ind w:firstLine="480"/>
        <w:jc w:val="left"/>
        <w:spacing w:line="312" w:lineRule="auto"/>
        <w:widowControl w:val="off"/>
        <w:rPr>
          <w:rFonts w:ascii="宋体" w:hAnsi="宋体" w:cs="宋体"/>
          <w:b/>
          <w:bCs/>
          <w:color w:val="auto"/>
          <w:sz w:val="24"/>
          <w:szCs w:val="24"/>
          <w:highlight w:val="none"/>
        </w:rPr>
      </w:pPr>
      <w:r>
        <w:rPr>
          <w:rFonts w:hint="eastAsia" w:ascii="宋体" w:hAnsi="宋体" w:cs="宋体"/>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spacing w:line="312" w:lineRule="auto"/>
        <w:widowControl w:val="off"/>
        <w:rPr>
          <w:rFonts w:ascii="宋体" w:hAnsi="宋体" w:cs="宋体"/>
          <w:b/>
          <w:bCs/>
          <w:color w:val="auto"/>
          <w:sz w:val="24"/>
          <w:szCs w:val="24"/>
          <w:highlight w:val="none"/>
        </w:rPr>
        <w:outlineLvl w:val="0"/>
      </w:pPr>
      <w:r/>
      <w:bookmarkStart w:id="16" w:name="_Toc17934"/>
      <w:r/>
      <w:bookmarkStart w:id="17" w:name="_Toc80122288"/>
      <w:r/>
      <w:bookmarkStart w:id="18" w:name="_Toc11856"/>
      <w:r>
        <w:rPr>
          <w:rFonts w:hint="eastAsia" w:ascii="宋体" w:hAnsi="宋体" w:cs="宋体"/>
          <w:b/>
          <w:bCs/>
          <w:color w:val="auto"/>
          <w:sz w:val="24"/>
          <w:szCs w:val="24"/>
          <w:highlight w:val="none"/>
        </w:rPr>
        <w:t xml:space="preserve">第六章 询问和质疑</w:t>
      </w:r>
      <w:bookmarkEnd w:id="16"/>
      <w:r/>
      <w:bookmarkEnd w:id="17"/>
      <w:r/>
      <w:bookmarkEnd w:id="18"/>
      <w:r/>
      <w:r/>
    </w:p>
    <w:p>
      <w:pPr>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二十三、询问和质疑</w:t>
      </w:r>
      <w:r/>
    </w:p>
    <w:p>
      <w:pPr>
        <w:ind w:firstLine="492"/>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2、质疑和投诉按《政府采购质疑和投诉办法》执行。供应商对同一采购程序环节的质疑应在质疑期内一次性提出。</w:t>
      </w:r>
      <w:r/>
    </w:p>
    <w:p>
      <w:pPr>
        <w:ind w:firstLine="492"/>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质疑接收人：夏菲 朱文颖     联系电话：0516-85610680</w:t>
      </w:r>
      <w:r/>
    </w:p>
    <w:p>
      <w:pPr>
        <w:ind w:firstLine="492"/>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接收地址：徐州市泉山区软件园路2号</w:t>
      </w:r>
      <w:r/>
    </w:p>
    <w:p>
      <w:pPr>
        <w:ind w:firstLine="492"/>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3、供应商对评审过程、成交结果提出质疑的，采购人、采购代理机构可以组织原评审委员会协助答复质疑。</w:t>
      </w:r>
      <w:r/>
    </w:p>
    <w:p>
      <w:pPr>
        <w:ind w:firstLine="492"/>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4、采购人或采购代理机构在收到供应商的书面质疑后7个工作日内予以答复，并告知本项目的有关供应商。</w:t>
      </w:r>
      <w:r/>
    </w:p>
    <w:p>
      <w:pPr>
        <w:ind w:firstLine="492"/>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十五、成交供应商领取成交通知书前，向江苏科建工程项目管理有限公司一次性支付招标代理服务费，收费标准见《徐州市政府采购业务代理服务费行业指导价格标准》，以上费用不单独列项，请在响应报价中综合考虑。同时提供纸质版响应文件一正四副及电子响应文件（U盘）2份。</w:t>
      </w:r>
      <w:r/>
    </w:p>
    <w:p>
      <w:pPr>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二十六、成交结果在江苏政府采购网上公布。</w:t>
      </w:r>
      <w:r/>
    </w:p>
    <w:p>
      <w:pPr>
        <w:pStyle w:val="1055"/>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二十七、联系方式</w:t>
      </w:r>
      <w:r/>
    </w:p>
    <w:p>
      <w:pPr>
        <w:pStyle w:val="1055"/>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bCs/>
          <w:color w:val="auto"/>
          <w:sz w:val="24"/>
          <w:szCs w:val="24"/>
          <w:highlight w:val="none"/>
        </w:rPr>
        <w:t xml:space="preserve">、采购人</w:t>
      </w:r>
      <w:r/>
    </w:p>
    <w:p>
      <w:pPr>
        <w:pStyle w:val="1055"/>
        <w:ind w:firstLine="960"/>
        <w:jc w:val="left"/>
        <w:spacing w:line="312"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江苏省徐州监狱</w:t>
      </w:r>
      <w:r/>
    </w:p>
    <w:p>
      <w:pPr>
        <w:pStyle w:val="1055"/>
        <w:ind w:firstLine="96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地址：徐州市铜沛路180号</w:t>
      </w:r>
      <w:r/>
    </w:p>
    <w:p>
      <w:pPr>
        <w:pStyle w:val="1055"/>
        <w:ind w:firstLine="96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采购项目联系人：蒋主任</w:t>
      </w:r>
      <w:r/>
    </w:p>
    <w:p>
      <w:pPr>
        <w:pStyle w:val="1055"/>
        <w:ind w:firstLine="96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电话：19351617357</w:t>
      </w:r>
      <w:r/>
    </w:p>
    <w:p>
      <w:pPr>
        <w:pStyle w:val="1055"/>
        <w:ind w:firstLine="480"/>
        <w:jc w:val="left"/>
        <w:spacing w:line="312"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2、采购代理机构</w:t>
      </w:r>
      <w:r/>
    </w:p>
    <w:p>
      <w:pPr>
        <w:pStyle w:val="1055"/>
        <w:ind w:firstLine="96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名称：江苏科建工程项目管理有限公司</w:t>
      </w:r>
      <w:r/>
    </w:p>
    <w:p>
      <w:pPr>
        <w:pStyle w:val="1055"/>
        <w:ind w:firstLine="96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地址：徐州市泉山区软件园路2号</w:t>
      </w:r>
      <w:r/>
    </w:p>
    <w:p>
      <w:pPr>
        <w:pStyle w:val="1055"/>
        <w:ind w:firstLine="96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采购代理联系人：夏菲 朱文颖</w:t>
      </w:r>
      <w:r/>
    </w:p>
    <w:p>
      <w:pPr>
        <w:pStyle w:val="1055"/>
        <w:ind w:firstLine="960"/>
        <w:jc w:val="left"/>
        <w:spacing w:line="312" w:lineRule="auto"/>
        <w:widowControl w:val="off"/>
        <w:rPr>
          <w:rFonts w:hint="eastAsia" w:ascii="宋体" w:hAnsi="宋体" w:cs="宋体"/>
          <w:color w:val="auto"/>
          <w:sz w:val="24"/>
          <w:szCs w:val="24"/>
          <w:highlight w:val="none"/>
        </w:rPr>
        <w:sectPr>
          <w:headerReference w:type="default" r:id="rId9"/>
          <w:headerReference w:type="first" r:id="rId10"/>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color w:val="auto"/>
          <w:sz w:val="24"/>
          <w:szCs w:val="24"/>
          <w:highlight w:val="none"/>
        </w:rPr>
        <w:t xml:space="preserve">电话：0516-85610680</w:t>
      </w:r>
      <w:r/>
    </w:p>
    <w:p>
      <w:r/>
      <w:r/>
    </w:p>
    <w:p>
      <w:pPr>
        <w:pStyle w:val="1084"/>
        <w:ind w:left="0" w:firstLine="0"/>
        <w:jc w:val="center"/>
        <w:spacing w:after="0" w:line="312" w:lineRule="auto"/>
        <w:widowControl w:val="off"/>
        <w:rPr>
          <w:rStyle w:val="1303"/>
          <w:rFonts w:hAnsi="宋体" w:eastAsia="宋体" w:cs="宋体"/>
          <w:bCs/>
          <w:color w:val="auto"/>
          <w:szCs w:val="24"/>
          <w:highlight w:val="none"/>
        </w:rPr>
      </w:pPr>
      <w:r/>
      <w:bookmarkStart w:id="19" w:name="_Toc1567"/>
      <w:r>
        <w:rPr>
          <w:rStyle w:val="1303"/>
          <w:rFonts w:hint="eastAsia" w:hAnsi="宋体" w:eastAsia="宋体" w:cs="宋体"/>
          <w:color w:val="auto"/>
          <w:szCs w:val="24"/>
          <w:highlight w:val="none"/>
        </w:rPr>
        <w:t xml:space="preserve">附件： </w:t>
      </w:r>
      <w:bookmarkEnd w:id="19"/>
      <w:r>
        <w:rPr>
          <w:rFonts w:hint="eastAsia" w:ascii="宋体" w:hAnsi="宋体" w:eastAsia="宋体" w:cs="宋体"/>
          <w:color w:val="auto"/>
          <w:sz w:val="24"/>
          <w:szCs w:val="24"/>
          <w:highlight w:val="none"/>
        </w:rPr>
        <w:t xml:space="preserve">《徐州市政府采购业务代理服务费行业指导价格标准》</w:t>
      </w:r>
      <w:r/>
    </w:p>
    <w:tbl>
      <w:tblPr>
        <w:tblStyle w:val="1548"/>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spacing w:line="312" w:lineRule="auto"/>
              <w:rPr>
                <w:rFonts w:ascii="宋体" w:hAnsi="宋体" w:cs="宋体"/>
                <w:b/>
                <w:bCs/>
                <w:color w:val="auto"/>
                <w:highlight w:val="none"/>
              </w:rPr>
            </w:pPr>
            <w:r>
              <w:rPr>
                <w:rFonts w:hint="eastAsia" w:ascii="宋体" w:hAnsi="宋体" w:cs="宋体"/>
                <w:b/>
                <w:bCs/>
                <w:color w:val="auto"/>
                <w:highlight w:val="none"/>
              </w:rPr>
              <w:t xml:space="preserve">中标或者成交金额</w:t>
            </w:r>
            <w:r/>
          </w:p>
        </w:tc>
        <w:tc>
          <w:tcPr>
            <w:tcW w:w="2569" w:type="dxa"/>
            <w:vAlign w:val="center"/>
            <w:textDirection w:val="lrTb"/>
            <w:noWrap w:val="false"/>
          </w:tcPr>
          <w:p>
            <w:pPr>
              <w:jc w:val="center"/>
              <w:spacing w:line="312" w:lineRule="auto"/>
              <w:rPr>
                <w:rFonts w:ascii="宋体" w:hAnsi="宋体" w:cs="宋体"/>
                <w:b/>
                <w:bCs/>
                <w:color w:val="auto"/>
                <w:highlight w:val="none"/>
              </w:rPr>
            </w:pPr>
            <w:r>
              <w:rPr>
                <w:rFonts w:hint="eastAsia" w:ascii="宋体" w:hAnsi="宋体" w:cs="宋体"/>
                <w:b/>
                <w:bCs/>
                <w:color w:val="auto"/>
                <w:highlight w:val="none"/>
              </w:rPr>
              <w:t xml:space="preserve">费率</w:t>
            </w:r>
            <w:r/>
          </w:p>
        </w:tc>
      </w:tr>
      <w:tr>
        <w:trPr>
          <w:jc w:val="center"/>
          <w:trHeight w:val="475"/>
        </w:trPr>
        <w:tc>
          <w:tcPr>
            <w:tcW w:w="6790" w:type="dxa"/>
            <w:vAlign w:val="center"/>
            <w:textDirection w:val="lrTb"/>
            <w:noWrap w:val="false"/>
          </w:tcPr>
          <w:p>
            <w:pPr>
              <w:jc w:val="center"/>
              <w:spacing w:line="312" w:lineRule="auto"/>
              <w:rPr>
                <w:rFonts w:ascii="宋体" w:hAnsi="宋体" w:cs="宋体"/>
                <w:color w:val="auto"/>
                <w:highlight w:val="none"/>
              </w:rPr>
            </w:pPr>
            <w:r>
              <w:rPr>
                <w:rFonts w:hint="eastAsia" w:ascii="宋体" w:hAnsi="宋体" w:cs="宋体"/>
                <w:color w:val="auto"/>
                <w:highlight w:val="none"/>
              </w:rPr>
              <w:t xml:space="preserve">最低收费金额（每个委托项目）</w:t>
            </w:r>
            <w:r/>
          </w:p>
        </w:tc>
        <w:tc>
          <w:tcPr>
            <w:tcW w:w="2569" w:type="dxa"/>
            <w:vAlign w:val="center"/>
            <w:textDirection w:val="lrTb"/>
            <w:noWrap w:val="false"/>
          </w:tcPr>
          <w:p>
            <w:pPr>
              <w:jc w:val="center"/>
              <w:spacing w:line="312" w:lineRule="auto"/>
              <w:rPr>
                <w:rFonts w:ascii="宋体" w:hAnsi="宋体" w:cs="宋体"/>
                <w:color w:val="auto"/>
                <w:highlight w:val="none"/>
              </w:rPr>
            </w:pPr>
            <w:r>
              <w:rPr>
                <w:rFonts w:hint="eastAsia" w:ascii="宋体" w:hAnsi="宋体" w:cs="宋体"/>
                <w:color w:val="auto"/>
                <w:highlight w:val="none"/>
              </w:rPr>
              <w:t xml:space="preserve">5000元</w:t>
            </w:r>
            <w:r/>
          </w:p>
        </w:tc>
      </w:tr>
      <w:tr>
        <w:trPr>
          <w:jc w:val="center"/>
          <w:trHeight w:val="475"/>
        </w:trPr>
        <w:tc>
          <w:tcPr>
            <w:tcW w:w="6790" w:type="dxa"/>
            <w:vAlign w:val="center"/>
            <w:textDirection w:val="lrTb"/>
            <w:noWrap w:val="false"/>
          </w:tcPr>
          <w:p>
            <w:pPr>
              <w:jc w:val="center"/>
              <w:spacing w:line="312" w:lineRule="auto"/>
              <w:rPr>
                <w:rFonts w:ascii="宋体" w:hAnsi="宋体" w:cs="宋体"/>
                <w:color w:val="auto"/>
                <w:highlight w:val="none"/>
              </w:rPr>
            </w:pPr>
            <w:r>
              <w:rPr>
                <w:rFonts w:hint="eastAsia" w:ascii="宋体" w:hAnsi="宋体" w:cs="宋体"/>
                <w:color w:val="auto"/>
                <w:highlight w:val="none"/>
              </w:rPr>
              <w:t xml:space="preserve">50万元以下（含50万元）</w:t>
            </w:r>
            <w:r/>
          </w:p>
        </w:tc>
        <w:tc>
          <w:tcPr>
            <w:tcW w:w="2569" w:type="dxa"/>
            <w:vAlign w:val="center"/>
            <w:textDirection w:val="lrTb"/>
            <w:noWrap w:val="false"/>
          </w:tcPr>
          <w:p>
            <w:pPr>
              <w:jc w:val="center"/>
              <w:spacing w:line="312" w:lineRule="auto"/>
              <w:rPr>
                <w:rFonts w:ascii="宋体" w:hAnsi="宋体" w:cs="宋体"/>
                <w:color w:val="auto"/>
                <w:highlight w:val="none"/>
              </w:rPr>
            </w:pPr>
            <w:r>
              <w:rPr>
                <w:rFonts w:hint="eastAsia" w:ascii="宋体" w:hAnsi="宋体" w:cs="宋体"/>
                <w:color w:val="auto"/>
                <w:highlight w:val="none"/>
              </w:rPr>
              <w:t xml:space="preserve">1.6%</w:t>
            </w:r>
            <w:r/>
          </w:p>
        </w:tc>
      </w:tr>
      <w:tr>
        <w:trPr>
          <w:jc w:val="center"/>
          <w:trHeight w:val="475"/>
        </w:trPr>
        <w:tc>
          <w:tcPr>
            <w:tcW w:w="6790" w:type="dxa"/>
            <w:vAlign w:val="center"/>
            <w:textDirection w:val="lrTb"/>
            <w:noWrap w:val="false"/>
          </w:tcPr>
          <w:p>
            <w:pPr>
              <w:jc w:val="center"/>
              <w:spacing w:line="312" w:lineRule="auto"/>
              <w:rPr>
                <w:rFonts w:ascii="宋体" w:hAnsi="宋体" w:cs="宋体"/>
                <w:color w:val="auto"/>
                <w:highlight w:val="none"/>
              </w:rPr>
            </w:pPr>
            <w:r>
              <w:rPr>
                <w:rFonts w:hint="eastAsia" w:ascii="宋体" w:hAnsi="宋体" w:cs="宋体"/>
                <w:color w:val="auto"/>
                <w:highlight w:val="none"/>
              </w:rPr>
              <w:t xml:space="preserve">50-400万元（含400万元）</w:t>
            </w:r>
            <w:r/>
          </w:p>
        </w:tc>
        <w:tc>
          <w:tcPr>
            <w:tcW w:w="2569" w:type="dxa"/>
            <w:vAlign w:val="center"/>
            <w:textDirection w:val="lrTb"/>
            <w:noWrap w:val="false"/>
          </w:tcPr>
          <w:p>
            <w:pPr>
              <w:jc w:val="center"/>
              <w:spacing w:line="312" w:lineRule="auto"/>
              <w:rPr>
                <w:rFonts w:ascii="宋体" w:hAnsi="宋体" w:cs="宋体"/>
                <w:color w:val="auto"/>
                <w:highlight w:val="none"/>
              </w:rPr>
            </w:pPr>
            <w:r>
              <w:rPr>
                <w:rFonts w:hint="eastAsia" w:ascii="宋体" w:hAnsi="宋体" w:cs="宋体"/>
                <w:color w:val="auto"/>
                <w:highlight w:val="none"/>
              </w:rPr>
              <w:t xml:space="preserve">1.5%</w:t>
            </w:r>
            <w:r/>
          </w:p>
        </w:tc>
      </w:tr>
      <w:tr>
        <w:trPr>
          <w:jc w:val="center"/>
          <w:trHeight w:val="475"/>
        </w:trPr>
        <w:tc>
          <w:tcPr>
            <w:tcW w:w="6790" w:type="dxa"/>
            <w:vAlign w:val="center"/>
            <w:textDirection w:val="lrTb"/>
            <w:noWrap w:val="false"/>
          </w:tcPr>
          <w:p>
            <w:pPr>
              <w:jc w:val="center"/>
              <w:spacing w:line="312" w:lineRule="auto"/>
              <w:rPr>
                <w:rFonts w:ascii="宋体" w:hAnsi="宋体" w:cs="宋体"/>
                <w:color w:val="auto"/>
                <w:highlight w:val="none"/>
              </w:rPr>
            </w:pPr>
            <w:r>
              <w:rPr>
                <w:rFonts w:hint="eastAsia" w:ascii="宋体" w:hAnsi="宋体" w:cs="宋体"/>
                <w:color w:val="auto"/>
                <w:highlight w:val="none"/>
              </w:rPr>
              <w:t xml:space="preserve">400-1000万元（含1000万元）</w:t>
            </w:r>
            <w:r/>
          </w:p>
        </w:tc>
        <w:tc>
          <w:tcPr>
            <w:tcW w:w="2569" w:type="dxa"/>
            <w:vAlign w:val="center"/>
            <w:textDirection w:val="lrTb"/>
            <w:noWrap w:val="false"/>
          </w:tcPr>
          <w:p>
            <w:pPr>
              <w:jc w:val="center"/>
              <w:spacing w:line="312" w:lineRule="auto"/>
              <w:rPr>
                <w:rFonts w:ascii="宋体" w:hAnsi="宋体" w:cs="宋体"/>
                <w:color w:val="auto"/>
                <w:highlight w:val="none"/>
              </w:rPr>
            </w:pPr>
            <w:r>
              <w:rPr>
                <w:rFonts w:hint="eastAsia" w:ascii="宋体" w:hAnsi="宋体" w:cs="宋体"/>
                <w:color w:val="auto"/>
                <w:highlight w:val="none"/>
              </w:rPr>
              <w:t xml:space="preserve">1.1%</w:t>
            </w:r>
            <w:r/>
          </w:p>
        </w:tc>
      </w:tr>
      <w:tr>
        <w:trPr>
          <w:jc w:val="center"/>
          <w:trHeight w:val="475"/>
        </w:trPr>
        <w:tc>
          <w:tcPr>
            <w:tcW w:w="6790" w:type="dxa"/>
            <w:vAlign w:val="center"/>
            <w:textDirection w:val="lrTb"/>
            <w:noWrap w:val="false"/>
          </w:tcPr>
          <w:p>
            <w:pPr>
              <w:jc w:val="center"/>
              <w:spacing w:line="312" w:lineRule="auto"/>
              <w:rPr>
                <w:rFonts w:ascii="宋体" w:hAnsi="宋体" w:cs="宋体"/>
                <w:color w:val="auto"/>
                <w:highlight w:val="none"/>
              </w:rPr>
            </w:pPr>
            <w:r>
              <w:rPr>
                <w:rFonts w:hint="eastAsia" w:ascii="宋体" w:hAnsi="宋体" w:cs="宋体"/>
                <w:color w:val="auto"/>
                <w:highlight w:val="none"/>
              </w:rPr>
              <w:t xml:space="preserve">1000-5000万元（含5000万元）</w:t>
            </w:r>
            <w:r/>
          </w:p>
        </w:tc>
        <w:tc>
          <w:tcPr>
            <w:tcW w:w="2569" w:type="dxa"/>
            <w:vAlign w:val="center"/>
            <w:textDirection w:val="lrTb"/>
            <w:noWrap w:val="false"/>
          </w:tcPr>
          <w:p>
            <w:pPr>
              <w:jc w:val="center"/>
              <w:spacing w:line="312" w:lineRule="auto"/>
              <w:rPr>
                <w:rFonts w:ascii="宋体" w:hAnsi="宋体" w:cs="宋体"/>
                <w:color w:val="auto"/>
                <w:highlight w:val="none"/>
              </w:rPr>
            </w:pPr>
            <w:r>
              <w:rPr>
                <w:rFonts w:hint="eastAsia" w:ascii="宋体" w:hAnsi="宋体" w:cs="宋体"/>
                <w:color w:val="auto"/>
                <w:highlight w:val="none"/>
              </w:rPr>
              <w:t xml:space="preserve">0.8%</w:t>
            </w:r>
            <w:r/>
          </w:p>
        </w:tc>
      </w:tr>
      <w:tr>
        <w:trPr>
          <w:jc w:val="center"/>
          <w:trHeight w:val="475"/>
        </w:trPr>
        <w:tc>
          <w:tcPr>
            <w:tcW w:w="6790" w:type="dxa"/>
            <w:vAlign w:val="center"/>
            <w:textDirection w:val="lrTb"/>
            <w:noWrap w:val="false"/>
          </w:tcPr>
          <w:p>
            <w:pPr>
              <w:jc w:val="center"/>
              <w:spacing w:line="312" w:lineRule="auto"/>
              <w:rPr>
                <w:rFonts w:ascii="宋体" w:hAnsi="宋体" w:cs="宋体"/>
                <w:color w:val="auto"/>
                <w:highlight w:val="none"/>
              </w:rPr>
            </w:pPr>
            <w:r>
              <w:rPr>
                <w:rFonts w:hint="eastAsia" w:ascii="宋体" w:hAnsi="宋体" w:cs="宋体"/>
                <w:color w:val="auto"/>
                <w:highlight w:val="none"/>
              </w:rPr>
              <w:t xml:space="preserve">5000-1亿元（含1亿元）</w:t>
            </w:r>
            <w:r/>
          </w:p>
        </w:tc>
        <w:tc>
          <w:tcPr>
            <w:tcW w:w="2569" w:type="dxa"/>
            <w:vAlign w:val="center"/>
            <w:textDirection w:val="lrTb"/>
            <w:noWrap w:val="false"/>
          </w:tcPr>
          <w:p>
            <w:pPr>
              <w:jc w:val="center"/>
              <w:spacing w:line="312" w:lineRule="auto"/>
              <w:rPr>
                <w:rFonts w:ascii="宋体" w:hAnsi="宋体" w:cs="宋体"/>
                <w:color w:val="auto"/>
                <w:highlight w:val="none"/>
              </w:rPr>
            </w:pPr>
            <w:r>
              <w:rPr>
                <w:rFonts w:hint="eastAsia" w:ascii="宋体" w:hAnsi="宋体" w:cs="宋体"/>
                <w:color w:val="auto"/>
                <w:highlight w:val="none"/>
              </w:rPr>
              <w:t xml:space="preserve">0.25%</w:t>
            </w:r>
            <w:r/>
          </w:p>
        </w:tc>
      </w:tr>
      <w:tr>
        <w:trPr>
          <w:jc w:val="center"/>
          <w:trHeight w:val="475"/>
        </w:trPr>
        <w:tc>
          <w:tcPr>
            <w:tcW w:w="6790" w:type="dxa"/>
            <w:vAlign w:val="center"/>
            <w:textDirection w:val="lrTb"/>
            <w:noWrap w:val="false"/>
          </w:tcPr>
          <w:p>
            <w:pPr>
              <w:jc w:val="center"/>
              <w:spacing w:line="312" w:lineRule="auto"/>
              <w:rPr>
                <w:rFonts w:ascii="宋体" w:hAnsi="宋体" w:cs="宋体"/>
                <w:color w:val="auto"/>
                <w:highlight w:val="none"/>
              </w:rPr>
            </w:pPr>
            <w:r>
              <w:rPr>
                <w:rFonts w:hint="eastAsia" w:ascii="宋体" w:hAnsi="宋体" w:cs="宋体"/>
                <w:color w:val="auto"/>
                <w:highlight w:val="none"/>
              </w:rPr>
              <w:t xml:space="preserve">1-10亿元（含10亿元）</w:t>
            </w:r>
            <w:r/>
          </w:p>
        </w:tc>
        <w:tc>
          <w:tcPr>
            <w:tcW w:w="2569" w:type="dxa"/>
            <w:vAlign w:val="center"/>
            <w:textDirection w:val="lrTb"/>
            <w:noWrap w:val="false"/>
          </w:tcPr>
          <w:p>
            <w:pPr>
              <w:jc w:val="center"/>
              <w:spacing w:line="312" w:lineRule="auto"/>
              <w:rPr>
                <w:rFonts w:ascii="宋体" w:hAnsi="宋体" w:cs="宋体"/>
                <w:color w:val="auto"/>
                <w:highlight w:val="none"/>
              </w:rPr>
            </w:pPr>
            <w:r>
              <w:rPr>
                <w:rFonts w:hint="eastAsia" w:ascii="宋体" w:hAnsi="宋体" w:cs="宋体"/>
                <w:color w:val="auto"/>
                <w:highlight w:val="none"/>
              </w:rPr>
              <w:t xml:space="preserve">0.05%</w:t>
            </w:r>
            <w:r/>
          </w:p>
        </w:tc>
      </w:tr>
      <w:tr>
        <w:trPr>
          <w:jc w:val="center"/>
          <w:trHeight w:val="475"/>
        </w:trPr>
        <w:tc>
          <w:tcPr>
            <w:tcW w:w="6790" w:type="dxa"/>
            <w:vAlign w:val="center"/>
            <w:textDirection w:val="lrTb"/>
            <w:noWrap w:val="false"/>
          </w:tcPr>
          <w:p>
            <w:pPr>
              <w:jc w:val="center"/>
              <w:spacing w:line="312" w:lineRule="auto"/>
              <w:rPr>
                <w:rFonts w:ascii="宋体" w:hAnsi="宋体" w:cs="宋体"/>
                <w:color w:val="auto"/>
                <w:highlight w:val="none"/>
              </w:rPr>
            </w:pPr>
            <w:r>
              <w:rPr>
                <w:rFonts w:hint="eastAsia" w:ascii="宋体" w:hAnsi="宋体" w:cs="宋体"/>
                <w:color w:val="auto"/>
                <w:highlight w:val="none"/>
              </w:rPr>
              <w:t xml:space="preserve">10-50亿元（含50亿元）</w:t>
            </w:r>
            <w:r/>
          </w:p>
        </w:tc>
        <w:tc>
          <w:tcPr>
            <w:tcW w:w="2569" w:type="dxa"/>
            <w:vAlign w:val="center"/>
            <w:textDirection w:val="lrTb"/>
            <w:noWrap w:val="false"/>
          </w:tcPr>
          <w:p>
            <w:pPr>
              <w:jc w:val="center"/>
              <w:spacing w:line="312" w:lineRule="auto"/>
              <w:rPr>
                <w:rFonts w:ascii="宋体" w:hAnsi="宋体" w:cs="宋体"/>
                <w:color w:val="auto"/>
                <w:highlight w:val="none"/>
              </w:rPr>
            </w:pPr>
            <w:r>
              <w:rPr>
                <w:rFonts w:hint="eastAsia" w:ascii="宋体" w:hAnsi="宋体" w:cs="宋体"/>
                <w:color w:val="auto"/>
                <w:highlight w:val="none"/>
              </w:rPr>
              <w:t xml:space="preserve">0.01%</w:t>
            </w:r>
            <w:r/>
          </w:p>
        </w:tc>
      </w:tr>
      <w:tr>
        <w:trPr>
          <w:jc w:val="center"/>
          <w:trHeight w:val="487"/>
        </w:trPr>
        <w:tc>
          <w:tcPr>
            <w:tcW w:w="6790" w:type="dxa"/>
            <w:vAlign w:val="center"/>
            <w:textDirection w:val="lrTb"/>
            <w:noWrap w:val="false"/>
          </w:tcPr>
          <w:p>
            <w:pPr>
              <w:jc w:val="center"/>
              <w:spacing w:line="312" w:lineRule="auto"/>
              <w:rPr>
                <w:rFonts w:ascii="宋体" w:hAnsi="宋体" w:cs="宋体"/>
                <w:color w:val="auto"/>
                <w:highlight w:val="none"/>
              </w:rPr>
            </w:pPr>
            <w:r>
              <w:rPr>
                <w:rFonts w:hint="eastAsia" w:ascii="宋体" w:hAnsi="宋体" w:cs="宋体"/>
                <w:color w:val="auto"/>
                <w:highlight w:val="none"/>
              </w:rPr>
              <w:t xml:space="preserve">50亿元以上</w:t>
            </w:r>
            <w:r/>
          </w:p>
        </w:tc>
        <w:tc>
          <w:tcPr>
            <w:tcW w:w="2569" w:type="dxa"/>
            <w:vAlign w:val="center"/>
            <w:textDirection w:val="lrTb"/>
            <w:noWrap w:val="false"/>
          </w:tcPr>
          <w:p>
            <w:pPr>
              <w:jc w:val="center"/>
              <w:spacing w:line="312" w:lineRule="auto"/>
              <w:rPr>
                <w:rFonts w:ascii="宋体" w:hAnsi="宋体" w:cs="宋体"/>
                <w:color w:val="auto"/>
                <w:highlight w:val="none"/>
              </w:rPr>
            </w:pPr>
            <w:r>
              <w:rPr>
                <w:rFonts w:hint="eastAsia" w:ascii="宋体" w:hAnsi="宋体" w:cs="宋体"/>
                <w:color w:val="auto"/>
                <w:highlight w:val="none"/>
              </w:rPr>
              <w:t xml:space="preserve">0.005%</w:t>
            </w:r>
            <w:r/>
          </w:p>
        </w:tc>
      </w:tr>
    </w:tbl>
    <w:p>
      <w:pPr>
        <w:pStyle w:val="1055"/>
        <w:ind w:firstLine="505"/>
        <w:jc w:val="left"/>
        <w:spacing w:line="312" w:lineRule="auto"/>
        <w:widowControl w:val="off"/>
        <w:rPr>
          <w:rFonts w:ascii="宋体" w:hAnsi="宋体" w:cs="宋体"/>
          <w:color w:val="auto"/>
          <w:spacing w:val="6"/>
          <w:sz w:val="24"/>
          <w:szCs w:val="24"/>
          <w:highlight w:val="none"/>
        </w:rPr>
      </w:pPr>
      <w:r>
        <w:rPr>
          <w:rFonts w:ascii="宋体" w:hAnsi="宋体" w:cs="宋体"/>
          <w:color w:val="auto"/>
          <w:spacing w:val="6"/>
          <w:sz w:val="24"/>
          <w:szCs w:val="24"/>
          <w:highlight w:val="none"/>
        </w:rPr>
      </w:r>
      <w:r/>
    </w:p>
    <w:p>
      <w:pPr>
        <w:ind w:firstLine="472"/>
        <w:spacing w:line="312" w:lineRule="auto"/>
        <w:rPr>
          <w:rFonts w:ascii="宋体" w:hAnsi="宋体" w:cs="宋体"/>
          <w:color w:val="auto"/>
          <w:highlight w:val="none"/>
        </w:rPr>
      </w:pPr>
      <w:r>
        <w:rPr>
          <w:rFonts w:hint="eastAsia" w:ascii="宋体" w:hAnsi="宋体" w:cs="宋体"/>
          <w:color w:val="auto"/>
          <w:highlight w:val="none"/>
        </w:rPr>
        <w:t xml:space="preserve">说明：</w:t>
      </w:r>
      <w:r/>
    </w:p>
    <w:p>
      <w:pPr>
        <w:ind w:firstLine="472"/>
        <w:spacing w:line="312" w:lineRule="auto"/>
        <w:rPr>
          <w:rFonts w:ascii="宋体" w:hAnsi="宋体" w:cs="宋体"/>
          <w:color w:val="auto"/>
          <w:highlight w:val="none"/>
        </w:rPr>
      </w:pPr>
      <w:r>
        <w:rPr>
          <w:rFonts w:hint="eastAsia" w:ascii="宋体" w:hAnsi="宋体" w:cs="宋体"/>
          <w:color w:val="auto"/>
          <w:highlight w:val="none"/>
        </w:rPr>
        <w:t xml:space="preserve">1、按上表计算的收费为代理服务全过程的收费金额。各社会代理机构不再收取采购文件制作售卖费用。</w:t>
      </w:r>
      <w:r/>
    </w:p>
    <w:p>
      <w:pPr>
        <w:ind w:firstLine="472"/>
        <w:spacing w:line="312" w:lineRule="auto"/>
        <w:rPr>
          <w:rFonts w:ascii="宋体" w:hAnsi="宋体" w:cs="宋体"/>
          <w:color w:val="auto"/>
          <w:highlight w:val="none"/>
        </w:rPr>
      </w:pPr>
      <w:r>
        <w:rPr>
          <w:rFonts w:hint="eastAsia" w:ascii="宋体" w:hAnsi="宋体" w:cs="宋体"/>
          <w:color w:val="auto"/>
          <w:highlight w:val="none"/>
        </w:rPr>
        <w:t xml:space="preserve">2、代理服务费按差额定率累进法计算。</w:t>
      </w:r>
      <w:r/>
    </w:p>
    <w:p>
      <w:pPr>
        <w:ind w:firstLine="472"/>
        <w:spacing w:line="312" w:lineRule="auto"/>
        <w:rPr>
          <w:rFonts w:ascii="宋体" w:hAnsi="宋体" w:cs="宋体"/>
          <w:color w:val="auto"/>
          <w:highlight w:val="none"/>
        </w:rPr>
      </w:pPr>
      <w:r>
        <w:rPr>
          <w:rFonts w:hint="eastAsia" w:ascii="宋体" w:hAnsi="宋体" w:cs="宋体"/>
          <w:color w:val="auto"/>
          <w:highlight w:val="none"/>
        </w:rPr>
        <w:t xml:space="preserve">3、代理服务费基准金额（按差额定率累进法计算的）=中标金额（按差额定率累进法计算的）*费率（%）*30%。</w:t>
      </w:r>
      <w:r/>
    </w:p>
    <w:p>
      <w:pPr>
        <w:ind w:firstLine="472"/>
        <w:spacing w:line="312" w:lineRule="auto"/>
        <w:rPr>
          <w:rFonts w:ascii="宋体" w:hAnsi="宋体" w:cs="宋体"/>
          <w:color w:val="auto"/>
          <w:highlight w:val="none"/>
        </w:rPr>
      </w:pPr>
      <w:r>
        <w:rPr>
          <w:rFonts w:hint="eastAsia" w:ascii="宋体" w:hAnsi="宋体" w:cs="宋体"/>
          <w:color w:val="auto"/>
          <w:highlight w:val="none"/>
        </w:rPr>
        <w:t xml:space="preserve">4、代理服务费应收取金额=代理服务费基准金额（按差额定率累进法计算的）的合计数。</w:t>
      </w:r>
      <w:r/>
    </w:p>
    <w:p>
      <w:pPr>
        <w:ind w:firstLine="472"/>
        <w:spacing w:line="312" w:lineRule="auto"/>
        <w:rPr>
          <w:rFonts w:ascii="宋体" w:hAnsi="宋体" w:cs="宋体"/>
          <w:color w:val="auto"/>
          <w:highlight w:val="none"/>
        </w:rPr>
      </w:pPr>
      <w:r>
        <w:rPr>
          <w:rFonts w:hint="eastAsia" w:ascii="宋体" w:hAnsi="宋体" w:cs="宋体"/>
          <w:color w:val="auto"/>
          <w:highlight w:val="none"/>
        </w:rPr>
        <w:t xml:space="preserve">5、定点类等无金额或事先不能计算出价格总额的项目，按中标（成交）金额100万元计算服务费。</w:t>
      </w:r>
      <w:r/>
    </w:p>
    <w:p>
      <w:pPr>
        <w:ind w:firstLine="472"/>
        <w:spacing w:line="312" w:lineRule="auto"/>
        <w:rPr>
          <w:rFonts w:ascii="宋体" w:hAnsi="宋体" w:cs="宋体"/>
          <w:color w:val="auto"/>
          <w:highlight w:val="none"/>
        </w:rPr>
      </w:pPr>
      <w:r>
        <w:rPr>
          <w:rFonts w:hint="eastAsia" w:ascii="宋体" w:hAnsi="宋体" w:cs="宋体"/>
          <w:color w:val="auto"/>
          <w:highlight w:val="none"/>
        </w:rPr>
        <w:t xml:space="preserve">6.有分包(分标段)的以一个项目计算。</w:t>
      </w:r>
      <w:r/>
    </w:p>
    <w:p>
      <w:pPr>
        <w:ind w:firstLine="472"/>
        <w:spacing w:line="312" w:lineRule="auto"/>
        <w:rPr>
          <w:rFonts w:ascii="宋体" w:hAnsi="宋体" w:cs="宋体"/>
          <w:color w:val="auto"/>
          <w:highlight w:val="none"/>
        </w:rPr>
      </w:pPr>
      <w:r>
        <w:rPr>
          <w:rFonts w:hint="eastAsia" w:ascii="宋体" w:hAnsi="宋体" w:cs="宋体"/>
          <w:color w:val="auto"/>
          <w:highlight w:val="none"/>
        </w:rPr>
        <w:t xml:space="preserve">7.开户名称：江苏科建工程项目管理有限公司徐州分公司</w:t>
      </w:r>
      <w:r/>
    </w:p>
    <w:p>
      <w:pPr>
        <w:ind w:firstLine="472"/>
        <w:spacing w:line="312" w:lineRule="auto"/>
        <w:rPr>
          <w:rFonts w:ascii="宋体" w:hAnsi="宋体" w:cs="宋体"/>
          <w:color w:val="auto"/>
          <w:highlight w:val="none"/>
        </w:rPr>
      </w:pPr>
      <w:r>
        <w:rPr>
          <w:rFonts w:hint="eastAsia" w:ascii="宋体" w:hAnsi="宋体" w:cs="宋体"/>
          <w:color w:val="auto"/>
          <w:highlight w:val="none"/>
        </w:rPr>
        <w:t xml:space="preserve">开户行：中国农业银行股份有限公司徐州塔东支行</w:t>
      </w:r>
      <w:r/>
    </w:p>
    <w:p>
      <w:pPr>
        <w:ind w:firstLine="472"/>
        <w:spacing w:line="312" w:lineRule="auto"/>
        <w:rPr>
          <w:rFonts w:ascii="宋体" w:hAnsi="宋体" w:cs="宋体"/>
          <w:color w:val="auto"/>
          <w:highlight w:val="none"/>
        </w:rPr>
      </w:pPr>
      <w:r>
        <w:rPr>
          <w:rFonts w:hint="eastAsia" w:ascii="宋体" w:hAnsi="宋体" w:cs="宋体"/>
          <w:color w:val="auto"/>
          <w:highlight w:val="none"/>
        </w:rPr>
        <w:t xml:space="preserve">银行帐号：10247401040011283</w:t>
      </w:r>
      <w:r/>
    </w:p>
    <w:p>
      <w:pPr>
        <w:pStyle w:val="1059"/>
        <w:spacing w:line="312" w:lineRule="auto"/>
        <w:rPr>
          <w:rFonts w:ascii="宋体" w:hAnsi="宋体" w:eastAsia="宋体" w:cs="宋体"/>
          <w:b/>
          <w:bCs/>
          <w:color w:val="auto"/>
          <w:sz w:val="24"/>
          <w:highlight w:val="none"/>
        </w:rPr>
      </w:pPr>
      <w:r>
        <w:rPr>
          <w:rFonts w:ascii="宋体" w:hAnsi="宋体" w:eastAsia="宋体" w:cs="宋体"/>
          <w:b/>
          <w:bCs/>
          <w:color w:val="auto"/>
          <w:sz w:val="24"/>
          <w:highlight w:val="none"/>
        </w:rPr>
      </w:r>
      <w:r/>
    </w:p>
    <w:p>
      <w:pPr>
        <w:pStyle w:val="1059"/>
        <w:jc w:val="center"/>
        <w:spacing w:line="312"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--------------（以下无正文）------------</w:t>
      </w:r>
      <w:r/>
    </w:p>
    <w:p>
      <w:pPr>
        <w:pStyle w:val="1272"/>
        <w:jc w:val="center"/>
        <w:keepLines w:val="0"/>
        <w:keepNext w:val="0"/>
        <w:spacing w:before="0" w:after="0"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br w:type="page" w:clear="all"/>
      </w:r>
      <w:bookmarkStart w:id="20" w:name="_Toc16162"/>
      <w:r/>
      <w:bookmarkStart w:id="21" w:name="_Toc80122289"/>
      <w:r/>
      <w:bookmarkStart w:id="22" w:name="_Toc23372"/>
      <w:r>
        <w:rPr>
          <w:rStyle w:val="1303"/>
          <w:rFonts w:hint="eastAsia" w:hAnsi="宋体" w:cs="宋体"/>
          <w:color w:val="auto"/>
          <w:szCs w:val="24"/>
          <w:highlight w:val="none"/>
        </w:rPr>
        <w:t xml:space="preserve">第七章 评分细则</w:t>
      </w:r>
      <w:bookmarkEnd w:id="20"/>
      <w:r/>
      <w:bookmarkEnd w:id="21"/>
      <w:r>
        <w:rPr>
          <w:rStyle w:val="1303"/>
          <w:rFonts w:hint="eastAsia" w:hAnsi="宋体" w:cs="宋体"/>
          <w:color w:val="auto"/>
          <w:szCs w:val="24"/>
          <w:highlight w:val="none"/>
        </w:rPr>
        <w:t xml:space="preserve">（综合评分法）</w:t>
      </w:r>
      <w:bookmarkEnd w:id="22"/>
      <w:r/>
      <w:r/>
    </w:p>
    <w:p>
      <w:pPr>
        <w:pStyle w:val="1055"/>
        <w:spacing w:line="312" w:lineRule="auto"/>
        <w:widowControl w:val="off"/>
        <w:rPr>
          <w:rFonts w:ascii="宋体" w:hAnsi="宋体" w:cs="宋体"/>
          <w:color w:val="auto"/>
          <w:sz w:val="24"/>
          <w:szCs w:val="24"/>
          <w:highlight w:val="none"/>
        </w:rPr>
      </w:pPr>
      <w:r/>
      <w:bookmarkStart w:id="23" w:name="_Toc80122290"/>
      <w:r>
        <w:rPr>
          <w:rFonts w:hint="eastAsia" w:ascii="宋体" w:hAnsi="宋体" w:cs="宋体"/>
          <w:color w:val="auto"/>
          <w:sz w:val="21"/>
          <w:szCs w:val="21"/>
          <w:highlight w:val="none"/>
        </w:rPr>
        <w:t xml:space="preserve">说明：本项目采用综合评分法。（供应商技术部分得分取所有评委的平均值，保留小数点后二位）。</w:t>
      </w:r>
      <w:r/>
    </w:p>
    <w:tbl>
      <w:tblPr>
        <w:tblStyle w:val="1013"/>
        <w:tblW w:w="961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43"/>
        <w:gridCol w:w="1326"/>
        <w:gridCol w:w="7044"/>
      </w:tblGrid>
      <w:tr>
        <w:trPr>
          <w:jc w:val="center"/>
          <w:trHeight w:val="567"/>
        </w:trPr>
        <w:tc>
          <w:tcPr>
            <w:gridSpan w:val="2"/>
            <w:tcW w:w="2569" w:type="dxa"/>
            <w:vAlign w:val="center"/>
            <w:textDirection w:val="lrTb"/>
            <w:noWrap w:val="false"/>
          </w:tcPr>
          <w:p>
            <w:pPr>
              <w:jc w:val="center"/>
              <w:spacing w:line="360" w:lineRule="auto"/>
              <w:rPr>
                <w:rFonts w:ascii="宋体" w:hAnsi="宋体" w:cs="宋体"/>
                <w:color w:val="auto"/>
                <w:highlight w:val="none"/>
              </w:rPr>
            </w:pPr>
            <w:r/>
            <w:bookmarkStart w:id="24" w:name="_Toc32561"/>
            <w:r>
              <w:rPr>
                <w:rFonts w:hint="eastAsia" w:ascii="宋体" w:hAnsi="宋体" w:cs="宋体"/>
                <w:color w:val="auto"/>
                <w:highlight w:val="none"/>
              </w:rPr>
              <w:t xml:space="preserve">评审因素</w:t>
            </w:r>
            <w:r/>
          </w:p>
        </w:tc>
        <w:tc>
          <w:tcPr>
            <w:tcW w:w="704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评审因素细化和量化</w:t>
            </w:r>
            <w:r/>
          </w:p>
        </w:tc>
      </w:tr>
      <w:tr>
        <w:trPr>
          <w:jc w:val="center"/>
          <w:trHeight w:val="567"/>
        </w:trPr>
        <w:tc>
          <w:tcPr>
            <w:tcW w:w="1243"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价格部分（</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0分）</w:t>
            </w:r>
            <w:r/>
          </w:p>
        </w:tc>
        <w:tc>
          <w:tcPr>
            <w:tcW w:w="1326"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价格</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0分）</w:t>
            </w:r>
            <w:r/>
          </w:p>
        </w:tc>
        <w:tc>
          <w:tcPr>
            <w:tcW w:w="7044" w:type="dxa"/>
            <w:vAlign w:val="center"/>
            <w:textDirection w:val="lrTb"/>
            <w:noWrap w:val="false"/>
          </w:tcPr>
          <w:p>
            <w:pPr>
              <w:spacing w:line="360" w:lineRule="auto"/>
              <w:widowControl w:val="off"/>
              <w:rPr>
                <w:rFonts w:ascii="宋体" w:hAnsi="宋体" w:cs="宋体"/>
                <w:color w:val="auto"/>
                <w:highlight w:val="none"/>
              </w:rPr>
            </w:pPr>
            <w:r>
              <w:rPr>
                <w:rFonts w:hint="eastAsia" w:ascii="宋体" w:hAnsi="宋体" w:cs="宋体"/>
                <w:color w:val="auto"/>
                <w:highlight w:val="none"/>
              </w:rPr>
              <w:t xml:space="preserve">采用低价优先法计算，即满足磋商文件要求且最后磋商价格最低的报价为磋商基准价，其价格分为满分。其他供应商的价格分统一按照下列公式计算：磋商报价得分=(磋商基准价/最后磋商报价)×</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0。</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得分四舍五入保留小数点后2位。</w:t>
            </w:r>
            <w:r/>
          </w:p>
        </w:tc>
      </w:tr>
      <w:tr>
        <w:trPr>
          <w:jc w:val="center"/>
          <w:trHeight w:val="567"/>
        </w:trPr>
        <w:tc>
          <w:tcPr>
            <w:tcW w:w="1243" w:type="dxa"/>
            <w:vAlign w:val="center"/>
            <w:vMerge w:val="restart"/>
            <w:textDirection w:val="lrTb"/>
            <w:noWrap w:val="false"/>
          </w:tcPr>
          <w:p>
            <w:pPr>
              <w:pStyle w:val="1055"/>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商务部分（</w:t>
            </w:r>
            <w:r>
              <w:rPr>
                <w:rFonts w:hint="eastAsia" w:ascii="宋体" w:hAnsi="宋体" w:cs="宋体"/>
                <w:color w:val="auto"/>
                <w:sz w:val="21"/>
                <w:szCs w:val="21"/>
                <w:highlight w:val="none"/>
                <w:lang w:val="en-US" w:eastAsia="zh-CN"/>
              </w:rPr>
              <w:t xml:space="preserve">14</w:t>
            </w:r>
            <w:r>
              <w:rPr>
                <w:rFonts w:hint="eastAsia" w:ascii="宋体" w:hAnsi="宋体" w:cs="宋体"/>
                <w:color w:val="auto"/>
                <w:sz w:val="21"/>
                <w:szCs w:val="21"/>
                <w:highlight w:val="none"/>
              </w:rPr>
              <w:t xml:space="preserve">分）</w:t>
            </w:r>
            <w:r/>
          </w:p>
        </w:tc>
        <w:tc>
          <w:tcPr>
            <w:tcW w:w="1326" w:type="dxa"/>
            <w:vAlign w:val="center"/>
            <w:textDirection w:val="lrTb"/>
            <w:noWrap w:val="false"/>
          </w:tcPr>
          <w:p>
            <w:pPr>
              <w:pStyle w:val="1560"/>
              <w:ind w:firstLine="0"/>
              <w:jc w:val="center"/>
              <w:spacing w:line="360" w:lineRule="auto"/>
              <w:rPr>
                <w:rFonts w:eastAsia="宋体" w:cs="宋体"/>
                <w:color w:val="auto"/>
                <w:sz w:val="21"/>
                <w:szCs w:val="21"/>
                <w:highlight w:val="none"/>
              </w:rPr>
            </w:pPr>
            <w:r>
              <w:rPr>
                <w:rFonts w:hint="eastAsia" w:eastAsia="宋体" w:cs="宋体"/>
                <w:color w:val="auto"/>
                <w:sz w:val="21"/>
                <w:szCs w:val="21"/>
                <w:highlight w:val="none"/>
              </w:rPr>
              <w:t xml:space="preserve">类似业绩</w:t>
            </w:r>
            <w:r/>
          </w:p>
          <w:p>
            <w:pPr>
              <w:pStyle w:val="1560"/>
              <w:ind w:firstLine="0"/>
              <w:jc w:val="center"/>
              <w:spacing w:line="360" w:lineRule="auto"/>
              <w:rPr>
                <w:rFonts w:eastAsia="宋体" w:cs="宋体"/>
                <w:color w:val="auto"/>
                <w:sz w:val="21"/>
                <w:szCs w:val="21"/>
                <w:highlight w:val="none"/>
              </w:rPr>
            </w:pPr>
            <w:r>
              <w:rPr>
                <w:rFonts w:hint="eastAsia" w:eastAsia="宋体" w:cs="宋体"/>
                <w:color w:val="auto"/>
                <w:sz w:val="21"/>
                <w:szCs w:val="21"/>
                <w:highlight w:val="none"/>
              </w:rPr>
              <w:t xml:space="preserve">(</w:t>
            </w:r>
            <w:r>
              <w:rPr>
                <w:rFonts w:hint="eastAsia" w:eastAsia="宋体" w:cs="宋体"/>
                <w:color w:val="auto"/>
                <w:sz w:val="21"/>
                <w:szCs w:val="21"/>
                <w:highlight w:val="none"/>
                <w:lang w:val="en-US" w:eastAsia="zh-CN"/>
              </w:rPr>
              <w:t xml:space="preserve">5</w:t>
            </w:r>
            <w:r>
              <w:rPr>
                <w:rFonts w:hint="eastAsia" w:eastAsia="宋体" w:cs="宋体"/>
                <w:color w:val="auto"/>
                <w:sz w:val="21"/>
                <w:szCs w:val="21"/>
                <w:highlight w:val="none"/>
              </w:rPr>
              <w:t xml:space="preserve">分）</w:t>
            </w:r>
            <w:r/>
          </w:p>
        </w:tc>
        <w:tc>
          <w:tcPr>
            <w:tcW w:w="7044" w:type="dxa"/>
            <w:vAlign w:val="center"/>
            <w:textDirection w:val="lrTb"/>
            <w:noWrap w:val="false"/>
          </w:tcPr>
          <w:p>
            <w:pPr>
              <w:jc w:val="left"/>
              <w:spacing w:line="360" w:lineRule="auto"/>
              <w:widowControl w:val="off"/>
              <w:rPr>
                <w:rFonts w:ascii="宋体" w:hAnsi="宋体" w:cs="宋体"/>
                <w:color w:val="auto"/>
                <w:highlight w:val="none"/>
              </w:rPr>
            </w:pPr>
            <w:r>
              <w:rPr>
                <w:rFonts w:hint="eastAsia" w:ascii="宋体" w:hAnsi="宋体" w:cs="宋体"/>
                <w:color w:val="auto"/>
                <w:highlight w:val="none"/>
              </w:rPr>
              <w:t xml:space="preserve">供应商近三年（自2023年04月01（含）以来，时间以竣工验收时间为准）承担过类似工程（类似工程指合同内容为装饰装修工程或修缮工程或改造工程），每提供一份得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分，本项最高得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jc w:val="left"/>
              <w:spacing w:line="360" w:lineRule="auto"/>
              <w:widowControl w:val="off"/>
              <w:rPr>
                <w:rFonts w:ascii="宋体" w:hAnsi="宋体" w:cs="宋体"/>
                <w:color w:val="auto"/>
                <w:highlight w:val="none"/>
              </w:rPr>
            </w:pPr>
            <w:r>
              <w:rPr>
                <w:rFonts w:hint="eastAsia" w:ascii="宋体" w:hAnsi="宋体" w:cs="宋体"/>
                <w:color w:val="auto"/>
                <w:highlight w:val="none"/>
              </w:rPr>
              <w:t xml:space="preserve">注：1.响应文件中提供合同原件扫描件及合同项下任一结算发票原件扫描件，以及竣工验收证明材料原件扫描件，以及国家税务总局全国增值税发票查验平台查验结果截图。（以上证明材料扫描件均加盖电子签章，否则不得分）</w:t>
            </w:r>
            <w:r/>
          </w:p>
          <w:p>
            <w:pPr>
              <w:jc w:val="left"/>
              <w:spacing w:line="360" w:lineRule="auto"/>
              <w:widowControl w:val="off"/>
              <w:rPr>
                <w:rFonts w:ascii="宋体" w:hAnsi="宋体" w:cs="宋体"/>
                <w:color w:val="auto"/>
                <w:highlight w:val="none"/>
              </w:rPr>
            </w:pPr>
            <w:r>
              <w:rPr>
                <w:rFonts w:hint="eastAsia" w:ascii="宋体" w:hAnsi="宋体" w:cs="宋体"/>
                <w:color w:val="auto"/>
                <w:highlight w:val="none"/>
              </w:rPr>
              <w:t xml:space="preserve">2.提供的证明材料不齐全或未按要求提供的，不得分。</w:t>
            </w:r>
            <w:r/>
          </w:p>
        </w:tc>
      </w:tr>
      <w:tr>
        <w:trPr>
          <w:jc w:val="center"/>
          <w:trHeight w:val="567"/>
        </w:trPr>
        <w:tc>
          <w:tcPr>
            <w:tcW w:w="1243" w:type="dxa"/>
            <w:vAlign w:val="center"/>
            <w:vMerge w:val="continue"/>
            <w:textDirection w:val="lrTb"/>
            <w:noWrap w:val="false"/>
          </w:tcPr>
          <w:p>
            <w:pPr>
              <w:pStyle w:val="1055"/>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W w:w="1326"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项目组施工人员配置</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（9分）</w:t>
            </w:r>
            <w:r/>
          </w:p>
        </w:tc>
        <w:tc>
          <w:tcPr>
            <w:shd w:val="clear" w:color="auto" w:fill="auto"/>
            <w:tcW w:w="7044"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1、项目负责人（项目经理）：具有建筑工程类中级（含）以上职称的得2分；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2、技术负责人：具有建筑工程类中级（含）以上职称的得2分；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3、项目组成员中，每增加 1 名持有建筑工程类中级（含）以上职称证书或二级注册建造师（含）以上执业资格证书的，得 1 分，本项最多得2 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4、项目组其他成员中，具有施工员证书的得1分；具有质检员证书的得1分；具有安全员证书的得1分；最多得3分。</w:t>
            </w:r>
            <w:r/>
          </w:p>
          <w:p>
            <w:pPr>
              <w:jc w:val="left"/>
              <w:spacing w:line="360" w:lineRule="auto"/>
              <w:rPr>
                <w:rFonts w:ascii="宋体" w:hAnsi="宋体" w:cs="宋体"/>
                <w:b/>
                <w:bCs/>
                <w:color w:val="auto"/>
                <w:highlight w:val="none"/>
              </w:rPr>
            </w:pPr>
            <w:r>
              <w:rPr>
                <w:rFonts w:hint="eastAsia" w:ascii="宋体" w:hAnsi="宋体" w:cs="宋体"/>
                <w:b/>
                <w:bCs/>
                <w:color w:val="auto"/>
                <w:highlight w:val="none"/>
              </w:rPr>
              <w:t xml:space="preserve">注：</w:t>
            </w:r>
            <w:r/>
          </w:p>
          <w:p>
            <w:pPr>
              <w:jc w:val="left"/>
              <w:spacing w:line="360" w:lineRule="auto"/>
              <w:rPr>
                <w:rFonts w:ascii="宋体" w:hAnsi="宋体" w:cs="宋体"/>
                <w:color w:val="auto"/>
                <w:highlight w:val="none"/>
              </w:rPr>
            </w:pPr>
            <w:r>
              <w:rPr>
                <w:rFonts w:hint="eastAsia" w:ascii="宋体" w:hAnsi="宋体" w:cs="宋体"/>
                <w:b/>
                <w:bCs/>
                <w:color w:val="auto"/>
                <w:highlight w:val="none"/>
              </w:rPr>
              <w:t xml:space="preserve">以上人员一人多证不重复计分。提供以上人员证书原件扫描件加盖电子签章，同时提供供应商为项目组成员缴纳的近3个月内任意一个月社保证明扫描件加盖电子签章。不提供的或提供扫描件不清晰的不得分，本项最高得9分。</w:t>
            </w:r>
            <w:r/>
          </w:p>
        </w:tc>
      </w:tr>
      <w:tr>
        <w:trPr>
          <w:jc w:val="center"/>
          <w:trHeight w:val="567"/>
        </w:trPr>
        <w:tc>
          <w:tcPr>
            <w:tcW w:w="1243" w:type="dxa"/>
            <w:vAlign w:val="center"/>
            <w:vMerge w:val="restart"/>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技术部分（</w:t>
            </w:r>
            <w:r>
              <w:rPr>
                <w:rFonts w:hint="eastAsia" w:ascii="宋体" w:hAnsi="宋体" w:cs="宋体"/>
                <w:color w:val="auto"/>
                <w:highlight w:val="none"/>
                <w:lang w:val="en-US" w:eastAsia="zh-CN"/>
              </w:rPr>
              <w:t xml:space="preserve">46</w:t>
            </w:r>
            <w:r>
              <w:rPr>
                <w:rFonts w:hint="eastAsia" w:ascii="宋体" w:hAnsi="宋体" w:cs="宋体"/>
                <w:color w:val="auto"/>
                <w:highlight w:val="none"/>
              </w:rPr>
              <w:t xml:space="preserve">分）</w:t>
            </w:r>
            <w:r/>
          </w:p>
        </w:tc>
        <w:tc>
          <w:tcPr>
            <w:tcW w:w="1326"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供应商选用主材、辅材方案</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tc>
        <w:tc>
          <w:tcPr>
            <w:tcW w:w="7044"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供应商根据采购文件，列明本项目施工所用的主材及辅材等配置方案。磋商小组对供应商所响应材料的档次、技术参数、质量、采购人可选范围等因素综合评审。</w:t>
            </w:r>
            <w:r/>
          </w:p>
          <w:p>
            <w:pPr>
              <w:ind w:right="-111"/>
              <w:jc w:val="left"/>
              <w:spacing w:line="360" w:lineRule="auto"/>
              <w:tabs>
                <w:tab w:val="left" w:pos="6930" w:leader="none"/>
                <w:tab w:val="left" w:pos="6940" w:leader="none"/>
              </w:tabs>
              <w:rPr>
                <w:rFonts w:ascii="宋体" w:hAnsi="宋体" w:cs="宋体"/>
                <w:color w:val="auto"/>
                <w:highlight w:val="none"/>
              </w:rPr>
            </w:pPr>
            <w:r>
              <w:rPr>
                <w:rFonts w:hint="eastAsia" w:ascii="宋体" w:hAnsi="宋体" w:cs="宋体"/>
                <w:color w:val="auto"/>
                <w:highlight w:val="none"/>
              </w:rPr>
              <w:t xml:space="preserve">（1）供应商根据本项目所配置的主材及辅材品目齐全、具有相应的多个品牌型号并对应所涉及的施工工艺和施工工序，同时主材及辅材的档次、技术参数、质量优秀（提供详细的技术说明或参数分析或说明说）的得</w:t>
            </w:r>
            <w:r>
              <w:rPr>
                <w:rFonts w:hint="eastAsia" w:ascii="宋体" w:hAnsi="宋体" w:cs="宋体"/>
                <w:color w:val="auto"/>
                <w:highlight w:val="none"/>
                <w:lang w:val="en-US" w:eastAsia="zh-CN"/>
              </w:rPr>
              <w:t xml:space="preserve">6分</w:t>
            </w:r>
            <w:r>
              <w:rPr>
                <w:rFonts w:hint="eastAsia" w:ascii="宋体" w:hAnsi="宋体" w:cs="宋体"/>
                <w:color w:val="auto"/>
                <w:highlight w:val="none"/>
              </w:rPr>
              <w:t xml:space="preserve">；</w:t>
            </w:r>
            <w:r/>
          </w:p>
          <w:p>
            <w:pPr>
              <w:ind w:right="-111"/>
              <w:jc w:val="left"/>
              <w:spacing w:line="360" w:lineRule="auto"/>
              <w:rPr>
                <w:rFonts w:ascii="宋体" w:hAnsi="宋体" w:cs="宋体"/>
                <w:color w:val="auto"/>
                <w:highlight w:val="none"/>
              </w:rPr>
            </w:pPr>
            <w:r>
              <w:rPr>
                <w:rFonts w:hint="eastAsia" w:ascii="宋体" w:hAnsi="宋体" w:cs="宋体"/>
                <w:color w:val="auto"/>
                <w:highlight w:val="none"/>
              </w:rPr>
              <w:t xml:space="preserve">（2）供应商根据本项目所配置的主材及辅材品目齐全、具有相应的多个品牌型号可供采购人选择，同时主材及辅材的技术参数、质量优秀的得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（3）供应商根据本项目所配置的主材及辅材品目不齐全、具有相应的品牌型号可供采购人选择，同时主材及辅材的技术参数优秀的得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（4）供应商根据本项目所配置的主材及辅材品目不齐全，具有相应的品牌型号可供采购人选择的得1分；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无此项的不得分，本项最高得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tc>
      </w:tr>
      <w:tr>
        <w:trPr>
          <w:jc w:val="center"/>
          <w:trHeight w:val="567"/>
        </w:trPr>
        <w:tc>
          <w:tcPr>
            <w:tcW w:w="1243" w:type="dxa"/>
            <w:vAlign w:val="center"/>
            <w:vMerge w:val="continue"/>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auto" w:fill="auto"/>
            <w:tcW w:w="1326"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项目理解及完工效果展示（</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tc>
        <w:tc>
          <w:tcPr>
            <w:shd w:val="clear" w:color="auto" w:fill="auto"/>
            <w:tcW w:w="7044"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对项目理解充分，提供各区域、通道、门厅及各功能性房间完工效果展示图及相关资料。</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（1）完工效果图及相关资料中实现项目需求的各系统内容展示完整并且内容详尽、科学合理，实现的功能具体明晰，可执行性强，效果展示图能全面体现完工后效果的得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（2）完工效果图及相关资料中实现项目需求的各系统内容展示完整，实现功能不完整，完工效果展示图能全面体现完工后效果的得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（3）完工效果图及相关资料中实现项目需求的各系统内容展示不完整，实现功能不完整，完工效果展示图能大体体现完工后效果的得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（4）完工效果图及相关资料的各系统不完整，实现功能不够完整，完工效果展示图部分体现完工后效果的得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无此项的不得分，本项最高得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tc>
      </w:tr>
      <w:tr>
        <w:trPr>
          <w:jc w:val="center"/>
          <w:trHeight w:val="567"/>
        </w:trPr>
        <w:tc>
          <w:tcPr>
            <w:tcW w:w="1243" w:type="dxa"/>
            <w:vAlign w:val="center"/>
            <w:vMerge w:val="continue"/>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auto" w:fill="auto"/>
            <w:tcW w:w="1326"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施工组织设计总概述</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tc>
        <w:tc>
          <w:tcPr>
            <w:shd w:val="clear" w:color="auto" w:fill="auto"/>
            <w:tcW w:w="7044"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施工组织设计总概述:</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施工组织设计总概述涵盖了项目交底至缺陷责任期满的全部流程，且内容详实完整；对项目功能、项目总体要求及项目定位具有清晰正确的认识，符合法律法规和行业规范；总体方案和施工提纲内容清晰、分条列项、逻辑正确、紧扣项目特点、有可操作性，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施工组织设计总概述涵盖了项目开始施工至缺陷责任期满的全部流程，内容详实完整；符合法律法规和行业规范。总体方案和施工提纲内容清晰、分条列项、逻辑正确、能够结合项目特点但存在偏离内容、有可操作性，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3）施工组织设计总概述涵盖了项目开始施工至缺陷责任期满的全部流程，内容完整；对项目功能、项目总体要求及项目定位有所提及但认识不够清晰正确，除部分内容存在瑕疵外，其余均行业规范，全部内容均符合法律法规；总体方案和施工提纲内容清晰、有可操作性、但逻辑存在瑕疵，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（4）施工组织设计总概述仅涉及部分流程；对项目功能、项目总体要求及项目定位有所提及但存在偏差，总体方案和施工提纲条理性差、逻辑混乱或错误、没有可操作性，得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无此项的不得分，本项最高得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tc>
      </w:tr>
      <w:tr>
        <w:trPr>
          <w:jc w:val="center"/>
          <w:trHeight w:val="567"/>
        </w:trPr>
        <w:tc>
          <w:tcPr>
            <w:tcW w:w="1243" w:type="dxa"/>
            <w:vAlign w:val="center"/>
            <w:vMerge w:val="continue"/>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auto" w:fill="auto"/>
            <w:tcW w:w="1326"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施工现场平面布置和临时道路</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tc>
        <w:tc>
          <w:tcPr>
            <w:shd w:val="clear" w:color="auto" w:fill="auto"/>
            <w:tcW w:w="7044"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施工现场平面布置和临时道路：</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布置合理、清晰、符合项目实际，提供与文字描述对应的各场景平面布置图和动线分布图，各动线分布明确，能够保障施工现场人、材、机的有序摆放和流动，同时符合安全施工的要求；临时设施的搭建能够满足施工需要，为施工提供支撑，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布置合理、清晰，提供与文字描述对应的各场景平面布置图和动线分布图，各动线分布明确但出现了冲突点，人、材、机的摆放和流动有瑕疵，符合安全施工的要求；临时设施的搭建能够满足施工需要，为施工提供支撑，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（3）布置清晰但存在与项目实际不符的内容，各动线分布明确，施工现场人、材、机的有专门摆放处，能够根据项目搭建有临时设施，但其种类或数量不能完整覆盖施工需求，得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4）布置清晰但存在与项目实际不符的内容，各动线分布混乱，施工现场人、材、机的有专门摆放处但有无序流动风险，存在不符合安全施工的要求的内容；项目搭建的临时设施的种类和数量会拖累施工安全和进度，得1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无此项的不得分，本项最高得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tc>
      </w:tr>
      <w:tr>
        <w:trPr>
          <w:jc w:val="center"/>
          <w:trHeight w:val="567"/>
        </w:trPr>
        <w:tc>
          <w:tcPr>
            <w:tcW w:w="1243" w:type="dxa"/>
            <w:vAlign w:val="center"/>
            <w:vMerge w:val="continue"/>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auto" w:fill="auto"/>
            <w:tcW w:w="1326"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工程进度计划安排及保证措施</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tc>
        <w:tc>
          <w:tcPr>
            <w:shd w:val="clear" w:color="auto" w:fill="auto"/>
            <w:tcW w:w="7044"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施工进度计划和各阶段进度：</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（1）施工进度符合采购需求；进度计划涵盖了项目交底至缺陷责任期，内容详细、完整，符合项目特点；各阶段进度分布符合项目施工逻辑，且按各阶段编制了进度图；具有能够执行的纠偏措施，得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（2）施工进度符合采购需求；进度计划涵盖了项目交底至缺陷责任期；内容详细、完整，提供了进度图；具有能够执行的纠偏措施，得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（3）施工进度符合采购需求；进度计划涵盖了项目进场施工至项目竣工；提供了进度图，但内容有瑕疵不能完全符合项目特点，施工逻辑存在瑕疵；纠偏措施不够完善的得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（4）施工进度符合采购需求，但进度计划不能完全覆盖项目进场施工至项目竣工；内容与项目要求、项目特征和施工逻辑存在不符；缺少可以执行的纠偏措施，得1分。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无此项的不得分，本项最高得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tc>
      </w:tr>
      <w:tr>
        <w:trPr>
          <w:jc w:val="center"/>
          <w:trHeight w:val="2731"/>
        </w:trPr>
        <w:tc>
          <w:tcPr>
            <w:tcW w:w="1243" w:type="dxa"/>
            <w:vAlign w:val="center"/>
            <w:vMerge w:val="continue"/>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auto" w:fill="auto"/>
            <w:tcW w:w="1326" w:type="dxa"/>
            <w:vAlign w:val="center"/>
            <w:textDirection w:val="lrTb"/>
            <w:noWrap w:val="false"/>
          </w:tcPr>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关键施工技术、工艺及工程项目实施的重点、难点和解决方案（7分）</w:t>
            </w:r>
            <w:r/>
          </w:p>
        </w:tc>
        <w:tc>
          <w:tcPr>
            <w:shd w:val="clear" w:color="auto" w:fill="auto"/>
            <w:tcW w:w="7044"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关键施工技术、工艺及工程项目实施的重点、难点和解决方案：</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对本项目重难点把握全面、认识充分，提出完整、合理、可行的相关对策且对策与重难点逐条对应，以推进项目进度和保障工程质量；质量保证措施和质量管理体系形成合理完善的制度，质量控制目标清晰；关键技术和工艺有控制保障措施和纠偏措施，所涉岗位由多人负责，并形成监督；其他相关内容完整合理、有可操作性，得7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对本项目重难点把握全面、认识充分，提出相关对策以推进项目进度和保障工程质量，但相关对策和重难点没有逐条对应，但合理、可行；质量保证措施和质量管理体系形成合理完善的制度，质量控制目标清晰；关键技术和工艺有控制保障措施和纠偏措施，所涉岗位未由多人负责或由多人负责但不能形成监督；其他相关内容完整合理、有可操作性，得5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3）对本项目重难点有把握和认识，提出相关对策以推进项目进度和保障工程质量，但相关对策和重难点没有逐条对应，且存在不合理或不可行的内容；质量保证措施和质量管理体系形成制度，但制度有缺陷或没有质量控制目标；关键技术和工艺有控制保障措施和纠偏措施，所涉岗位未由多人负责或由多人负责但不能形成监督；其他相关内容有可操作性，得3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4）对本项目重难点的把握和认识与项目特征和项目需求存在偏差，提出相关对策存在不合理或不可行的内容；质量保证措施和质量管理体系形成制度，但制度有缺陷或没有质量控制目标；关键技术和工艺有控制保障措施和纠偏措施，所涉岗位未由多人负责或由多人负责但不能形成监督，得1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无此项的不得分，本项最高得7分。</w:t>
            </w:r>
            <w:r/>
          </w:p>
        </w:tc>
      </w:tr>
      <w:tr>
        <w:trPr>
          <w:jc w:val="center"/>
          <w:trHeight w:val="1561"/>
        </w:trPr>
        <w:tc>
          <w:tcPr>
            <w:tcW w:w="1243" w:type="dxa"/>
            <w:vAlign w:val="center"/>
            <w:vMerge w:val="continue"/>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auto" w:fill="auto"/>
            <w:tcW w:w="1326"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安全生产和安全管理措施、文明施工保障措施</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（7分）</w:t>
            </w:r>
            <w:r/>
          </w:p>
        </w:tc>
        <w:tc>
          <w:tcPr>
            <w:shd w:val="clear" w:color="auto" w:fill="auto"/>
            <w:tcW w:w="7044"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安全生产和安全管理措施、文明施工保障措施：</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安全文明施工内容详实、完整，能够设想到施工过程中常见的各类突发安全状况和文明施工问题，并分析原因，提出正确合规、合理可行的预防措施（含有安全文明施工培训内容）和处置方案；设有专人专岗负责安全文明施工；采用制度化管理，安全生产和安全管理措施、文明施工保障措施和项目贴合的，得7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（2）安全文明施工内容详实、完整，能够设想到施工过程中常见的各类突发安全状况和文明施工问题，并分析原因，提出正确合规、合理可行的预防措施和处置方案；采用制度化管理，得5分。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（3）安全文明施工内容对施工中的突发安全状况和文明施工问题进行设想，但缺少原因分析或提出预防措施和处置方案但与项目实际和规范不符，得3分。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（4）安全文明施工内容缺少对施工中的突发安全状况和文明施工问题进行设想和原因分析，或提出预防措施和处置方案但与项目实际和规范不符，或没有提出预防措施和处置方案，得1分。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无此项的不得分，本项最高得7分。</w:t>
            </w:r>
            <w:r/>
          </w:p>
        </w:tc>
      </w:tr>
    </w:tbl>
    <w:p>
      <w:pPr>
        <w:rPr>
          <w:rStyle w:val="1303"/>
          <w:rFonts w:hAnsi="宋体" w:cs="宋体"/>
          <w:color w:val="auto"/>
          <w:szCs w:val="24"/>
          <w:highlight w:val="none"/>
        </w:rPr>
      </w:pPr>
      <w:r>
        <w:rPr>
          <w:rStyle w:val="1303"/>
          <w:rFonts w:hint="eastAsia" w:hAnsi="宋体" w:cs="宋体"/>
          <w:color w:val="auto"/>
          <w:szCs w:val="24"/>
          <w:highlight w:val="none"/>
        </w:rPr>
        <w:br w:type="page" w:clear="all"/>
      </w:r>
      <w:r/>
    </w:p>
    <w:p>
      <w:pPr>
        <w:pStyle w:val="1272"/>
        <w:jc w:val="center"/>
        <w:keepLines w:val="0"/>
        <w:keepNext w:val="0"/>
        <w:spacing w:before="0" w:after="0" w:line="312" w:lineRule="auto"/>
        <w:widowControl w:val="off"/>
        <w:rPr>
          <w:rStyle w:val="1303"/>
          <w:rFonts w:hAnsi="宋体" w:cs="宋体"/>
          <w:color w:val="auto"/>
          <w:szCs w:val="24"/>
          <w:highlight w:val="none"/>
        </w:rPr>
      </w:pPr>
      <w:r/>
      <w:bookmarkStart w:id="25" w:name="_Toc19632"/>
      <w:r>
        <w:rPr>
          <w:rStyle w:val="1303"/>
          <w:rFonts w:hint="eastAsia" w:hAnsi="宋体" w:cs="宋体"/>
          <w:color w:val="auto"/>
          <w:szCs w:val="24"/>
          <w:highlight w:val="none"/>
        </w:rPr>
        <w:t xml:space="preserve">第八章 项目要求（采购需求）</w:t>
      </w:r>
      <w:bookmarkEnd w:id="23"/>
      <w:r/>
      <w:bookmarkEnd w:id="24"/>
      <w:r/>
      <w:bookmarkEnd w:id="25"/>
      <w:r/>
      <w:r/>
    </w:p>
    <w:p>
      <w:pPr>
        <w:pStyle w:val="1055"/>
        <w:spacing w:line="312" w:lineRule="auto"/>
        <w:widowControl w:val="off"/>
        <w:rPr>
          <w:rFonts w:ascii="宋体" w:hAnsi="宋体" w:cs="宋体"/>
          <w:b/>
          <w:bCs/>
          <w:color w:val="auto"/>
          <w:sz w:val="24"/>
          <w:szCs w:val="24"/>
          <w:highlight w:val="none"/>
        </w:rPr>
      </w:pPr>
      <w:r/>
      <w:bookmarkStart w:id="26" w:name="_Toc80122298"/>
      <w:r>
        <w:rPr>
          <w:rFonts w:hint="eastAsia" w:ascii="宋体" w:hAnsi="宋体" w:cs="宋体"/>
          <w:b/>
          <w:color w:val="auto"/>
          <w:sz w:val="24"/>
          <w:szCs w:val="24"/>
          <w:highlight w:val="none"/>
        </w:rPr>
        <w:t xml:space="preserve">一、采购预算 </w:t>
      </w:r>
      <w:r/>
    </w:p>
    <w:p>
      <w:pPr>
        <w:pStyle w:val="1055"/>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1、项目预算：本次采购项目预算约为269万元</w:t>
      </w:r>
      <w:r>
        <w:rPr>
          <w:rFonts w:hint="eastAsia" w:ascii="宋体" w:hAnsi="宋体" w:cs="宋体"/>
          <w:color w:val="auto"/>
          <w:sz w:val="24"/>
          <w:szCs w:val="24"/>
          <w:highlight w:val="none"/>
          <w:lang w:val="zh-CN"/>
        </w:rPr>
        <w:t xml:space="preserve">（人民币）</w:t>
      </w:r>
      <w:r>
        <w:rPr>
          <w:rFonts w:hint="eastAsia" w:ascii="宋体" w:hAnsi="宋体" w:cs="宋体"/>
          <w:color w:val="auto"/>
          <w:sz w:val="24"/>
          <w:szCs w:val="24"/>
          <w:highlight w:val="none"/>
        </w:rPr>
        <w:t xml:space="preserve">，资金来源为财政。</w:t>
      </w:r>
      <w:r/>
    </w:p>
    <w:p>
      <w:pPr>
        <w:pStyle w:val="1055"/>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2、最高限价：本项目设定最高限价，最高限价为269万元</w:t>
      </w:r>
      <w:r>
        <w:rPr>
          <w:rFonts w:hint="eastAsia" w:ascii="宋体" w:hAnsi="宋体" w:cs="宋体"/>
          <w:color w:val="auto"/>
          <w:sz w:val="24"/>
          <w:szCs w:val="24"/>
          <w:highlight w:val="none"/>
          <w:lang w:val="zh-CN"/>
        </w:rPr>
        <w:t xml:space="preserve">（人民币）</w:t>
      </w:r>
      <w:r>
        <w:rPr>
          <w:rFonts w:hint="eastAsia" w:ascii="宋体" w:hAnsi="宋体" w:cs="宋体"/>
          <w:color w:val="auto"/>
          <w:sz w:val="24"/>
          <w:szCs w:val="24"/>
          <w:highlight w:val="none"/>
        </w:rPr>
        <w:t xml:space="preserve">，投标报价超过最高限价的为无效投标。</w:t>
      </w:r>
      <w:r/>
    </w:p>
    <w:p>
      <w:pPr>
        <w:pStyle w:val="1055"/>
        <w:ind w:firstLine="480"/>
        <w:spacing w:line="312" w:lineRule="auto"/>
        <w:widowControl w:val="off"/>
        <w:rPr>
          <w:rFonts w:ascii="宋体" w:hAnsi="宋体" w:cs="宋体"/>
          <w:color w:val="auto"/>
          <w:sz w:val="24"/>
          <w:szCs w:val="24"/>
          <w:highlight w:val="none"/>
        </w:rPr>
      </w:pPr>
      <w:r>
        <w:rPr>
          <w:rFonts w:hint="eastAsia" w:ascii="宋体" w:hAnsi="宋体" w:cs="宋体"/>
          <w:b/>
          <w:bCs/>
          <w:color w:val="auto"/>
          <w:sz w:val="24"/>
          <w:szCs w:val="24"/>
          <w:highlight w:val="none"/>
        </w:rPr>
        <w:t xml:space="preserve">3、</w:t>
      </w:r>
      <w:r>
        <w:rPr>
          <w:rFonts w:hint="eastAsia" w:ascii="宋体" w:hAnsi="宋体" w:cs="宋体"/>
          <w:color w:val="auto"/>
          <w:sz w:val="24"/>
          <w:szCs w:val="24"/>
          <w:highlight w:val="none"/>
        </w:rPr>
        <w:t xml:space="preserve">报价包含完成本项目所需的全部费用，供应商报价时需考虑完成本项目内容所涉及的包含并不限于人工费、材料费、机械费、检测、验收、质量保修、税费、合理利润、代理服务费等供应商认为可能发生的相关一切费用。供应商有漏报或不报的，采购人将视为有关费用已包括在本项目的报价中而不予支付，采购人不支付报价以外的任何费用。</w:t>
      </w:r>
      <w:r/>
    </w:p>
    <w:p>
      <w:pPr>
        <w:pStyle w:val="1055"/>
        <w:spacing w:line="312" w:lineRule="auto"/>
        <w:widowControl w:val="off"/>
        <w:rPr>
          <w:rFonts w:ascii="宋体" w:hAnsi="宋体" w:cs="宋体"/>
          <w:color w:val="auto"/>
          <w:sz w:val="24"/>
          <w:szCs w:val="24"/>
          <w:highlight w:val="none"/>
        </w:rPr>
      </w:pPr>
      <w:r>
        <w:rPr>
          <w:rFonts w:hint="eastAsia" w:ascii="宋体" w:hAnsi="宋体" w:cs="宋体"/>
          <w:b/>
          <w:color w:val="auto"/>
          <w:sz w:val="24"/>
          <w:szCs w:val="24"/>
          <w:highlight w:val="none"/>
        </w:rPr>
        <w:t xml:space="preserve">二、项目概况</w:t>
      </w:r>
      <w:r/>
    </w:p>
    <w:p>
      <w:pPr>
        <w:pStyle w:val="1055"/>
        <w:ind w:firstLine="420"/>
        <w:spacing w:line="312"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会见楼1、2层维修改造项目土建装饰工程</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2、项目地点：</w:t>
      </w:r>
      <w:r>
        <w:rPr>
          <w:rFonts w:hint="eastAsia" w:ascii="宋体" w:hAnsi="宋体" w:cs="宋体"/>
          <w:color w:val="auto"/>
          <w:sz w:val="24"/>
          <w:szCs w:val="24"/>
          <w:highlight w:val="none"/>
          <w:lang w:eastAsia="zh-CN"/>
        </w:rPr>
        <w:t xml:space="preserve">江苏省徐州监狱</w:t>
      </w:r>
      <w:r>
        <w:rPr>
          <w:rFonts w:hint="eastAsia" w:ascii="宋体" w:hAnsi="宋体" w:cs="宋体"/>
          <w:color w:val="auto"/>
          <w:sz w:val="24"/>
          <w:szCs w:val="24"/>
          <w:highlight w:val="none"/>
        </w:rPr>
        <w:t xml:space="preserve">内</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3、合同履行期限：合同签订后25日历天。</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本项目主要内容：对会见楼1、2层进行改造，面积约1625平方米，包含拆除工程、内部改造、墙地面维修、天棚维修、水电改造、门窗改造、设备设施采购等。具体内容详见工程量清单及施工图纸所含全部内容。</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5、工程质量标准：合格，</w:t>
      </w:r>
      <w:r>
        <w:rPr>
          <w:rFonts w:hint="eastAsia" w:ascii="宋体" w:hAnsi="宋体" w:cs="宋体"/>
          <w:color w:val="auto"/>
          <w:sz w:val="24"/>
          <w:szCs w:val="24"/>
          <w:highlight w:val="none"/>
          <w:shd w:val="clear" w:color="auto" w:fill="ffffff"/>
        </w:rPr>
        <w:t xml:space="preserve">符合国家现行有关标准、相关行业规范及采购人要求</w:t>
      </w:r>
      <w:r>
        <w:rPr>
          <w:rFonts w:hint="eastAsia" w:ascii="宋体" w:hAnsi="宋体" w:cs="宋体"/>
          <w:color w:val="auto"/>
          <w:sz w:val="24"/>
          <w:szCs w:val="24"/>
          <w:highlight w:val="none"/>
        </w:rPr>
        <w:t xml:space="preserve">。</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6、承包方式：包工包料。</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现场自然及施工条件：投标人应充分了解施工环境、工地现场场地情况、用水用电情况、道路、储存空间、装卸限制、线路防护、临设搭建及任何其他影响造价及工期的情况，自行获取编制响应文件和签订合同所需的全部资料。</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同时请充分考虑施工场所的特殊性，为本项目服务的人员必须全部为男性。</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施工人员必须严格执行发包人相关管理规定，根据现阶段要求：施工人员不得是秃头、不得纹身、着迷彩服，没有受过刑事处分，不得携带现金、银行卡、酒水饮料、手机等电子设备。发包人会根据情况进行调整相应管理方式，施工人员必须无条件配合发包人管理工作；</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施工用车辆及人员，须提前一天将车辆号码，人员身份证等信息报发包人审核，发包人办理完审批手续后方可进入施工场地施工。</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上述情况请供应商自行考虑风险并计入投标报价中，结算时不予调整。</w:t>
      </w:r>
      <w:r/>
    </w:p>
    <w:p>
      <w:pPr>
        <w:pStyle w:val="1055"/>
        <w:spacing w:line="312"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三、现场踏勘 </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1、建议供应商自行开展对工程施工现场和周围环境进行勘察，以获取编制响应文件和签署合同所需的所有资料。</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2、现场踏勘前请与采购人提前预约，携带身份证和授权委托书。现场踏勘的责任、风险及产生的全部费用由供应商自行承担，供应商自行联系、组织实施踏勘工作。</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无论供应商是否实际踏勘现场，均视为已对现场情况进行充分、详实了解，且在响应文件中已充分考虑现场及环境相关因素，相关责任与风险由供应商自行承担，其对本磋商文件的理解、推论及解释亦由自身负责。</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4、成交供应商在施工现场施工过程中，若造成人员伤害及其他各类损失，均由成交供应商自行承担全部责任。</w:t>
      </w:r>
      <w:r/>
    </w:p>
    <w:p>
      <w:pPr>
        <w:pStyle w:val="1055"/>
        <w:spacing w:line="312" w:lineRule="auto"/>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四、</w:t>
      </w:r>
      <w:bookmarkEnd w:id="26"/>
      <w:r>
        <w:rPr>
          <w:rFonts w:hint="eastAsia" w:ascii="宋体" w:hAnsi="宋体" w:cs="宋体"/>
          <w:b/>
          <w:color w:val="auto"/>
          <w:sz w:val="24"/>
          <w:szCs w:val="24"/>
          <w:highlight w:val="none"/>
        </w:rPr>
        <w:t xml:space="preserve">本工程采用的技术规范</w:t>
      </w:r>
      <w:r/>
    </w:p>
    <w:p>
      <w:pPr>
        <w:pStyle w:val="1055"/>
        <w:ind w:firstLine="480"/>
        <w:spacing w:line="312"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1、本项目总体技术标准和要求见本工程的设计图纸。</w:t>
      </w:r>
      <w:r/>
    </w:p>
    <w:p>
      <w:pPr>
        <w:pStyle w:val="1055"/>
        <w:ind w:firstLine="480"/>
        <w:spacing w:line="312"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图纸中未明确之处以国家、省或行业的工程建设标准、规范的最新要求执行，特别是有关质量、安全方面的强制性规定。供应商应以最新规范、规程、标准为准，如供应商用错规范、规程、标准由供应商自行负责。</w:t>
      </w:r>
      <w:r/>
    </w:p>
    <w:p>
      <w:pPr>
        <w:pStyle w:val="1055"/>
        <w:spacing w:line="312" w:lineRule="auto"/>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五、</w:t>
      </w:r>
      <w:r>
        <w:rPr>
          <w:rFonts w:hint="eastAsia" w:ascii="宋体" w:hAnsi="宋体" w:cs="宋体"/>
          <w:b/>
          <w:bCs/>
          <w:color w:val="auto"/>
          <w:sz w:val="24"/>
          <w:szCs w:val="24"/>
          <w:highlight w:val="none"/>
        </w:rPr>
        <w:t xml:space="preserve">施工方案要求</w:t>
      </w:r>
      <w:r/>
    </w:p>
    <w:p>
      <w:pPr>
        <w:pStyle w:val="1055"/>
        <w:ind w:firstLine="480"/>
        <w:spacing w:line="312"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1、供应商通过勘查现场，综合考虑施工机械进退场，自行报价，结算时不予调整。</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bCs/>
          <w:color w:val="auto"/>
          <w:sz w:val="24"/>
          <w:szCs w:val="24"/>
          <w:highlight w:val="none"/>
        </w:rPr>
        <w:t xml:space="preserve">2、供应商应仔细核对采购人提供的施工图纸和工程量清单，并通过勘查现场，对施工图纸和工程量清单有疑问的，应于收到采购文件之日起二个工作日内按本文件要求向采购人书面提出。</w:t>
      </w:r>
      <w:r>
        <w:rPr>
          <w:rFonts w:hint="eastAsia" w:ascii="宋体" w:hAnsi="宋体" w:cs="宋体"/>
          <w:color w:val="auto"/>
          <w:sz w:val="24"/>
          <w:szCs w:val="24"/>
          <w:highlight w:val="none"/>
        </w:rPr>
        <w:t xml:space="preserve">逾期未提出的，视为对图纸和工程量清单无异议，中标后不得以任何理由变更清单内容或拒绝履行合同，否则按违约处理。</w:t>
      </w:r>
      <w:r/>
    </w:p>
    <w:p>
      <w:pPr>
        <w:pStyle w:val="1055"/>
        <w:ind w:firstLine="480"/>
        <w:spacing w:line="312"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如果项目部分材料提出了品牌上的要求，供应商须在采购人推荐的品牌或不低于该档次的品牌中选择，进行市场询价，自主报价。设计图纸、工程量清单表述不一致，按照二者中高标准执行。响应文件中必须注明所投产品品牌，否则按无效响应处理。</w:t>
      </w:r>
      <w:r/>
    </w:p>
    <w:p>
      <w:pPr>
        <w:pStyle w:val="1055"/>
        <w:ind w:firstLine="480"/>
        <w:spacing w:line="312"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本项目所使用的主要材料，在进场使用前，成交人须按照采购人的要求，提前将材料的品牌、生产厂家、规格、型号、样品（其中部分装饰材料还须额外提供环保检测报告）等相关资料上报采购人，经采购人审核同意后，该部分材料方可进场使用。若成交人未按上述要求执行，采购人有权拒绝该批材料进场使用，由此产生的一切损失（包括但不限于材料损耗、工期延误、返工费用等）均由成交人承担。同时，所有进场使用的建筑材料须符合国家相关规范及标准要求，其中有防火要求的材料，须达到A级防火等级。</w:t>
      </w:r>
      <w:r/>
    </w:p>
    <w:p>
      <w:pPr>
        <w:pStyle w:val="1055"/>
        <w:spacing w:line="312" w:lineRule="auto"/>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六、工程量清单</w:t>
      </w:r>
      <w:r>
        <w:rPr>
          <w:rFonts w:hint="eastAsia" w:ascii="宋体" w:hAnsi="宋体" w:cs="宋体"/>
          <w:b/>
          <w:bCs/>
          <w:color w:val="auto"/>
          <w:sz w:val="24"/>
          <w:szCs w:val="24"/>
          <w:highlight w:val="none"/>
        </w:rPr>
        <w:t xml:space="preserve">和图纸（工程量清单和图纸另附电子版，请供应商自行下载）</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1、工程量清单编制说明</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本工程量清单是依据现行国家标准《建设工程工程量清单计价规范》、地方规定以及采购文件中包括的图纸等编制。</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2、响应报价编制要求</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 响应报价应根据采购文件中的有关计价要求，并按照下列依据自主报价，但不得低于成本。</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(1)本采购文件；</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(2)《建设工程工程量清单计价规范》 (GB50500-2013) 及其9本计算规范；</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(3)国家或省级、行业建设主管部门颁发的计价办法；</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(4)企业定额，国家或省级、行业建设主管部门颁发的计价定额；</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(5)采购文件、招标工程量清单及其补充通知、答疑纪要；</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(6)建设工程设计文件及相关资料；</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(7)施工现场情况、工程特点及拟定的投标施工组织设计或施工方案；</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(8)与建设项目相关的标准、规范等技术资料；</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(9)市场价格信息或工程造价管理机构发布的工程造价信息；</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(10)其他的相关资料。</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2.3 工程量清单中标价的单价或金额，应包括所需人工费、材料费、施工机具使用费、管理费和利润，以及一定范围内的风险费用。</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2.4 “响应报价汇总表”中的投标总价由分部分项工程费、措施项目费、其他项目费、规费和税金组成，并且“响应报价汇总表”中的投标总价应当与构成已标价工程量清单的分部分项工程费、措施项目费、其他项目费、规费、税金的合计金额一致。</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2.5 分部分项工程和措施项目中的单价项目按下列要求报价：</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2.5.1 分部分项工程和措施项目中的单价项目，应根据采购文件和招标工程量清单确定综合单价。</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2.5.2 如果分部分项工程量清单中涉及“材料（工程设备）暂估单价及调整表”中列出的材料和工程设备，将该类材料和工程设备的暂估单价计入对应的工程量清单综合单价。</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2.5.3 如果分部分项工程量清单中涉及“发包人供应材料和工程设备一览表”中列出的材料和工程设备，则该类材料和工程设备供应至现场指定位置的采购供应价（含材料保管费）应计入对应的工程量清单综合单价。</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2.5.4 “分部分项工程和单价措施项目清单与计价表”所列各项目的综合单价组成中，各项目的人工、材料和机械台班消耗量、管理费费率、利润费率由供应商按照其自身情况做充分的、竞争性考虑。</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2.6 措施项目中的总价项目按下列要求报价：</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2.6.1 总价措施项目中，以费率计算的，投标单位在响应报价时自主报价；其他总价措施项目，按项计取，综合单价按实际或可能发生的费用进行计算。</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2.6.2 措施项目清单中的安全文明施工费应按国家、省级或行业建设主管部门的规定计价，不得作为竞争性费用。</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增补总价措施项目，但不应更改招标人已列措施项目。</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2.6.4 “总价措施项目清单与计价表”中所填写的报价金额，应全面涵盖采购文件约定的供应商中标后施工、竣工、交付本工程并维修其任何缺陷所需要履行的责任和义务的全部费用。</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2.7 其他项目清单费应按下列规定报价：</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2.7.1 计日工按“计日工表”中列出的项目和估算数量，自主确定综合单价并计算计日工金额。。</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2.7.2 总承包服务费根据采购文件中列出的内容和要求，按“总承包服务费计价表”所列格式自主报价。</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2.8 规费和税金应按“规费、税金项目计价表”所列项目并根据国家、省级或行业建设主管部门的有关规定列项和计算，不得作为竞争性费用。</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2.9 除采购文件有强制性规定以及不可竞争部分以外，响应报价由供应商自主确定，但不得低于成本。</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2.11 管理费应由供应商在保证不低于其成本的基础上做竞争性考虑；利润由供应商根据自身情况和综合实力做竞争性考虑。</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2.12 响应报价中应考虑采购文件中要求供应商承担的风险范围以及相关的费用。</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2.13 投标总价为供应商在响应文件中提出的各项支付金额的总和（含税），为实施、完成招标工程并修补缺陷以及履行采购文件中约定的风险范围内的所有责任和义务所发生的全部费用。   </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2.14 有关响应报价的其他要求：</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2.14.1 本项目材料价格以</w:t>
      </w:r>
      <w:bookmarkStart w:id="27" w:name="OLE_LINK14"/>
      <w:r>
        <w:rPr>
          <w:rFonts w:hint="eastAsia" w:ascii="宋体" w:hAnsi="宋体" w:cs="宋体"/>
          <w:color w:val="auto"/>
          <w:sz w:val="24"/>
          <w:szCs w:val="24"/>
          <w:highlight w:val="none"/>
        </w:rPr>
        <w:t xml:space="preserve">2026年第1期</w:t>
      </w:r>
      <w:bookmarkEnd w:id="27"/>
      <w:r/>
      <w:bookmarkStart w:id="28" w:name="OLE_LINK15"/>
      <w:r>
        <w:rPr>
          <w:rFonts w:hint="eastAsia" w:ascii="宋体" w:hAnsi="宋体" w:cs="宋体"/>
          <w:color w:val="auto"/>
          <w:sz w:val="24"/>
          <w:szCs w:val="24"/>
          <w:highlight w:val="none"/>
        </w:rPr>
        <w:t xml:space="preserve">《徐州工程造价信息》</w:t>
      </w:r>
      <w:bookmarkEnd w:id="28"/>
      <w:r>
        <w:rPr>
          <w:rFonts w:hint="eastAsia" w:ascii="宋体" w:hAnsi="宋体" w:cs="宋体"/>
          <w:color w:val="auto"/>
          <w:sz w:val="24"/>
          <w:szCs w:val="24"/>
          <w:highlight w:val="none"/>
        </w:rPr>
        <w:t xml:space="preserve">为准。其他详见工程量清单及预算编制说明。</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2.14.2本项目施工过程中，如有破坏、现场设备移位安装等，供应商报价时候须充分考虑以上内容及施工现场实际拆除并恢复等，采购人不再另行支付费用。</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2.14.3 报价内容</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⑴磋商报价应根据供应商实际情况自主进行，并最大限度地满足竞争性磋商文件的要求，但不得低于成本。应充分考虑政策性调整、建材市场风险和施工过程中可能发生的费用进行报价。若未单独列出，将视为已列入其他子项中，成交后综合单价将不再调整。响应报价应包括竞争性磋商文件中所确定的范围内工程量清单中所含项目的全部内容，以及为完成上述内容所需的全部费用。其根据为供应商提交的已标价的工程量清单及附表。  </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磋商报价以工程量清单和图纸及可能涉及的</w:t>
      </w:r>
      <w:r>
        <w:rPr>
          <w:rFonts w:hint="eastAsia" w:ascii="宋体" w:hAnsi="宋体" w:cs="宋体"/>
          <w:color w:val="auto"/>
          <w:sz w:val="24"/>
          <w:szCs w:val="24"/>
          <w:highlight w:val="none"/>
        </w:rPr>
        <w:t xml:space="preserve">所有规范要求为准，供应商所报的综合单价应包括工程量清单子项中所需的显在的和隐含的一切费用，包括清单中没有反映但施工过程中所需的工作的内容。供应商的磋商报价一经报出，即被认为是包括了本项目下的所有施工内容的全部费用。如果报出的清单中没有列项，且施工中又必须发生的项目，采购人有权认为，其已经综合在分部分项工程量清单的综合单价中，竣工结算时不予调整。供应商必须按采购人提供的工程量清单进行报价，否则视为对竞争性磋商文件商务条款的实质性偏离。供应商不得修改工程量清单中的分部分项内容及数量，否则视为不实质响应磋商文件。</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⑵供应商应按采购人提供的工程量清单填报价格。填写的项目名称、项目特征、计量单位、工程量必须与采购人提供的一致。若出现与招标提供的工程量清单漏报的，则视为投标人让利。</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⑶供应商应按采购人提供的工程量计算工程项目的单价和合价。工程量清单中的每一单项均需计算填写单价和合价，供应商没有填写单价和合价的项目将被认为此项费用已包括在工程量清单的其他单价和合价中。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⑷项目实施方案所描述的技术措施所发生的费用，视为已体现在供应商报价的非实体性消耗所发生的费用中。</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⑸供应商自行勘察，了解周边原有建筑、设施，事先视察工地，充分了解工程位置、邻近建筑物、工地情况、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⑹安全文明施工是供应商的责任，供应商应在其响应报价时充分考虑因工地工况及任何其它足以造成的工期影响与费用增加，在报价予以考虑，采购人不接受任何由于供应商考虑不周为由而提出的任何补偿。</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⑺由供应商负责办理相关建设、城管、市政、安全、环保等部门的手续，施工供应商在响应报价时应考虑这样因素，费用包含在报价中，采购人不接受供应商关于此类费用的任何诉求，不再另行支付任何费用。</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⑻产生的建筑垃圾、渣土及时清理，垃圾外运，运距及运输方式供应商自行考虑，费用包含在报价中，工程结算时不再调整。</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⑼投标人应认真踏勘现场并仔细核对工程量清单，如有疑义，应对特征描述以及其工程量清单项目的完整性依据本采购文件规定的提疑截止时间内提出，采购人相应做书面答复并调整。清单项目中特征描述不全的工序或施工内容、材料和设备名称，如图纸内容及技术要求已明确或已指明引用的规范、图集等或是常规工艺必须的工序，均应包括在报价中。</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⑽供应商应认真研读竞争性磋商文件和合同内容，已明示含在投标报价中的费用供应商自行考虑，不管工程量清单是否单独列支，采购人均认为供应商已充分考虑此部分费用，应包括在报价中。</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⑾场地障碍物清除费用、场地内的垃圾处理费用、周边关系、第三方关系的协调及其它的一切相关配合等均在风险系数内考虑。</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⑿检验试验费：因工程需要所做的全部检验、试验及检测相关费用，由供应商自行考虑风险并计入投标报价中，结算时不予调整。</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a.由承包人负责处理施工场地及其周围成品的保护工作。承包人根据施工需要进行保护，所需费用含在投标报价内，施工中及结算时不得因成品保护的费用向甲方提起签证或索要费用。如在施工过程中因承包人原因造成成品损坏，承包人应予以原样修复并承担修复费用。</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b.成交单位必须在约定工期内完成所有施工，施工完成后，承包人应将施工现场彻底清洁完毕达到甲方要求并撤离现场后，方能进行竣工验收。承包人拒绝清洁的，发包人有权安排其他单位进行清洁，所需费用从承包人工程款中扣除。</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c.由承包人负责办理相关建设、城管、市政、安全、环保等部门的手续，供应商在响应报价时应考虑此方在的因素，费用包含在报价中，采购人不接受响应单位关于此类费用的任何诉讼或索赔。</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d.施工时需做好防护措施保证周边安全，因承包人保障不力对采购人或第三方造成损失的，赔偿责任全部由成交人承担，若因此会增加费用，控制价不计取，响应人自行考虑在报价中，结算时不予调整。</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2.14.4 报价方式</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①本工程采用固定单价合同（除另有规定外）。</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②本工程对材料风险约定如下：供应商应充分考虑施工期间各类建材的市场风险，并计入总报价，供应商在计算报价时应考虑一定的风险系数。本工程工期较短结算时材料价格不予调整。</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③对于法律、法规、规章或有关政策出台导致工程税金、规费等发生变化的，应按照有关规定执行。</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2.14.5 报价的计价方法</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本工程项目采用工程量清单计价。</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2.14.6 报价编制依据及要求：详见《工程量清单》。</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3、其他说明</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3.1词语和定义</w:t>
      </w:r>
      <w:r/>
    </w:p>
    <w:p>
      <w:pPr>
        <w:pStyle w:val="1055"/>
        <w:ind w:firstLine="42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3.1.1 同义词语</w:t>
      </w:r>
      <w:r/>
    </w:p>
    <w:p>
      <w:pPr>
        <w:pStyle w:val="1055"/>
        <w:ind w:firstLine="420"/>
        <w:spacing w:line="30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本磋商文件中使用的词语“采购人（招标人）”和“投标人（供应商）”分别与合同条款中定义的“发包人”和“承包人”同义。</w:t>
      </w:r>
      <w:r/>
    </w:p>
    <w:p>
      <w:pPr>
        <w:pStyle w:val="1055"/>
        <w:ind w:firstLine="420"/>
        <w:spacing w:line="30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3.2 工程量差异调整</w:t>
      </w:r>
      <w:r/>
    </w:p>
    <w:p>
      <w:pPr>
        <w:pStyle w:val="1055"/>
        <w:ind w:firstLine="420"/>
        <w:spacing w:line="30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1055"/>
        <w:ind w:firstLine="420"/>
        <w:spacing w:line="30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3.2.2 供应商可对采购人提供的工程量清单进行复核。这种复核包括对采购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 成交后不得以工程量清单未进行复核及不熟悉图纸等任何理由主张价格变更。  </w:t>
      </w:r>
      <w:r/>
    </w:p>
    <w:p>
      <w:pPr>
        <w:pStyle w:val="1055"/>
        <w:ind w:firstLine="420"/>
        <w:spacing w:line="30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3.2.3 如果采购人在检查供应商根据上文第3.2.2项提交的工程量差异问题后认为没有必要对工程量清单进行补充和(或)修改，或者采购人根据上文第3.2.2项对</w:t>
      </w:r>
      <w:r>
        <w:rPr>
          <w:rFonts w:hint="eastAsia" w:ascii="宋体" w:hAnsi="宋体" w:cs="宋体"/>
          <w:color w:val="auto"/>
          <w:sz w:val="24"/>
          <w:szCs w:val="24"/>
          <w:highlight w:val="none"/>
        </w:rPr>
        <w:t xml:space="preserve">工程量清单进行了补充和(或)修改，但供应商认为工程量清单中的工程量依然存在差异，则此类差异不再提交采购人答疑和修正，而是直接按采购人提供的工程量清单(包括采购人可能的补充和(或)修改)进行投标报价。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p>
    <w:p>
      <w:pPr>
        <w:pStyle w:val="1055"/>
        <w:ind w:firstLine="420"/>
        <w:spacing w:line="30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七、质量及验收</w:t>
      </w:r>
      <w:r/>
    </w:p>
    <w:p>
      <w:pPr>
        <w:pStyle w:val="1055"/>
        <w:ind w:firstLine="420"/>
        <w:spacing w:line="30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1、成交供应商提供的材料需满足国家及行业环保和质量标准。</w:t>
      </w:r>
      <w:r/>
    </w:p>
    <w:p>
      <w:pPr>
        <w:pStyle w:val="1055"/>
        <w:ind w:firstLine="420"/>
        <w:spacing w:line="30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工程质量必须达到合同约定标准，且保证相关部门验收通过；未达到质量要求的，成交供应商负责无条件返工，直至达到要求，所发生的费用由成交供应商承担，成交供应商还应赔偿因此给采购人造成的损失。</w:t>
      </w:r>
      <w:r/>
    </w:p>
    <w:p>
      <w:pPr>
        <w:pStyle w:val="1055"/>
        <w:ind w:firstLine="420"/>
        <w:spacing w:line="30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3、质保期：质保期详见《工程质量保修书》。</w:t>
      </w:r>
      <w:r/>
    </w:p>
    <w:p>
      <w:pPr>
        <w:pStyle w:val="1055"/>
        <w:ind w:firstLine="420"/>
        <w:spacing w:line="30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4、验收标准：符合国家质量验收标准。</w:t>
      </w:r>
      <w:r/>
    </w:p>
    <w:p>
      <w:pPr>
        <w:pStyle w:val="1055"/>
        <w:ind w:firstLine="420"/>
        <w:spacing w:line="30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5、售后服务：（1）工程竣工验收合格后，质保期内提供免费服务。</w:t>
      </w:r>
      <w:r/>
    </w:p>
    <w:p>
      <w:pPr>
        <w:pStyle w:val="1055"/>
        <w:ind w:firstLine="1920"/>
        <w:spacing w:line="30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（2）在保修期外，提供有偿维修服务。</w:t>
      </w:r>
      <w:r/>
    </w:p>
    <w:p>
      <w:pPr>
        <w:pStyle w:val="1055"/>
        <w:ind w:firstLine="482"/>
        <w:spacing w:line="300" w:lineRule="auto"/>
        <w:rPr>
          <w:rFonts w:ascii="宋体" w:hAnsi="宋体" w:cs="宋体"/>
          <w:b/>
          <w:color w:val="auto"/>
          <w:sz w:val="24"/>
          <w:szCs w:val="24"/>
          <w:highlight w:val="none"/>
        </w:rPr>
      </w:pPr>
      <w:r>
        <w:rPr>
          <w:rFonts w:hint="eastAsia" w:ascii="宋体" w:hAnsi="宋体" w:cs="宋体"/>
          <w:b/>
          <w:bCs/>
          <w:color w:val="auto"/>
          <w:sz w:val="24"/>
          <w:szCs w:val="24"/>
          <w:highlight w:val="none"/>
        </w:rPr>
        <w:t xml:space="preserve">八、</w:t>
      </w:r>
      <w:r>
        <w:rPr>
          <w:rFonts w:hint="eastAsia" w:ascii="宋体" w:hAnsi="宋体" w:cs="宋体"/>
          <w:b/>
          <w:color w:val="auto"/>
          <w:sz w:val="24"/>
          <w:szCs w:val="24"/>
          <w:highlight w:val="none"/>
        </w:rPr>
        <w:t xml:space="preserve">其他要求：</w:t>
      </w:r>
      <w:r/>
    </w:p>
    <w:p>
      <w:pPr>
        <w:pStyle w:val="1055"/>
        <w:ind w:firstLine="420"/>
        <w:spacing w:line="30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1、成交供应商项目组必须配备至少1 名焊工、1名电工，签定合同前提供有效《特种作业操作证》，否则采购人有权取消中标资格。</w:t>
      </w:r>
      <w:r/>
    </w:p>
    <w:p>
      <w:pPr>
        <w:pStyle w:val="1055"/>
        <w:ind w:firstLine="420"/>
        <w:spacing w:line="30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2、施工人员进出服从采购人管理规定执行。</w:t>
      </w:r>
      <w:r/>
    </w:p>
    <w:p>
      <w:pPr>
        <w:pStyle w:val="1055"/>
        <w:ind w:firstLine="420"/>
        <w:spacing w:line="300" w:lineRule="auto"/>
        <w:rPr>
          <w:rStyle w:val="1303"/>
          <w:rFonts w:hAnsi="宋体" w:cs="宋体"/>
          <w:color w:val="auto"/>
          <w:szCs w:val="24"/>
          <w:highlight w:val="none"/>
        </w:rPr>
      </w:pPr>
      <w:r>
        <w:rPr>
          <w:rFonts w:hint="eastAsia" w:ascii="宋体" w:hAnsi="宋体" w:cs="宋体"/>
          <w:color w:val="auto"/>
          <w:sz w:val="24"/>
          <w:szCs w:val="24"/>
          <w:highlight w:val="none"/>
        </w:rPr>
        <w:t xml:space="preserve">3、其他见《磋商文件》中《拟签订的合同文本》。</w:t>
      </w:r>
      <w:bookmarkStart w:id="29" w:name="_Toc80122301"/>
      <w:r/>
      <w:bookmarkStart w:id="30" w:name="_Toc25252"/>
      <w:r>
        <w:rPr>
          <w:rStyle w:val="1303"/>
          <w:rFonts w:hint="eastAsia" w:hAnsi="宋体" w:cs="宋体"/>
          <w:color w:val="auto"/>
          <w:szCs w:val="24"/>
          <w:highlight w:val="none"/>
        </w:rPr>
        <w:br w:type="page" w:clear="all"/>
      </w:r>
      <w:r/>
    </w:p>
    <w:p>
      <w:pPr>
        <w:pStyle w:val="1272"/>
        <w:jc w:val="center"/>
        <w:keepLines w:val="0"/>
        <w:keepNext w:val="0"/>
        <w:spacing w:before="0" w:after="0" w:line="312" w:lineRule="auto"/>
        <w:widowControl w:val="off"/>
        <w:rPr>
          <w:rStyle w:val="1303"/>
          <w:rFonts w:hAnsi="宋体" w:cs="宋体"/>
          <w:color w:val="auto"/>
          <w:szCs w:val="24"/>
          <w:highlight w:val="none"/>
        </w:rPr>
      </w:pPr>
      <w:r/>
      <w:bookmarkStart w:id="31" w:name="_Toc28565"/>
      <w:r>
        <w:rPr>
          <w:rStyle w:val="1303"/>
          <w:rFonts w:hint="eastAsia" w:hAnsi="宋体" w:cs="宋体"/>
          <w:color w:val="auto"/>
          <w:szCs w:val="24"/>
          <w:highlight w:val="none"/>
        </w:rPr>
        <w:t xml:space="preserve">第九章 响应文件相关格式</w:t>
      </w:r>
      <w:bookmarkEnd w:id="29"/>
      <w:r/>
      <w:bookmarkEnd w:id="30"/>
      <w:r/>
      <w:bookmarkEnd w:id="31"/>
      <w:r/>
      <w:r/>
    </w:p>
    <w:p>
      <w:pPr>
        <w:pStyle w:val="1272"/>
        <w:jc w:val="center"/>
        <w:keepLines w:val="0"/>
        <w:keepNext w:val="0"/>
        <w:spacing w:before="0" w:after="0" w:line="312" w:lineRule="auto"/>
        <w:widowControl w:val="off"/>
        <w:rPr>
          <w:rFonts w:ascii="宋体" w:hAnsi="宋体" w:cs="宋体"/>
          <w:b w:val="0"/>
          <w:bCs w:val="0"/>
          <w:color w:val="auto"/>
          <w:sz w:val="24"/>
          <w:szCs w:val="24"/>
          <w:highlight w:val="none"/>
        </w:rPr>
        <w:outlineLvl w:val="9"/>
      </w:pPr>
      <w:r/>
      <w:bookmarkStart w:id="32" w:name="_Toc7129"/>
      <w:r/>
      <w:bookmarkStart w:id="33" w:name="_Toc8491"/>
      <w:r>
        <w:rPr>
          <w:rStyle w:val="1303"/>
          <w:rFonts w:hint="eastAsia" w:hAnsi="宋体" w:cs="宋体"/>
          <w:b w:val="0"/>
          <w:bCs w:val="0"/>
          <w:color w:val="auto"/>
          <w:szCs w:val="24"/>
          <w:highlight w:val="none"/>
        </w:rPr>
        <w:t xml:space="preserve">（</w:t>
      </w:r>
      <w:r>
        <w:rPr>
          <w:rFonts w:hint="eastAsia" w:ascii="宋体" w:hAnsi="宋体" w:cs="宋体"/>
          <w:b w:val="0"/>
          <w:bCs w:val="0"/>
          <w:color w:val="auto"/>
          <w:sz w:val="24"/>
          <w:szCs w:val="24"/>
          <w:highlight w:val="none"/>
        </w:rPr>
        <w:t xml:space="preserve">本章仅提供响应文件中的部分文件格式，不应被理解为包含了响应文件所需的全部资料）</w:t>
      </w:r>
      <w:bookmarkEnd w:id="32"/>
      <w:r/>
      <w:bookmarkEnd w:id="33"/>
      <w:r/>
      <w:r/>
    </w:p>
    <w:p>
      <w:pPr>
        <w:pStyle w:val="1272"/>
        <w:jc w:val="center"/>
        <w:keepLines w:val="0"/>
        <w:keepNext w:val="0"/>
        <w:spacing w:before="0" w:after="0" w:line="312" w:lineRule="auto"/>
        <w:widowControl w:val="off"/>
        <w:rPr>
          <w:rFonts w:ascii="宋体" w:hAnsi="宋体" w:cs="宋体"/>
          <w:b w:val="0"/>
          <w:bCs w:val="0"/>
          <w:color w:val="auto"/>
          <w:sz w:val="24"/>
          <w:szCs w:val="24"/>
          <w:highlight w:val="none"/>
        </w:rPr>
        <w:outlineLvl w:val="9"/>
      </w:pPr>
      <w:r>
        <w:rPr>
          <w:rFonts w:ascii="宋体" w:hAnsi="宋体" w:cs="宋体"/>
          <w:b w:val="0"/>
          <w:bCs w:val="0"/>
          <w:color w:val="auto"/>
          <w:sz w:val="24"/>
          <w:szCs w:val="24"/>
          <w:highlight w:val="none"/>
        </w:rPr>
      </w:r>
      <w:r/>
    </w:p>
    <w:p>
      <w:pPr>
        <w:pStyle w:val="1055"/>
        <w:spacing w:line="312" w:lineRule="auto"/>
        <w:widowControl w:val="off"/>
        <w:rPr>
          <w:rStyle w:val="1303"/>
          <w:rFonts w:hAnsi="宋体" w:cs="宋体"/>
          <w:bCs/>
          <w:color w:val="auto"/>
          <w:szCs w:val="24"/>
          <w:highlight w:val="none"/>
        </w:rPr>
      </w:pPr>
      <w:r>
        <w:rPr>
          <w:rStyle w:val="1303"/>
          <w:rFonts w:hint="eastAsia" w:hAnsi="宋体" w:cs="宋体"/>
          <w:bCs/>
          <w:color w:val="auto"/>
          <w:szCs w:val="24"/>
          <w:highlight w:val="none"/>
        </w:rPr>
        <w:t xml:space="preserve">一、承诺书</w:t>
      </w:r>
      <w:r/>
    </w:p>
    <w:p>
      <w:pPr>
        <w:pStyle w:val="1055"/>
        <w:spacing w:line="312" w:lineRule="auto"/>
        <w:widowControl w:val="off"/>
        <w:rPr>
          <w:rStyle w:val="1303"/>
          <w:rFonts w:hAnsi="宋体" w:cs="宋体"/>
          <w:bCs/>
          <w:color w:val="auto"/>
          <w:szCs w:val="24"/>
          <w:highlight w:val="none"/>
        </w:rPr>
      </w:pPr>
      <w:r>
        <w:rPr>
          <w:rStyle w:val="1303"/>
          <w:rFonts w:hint="eastAsia" w:hAnsi="宋体" w:cs="宋体"/>
          <w:bCs/>
          <w:color w:val="auto"/>
          <w:szCs w:val="24"/>
          <w:highlight w:val="none"/>
        </w:rPr>
        <w:t xml:space="preserve">二、磋商报价表</w:t>
      </w:r>
      <w:r/>
    </w:p>
    <w:p>
      <w:pPr>
        <w:pStyle w:val="1055"/>
        <w:spacing w:line="312" w:lineRule="auto"/>
        <w:widowControl w:val="off"/>
        <w:tabs>
          <w:tab w:val="left" w:pos="2100" w:leader="none"/>
        </w:tabs>
        <w:rPr>
          <w:rStyle w:val="1303"/>
          <w:rFonts w:hAnsi="宋体" w:cs="宋体"/>
          <w:bCs/>
          <w:color w:val="auto"/>
          <w:szCs w:val="24"/>
          <w:highlight w:val="none"/>
        </w:rPr>
      </w:pPr>
      <w:r>
        <w:rPr>
          <w:rStyle w:val="1303"/>
          <w:rFonts w:hint="eastAsia" w:hAnsi="宋体" w:cs="宋体"/>
          <w:bCs/>
          <w:color w:val="auto"/>
          <w:szCs w:val="24"/>
          <w:highlight w:val="none"/>
        </w:rPr>
        <w:t xml:space="preserve">三、分项价格表</w:t>
      </w:r>
      <w:r/>
    </w:p>
    <w:p>
      <w:pPr>
        <w:pStyle w:val="1055"/>
        <w:spacing w:line="312" w:lineRule="auto"/>
        <w:widowControl w:val="off"/>
        <w:tabs>
          <w:tab w:val="left" w:pos="2100" w:leader="none"/>
        </w:tabs>
        <w:rPr>
          <w:rStyle w:val="1303"/>
          <w:rFonts w:hAnsi="宋体" w:cs="宋体"/>
          <w:bCs/>
          <w:color w:val="auto"/>
          <w:szCs w:val="24"/>
          <w:highlight w:val="none"/>
        </w:rPr>
      </w:pPr>
      <w:r>
        <w:rPr>
          <w:rStyle w:val="1303"/>
          <w:rFonts w:hint="eastAsia" w:hAnsi="宋体" w:cs="宋体"/>
          <w:bCs/>
          <w:color w:val="auto"/>
          <w:szCs w:val="24"/>
          <w:highlight w:val="none"/>
        </w:rPr>
        <w:t xml:space="preserve">四、投标承诺书</w:t>
      </w:r>
      <w:r/>
    </w:p>
    <w:p>
      <w:pPr>
        <w:pStyle w:val="1055"/>
        <w:spacing w:line="312" w:lineRule="auto"/>
        <w:widowControl w:val="off"/>
        <w:rPr>
          <w:rStyle w:val="1303"/>
          <w:rFonts w:hAnsi="宋体" w:cs="宋体"/>
          <w:bCs/>
          <w:color w:val="auto"/>
          <w:szCs w:val="24"/>
          <w:highlight w:val="none"/>
        </w:rPr>
      </w:pPr>
      <w:r>
        <w:rPr>
          <w:rStyle w:val="1303"/>
          <w:rFonts w:hint="eastAsia" w:hAnsi="宋体" w:cs="宋体"/>
          <w:bCs/>
          <w:color w:val="auto"/>
          <w:szCs w:val="24"/>
          <w:highlight w:val="none"/>
        </w:rPr>
        <w:t xml:space="preserve">五、偏离表</w:t>
      </w:r>
      <w:r/>
    </w:p>
    <w:p>
      <w:pPr>
        <w:pStyle w:val="1055"/>
        <w:spacing w:line="312" w:lineRule="auto"/>
        <w:widowControl w:val="off"/>
        <w:rPr>
          <w:rStyle w:val="1303"/>
          <w:rFonts w:hAnsi="宋体" w:cs="宋体"/>
          <w:bCs/>
          <w:color w:val="auto"/>
          <w:szCs w:val="24"/>
          <w:highlight w:val="none"/>
        </w:rPr>
      </w:pPr>
      <w:r>
        <w:rPr>
          <w:rStyle w:val="1303"/>
          <w:rFonts w:hint="eastAsia" w:hAnsi="宋体" w:cs="宋体"/>
          <w:bCs/>
          <w:color w:val="auto"/>
          <w:szCs w:val="24"/>
          <w:highlight w:val="none"/>
        </w:rPr>
        <w:t xml:space="preserve">六、授权委托书</w:t>
      </w:r>
      <w:r/>
    </w:p>
    <w:p>
      <w:pPr>
        <w:pStyle w:val="1055"/>
        <w:spacing w:line="312" w:lineRule="auto"/>
        <w:widowControl w:val="off"/>
        <w:rPr>
          <w:rStyle w:val="1303"/>
          <w:rFonts w:hAnsi="宋体" w:cs="宋体"/>
          <w:bCs/>
          <w:color w:val="auto"/>
          <w:szCs w:val="24"/>
          <w:highlight w:val="none"/>
        </w:rPr>
      </w:pPr>
      <w:r>
        <w:rPr>
          <w:rStyle w:val="1303"/>
          <w:rFonts w:hint="eastAsia" w:hAnsi="宋体" w:cs="宋体"/>
          <w:bCs/>
          <w:color w:val="auto"/>
          <w:szCs w:val="24"/>
          <w:highlight w:val="none"/>
        </w:rPr>
        <w:t xml:space="preserve">七、中小企业声明函</w:t>
      </w:r>
      <w:r/>
    </w:p>
    <w:p>
      <w:pPr>
        <w:pStyle w:val="1055"/>
        <w:spacing w:line="312" w:lineRule="auto"/>
        <w:widowControl w:val="off"/>
        <w:rPr>
          <w:rStyle w:val="1303"/>
          <w:rFonts w:hAnsi="宋体" w:cs="宋体"/>
          <w:bCs/>
          <w:color w:val="auto"/>
          <w:szCs w:val="24"/>
          <w:highlight w:val="none"/>
        </w:rPr>
      </w:pPr>
      <w:r>
        <w:rPr>
          <w:rStyle w:val="1303"/>
          <w:rFonts w:hint="eastAsia" w:hAnsi="宋体" w:cs="宋体"/>
          <w:bCs/>
          <w:color w:val="auto"/>
          <w:szCs w:val="24"/>
          <w:highlight w:val="none"/>
        </w:rPr>
        <w:t xml:space="preserve">八、残疾人福利性单位声明函</w:t>
      </w:r>
      <w:r/>
    </w:p>
    <w:p>
      <w:pPr>
        <w:pStyle w:val="1055"/>
        <w:spacing w:line="312" w:lineRule="auto"/>
        <w:widowControl w:val="off"/>
        <w:rPr>
          <w:rStyle w:val="1303"/>
          <w:rFonts w:hAnsi="宋体" w:cs="宋体"/>
          <w:color w:val="auto"/>
          <w:szCs w:val="24"/>
          <w:highlight w:val="none"/>
        </w:rPr>
      </w:pPr>
      <w:r>
        <w:rPr>
          <w:rStyle w:val="1303"/>
          <w:rFonts w:hint="eastAsia" w:hAnsi="宋体" w:cs="宋体"/>
          <w:bCs/>
          <w:color w:val="auto"/>
          <w:szCs w:val="24"/>
          <w:highlight w:val="none"/>
        </w:rPr>
        <w:t xml:space="preserve">九、</w:t>
      </w:r>
      <w:r>
        <w:rPr>
          <w:rStyle w:val="1303"/>
          <w:rFonts w:hint="eastAsia" w:hAnsi="宋体" w:cs="宋体"/>
          <w:color w:val="auto"/>
          <w:szCs w:val="24"/>
          <w:highlight w:val="none"/>
        </w:rPr>
        <w:t xml:space="preserve">供应商参加政府采购活动前3年内在经营活动中没有重大违法记录的书面声明</w:t>
      </w:r>
      <w:r/>
    </w:p>
    <w:p>
      <w:pPr>
        <w:pStyle w:val="1055"/>
        <w:spacing w:line="312" w:lineRule="auto"/>
        <w:widowControl w:val="off"/>
        <w:rPr>
          <w:rStyle w:val="1303"/>
          <w:rFonts w:hAnsi="宋体" w:cs="宋体"/>
          <w:bCs/>
          <w:color w:val="auto"/>
          <w:szCs w:val="24"/>
          <w:highlight w:val="none"/>
        </w:rPr>
      </w:pPr>
      <w:r>
        <w:rPr>
          <w:rStyle w:val="1303"/>
          <w:rFonts w:hint="eastAsia" w:hAnsi="宋体" w:cs="宋体"/>
          <w:bCs/>
          <w:color w:val="auto"/>
          <w:szCs w:val="24"/>
          <w:highlight w:val="none"/>
        </w:rPr>
        <w:t xml:space="preserve">十、具备履行合同所必需的设备和专业技术能力的书面声明</w:t>
      </w:r>
      <w:r/>
    </w:p>
    <w:p>
      <w:pPr>
        <w:pStyle w:val="1055"/>
        <w:spacing w:line="312" w:lineRule="auto"/>
        <w:widowControl w:val="off"/>
        <w:rPr>
          <w:rStyle w:val="1303"/>
          <w:rFonts w:hint="default" w:hAnsi="宋体" w:eastAsia="宋体" w:cs="宋体"/>
          <w:color w:val="auto"/>
          <w:szCs w:val="24"/>
          <w:highlight w:val="none"/>
          <w:lang w:val="en-US" w:eastAsia="zh-CN"/>
        </w:rPr>
      </w:pPr>
      <w:r>
        <w:rPr>
          <w:rStyle w:val="1303"/>
          <w:rFonts w:hint="eastAsia" w:hAnsi="宋体" w:cs="宋体"/>
          <w:color w:val="auto"/>
          <w:szCs w:val="24"/>
          <w:highlight w:val="none"/>
        </w:rPr>
        <w:t xml:space="preserve">十一、</w:t>
      </w:r>
      <w:r>
        <w:rPr>
          <w:rStyle w:val="1303"/>
          <w:rFonts w:hint="eastAsia" w:hAnsi="宋体" w:cs="宋体"/>
          <w:color w:val="auto"/>
          <w:szCs w:val="24"/>
          <w:highlight w:val="none"/>
          <w:lang w:val="en-US" w:eastAsia="zh-CN"/>
        </w:rPr>
        <w:t xml:space="preserve">项目负责人承诺书</w:t>
      </w:r>
      <w:r/>
    </w:p>
    <w:p>
      <w:pPr>
        <w:pStyle w:val="1055"/>
        <w:spacing w:line="312" w:lineRule="auto"/>
        <w:widowControl w:val="off"/>
        <w:rPr>
          <w:rStyle w:val="1303"/>
          <w:rFonts w:hint="default" w:hAnsi="宋体" w:cs="宋体"/>
          <w:color w:val="auto"/>
          <w:szCs w:val="24"/>
          <w:highlight w:val="none"/>
          <w:lang w:val="en-US" w:eastAsia="zh-CN"/>
        </w:rPr>
      </w:pPr>
      <w:r>
        <w:rPr>
          <w:rStyle w:val="1303"/>
          <w:rFonts w:hint="eastAsia" w:hAnsi="宋体" w:cs="宋体"/>
          <w:color w:val="auto"/>
          <w:szCs w:val="24"/>
          <w:highlight w:val="none"/>
          <w:lang w:val="en-US" w:eastAsia="zh-CN"/>
        </w:rPr>
        <w:t xml:space="preserve">十二、甲控品牌材料投标产品承诺书</w:t>
      </w:r>
      <w:r/>
    </w:p>
    <w:p>
      <w:pPr>
        <w:pStyle w:val="1055"/>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lang w:val="en-US" w:eastAsia="zh-CN"/>
        </w:rPr>
        <w:t xml:space="preserve">十三、</w:t>
      </w:r>
      <w:r>
        <w:rPr>
          <w:rStyle w:val="1303"/>
          <w:rFonts w:hint="eastAsia" w:hAnsi="宋体" w:cs="宋体"/>
          <w:color w:val="auto"/>
          <w:szCs w:val="24"/>
          <w:highlight w:val="none"/>
        </w:rPr>
        <w:t xml:space="preserve">响应文件编制要求提供的其他资料</w:t>
      </w:r>
      <w:r/>
    </w:p>
    <w:p>
      <w:pPr>
        <w:pStyle w:val="1395"/>
        <w:ind w:left="0" w:right="0" w:firstLine="0"/>
        <w:spacing w:line="312" w:lineRule="auto"/>
        <w:widowControl w:val="off"/>
        <w:rPr>
          <w:rStyle w:val="1303"/>
          <w:rFonts w:hAnsi="宋体" w:eastAsia="宋体" w:cs="宋体"/>
          <w:color w:val="auto"/>
          <w:szCs w:val="24"/>
          <w:highlight w:val="none"/>
        </w:rPr>
      </w:pPr>
      <w:r>
        <w:rPr>
          <w:rStyle w:val="1303"/>
          <w:rFonts w:hint="eastAsia" w:hAnsi="宋体" w:eastAsia="宋体" w:cs="宋体"/>
          <w:color w:val="auto"/>
          <w:szCs w:val="24"/>
          <w:highlight w:val="none"/>
        </w:rPr>
        <w:t xml:space="preserve">十</w:t>
      </w:r>
      <w:r>
        <w:rPr>
          <w:rStyle w:val="1303"/>
          <w:rFonts w:hint="eastAsia" w:hAnsi="宋体" w:eastAsia="宋体" w:cs="宋体"/>
          <w:color w:val="auto"/>
          <w:szCs w:val="24"/>
          <w:highlight w:val="none"/>
          <w:lang w:val="en-US" w:eastAsia="zh-CN"/>
        </w:rPr>
        <w:t xml:space="preserve">四</w:t>
      </w:r>
      <w:r>
        <w:rPr>
          <w:rStyle w:val="1303"/>
          <w:rFonts w:hint="eastAsia" w:hAnsi="宋体" w:eastAsia="宋体" w:cs="宋体"/>
          <w:color w:val="auto"/>
          <w:szCs w:val="24"/>
          <w:highlight w:val="none"/>
        </w:rPr>
        <w:t xml:space="preserve">、预付款保函支付条款模板</w:t>
      </w:r>
      <w:r/>
    </w:p>
    <w:p>
      <w:pPr>
        <w:pStyle w:val="1055"/>
        <w:jc w:val="center"/>
        <w:spacing w:line="312" w:lineRule="auto"/>
        <w:widowControl w:val="off"/>
        <w:rPr>
          <w:rStyle w:val="1303"/>
          <w:rFonts w:hAnsi="宋体" w:cs="宋体"/>
          <w:bCs/>
          <w:color w:val="auto"/>
          <w:szCs w:val="24"/>
          <w:highlight w:val="none"/>
        </w:rPr>
      </w:pPr>
      <w:r>
        <w:rPr>
          <w:rFonts w:hAnsi="宋体" w:cs="宋体"/>
          <w:bCs/>
          <w:color w:val="auto"/>
          <w:szCs w:val="24"/>
          <w:highlight w:val="none"/>
        </w:rPr>
      </w:r>
      <w:r/>
    </w:p>
    <w:p>
      <w:pPr>
        <w:pStyle w:val="1273"/>
        <w:jc w:val="center"/>
        <w:keepLines w:val="0"/>
        <w:keepNext w:val="0"/>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br w:type="page" w:clear="all"/>
      </w:r>
      <w:bookmarkStart w:id="34" w:name="_Toc16997"/>
      <w:r/>
      <w:bookmarkStart w:id="35" w:name="_Toc6721"/>
      <w:r/>
      <w:bookmarkStart w:id="36" w:name="_Toc80122302"/>
      <w:r>
        <w:rPr>
          <w:rStyle w:val="1303"/>
          <w:rFonts w:hint="eastAsia" w:hAnsi="宋体" w:cs="宋体"/>
          <w:color w:val="auto"/>
          <w:szCs w:val="24"/>
          <w:highlight w:val="none"/>
        </w:rPr>
        <w:t xml:space="preserve">一、承诺书</w:t>
      </w:r>
      <w:bookmarkEnd w:id="34"/>
      <w:r/>
      <w:bookmarkEnd w:id="35"/>
      <w:r/>
      <w:bookmarkEnd w:id="36"/>
      <w:r/>
      <w:r/>
    </w:p>
    <w:p>
      <w:pPr>
        <w:pStyle w:val="1055"/>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致</w:t>
      </w:r>
      <w:r>
        <w:rPr>
          <w:rStyle w:val="1303"/>
          <w:rFonts w:hint="eastAsia" w:hAnsi="宋体" w:cs="宋体"/>
          <w:color w:val="auto"/>
          <w:szCs w:val="24"/>
          <w:highlight w:val="none"/>
          <w:u w:val="single"/>
        </w:rPr>
        <w:t xml:space="preserve">江苏科建工程项目管理有限公司</w:t>
      </w:r>
      <w:r>
        <w:rPr>
          <w:rStyle w:val="1303"/>
          <w:rFonts w:hint="eastAsia" w:hAnsi="宋体" w:cs="宋体"/>
          <w:color w:val="auto"/>
          <w:szCs w:val="24"/>
          <w:highlight w:val="none"/>
        </w:rPr>
        <w:t xml:space="preserve">：</w:t>
      </w:r>
      <w:r/>
    </w:p>
    <w:p>
      <w:pPr>
        <w:pStyle w:val="1055"/>
        <w:ind w:firstLine="480"/>
        <w:jc w:val="left"/>
        <w:spacing w:line="312" w:lineRule="auto"/>
        <w:widowControl w:val="off"/>
        <w:tabs>
          <w:tab w:val="right" w:pos="4153" w:leader="none"/>
          <w:tab w:val="left" w:pos="8306" w:leader="underscore"/>
        </w:tabs>
        <w:rPr>
          <w:rStyle w:val="1303"/>
          <w:rFonts w:hAnsi="宋体" w:cs="宋体"/>
          <w:color w:val="auto"/>
          <w:szCs w:val="24"/>
          <w:highlight w:val="none"/>
        </w:rPr>
      </w:pPr>
      <w:r>
        <w:rPr>
          <w:rStyle w:val="1303"/>
          <w:rFonts w:hint="eastAsia" w:hAnsi="宋体" w:cs="宋体"/>
          <w:color w:val="auto"/>
          <w:szCs w:val="24"/>
          <w:highlight w:val="none"/>
        </w:rPr>
        <w:t xml:space="preserve">根据贵方《磋商文件》（项目编号：</w:t>
      </w:r>
      <w:r>
        <w:rPr>
          <w:rStyle w:val="1303"/>
          <w:rFonts w:hint="eastAsia" w:hAnsi="宋体" w:cs="宋体"/>
          <w:color w:val="auto"/>
          <w:szCs w:val="24"/>
          <w:highlight w:val="none"/>
          <w:lang w:eastAsia="zh-CN"/>
        </w:rPr>
        <w:t xml:space="preserve">JSZC-320000-JSKJ-C2026-0011</w:t>
      </w:r>
      <w:r>
        <w:rPr>
          <w:rStyle w:val="1303"/>
          <w:rFonts w:hint="eastAsia" w:hAnsi="宋体" w:cs="宋体"/>
          <w:color w:val="auto"/>
          <w:szCs w:val="24"/>
          <w:highlight w:val="none"/>
        </w:rPr>
        <w:t xml:space="preserve">）要求，本供应商正式提交以下首次响应文件。</w:t>
      </w:r>
      <w:r/>
    </w:p>
    <w:p>
      <w:pPr>
        <w:pStyle w:val="1055"/>
        <w:ind w:firstLine="480"/>
        <w:jc w:val="left"/>
        <w:spacing w:line="312" w:lineRule="auto"/>
        <w:widowControl w:val="off"/>
        <w:tabs>
          <w:tab w:val="right" w:pos="4153" w:leader="none"/>
          <w:tab w:val="left" w:pos="8306" w:leader="underscore"/>
        </w:tabs>
        <w:rPr>
          <w:rStyle w:val="1303"/>
          <w:rFonts w:hAnsi="宋体" w:cs="宋体"/>
          <w:color w:val="auto"/>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2"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1" o:spid="_x0000_s11" style="position:absolute;left:0;text-align:left;z-index:251665408;mso-wrap-distance-left:9.0pt;mso-wrap-distance-top:0.0pt;mso-wrap-distance-right:9.0pt;mso-wrap-distance-bottom:0.0pt;flip:y;visibility:visible;" from="147.0pt,1.3pt" to="147.1pt,2.6pt" fillcolor="#FFFFFF" strokecolor="#000000"/>
            </w:pict>
          </mc:Fallback>
        </mc:AlternateContent>
      </w:r>
      <w:r>
        <w:rPr>
          <w:rStyle w:val="1303"/>
          <w:rFonts w:hint="eastAsia" w:hAnsi="宋体" w:cs="宋体"/>
          <w:color w:val="auto"/>
          <w:szCs w:val="24"/>
          <w:highlight w:val="none"/>
        </w:rPr>
        <w:t xml:space="preserve">（1）承诺书； </w:t>
      </w:r>
      <w:r/>
    </w:p>
    <w:p>
      <w:pPr>
        <w:pStyle w:val="1055"/>
        <w:ind w:firstLine="480"/>
        <w:jc w:val="left"/>
        <w:spacing w:line="312" w:lineRule="auto"/>
        <w:widowControl w:val="off"/>
        <w:tabs>
          <w:tab w:val="right" w:pos="4153" w:leader="none"/>
          <w:tab w:val="left" w:pos="8306" w:leader="underscore"/>
        </w:tabs>
        <w:rPr>
          <w:rStyle w:val="1303"/>
          <w:rFonts w:hAnsi="宋体" w:cs="宋体"/>
          <w:color w:val="auto"/>
          <w:szCs w:val="24"/>
          <w:highlight w:val="none"/>
        </w:rPr>
      </w:pPr>
      <w:r>
        <w:rPr>
          <w:rStyle w:val="1303"/>
          <w:rFonts w:hint="eastAsia" w:hAnsi="宋体" w:cs="宋体"/>
          <w:color w:val="auto"/>
          <w:szCs w:val="24"/>
          <w:highlight w:val="none"/>
        </w:rPr>
        <w:t xml:space="preserve">（2）磋商报价表； </w:t>
      </w:r>
      <w:r/>
    </w:p>
    <w:p>
      <w:pPr>
        <w:pStyle w:val="1055"/>
        <w:ind w:firstLine="480"/>
        <w:jc w:val="left"/>
        <w:spacing w:line="312" w:lineRule="auto"/>
        <w:widowControl w:val="off"/>
        <w:tabs>
          <w:tab w:val="right" w:pos="4153" w:leader="none"/>
          <w:tab w:val="left" w:pos="8306" w:leader="underscore"/>
        </w:tabs>
        <w:rPr>
          <w:rStyle w:val="1303"/>
          <w:rFonts w:hAnsi="宋体" w:cs="宋体"/>
          <w:color w:val="auto"/>
          <w:szCs w:val="24"/>
          <w:highlight w:val="none"/>
        </w:rPr>
      </w:pPr>
      <w:r>
        <w:rPr>
          <w:rStyle w:val="1303"/>
          <w:rFonts w:hint="eastAsia" w:hAnsi="宋体" w:cs="宋体"/>
          <w:color w:val="auto"/>
          <w:szCs w:val="24"/>
          <w:highlight w:val="none"/>
        </w:rPr>
        <w:t xml:space="preserve">（3）偏离表；</w:t>
      </w:r>
      <w:r/>
    </w:p>
    <w:p>
      <w:pPr>
        <w:pStyle w:val="1055"/>
        <w:ind w:firstLine="480"/>
        <w:jc w:val="left"/>
        <w:spacing w:line="312" w:lineRule="auto"/>
        <w:widowControl w:val="off"/>
        <w:tabs>
          <w:tab w:val="right" w:pos="4153" w:leader="none"/>
          <w:tab w:val="left" w:pos="8306" w:leader="underscore"/>
        </w:tabs>
        <w:rPr>
          <w:rStyle w:val="1303"/>
          <w:rFonts w:hAnsi="宋体" w:cs="宋体"/>
          <w:color w:val="auto"/>
          <w:szCs w:val="24"/>
          <w:highlight w:val="none"/>
        </w:rPr>
      </w:pPr>
      <w:r>
        <w:rPr>
          <w:rStyle w:val="1303"/>
          <w:rFonts w:hint="eastAsia" w:hAnsi="宋体" w:cs="宋体"/>
          <w:color w:val="auto"/>
          <w:szCs w:val="24"/>
          <w:highlight w:val="none"/>
        </w:rPr>
        <w:t xml:space="preserve">（4）磋商文件要求提供的其他响应文件。</w:t>
      </w:r>
      <w:r/>
    </w:p>
    <w:p>
      <w:pPr>
        <w:pStyle w:val="1055"/>
        <w:ind w:firstLine="480"/>
        <w:jc w:val="left"/>
        <w:spacing w:line="312" w:lineRule="auto"/>
        <w:widowControl w:val="off"/>
        <w:tabs>
          <w:tab w:val="right" w:pos="4153" w:leader="none"/>
          <w:tab w:val="left" w:pos="8306" w:leader="underscore"/>
        </w:tabs>
        <w:rPr>
          <w:rStyle w:val="1303"/>
          <w:rFonts w:hAnsi="宋体" w:cs="宋体"/>
          <w:color w:val="auto"/>
          <w:szCs w:val="24"/>
          <w:highlight w:val="none"/>
        </w:rPr>
      </w:pPr>
      <w:r>
        <w:rPr>
          <w:rStyle w:val="1303"/>
          <w:rFonts w:hint="eastAsia" w:hAnsi="宋体" w:cs="宋体"/>
          <w:color w:val="auto"/>
          <w:szCs w:val="24"/>
          <w:highlight w:val="none"/>
        </w:rPr>
        <w:t xml:space="preserve">我单位符合《中华人民共和国政府采购法》第二十二条的规定，符合本项目供应商资格要求。</w:t>
      </w:r>
      <w:r/>
    </w:p>
    <w:p>
      <w:pPr>
        <w:pStyle w:val="1055"/>
        <w:ind w:firstLine="480"/>
        <w:jc w:val="left"/>
        <w:spacing w:line="312" w:lineRule="auto"/>
        <w:widowControl w:val="off"/>
        <w:tabs>
          <w:tab w:val="right" w:pos="4153" w:leader="none"/>
          <w:tab w:val="left" w:pos="8306" w:leader="underscore"/>
        </w:tabs>
        <w:rPr>
          <w:rStyle w:val="1303"/>
          <w:rFonts w:hAnsi="宋体" w:cs="宋体"/>
          <w:color w:val="auto"/>
          <w:szCs w:val="24"/>
          <w:highlight w:val="none"/>
        </w:rPr>
      </w:pPr>
      <w:r>
        <w:rPr>
          <w:rStyle w:val="1303"/>
          <w:rFonts w:hint="eastAsia" w:hAnsi="宋体" w:cs="宋体"/>
          <w:color w:val="auto"/>
          <w:szCs w:val="24"/>
          <w:highlight w:val="none"/>
        </w:rPr>
        <w:t xml:space="preserve">我单位按照磋商文件的要求编制响应文件，并对其提交的响应文件的真实性、合法性承担法律责任。</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供应商兹宣布同意如下: </w:t>
      </w:r>
      <w:r/>
    </w:p>
    <w:p>
      <w:pPr>
        <w:pStyle w:val="1055"/>
        <w:ind w:firstLine="480"/>
        <w:jc w:val="left"/>
        <w:spacing w:line="312" w:lineRule="auto"/>
        <w:widowControl w:val="off"/>
        <w:tabs>
          <w:tab w:val="right" w:pos="4153" w:leader="none"/>
          <w:tab w:val="left" w:pos="8306" w:leader="underscore"/>
        </w:tabs>
        <w:rPr>
          <w:rStyle w:val="1303"/>
          <w:rFonts w:hAnsi="宋体" w:cs="宋体"/>
          <w:color w:val="auto"/>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3"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2" o:spid="_x0000_s12" style="position:absolute;left:0;text-align:left;z-index:251666432;mso-wrap-distance-left:9.0pt;mso-wrap-distance-top:0.0pt;mso-wrap-distance-right:9.0pt;mso-wrap-distance-bottom:0.0pt;visibility:visible;" from="246.8pt,23.4pt" to="246.8pt,23.4pt" fillcolor="#FFFFF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4"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3" o:spid="_x0000_s13" style="position:absolute;left:0;text-align:left;z-index:251667456;mso-wrap-distance-left:9.0pt;mso-wrap-distance-top:0.0pt;mso-wrap-distance-right:9.0pt;mso-wrap-distance-bottom:0.0pt;visibility:visible;" from="220.5pt,46.8pt" to="220.6pt,46.8pt" fillcolor="#FFFFFF" strokecolor="#000000"/>
            </w:pict>
          </mc:Fallback>
        </mc:AlternateContent>
      </w:r>
      <w:r>
        <w:rPr>
          <w:rStyle w:val="1303"/>
          <w:rFonts w:hint="eastAsia" w:hAnsi="宋体" w:cs="宋体"/>
          <w:color w:val="auto"/>
          <w:szCs w:val="24"/>
          <w:highlight w:val="none"/>
        </w:rPr>
        <w:t xml:space="preserve">一、完全承担根据《磋商文件》规定完成合同的责任和义务（如有偏离，将全部填写在偏离表中）。</w:t>
      </w:r>
      <w:r/>
    </w:p>
    <w:p>
      <w:pPr>
        <w:pStyle w:val="1055"/>
        <w:ind w:firstLine="480"/>
        <w:jc w:val="left"/>
        <w:spacing w:line="312" w:lineRule="auto"/>
        <w:widowControl w:val="off"/>
        <w:tabs>
          <w:tab w:val="right" w:pos="4153" w:leader="none"/>
          <w:tab w:val="left" w:pos="8306" w:leader="underscore"/>
        </w:tabs>
        <w:rPr>
          <w:rStyle w:val="1303"/>
          <w:rFonts w:hAnsi="宋体" w:cs="宋体"/>
          <w:color w:val="auto"/>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4" o:spid="_x0000_s14" style="position:absolute;left:0;text-align:left;z-index:251668480;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5" o:spid="_x0000_s15" style="position:absolute;left:0;text-align:left;z-index:251669504;mso-wrap-distance-left:9.0pt;mso-wrap-distance-top:0.0pt;mso-wrap-distance-right:9.0pt;mso-wrap-distance-bottom:0.0pt;visibility:visible;" from="210.0pt,19.5pt" to="210.1pt,19.5pt" fillcolor="#FFFFFF" strokecolor="#000000"/>
            </w:pict>
          </mc:Fallback>
        </mc:AlternateContent>
      </w:r>
      <w:r>
        <w:rPr>
          <w:rStyle w:val="1303"/>
          <w:rFonts w:hint="eastAsia" w:hAnsi="宋体" w:cs="宋体"/>
          <w:color w:val="auto"/>
          <w:szCs w:val="24"/>
          <w:highlight w:val="none"/>
        </w:rPr>
        <w:t xml:space="preserve">二、保证所提供的响应文件及所有材料的真实、合法、有效，并对其负责。</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三、已详细审核竞争性磋商文件（含竞争性磋商文件的澄清或者修改），本供应商完全理解并同意放弃对这方面不明及误解的权利。</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四、所供货物保证符合国家有关产品质量、性能和安全标准，无权利瑕疵。</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五、报价有效期为30个工作日。</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六、同意向贵方提供贵方可能要求的与本次磋商采购有关的任何证据或资料。</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七、完全理解贵方不一定要接受最低的报价或收到的任何报价。</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八、江苏科建工程项目管理有限公司有权将我单位本项目的《磋商报价表》和《分项价格表》予以公示，公示的方式由江苏科建工程项目管理有限公司确定。</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九、采购人有权对供应商的响应文件的真实性</w:t>
      </w:r>
      <w:r>
        <w:rPr>
          <w:rStyle w:val="1303"/>
          <w:rFonts w:hint="eastAsia" w:hAnsi="宋体" w:cs="宋体"/>
          <w:bCs/>
          <w:color w:val="auto"/>
          <w:szCs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303"/>
          <w:rFonts w:hint="eastAsia" w:hAnsi="宋体" w:cs="宋体"/>
          <w:color w:val="auto"/>
          <w:szCs w:val="24"/>
          <w:highlight w:val="none"/>
        </w:rPr>
        <w:t xml:space="preserve">。</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十、供应商同意按照磋商文件的有关规定支付相关代理服务费。 </w:t>
      </w:r>
      <w:r/>
    </w:p>
    <w:p>
      <w:pPr>
        <w:ind w:firstLine="480"/>
        <w:jc w:val="right"/>
        <w:spacing w:line="312" w:lineRule="auto"/>
        <w:rPr>
          <w:rFonts w:ascii="宋体" w:hAnsi="宋体" w:cs="宋体"/>
          <w:bCs/>
          <w:color w:val="auto"/>
          <w:sz w:val="24"/>
          <w:highlight w:val="none"/>
        </w:rPr>
      </w:pPr>
      <w:r>
        <w:rPr>
          <w:rStyle w:val="1303"/>
          <w:rFonts w:hint="eastAsia" w:hAnsi="宋体" w:cs="宋体"/>
          <w:color w:val="auto"/>
          <w:szCs w:val="24"/>
          <w:highlight w:val="none"/>
        </w:rPr>
        <w:t xml:space="preserve">供应商</w:t>
      </w:r>
      <w:r>
        <w:rPr>
          <w:rFonts w:hint="eastAsia" w:ascii="宋体" w:hAnsi="宋体" w:cs="宋体"/>
          <w:bCs/>
          <w:color w:val="auto"/>
          <w:sz w:val="24"/>
          <w:highlight w:val="none"/>
        </w:rPr>
        <w:t xml:space="preserve">：（盖电子签章）</w:t>
      </w:r>
      <w:r/>
    </w:p>
    <w:p>
      <w:pPr>
        <w:pStyle w:val="1055"/>
        <w:spacing w:line="312" w:lineRule="auto"/>
        <w:widowControl w:val="off"/>
        <w:rPr>
          <w:rFonts w:ascii="宋体" w:hAnsi="宋体" w:cs="宋体"/>
          <w:color w:val="auto"/>
          <w:sz w:val="24"/>
          <w:highlight w:val="none"/>
        </w:rPr>
      </w:pPr>
      <w:r>
        <w:rPr>
          <w:rFonts w:hint="eastAsia" w:ascii="宋体" w:hAnsi="宋体" w:cs="宋体"/>
          <w:bCs/>
          <w:color w:val="auto"/>
          <w:sz w:val="24"/>
          <w:highlight w:val="none"/>
        </w:rPr>
        <w:t xml:space="preserve">                                                            日期</w:t>
      </w:r>
      <w:r>
        <w:rPr>
          <w:rFonts w:hint="eastAsia" w:ascii="宋体" w:hAnsi="宋体" w:cs="宋体"/>
          <w:color w:val="auto"/>
          <w:sz w:val="24"/>
          <w:highlight w:val="none"/>
        </w:rPr>
        <w:t xml:space="preserve">：</w:t>
      </w:r>
      <w:r/>
    </w:p>
    <w:p>
      <w:pPr>
        <w:pStyle w:val="1055"/>
        <w:jc w:val="center"/>
        <w:spacing w:line="312" w:lineRule="auto"/>
        <w:widowControl w:val="off"/>
        <w:rPr>
          <w:rStyle w:val="1303"/>
          <w:rFonts w:hAnsi="宋体" w:cs="宋体"/>
          <w:b/>
          <w:bCs/>
          <w:color w:val="auto"/>
          <w:szCs w:val="24"/>
          <w:highlight w:val="none"/>
        </w:rPr>
        <w:outlineLvl w:val="1"/>
      </w:pPr>
      <w:r>
        <w:rPr>
          <w:rFonts w:hint="eastAsia" w:ascii="宋体" w:hAnsi="宋体" w:cs="宋体"/>
          <w:color w:val="auto"/>
          <w:sz w:val="24"/>
          <w:szCs w:val="24"/>
          <w:highlight w:val="none"/>
        </w:rPr>
        <w:br w:type="page" w:clear="all"/>
      </w:r>
      <w:bookmarkStart w:id="37" w:name="_Toc80122303"/>
      <w:r/>
      <w:bookmarkStart w:id="38" w:name="_Toc25312"/>
      <w:r/>
      <w:bookmarkStart w:id="39" w:name="_Toc30057"/>
      <w:r>
        <w:rPr>
          <w:rStyle w:val="1303"/>
          <w:rFonts w:hint="eastAsia" w:hAnsi="宋体" w:cs="宋体"/>
          <w:b/>
          <w:bCs/>
          <w:color w:val="auto"/>
          <w:szCs w:val="24"/>
          <w:highlight w:val="none"/>
        </w:rPr>
        <w:t xml:space="preserve">二、磋商报价表</w:t>
      </w:r>
      <w:bookmarkEnd w:id="37"/>
      <w:r/>
      <w:bookmarkEnd w:id="38"/>
      <w:r/>
      <w:bookmarkEnd w:id="39"/>
      <w:r/>
      <w:r/>
    </w:p>
    <w:p>
      <w:pPr>
        <w:pStyle w:val="1055"/>
        <w:jc w:val="left"/>
        <w:spacing w:line="312" w:lineRule="auto"/>
        <w:widowControl w:val="off"/>
        <w:rPr>
          <w:rStyle w:val="1303"/>
          <w:rFonts w:hAnsi="宋体" w:cs="宋体"/>
          <w:color w:val="auto"/>
          <w:szCs w:val="24"/>
          <w:highlight w:val="none"/>
        </w:rPr>
      </w:pPr>
      <w:r>
        <w:rPr>
          <w:rFonts w:hint="eastAsia" w:ascii="宋体" w:hAnsi="宋体" w:cs="宋体"/>
          <w:color w:val="auto"/>
          <w:sz w:val="24"/>
          <w:szCs w:val="24"/>
          <w:highlight w:val="none"/>
        </w:rPr>
        <w:t xml:space="preserve">（本次为  □首次  □终次报价）                              </w:t>
      </w:r>
      <w:r/>
    </w:p>
    <w:p>
      <w:pPr>
        <w:pStyle w:val="1055"/>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项目编号：</w:t>
      </w:r>
      <w:r>
        <w:rPr>
          <w:rStyle w:val="1303"/>
          <w:rFonts w:hint="eastAsia" w:hAnsi="宋体" w:cs="宋体"/>
          <w:color w:val="auto"/>
          <w:szCs w:val="24"/>
          <w:highlight w:val="none"/>
          <w:lang w:eastAsia="zh-CN"/>
        </w:rPr>
        <w:t xml:space="preserve">JSZC-320000-JSKJ-C2026-0011</w:t>
      </w:r>
      <w:r>
        <w:rPr>
          <w:rStyle w:val="1303"/>
          <w:rFonts w:hint="eastAsia" w:hAnsi="宋体" w:cs="宋体"/>
          <w:color w:val="auto"/>
          <w:szCs w:val="24"/>
          <w:highlight w:val="none"/>
        </w:rPr>
        <w:t xml:space="preserve">                               单位：元</w:t>
      </w:r>
      <w:r/>
    </w:p>
    <w:tbl>
      <w:tblPr>
        <w:tblStyle w:val="1013"/>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jc w:val="center"/>
          <w:trHeight w:val="1107"/>
        </w:trPr>
        <w:tc>
          <w:tcPr>
            <w:tcW w:w="2486" w:type="dxa"/>
            <w:vAlign w:val="center"/>
            <w:textDirection w:val="lrTb"/>
            <w:noWrap w:val="false"/>
          </w:tcPr>
          <w:p>
            <w:pPr>
              <w:pStyle w:val="1055"/>
              <w:jc w:val="center"/>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2498" w:type="dxa"/>
            <w:vAlign w:val="center"/>
            <w:textDirection w:val="lrTb"/>
            <w:noWrap w:val="false"/>
          </w:tcPr>
          <w:p>
            <w:pPr>
              <w:pStyle w:val="1055"/>
              <w:jc w:val="center"/>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项目内容</w:t>
            </w:r>
            <w:r/>
          </w:p>
        </w:tc>
        <w:tc>
          <w:tcPr>
            <w:tcW w:w="2382" w:type="dxa"/>
            <w:vAlign w:val="center"/>
            <w:textDirection w:val="lrTb"/>
            <w:noWrap w:val="false"/>
          </w:tcPr>
          <w:p>
            <w:pPr>
              <w:pStyle w:val="1055"/>
              <w:jc w:val="center"/>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总价（小写）</w:t>
            </w:r>
            <w:r/>
          </w:p>
        </w:tc>
        <w:tc>
          <w:tcPr>
            <w:tcW w:w="2382" w:type="dxa"/>
            <w:vAlign w:val="center"/>
            <w:textDirection w:val="lrTb"/>
            <w:noWrap w:val="false"/>
          </w:tcPr>
          <w:p>
            <w:pPr>
              <w:pStyle w:val="1055"/>
              <w:jc w:val="center"/>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1096"/>
        </w:trPr>
        <w:tc>
          <w:tcPr>
            <w:tcW w:w="2486" w:type="dxa"/>
            <w:vAlign w:val="center"/>
            <w:textDirection w:val="lrTb"/>
            <w:noWrap w:val="false"/>
          </w:tcPr>
          <w:p>
            <w:pPr>
              <w:pStyle w:val="1055"/>
              <w:spacing w:line="312"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pStyle w:val="1055"/>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会见楼1、2层维修改造项目土建装饰工程</w:t>
            </w:r>
            <w:r/>
          </w:p>
        </w:tc>
        <w:tc>
          <w:tcPr>
            <w:tcW w:w="2498" w:type="dxa"/>
            <w:vAlign w:val="center"/>
            <w:textDirection w:val="lrTb"/>
            <w:noWrap w:val="false"/>
          </w:tcPr>
          <w:p>
            <w:pPr>
              <w:pStyle w:val="1055"/>
              <w:jc w:val="center"/>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详见响应文件</w:t>
            </w:r>
            <w:r/>
          </w:p>
        </w:tc>
        <w:tc>
          <w:tcPr>
            <w:tcW w:w="2382" w:type="dxa"/>
            <w:vAlign w:val="center"/>
            <w:textDirection w:val="lrTb"/>
            <w:noWrap w:val="false"/>
          </w:tcPr>
          <w:p>
            <w:pPr>
              <w:pStyle w:val="1055"/>
              <w:spacing w:line="312"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2382" w:type="dxa"/>
            <w:vAlign w:val="center"/>
            <w:vMerge w:val="restart"/>
            <w:textDirection w:val="lrTb"/>
            <w:noWrap w:val="false"/>
          </w:tcPr>
          <w:p>
            <w:pPr>
              <w:pStyle w:val="1055"/>
              <w:jc w:val="center"/>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报价为</w:t>
            </w:r>
            <w:r/>
          </w:p>
          <w:p>
            <w:pPr>
              <w:pStyle w:val="1055"/>
              <w:jc w:val="center"/>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《分项价格表》</w:t>
            </w:r>
            <w:r/>
          </w:p>
          <w:p>
            <w:pPr>
              <w:pStyle w:val="1055"/>
              <w:jc w:val="center"/>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的总价</w:t>
            </w:r>
            <w:r/>
          </w:p>
        </w:tc>
      </w:tr>
      <w:tr>
        <w:trPr>
          <w:jc w:val="center"/>
          <w:trHeight w:val="1333"/>
        </w:trPr>
        <w:tc>
          <w:tcPr>
            <w:tcW w:w="2486" w:type="dxa"/>
            <w:vAlign w:val="center"/>
            <w:textDirection w:val="lrTb"/>
            <w:noWrap w:val="false"/>
          </w:tcPr>
          <w:p>
            <w:pPr>
              <w:pStyle w:val="1055"/>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总价（大写）：</w:t>
            </w:r>
            <w:r/>
          </w:p>
        </w:tc>
        <w:tc>
          <w:tcPr>
            <w:gridSpan w:val="2"/>
            <w:tcW w:w="4880" w:type="dxa"/>
            <w:vAlign w:val="center"/>
            <w:textDirection w:val="lrTb"/>
            <w:noWrap w:val="false"/>
          </w:tcPr>
          <w:p>
            <w:pPr>
              <w:pStyle w:val="1055"/>
              <w:spacing w:line="312"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2382" w:type="dxa"/>
            <w:vMerge w:val="continue"/>
            <w:textDirection w:val="lrTb"/>
            <w:noWrap w:val="false"/>
          </w:tcPr>
          <w:p>
            <w:pPr>
              <w:pStyle w:val="1055"/>
              <w:spacing w:line="312"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tc>
      </w:tr>
    </w:tbl>
    <w:p>
      <w:pPr>
        <w:pStyle w:val="1055"/>
        <w:spacing w:line="312"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pStyle w:val="1553"/>
        <w:jc w:val="center"/>
        <w:spacing w:before="0" w:beforeAutospacing="0" w:after="0" w:afterAutospacing="0" w:line="360" w:lineRule="auto"/>
        <w:widowControl w:val="off"/>
        <w:rPr>
          <w:rFonts w:cs="宋体"/>
          <w:b/>
          <w:bCs/>
          <w:color w:val="auto"/>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color w:val="auto"/>
          <w:szCs w:val="24"/>
          <w:highlight w:val="none"/>
        </w:rPr>
        <w:t xml:space="preserve">（政府采购客户端工具输入报价自动生成，加盖电子签章上传）</w:t>
      </w:r>
      <w:r/>
    </w:p>
    <w:p>
      <w:pPr>
        <w:pStyle w:val="1055"/>
        <w:ind w:firstLine="480"/>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p>
      <w:pPr>
        <w:pStyle w:val="1055"/>
        <w:ind w:firstLine="480"/>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p>
      <w:pPr>
        <w:pStyle w:val="1055"/>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供应商承诺：  1、本报价（总价）为供应商本企业提供的施工。</w:t>
      </w:r>
      <w:r/>
    </w:p>
    <w:p>
      <w:pPr>
        <w:pStyle w:val="1055"/>
        <w:ind w:firstLine="16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  </w:t>
      </w:r>
      <w:r/>
    </w:p>
    <w:p>
      <w:pPr>
        <w:pStyle w:val="1055"/>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 报价说明：</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1、报价包括完成项目的所有费用。采购人不再支付报价以外的任何费用。</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2、报价以总价为准，大小写不一致以大写为准；</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3、偏离说明：详见《偏离表》；</w:t>
      </w:r>
      <w:r/>
    </w:p>
    <w:p>
      <w:pPr>
        <w:pStyle w:val="1067"/>
        <w:ind w:left="0" w:firstLine="480"/>
        <w:rPr>
          <w:rFonts w:ascii="宋体" w:hAnsi="宋体" w:eastAsia="宋体" w:cs="宋体"/>
          <w:color w:val="auto"/>
          <w:highlight w:val="none"/>
        </w:rPr>
      </w:pPr>
      <w:r>
        <w:rPr>
          <w:rStyle w:val="1303"/>
          <w:rFonts w:hint="eastAsia" w:hAnsi="宋体" w:eastAsia="宋体" w:cs="宋体"/>
          <w:color w:val="auto"/>
          <w:szCs w:val="24"/>
          <w:highlight w:val="none"/>
        </w:rPr>
        <w:t xml:space="preserve">4、如最后报价未列明单价，则最后所报各项单价计算方法为：（最后报价/最初报价）* 各项最初报价的单价。</w:t>
      </w:r>
      <w:r/>
    </w:p>
    <w:p>
      <w:pPr>
        <w:pStyle w:val="1067"/>
        <w:rPr>
          <w:rFonts w:ascii="宋体" w:hAnsi="宋体" w:eastAsia="宋体" w:cs="宋体"/>
          <w:color w:val="auto"/>
          <w:highlight w:val="none"/>
        </w:rPr>
      </w:pPr>
      <w:r>
        <w:rPr>
          <w:rFonts w:ascii="宋体" w:hAnsi="宋体" w:eastAsia="宋体" w:cs="宋体"/>
          <w:color w:val="auto"/>
          <w:highlight w:val="none"/>
        </w:rPr>
      </w:r>
      <w:r/>
    </w:p>
    <w:p>
      <w:pPr>
        <w:ind w:firstLine="480"/>
        <w:jc w:val="right"/>
        <w:spacing w:line="312" w:lineRule="auto"/>
        <w:rPr>
          <w:rFonts w:ascii="宋体" w:hAnsi="宋体" w:cs="宋体"/>
          <w:bCs/>
          <w:color w:val="auto"/>
          <w:sz w:val="24"/>
          <w:highlight w:val="none"/>
        </w:rPr>
      </w:pPr>
      <w:r>
        <w:rPr>
          <w:rStyle w:val="1303"/>
          <w:rFonts w:hint="eastAsia" w:hAnsi="宋体" w:cs="宋体"/>
          <w:color w:val="auto"/>
          <w:szCs w:val="24"/>
          <w:highlight w:val="none"/>
        </w:rPr>
        <w:t xml:space="preserve">供应商</w:t>
      </w:r>
      <w:r>
        <w:rPr>
          <w:rFonts w:hint="eastAsia" w:ascii="宋体" w:hAnsi="宋体" w:cs="宋体"/>
          <w:bCs/>
          <w:color w:val="auto"/>
          <w:sz w:val="24"/>
          <w:highlight w:val="none"/>
        </w:rPr>
        <w:t xml:space="preserve">：（盖电子签章）</w:t>
      </w:r>
      <w:r/>
    </w:p>
    <w:p>
      <w:pPr>
        <w:ind w:firstLine="480"/>
        <w:jc w:val="center"/>
        <w:spacing w:line="312" w:lineRule="auto"/>
        <w:rPr>
          <w:rFonts w:ascii="宋体" w:hAnsi="宋体" w:cs="宋体"/>
          <w:color w:val="auto"/>
          <w:sz w:val="28"/>
          <w:szCs w:val="28"/>
          <w:highlight w:val="none"/>
        </w:rPr>
      </w:pPr>
      <w:r>
        <w:rPr>
          <w:rFonts w:hint="eastAsia" w:ascii="宋体" w:hAnsi="宋体" w:cs="宋体"/>
          <w:bCs/>
          <w:color w:val="auto"/>
          <w:sz w:val="24"/>
          <w:highlight w:val="none"/>
        </w:rPr>
        <w:t xml:space="preserve">                                       日期</w:t>
      </w:r>
      <w:r>
        <w:rPr>
          <w:rFonts w:hint="eastAsia" w:ascii="宋体" w:hAnsi="宋体" w:cs="宋体"/>
          <w:color w:val="auto"/>
          <w:sz w:val="24"/>
          <w:highlight w:val="none"/>
        </w:rPr>
        <w:t xml:space="preserve">：    </w:t>
      </w:r>
      <w:r/>
    </w:p>
    <w:p>
      <w:pPr>
        <w:pStyle w:val="1055"/>
        <w:ind w:firstLine="482"/>
        <w:jc w:val="right"/>
        <w:spacing w:line="312" w:lineRule="auto"/>
        <w:widowControl w:val="off"/>
        <w:rPr>
          <w:rStyle w:val="1303"/>
          <w:rFonts w:hAnsi="宋体" w:cs="宋体"/>
          <w:b/>
          <w:color w:val="auto"/>
          <w:szCs w:val="24"/>
          <w:highlight w:val="none"/>
        </w:rPr>
      </w:pPr>
      <w:r>
        <w:rPr>
          <w:rFonts w:hAnsi="宋体" w:cs="宋体"/>
          <w:b/>
          <w:color w:val="auto"/>
          <w:szCs w:val="24"/>
          <w:highlight w:val="none"/>
        </w:rPr>
      </w:r>
      <w:r/>
    </w:p>
    <w:p>
      <w:pPr>
        <w:spacing w:line="312" w:lineRule="auto"/>
        <w:rPr>
          <w:rFonts w:ascii="宋体" w:hAnsi="宋体" w:cs="宋体"/>
          <w:b/>
          <w:color w:val="auto"/>
          <w:sz w:val="24"/>
          <w:szCs w:val="24"/>
          <w:highlight w:val="none"/>
        </w:rPr>
      </w:pPr>
      <w:r>
        <w:rPr>
          <w:rFonts w:hint="eastAsia" w:ascii="宋体" w:hAnsi="宋体" w:cs="宋体"/>
          <w:color w:val="auto"/>
          <w:sz w:val="24"/>
          <w:szCs w:val="24"/>
          <w:highlight w:val="none"/>
        </w:rPr>
        <w:br w:type="page" w:clear="all"/>
      </w:r>
      <w:r/>
    </w:p>
    <w:p>
      <w:pPr>
        <w:jc w:val="center"/>
        <w:spacing w:line="312" w:lineRule="auto"/>
        <w:rPr>
          <w:rFonts w:ascii="宋体" w:hAnsi="宋体" w:cs="宋体"/>
          <w:b/>
          <w:color w:val="auto"/>
          <w:sz w:val="24"/>
          <w:szCs w:val="24"/>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bookmarkStart w:id="40" w:name="_Toc80122304"/>
      <w:r/>
      <w:bookmarkStart w:id="41" w:name="_Toc14249"/>
      <w:r/>
      <w:r/>
    </w:p>
    <w:p>
      <w:pPr>
        <w:pStyle w:val="1273"/>
        <w:jc w:val="center"/>
        <w:keepLines w:val="0"/>
        <w:keepNext w:val="0"/>
        <w:spacing w:before="0" w:after="0" w:line="500" w:lineRule="exact"/>
        <w:widowControl w:val="off"/>
        <w:rPr>
          <w:rFonts w:ascii="宋体" w:hAnsi="宋体" w:cs="宋体"/>
          <w:bCs w:val="0"/>
          <w:color w:val="auto"/>
          <w:sz w:val="24"/>
          <w:szCs w:val="24"/>
          <w:highlight w:val="none"/>
        </w:rPr>
      </w:pPr>
      <w:r/>
      <w:bookmarkStart w:id="42" w:name="_Toc22792"/>
      <w:r/>
      <w:bookmarkStart w:id="43" w:name="_Toc49"/>
      <w:r>
        <w:rPr>
          <w:rStyle w:val="1303"/>
          <w:rFonts w:hint="eastAsia" w:hAnsi="宋体" w:cs="宋体"/>
          <w:color w:val="auto"/>
          <w:szCs w:val="24"/>
          <w:highlight w:val="none"/>
        </w:rPr>
        <w:t xml:space="preserve">三、分项价格表</w:t>
      </w:r>
      <w:bookmarkEnd w:id="42"/>
      <w:r/>
      <w:bookmarkEnd w:id="43"/>
      <w:r/>
      <w:r/>
    </w:p>
    <w:p>
      <w:pPr>
        <w:pStyle w:val="1059"/>
        <w:jc w:val="center"/>
        <w:spacing w:after="0"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（具有已标价的工程量清单和报价表）</w:t>
      </w:r>
      <w:r/>
    </w:p>
    <w:p>
      <w:pPr>
        <w:pStyle w:val="1059"/>
        <w:spacing w:after="0"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1059"/>
        <w:spacing w:after="0" w:line="500" w:lineRule="exact"/>
        <w:rPr>
          <w:rFonts w:ascii="宋体" w:hAnsi="宋体" w:eastAsia="宋体" w:cs="宋体"/>
          <w:color w:val="auto"/>
          <w:sz w:val="24"/>
          <w:highlight w:val="none"/>
        </w:rPr>
      </w:pPr>
      <w:r/>
      <w:bookmarkStart w:id="44" w:name="_Hlk105167482"/>
      <w:r>
        <w:rPr>
          <w:rFonts w:hint="eastAsia" w:ascii="宋体" w:hAnsi="宋体" w:eastAsia="宋体" w:cs="宋体"/>
          <w:color w:val="auto"/>
          <w:sz w:val="24"/>
          <w:highlight w:val="none"/>
        </w:rPr>
        <w:t xml:space="preserve">（本次为  □首次  □终次报价）</w:t>
      </w:r>
      <w:bookmarkEnd w:id="44"/>
      <w:r/>
      <w:r/>
    </w:p>
    <w:p>
      <w:pPr>
        <w:pStyle w:val="1059"/>
        <w:spacing w:after="0" w:line="500" w:lineRule="exact"/>
        <w:rPr>
          <w:rFonts w:ascii="宋体" w:hAnsi="宋体" w:eastAsia="宋体" w:cs="宋体"/>
          <w:color w:val="auto"/>
          <w:sz w:val="24"/>
          <w:highlight w:val="none"/>
        </w:rPr>
      </w:pPr>
      <w:r/>
      <w:bookmarkStart w:id="45" w:name="_Hlk105167508"/>
      <w:r>
        <w:rPr>
          <w:rFonts w:hint="eastAsia" w:ascii="宋体" w:hAnsi="宋体" w:eastAsia="宋体" w:cs="宋体"/>
          <w:color w:val="auto"/>
          <w:sz w:val="24"/>
          <w:highlight w:val="none"/>
        </w:rPr>
        <w:t xml:space="preserve">项目名称： </w:t>
      </w:r>
      <w:r/>
    </w:p>
    <w:p>
      <w:pPr>
        <w:pStyle w:val="1059"/>
        <w:spacing w:after="0"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bookmarkEnd w:id="45"/>
      <w:r/>
      <w:r/>
    </w:p>
    <w:p>
      <w:pPr>
        <w:pStyle w:val="1059"/>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1069"/>
        <w:ind w:left="0"/>
        <w:jc w:val="center"/>
        <w:spacing w:line="500" w:lineRule="exact"/>
        <w:widowControl w:val="off"/>
        <w:rPr>
          <w:rFonts w:ascii="宋体" w:eastAsia="宋体" w:cs="宋体"/>
          <w:b/>
          <w:bCs/>
          <w:color w:val="auto"/>
          <w:sz w:val="24"/>
          <w:szCs w:val="24"/>
          <w:highlight w:val="none"/>
        </w:rPr>
        <w:outlineLvl w:val="9"/>
      </w:pPr>
      <w:r/>
      <w:bookmarkStart w:id="46" w:name="_Toc3087"/>
      <w:r>
        <w:rPr>
          <w:rFonts w:hint="eastAsia" w:ascii="宋体" w:eastAsia="宋体" w:cs="宋体"/>
          <w:b/>
          <w:bCs/>
          <w:color w:val="auto"/>
          <w:sz w:val="24"/>
          <w:szCs w:val="24"/>
          <w:highlight w:val="none"/>
        </w:rPr>
        <w:t xml:space="preserve">根据工程量清单进行</w:t>
      </w:r>
      <w:bookmarkEnd w:id="46"/>
      <w:r>
        <w:rPr>
          <w:rFonts w:hint="eastAsia" w:ascii="宋体" w:eastAsia="宋体" w:cs="宋体"/>
          <w:b/>
          <w:bCs/>
          <w:color w:val="auto"/>
          <w:sz w:val="24"/>
          <w:szCs w:val="24"/>
          <w:highlight w:val="none"/>
        </w:rPr>
        <w:t xml:space="preserve">填写</w:t>
      </w:r>
      <w:r/>
    </w:p>
    <w:p>
      <w:pPr>
        <w:pStyle w:val="1071"/>
        <w:ind w:firstLine="400"/>
        <w:spacing w:line="500" w:lineRule="exact"/>
        <w:rPr>
          <w:rFonts w:ascii="宋体" w:hAnsi="宋体" w:cs="宋体"/>
          <w:b/>
          <w:bCs/>
          <w:color w:val="auto"/>
          <w:sz w:val="24"/>
          <w:highlight w:val="none"/>
        </w:rPr>
      </w:pPr>
      <w:r>
        <w:rPr>
          <w:rFonts w:ascii="宋体" w:hAnsi="宋体" w:cs="宋体"/>
          <w:b/>
          <w:bCs/>
          <w:color w:val="auto"/>
          <w:sz w:val="24"/>
          <w:highlight w:val="none"/>
        </w:rPr>
      </w:r>
      <w:r/>
    </w:p>
    <w:p>
      <w:pPr>
        <w:jc w:val="center"/>
        <w:spacing w:line="480" w:lineRule="auto"/>
        <w:rPr>
          <w:rFonts w:ascii="宋体" w:hAnsi="宋体"/>
          <w:color w:val="auto"/>
          <w:highlight w:val="none"/>
        </w:rPr>
      </w:pPr>
      <w:r>
        <w:rPr>
          <w:rFonts w:ascii="宋体" w:hAnsi="宋体"/>
          <w:color w:val="auto"/>
          <w:highlight w:val="none"/>
        </w:rPr>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1059"/>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1055"/>
        <w:jc w:val="left"/>
        <w:spacing w:line="500" w:lineRule="exact"/>
        <w:widowControl w:val="off"/>
        <w:rPr>
          <w:rStyle w:val="1303"/>
          <w:rFonts w:hAnsi="宋体" w:cs="宋体"/>
          <w:color w:val="auto"/>
          <w:szCs w:val="24"/>
          <w:highlight w:val="none"/>
        </w:rPr>
      </w:pPr>
      <w:r>
        <w:rPr>
          <w:rStyle w:val="1303"/>
          <w:rFonts w:hint="eastAsia" w:hAnsi="宋体" w:cs="宋体"/>
          <w:color w:val="auto"/>
          <w:szCs w:val="24"/>
          <w:highlight w:val="none"/>
        </w:rPr>
        <w:t xml:space="preserve">供应商</w:t>
      </w:r>
      <w:r>
        <w:rPr>
          <w:rFonts w:hint="eastAsia" w:ascii="宋体" w:hAnsi="宋体" w:cs="宋体"/>
          <w:color w:val="auto"/>
          <w:sz w:val="24"/>
          <w:szCs w:val="24"/>
          <w:highlight w:val="none"/>
        </w:rPr>
        <w:t xml:space="preserve">（</w:t>
      </w:r>
      <w:r>
        <w:rPr>
          <w:rStyle w:val="1303"/>
          <w:rFonts w:hint="eastAsia" w:hAnsi="宋体" w:cs="宋体"/>
          <w:color w:val="auto"/>
          <w:szCs w:val="24"/>
          <w:highlight w:val="none"/>
        </w:rPr>
        <w:t xml:space="preserve">电子签章</w:t>
      </w:r>
      <w:r>
        <w:rPr>
          <w:rFonts w:hint="eastAsia" w:ascii="宋体" w:hAnsi="宋体" w:cs="宋体"/>
          <w:color w:val="auto"/>
          <w:sz w:val="24"/>
          <w:szCs w:val="24"/>
          <w:highlight w:val="none"/>
        </w:rPr>
        <w:t xml:space="preserve">）</w:t>
      </w:r>
      <w:r>
        <w:rPr>
          <w:rStyle w:val="1303"/>
          <w:rFonts w:hint="eastAsia" w:hAnsi="宋体" w:cs="宋体"/>
          <w:color w:val="auto"/>
          <w:szCs w:val="24"/>
          <w:highlight w:val="none"/>
        </w:rPr>
        <w:t xml:space="preserve">：  </w:t>
      </w:r>
      <w:r/>
    </w:p>
    <w:p>
      <w:pPr>
        <w:pStyle w:val="1055"/>
        <w:jc w:val="left"/>
        <w:spacing w:line="500" w:lineRule="exact"/>
        <w:widowControl w:val="off"/>
        <w:rPr>
          <w:rStyle w:val="1303"/>
          <w:rFonts w:hAnsi="宋体" w:cs="宋体"/>
          <w:color w:val="auto"/>
          <w:szCs w:val="24"/>
          <w:highlight w:val="none"/>
        </w:rPr>
      </w:pPr>
      <w:r>
        <w:rPr>
          <w:rStyle w:val="1303"/>
          <w:rFonts w:hint="eastAsia" w:hAnsi="宋体" w:cs="宋体"/>
          <w:color w:val="auto"/>
          <w:szCs w:val="24"/>
          <w:highlight w:val="none"/>
        </w:rPr>
        <w:t xml:space="preserve">日期：</w:t>
      </w:r>
      <w:r/>
    </w:p>
    <w:p>
      <w:pPr>
        <w:pStyle w:val="1059"/>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1059"/>
        <w:spacing w:after="0"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pStyle w:val="1059"/>
        <w:ind w:firstLine="480"/>
        <w:spacing w:after="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1．如果不提供分项报价将视为没有实质性响应磋商文件。</w:t>
      </w:r>
      <w:r/>
    </w:p>
    <w:p>
      <w:pPr>
        <w:pStyle w:val="1059"/>
        <w:ind w:firstLine="480"/>
        <w:spacing w:after="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2．供应商对以上数据的真实性负责。</w:t>
      </w:r>
      <w:r/>
    </w:p>
    <w:p>
      <w:pPr>
        <w:pStyle w:val="1059"/>
        <w:ind w:firstLine="480"/>
        <w:spacing w:after="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 如果按单价计算的结果与总价不一致，以总价为准。</w:t>
      </w:r>
      <w:r/>
    </w:p>
    <w:p>
      <w:pPr>
        <w:pStyle w:val="1059"/>
        <w:ind w:firstLine="480"/>
        <w:spacing w:after="0" w:line="360" w:lineRule="auto"/>
        <w:rPr>
          <w:rFonts w:ascii="宋体" w:hAnsi="宋体" w:eastAsia="宋体" w:cs="宋体"/>
          <w:b/>
          <w:iCs/>
          <w:color w:val="auto"/>
          <w:sz w:val="24"/>
          <w:highlight w:val="none"/>
          <w:u w:val="single"/>
        </w:rPr>
      </w:pPr>
      <w:r>
        <w:rPr>
          <w:rFonts w:hint="eastAsia" w:ascii="宋体" w:hAnsi="宋体" w:eastAsia="宋体" w:cs="宋体"/>
          <w:b/>
          <w:iCs/>
          <w:color w:val="auto"/>
          <w:sz w:val="24"/>
          <w:highlight w:val="none"/>
          <w:u w:val="single"/>
        </w:rPr>
        <w:t xml:space="preserve">采购人或采购代理机构有权将以上内容进行公示。</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备注：成交供应商应于合同签订前提供同比例调整后的完整工程量清单至采购人</w:t>
      </w:r>
      <w:r/>
    </w:p>
    <w:p>
      <w:pPr>
        <w:pStyle w:val="1055"/>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（提交形式及份数以采购人实际要求为准）。</w:t>
      </w:r>
      <w:r/>
    </w:p>
    <w:p>
      <w:pPr>
        <w:jc w:val="center"/>
        <w:spacing w:line="312" w:lineRule="auto"/>
        <w:rPr>
          <w:rFonts w:ascii="宋体" w:hAnsi="宋体" w:cs="宋体"/>
          <w:color w:val="auto"/>
          <w:sz w:val="24"/>
          <w:szCs w:val="24"/>
          <w:highlight w:val="none"/>
        </w:rPr>
        <w:sectPr>
          <w:footerReference w:type="default" r:id="rId14"/>
          <w:footnotePr/>
          <w:endnotePr/>
          <w:type w:val="nextPage"/>
          <w:pgSz w:w="11906" w:h="16838" w:orient="portrait"/>
          <w:pgMar w:top="1440" w:right="1080" w:bottom="1440" w:left="1080" w:header="851" w:footer="992" w:gutter="0"/>
          <w:pgNumType w:start="24"/>
          <w:cols w:num="1" w:sep="0" w:space="1701" w:equalWidth="1"/>
          <w:docGrid w:linePitch="360"/>
        </w:sectPr>
      </w:pPr>
      <w:r>
        <w:rPr>
          <w:rFonts w:ascii="宋体" w:hAnsi="宋体" w:cs="宋体"/>
          <w:color w:val="auto"/>
          <w:sz w:val="24"/>
          <w:szCs w:val="24"/>
          <w:highlight w:val="none"/>
        </w:rPr>
      </w:r>
      <w:r/>
    </w:p>
    <w:p>
      <w:pPr>
        <w:jc w:val="center"/>
        <w:spacing w:line="312" w:lineRule="auto"/>
        <w:rPr>
          <w:rFonts w:ascii="宋体" w:hAnsi="宋体" w:cs="宋体"/>
          <w:b/>
          <w:color w:val="auto"/>
          <w:sz w:val="24"/>
          <w:szCs w:val="24"/>
          <w:highlight w:val="none"/>
        </w:rPr>
        <w:outlineLvl w:val="1"/>
      </w:pPr>
      <w:r/>
      <w:bookmarkStart w:id="47" w:name="_Toc16844"/>
      <w:r>
        <w:rPr>
          <w:rFonts w:hint="eastAsia" w:ascii="宋体" w:hAnsi="宋体" w:cs="宋体"/>
          <w:b/>
          <w:color w:val="auto"/>
          <w:sz w:val="24"/>
          <w:szCs w:val="24"/>
          <w:highlight w:val="none"/>
        </w:rPr>
        <w:t xml:space="preserve">四、</w:t>
      </w:r>
      <w:bookmarkEnd w:id="40"/>
      <w:r/>
      <w:bookmarkEnd w:id="41"/>
      <w:r>
        <w:rPr>
          <w:rFonts w:hint="eastAsia" w:ascii="宋体" w:hAnsi="宋体" w:cs="宋体"/>
          <w:b/>
          <w:color w:val="auto"/>
          <w:sz w:val="24"/>
          <w:szCs w:val="24"/>
          <w:highlight w:val="none"/>
        </w:rPr>
        <w:t xml:space="preserve">投 标 承 诺 书</w:t>
      </w:r>
      <w:bookmarkEnd w:id="47"/>
      <w:r/>
      <w:r/>
    </w:p>
    <w:p>
      <w:pPr>
        <w:spacing w:line="312" w:lineRule="auto"/>
        <w:rPr>
          <w:rFonts w:ascii="宋体" w:hAnsi="宋体" w:cs="宋体"/>
          <w:color w:val="auto"/>
          <w:sz w:val="24"/>
          <w:szCs w:val="24"/>
          <w:highlight w:val="none"/>
          <w:u w:val="single"/>
        </w:rPr>
      </w:pPr>
      <w:r>
        <w:rPr>
          <w:rFonts w:ascii="宋体" w:hAnsi="宋体" w:cs="宋体"/>
          <w:color w:val="auto"/>
          <w:sz w:val="24"/>
          <w:szCs w:val="24"/>
          <w:highlight w:val="none"/>
          <w:u w:val="single"/>
        </w:rPr>
      </w:r>
      <w:r/>
    </w:p>
    <w:p>
      <w:pPr>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江苏省</w:t>
      </w:r>
      <w:r>
        <w:rPr>
          <w:rFonts w:hint="eastAsia" w:ascii="宋体" w:hAnsi="宋体" w:cs="宋体"/>
          <w:color w:val="auto"/>
          <w:sz w:val="24"/>
          <w:szCs w:val="24"/>
          <w:highlight w:val="none"/>
          <w:lang w:eastAsia="zh-CN"/>
        </w:rPr>
        <w:t xml:space="preserve">徐州监狱</w:t>
      </w:r>
      <w:r>
        <w:rPr>
          <w:rFonts w:hint="eastAsia" w:ascii="宋体" w:hAnsi="宋体" w:cs="宋体"/>
          <w:color w:val="auto"/>
          <w:sz w:val="24"/>
          <w:szCs w:val="24"/>
          <w:highlight w:val="none"/>
        </w:rPr>
        <w:t xml:space="preserve">：</w:t>
      </w:r>
      <w:r/>
    </w:p>
    <w:p>
      <w:pPr>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我单位有幸参加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(项目编号）的招投标活动，在此承诺如下（包含不限于以下内容）：</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1、投标项目部人员全部为本单位正式上岗人员；</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2、本工程不串通投标、不转包、不违法分包、不私招乱雇人员，并向管理部门提供自有劳务人员名单；</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3、按要求办理民工维权告示牌、民工劳动计酬手册及民工上岗胸牌；</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4、遵守廉洁相关规定，不向招投标各方主体及监管部门行贿、受贿；</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5、符合徐州市有关部门规定的标准化施工现场要求；</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6、不拖欠工人工资，按时发放工人工资；</w:t>
      </w:r>
      <w:r/>
    </w:p>
    <w:p>
      <w:pPr>
        <w:ind w:firstLine="480"/>
        <w:spacing w:line="312"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7、其他承诺：</w:t>
      </w:r>
      <w:r>
        <w:rPr>
          <w:rFonts w:hint="eastAsia" w:ascii="宋体" w:hAnsi="宋体" w:cs="宋体"/>
          <w:color w:val="auto"/>
          <w:sz w:val="24"/>
          <w:szCs w:val="24"/>
          <w:highlight w:val="none"/>
          <w:u w:val="single"/>
        </w:rPr>
        <w:t xml:space="preserve">                             。</w:t>
      </w:r>
      <w:r/>
    </w:p>
    <w:p>
      <w:pPr>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以上承诺如有违反，愿自动放弃本次投标，接受相关部门处罚，并自愿退出徐州招投标市场。</w:t>
      </w:r>
      <w:r/>
    </w:p>
    <w:p>
      <w:pPr>
        <w:ind w:firstLine="480"/>
        <w:jc w:val="center"/>
        <w:spacing w:line="312" w:lineRule="auto"/>
        <w:rPr>
          <w:rFonts w:ascii="宋体" w:hAnsi="宋体" w:cs="宋体"/>
          <w:bCs/>
          <w:color w:val="auto"/>
          <w:sz w:val="24"/>
          <w:highlight w:val="none"/>
        </w:rPr>
      </w:pPr>
      <w:r>
        <w:rPr>
          <w:rFonts w:hint="eastAsia" w:ascii="宋体" w:hAnsi="宋体" w:cs="宋体"/>
          <w:color w:val="auto"/>
          <w:sz w:val="24"/>
          <w:szCs w:val="24"/>
          <w:highlight w:val="none"/>
        </w:rPr>
        <w:t xml:space="preserve">                                       供应商</w:t>
      </w:r>
      <w:r>
        <w:rPr>
          <w:rFonts w:hint="eastAsia" w:ascii="宋体" w:hAnsi="宋体" w:cs="宋体"/>
          <w:bCs/>
          <w:color w:val="auto"/>
          <w:sz w:val="24"/>
          <w:highlight w:val="none"/>
        </w:rPr>
        <w:t xml:space="preserve">（电子签章）：</w:t>
      </w:r>
      <w:r/>
    </w:p>
    <w:p>
      <w:pPr>
        <w:ind w:firstLine="4080"/>
        <w:spacing w:line="312"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672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pStyle w:val="1059"/>
        <w:ind w:firstLine="480"/>
        <w:spacing w:after="0" w:line="312" w:lineRule="auto"/>
        <w:rPr>
          <w:rFonts w:ascii="宋体" w:hAnsi="宋体" w:eastAsia="宋体" w:cs="宋体"/>
          <w:b/>
          <w:i/>
          <w:color w:val="auto"/>
          <w:sz w:val="24"/>
          <w:highlight w:val="none"/>
          <w:u w:val="single"/>
        </w:rPr>
      </w:pPr>
      <w:r>
        <w:rPr>
          <w:rFonts w:ascii="宋体" w:hAnsi="宋体" w:eastAsia="宋体" w:cs="宋体"/>
          <w:b/>
          <w:i/>
          <w:color w:val="auto"/>
          <w:sz w:val="24"/>
          <w:highlight w:val="none"/>
          <w:u w:val="single"/>
        </w:rPr>
      </w:r>
      <w:r/>
    </w:p>
    <w:p>
      <w:pPr>
        <w:pStyle w:val="1055"/>
        <w:ind w:firstLine="482"/>
        <w:jc w:val="left"/>
        <w:spacing w:line="312" w:lineRule="auto"/>
        <w:widowControl w:val="off"/>
        <w:tabs>
          <w:tab w:val="center" w:pos="4200" w:leader="none"/>
        </w:tabs>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1055"/>
        <w:jc w:val="center"/>
        <w:spacing w:line="312" w:lineRule="auto"/>
        <w:widowControl w:val="off"/>
        <w:rPr>
          <w:rStyle w:val="1303"/>
          <w:rFonts w:hAnsi="宋体" w:cs="宋体"/>
          <w:b/>
          <w:bCs/>
          <w:color w:val="auto"/>
          <w:szCs w:val="24"/>
          <w:highlight w:val="none"/>
        </w:rPr>
        <w:outlineLvl w:val="1"/>
      </w:pPr>
      <w:r>
        <w:rPr>
          <w:rFonts w:hint="eastAsia" w:ascii="宋体" w:hAnsi="宋体" w:cs="宋体"/>
          <w:color w:val="auto"/>
          <w:sz w:val="24"/>
          <w:szCs w:val="24"/>
          <w:highlight w:val="none"/>
        </w:rPr>
        <w:br w:type="page" w:clear="all"/>
      </w:r>
      <w:bookmarkStart w:id="48" w:name="_Toc11988"/>
      <w:r/>
      <w:bookmarkStart w:id="49" w:name="_Toc9364"/>
      <w:r/>
      <w:bookmarkStart w:id="50" w:name="_Toc80122305"/>
      <w:r>
        <w:rPr>
          <w:rStyle w:val="1303"/>
          <w:rFonts w:hint="eastAsia" w:hAnsi="宋体" w:cs="宋体"/>
          <w:b/>
          <w:bCs/>
          <w:color w:val="auto"/>
          <w:szCs w:val="24"/>
          <w:highlight w:val="none"/>
        </w:rPr>
        <w:t xml:space="preserve">五、偏离表</w:t>
      </w:r>
      <w:bookmarkEnd w:id="48"/>
      <w:r/>
      <w:bookmarkEnd w:id="49"/>
      <w:r/>
      <w:bookmarkEnd w:id="50"/>
      <w:r/>
      <w:r/>
    </w:p>
    <w:p>
      <w:pPr>
        <w:pStyle w:val="1055"/>
        <w:jc w:val="center"/>
        <w:spacing w:line="312" w:lineRule="auto"/>
        <w:widowControl w:val="off"/>
        <w:rPr>
          <w:rStyle w:val="1303"/>
          <w:rFonts w:hAnsi="宋体" w:cs="宋体"/>
          <w:color w:val="auto"/>
          <w:szCs w:val="24"/>
          <w:highlight w:val="none"/>
        </w:rPr>
        <w:outlineLvl w:val="1"/>
      </w:pPr>
      <w:r/>
      <w:bookmarkStart w:id="51" w:name="_Toc2849"/>
      <w:r>
        <w:rPr>
          <w:rStyle w:val="1303"/>
          <w:rFonts w:hint="eastAsia" w:hAnsi="宋体" w:cs="宋体"/>
          <w:b/>
          <w:bCs/>
          <w:color w:val="auto"/>
          <w:szCs w:val="24"/>
          <w:highlight w:val="none"/>
        </w:rPr>
        <w:t xml:space="preserve">5.1商务偏离表</w:t>
      </w:r>
      <w:bookmarkEnd w:id="51"/>
      <w:r/>
      <w:r/>
    </w:p>
    <w:p>
      <w:pPr>
        <w:pStyle w:val="1055"/>
        <w:jc w:val="left"/>
        <w:spacing w:line="312" w:lineRule="auto"/>
        <w:widowControl w:val="off"/>
        <w:rPr>
          <w:rStyle w:val="1303"/>
          <w:rFonts w:hint="eastAsia" w:hAnsi="宋体" w:cs="宋体"/>
          <w:color w:val="auto"/>
          <w:highlight w:val="none"/>
        </w:rPr>
      </w:pPr>
      <w:r>
        <w:rPr>
          <w:rStyle w:val="1303"/>
          <w:rFonts w:hint="eastAsia" w:hAnsi="宋体" w:cs="宋体"/>
          <w:color w:val="auto"/>
          <w:szCs w:val="24"/>
          <w:highlight w:val="none"/>
        </w:rPr>
        <w:t xml:space="preserve">   项目名称：</w:t>
      </w:r>
      <w:r>
        <w:rPr>
          <w:rStyle w:val="1303"/>
          <w:rFonts w:hint="eastAsia" w:hAnsi="宋体" w:cs="宋体"/>
          <w:color w:val="auto"/>
          <w:szCs w:val="24"/>
          <w:highlight w:val="none"/>
          <w:lang w:eastAsia="zh-CN"/>
        </w:rPr>
        <w:t xml:space="preserve">会见楼1、2层维修改造项目土建装饰工程</w:t>
      </w:r>
      <w:r>
        <w:rPr>
          <w:rStyle w:val="1303"/>
          <w:rFonts w:hint="eastAsia" w:hAnsi="宋体" w:cs="宋体"/>
          <w:color w:val="auto"/>
          <w:szCs w:val="24"/>
          <w:highlight w:val="none"/>
        </w:rPr>
        <w:t xml:space="preserve">   </w:t>
      </w:r>
      <w:r>
        <w:rPr>
          <w:rStyle w:val="1303"/>
          <w:rFonts w:hint="eastAsia" w:hAnsi="宋体" w:eastAsia="宋体" w:cs="宋体"/>
          <w:color w:val="auto"/>
          <w:szCs w:val="24"/>
          <w:highlight w:val="none"/>
          <w:lang w:eastAsia="zh-CN"/>
        </w:rPr>
      </w:r>
      <w:r/>
    </w:p>
    <w:p>
      <w:pPr>
        <w:pStyle w:val="1055"/>
        <w:jc w:val="left"/>
        <w:spacing w:line="312" w:lineRule="auto"/>
        <w:widowControl w:val="off"/>
        <w:rPr>
          <w:rStyle w:val="1303"/>
          <w:rFonts w:hint="eastAsia" w:hAnsi="宋体" w:eastAsia="宋体" w:cs="宋体"/>
          <w:color w:val="auto"/>
          <w:highlight w:val="none"/>
          <w:lang w:eastAsia="zh-CN"/>
        </w:rPr>
      </w:pPr>
      <w:r>
        <w:rPr>
          <w:rStyle w:val="1303"/>
          <w:rFonts w:hint="eastAsia" w:hAnsi="宋体" w:cs="宋体"/>
          <w:color w:val="auto"/>
          <w:szCs w:val="24"/>
          <w:highlight w:val="none"/>
        </w:rPr>
        <w:t xml:space="preserve">  项目编号： </w:t>
      </w:r>
      <w:r>
        <w:rPr>
          <w:rStyle w:val="1303"/>
          <w:rFonts w:hint="eastAsia" w:hAnsi="宋体" w:cs="宋体"/>
          <w:color w:val="auto"/>
          <w:szCs w:val="24"/>
          <w:highlight w:val="none"/>
          <w:lang w:eastAsia="zh-CN"/>
        </w:rPr>
        <w:t xml:space="preserve">JSZC-320000-JSKJ-C2026-0011</w:t>
      </w:r>
      <w:r/>
    </w:p>
    <w:tbl>
      <w:tblPr>
        <w:tblStyle w:val="1013"/>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55"/>
              <w:jc w:val="center"/>
              <w:spacing w:line="312" w:lineRule="auto"/>
              <w:widowControl w:val="off"/>
              <w:rPr>
                <w:rStyle w:val="1303"/>
                <w:rFonts w:hAnsi="宋体" w:cs="宋体"/>
                <w:caps/>
                <w:color w:val="auto"/>
                <w:szCs w:val="24"/>
                <w:highlight w:val="none"/>
              </w:rPr>
            </w:pPr>
            <w:r>
              <w:rPr>
                <w:rStyle w:val="1303"/>
                <w:rFonts w:hint="eastAsia" w:hAnsi="宋体" w:cs="宋体"/>
                <w:caps/>
                <w:color w:val="auto"/>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55"/>
              <w:jc w:val="center"/>
              <w:spacing w:line="312" w:lineRule="auto"/>
              <w:widowControl w:val="off"/>
              <w:rPr>
                <w:rStyle w:val="1303"/>
                <w:rFonts w:hAnsi="宋体" w:cs="宋体"/>
                <w:caps/>
                <w:color w:val="auto"/>
                <w:szCs w:val="24"/>
                <w:highlight w:val="none"/>
              </w:rPr>
            </w:pPr>
            <w:r>
              <w:rPr>
                <w:rStyle w:val="1303"/>
                <w:rFonts w:hint="eastAsia" w:hAnsi="宋体" w:cs="宋体"/>
                <w:caps/>
                <w:color w:val="auto"/>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55"/>
              <w:jc w:val="center"/>
              <w:spacing w:line="312" w:lineRule="auto"/>
              <w:widowControl w:val="off"/>
              <w:rPr>
                <w:rStyle w:val="1303"/>
                <w:rFonts w:hAnsi="宋体" w:cs="宋体"/>
                <w:caps/>
                <w:color w:val="auto"/>
                <w:szCs w:val="24"/>
                <w:highlight w:val="none"/>
              </w:rPr>
            </w:pPr>
            <w:r>
              <w:rPr>
                <w:rStyle w:val="1303"/>
                <w:rFonts w:hint="eastAsia" w:hAnsi="宋体" w:cs="宋体"/>
                <w:color w:val="auto"/>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55"/>
              <w:jc w:val="center"/>
              <w:spacing w:line="312" w:lineRule="auto"/>
              <w:widowControl w:val="off"/>
              <w:rPr>
                <w:rStyle w:val="1303"/>
                <w:rFonts w:hAnsi="宋体" w:cs="宋体"/>
                <w:caps/>
                <w:color w:val="auto"/>
                <w:szCs w:val="24"/>
                <w:highlight w:val="none"/>
              </w:rPr>
            </w:pPr>
            <w:r>
              <w:rPr>
                <w:rStyle w:val="1303"/>
                <w:rFonts w:hint="eastAsia" w:hAnsi="宋体" w:cs="宋体"/>
                <w:color w:val="auto"/>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55"/>
              <w:jc w:val="left"/>
              <w:spacing w:line="312" w:lineRule="auto"/>
              <w:widowControl w:val="off"/>
              <w:rPr>
                <w:rStyle w:val="1303"/>
                <w:rFonts w:hAnsi="宋体" w:cs="宋体"/>
                <w:caps/>
                <w:color w:val="auto"/>
                <w:szCs w:val="24"/>
                <w:highlight w:val="none"/>
              </w:rPr>
            </w:pPr>
            <w:r>
              <w:rPr>
                <w:rStyle w:val="1303"/>
                <w:rFonts w:hint="eastAsia" w:hAnsi="宋体" w:cs="宋体"/>
                <w:caps/>
                <w:color w:val="auto"/>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55"/>
              <w:jc w:val="center"/>
              <w:spacing w:line="312" w:lineRule="auto"/>
              <w:widowControl w:val="off"/>
              <w:rPr>
                <w:rStyle w:val="1303"/>
                <w:rFonts w:hAnsi="宋体" w:cs="宋体"/>
                <w:caps/>
                <w:color w:val="auto"/>
                <w:szCs w:val="24"/>
                <w:highlight w:val="none"/>
              </w:rPr>
            </w:pPr>
            <w:r>
              <w:rPr>
                <w:rStyle w:val="1303"/>
                <w:rFonts w:hint="eastAsia" w:hAnsi="宋体" w:cs="宋体"/>
                <w:caps/>
                <w:color w:val="auto"/>
                <w:szCs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1055"/>
              <w:jc w:val="center"/>
              <w:spacing w:line="312" w:lineRule="auto"/>
              <w:widowControl w:val="off"/>
              <w:rPr>
                <w:rStyle w:val="1303"/>
                <w:rFonts w:hAnsi="宋体" w:cs="宋体"/>
                <w:caps/>
                <w:color w:val="auto"/>
                <w:szCs w:val="24"/>
                <w:highlight w:val="none"/>
              </w:rPr>
            </w:pPr>
            <w:r>
              <w:rPr>
                <w:rFonts w:hAnsi="宋体" w:cs="宋体"/>
                <w:caps/>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1055"/>
              <w:jc w:val="center"/>
              <w:spacing w:line="312" w:lineRule="auto"/>
              <w:widowControl w:val="off"/>
              <w:rPr>
                <w:rStyle w:val="1303"/>
                <w:rFonts w:hAnsi="宋体" w:cs="宋体"/>
                <w:caps/>
                <w:color w:val="auto"/>
                <w:szCs w:val="24"/>
                <w:highlight w:val="none"/>
              </w:rPr>
            </w:pPr>
            <w:r>
              <w:rPr>
                <w:rFonts w:hAnsi="宋体" w:cs="宋体"/>
                <w:caps/>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55"/>
              <w:jc w:val="center"/>
              <w:spacing w:line="312" w:lineRule="auto"/>
              <w:widowControl w:val="off"/>
              <w:rPr>
                <w:rStyle w:val="1303"/>
                <w:rFonts w:hAnsi="宋体" w:cs="宋体"/>
                <w:caps/>
                <w:color w:val="auto"/>
                <w:szCs w:val="24"/>
                <w:highlight w:val="none"/>
              </w:rPr>
            </w:pPr>
            <w:r>
              <w:rPr>
                <w:rFonts w:hAnsi="宋体" w:cs="宋体"/>
                <w:caps/>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55"/>
              <w:jc w:val="center"/>
              <w:spacing w:line="312" w:lineRule="auto"/>
              <w:widowControl w:val="off"/>
              <w:rPr>
                <w:rStyle w:val="1303"/>
                <w:rFonts w:hAnsi="宋体" w:cs="宋体"/>
                <w:caps/>
                <w:color w:val="auto"/>
                <w:szCs w:val="24"/>
                <w:highlight w:val="none"/>
              </w:rPr>
            </w:pPr>
            <w:r>
              <w:rPr>
                <w:rFonts w:hAnsi="宋体" w:cs="宋体"/>
                <w:caps/>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1055"/>
              <w:jc w:val="center"/>
              <w:spacing w:line="312" w:lineRule="auto"/>
              <w:widowControl w:val="off"/>
              <w:rPr>
                <w:rStyle w:val="1303"/>
                <w:rFonts w:hAnsi="宋体" w:cs="宋体"/>
                <w:caps/>
                <w:color w:val="auto"/>
                <w:szCs w:val="24"/>
                <w:highlight w:val="none"/>
              </w:rPr>
            </w:pPr>
            <w:r>
              <w:rPr>
                <w:rFonts w:hAnsi="宋体" w:cs="宋体"/>
                <w:caps/>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1055"/>
              <w:jc w:val="center"/>
              <w:spacing w:line="312" w:lineRule="auto"/>
              <w:widowControl w:val="off"/>
              <w:rPr>
                <w:rStyle w:val="1303"/>
                <w:rFonts w:hAnsi="宋体" w:cs="宋体"/>
                <w:caps/>
                <w:color w:val="auto"/>
                <w:szCs w:val="24"/>
                <w:highlight w:val="none"/>
              </w:rPr>
            </w:pPr>
            <w:r>
              <w:rPr>
                <w:rFonts w:hAnsi="宋体" w:cs="宋体"/>
                <w:caps/>
                <w:color w:val="auto"/>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r>
    </w:tbl>
    <w:p>
      <w:pPr>
        <w:pStyle w:val="1055"/>
        <w:jc w:val="left"/>
        <w:spacing w:line="312" w:lineRule="auto"/>
        <w:widowControl w:val="off"/>
        <w:rPr>
          <w:rStyle w:val="1303"/>
          <w:rFonts w:hAnsi="宋体" w:cs="宋体"/>
          <w:color w:val="auto"/>
          <w:szCs w:val="24"/>
          <w:highlight w:val="none"/>
          <w:u w:val="single"/>
        </w:rPr>
      </w:pPr>
      <w:r>
        <w:rPr>
          <w:rStyle w:val="1303"/>
          <w:rFonts w:hint="eastAsia" w:hAnsi="宋体" w:cs="宋体"/>
          <w:color w:val="auto"/>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p>
      <w:pPr>
        <w:ind w:firstLine="480"/>
        <w:jc w:val="center"/>
        <w:spacing w:line="312" w:lineRule="auto"/>
        <w:rPr>
          <w:rStyle w:val="1303"/>
          <w:rFonts w:hAnsi="宋体" w:cs="宋体"/>
          <w:color w:val="auto"/>
          <w:szCs w:val="24"/>
          <w:highlight w:val="none"/>
        </w:rPr>
      </w:pPr>
      <w:r>
        <w:rPr>
          <w:rStyle w:val="1303"/>
          <w:rFonts w:hint="eastAsia" w:hAnsi="宋体" w:cs="宋体"/>
          <w:color w:val="auto"/>
          <w:szCs w:val="24"/>
          <w:highlight w:val="none"/>
        </w:rPr>
        <w:t xml:space="preserve">                                                   供应商</w:t>
      </w:r>
      <w:r>
        <w:rPr>
          <w:rFonts w:hint="eastAsia" w:ascii="宋体" w:hAnsi="宋体" w:cs="宋体"/>
          <w:bCs/>
          <w:color w:val="auto"/>
          <w:sz w:val="24"/>
          <w:highlight w:val="none"/>
        </w:rPr>
        <w:t xml:space="preserve">（电子签章）</w:t>
      </w:r>
      <w:r>
        <w:rPr>
          <w:rStyle w:val="1303"/>
          <w:rFonts w:hint="eastAsia" w:hAnsi="宋体" w:cs="宋体"/>
          <w:color w:val="auto"/>
          <w:szCs w:val="24"/>
          <w:highlight w:val="none"/>
        </w:rPr>
        <w:t xml:space="preserve">：</w:t>
      </w:r>
      <w:r/>
    </w:p>
    <w:p>
      <w:pPr>
        <w:pStyle w:val="1055"/>
        <w:ind w:firstLine="396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  </w:t>
      </w:r>
      <w:r/>
    </w:p>
    <w:p>
      <w:pPr>
        <w:pStyle w:val="1055"/>
        <w:ind w:firstLine="7164"/>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日期：</w:t>
      </w:r>
      <w:r/>
    </w:p>
    <w:p>
      <w:pPr>
        <w:pStyle w:val="1055"/>
        <w:jc w:val="center"/>
        <w:spacing w:line="312" w:lineRule="auto"/>
        <w:widowControl w:val="off"/>
        <w:rPr>
          <w:rStyle w:val="1303"/>
          <w:rFonts w:hAnsi="宋体" w:cs="宋体"/>
          <w:color w:val="auto"/>
          <w:szCs w:val="24"/>
          <w:highlight w:val="none"/>
        </w:rPr>
      </w:pPr>
      <w:r>
        <w:rPr>
          <w:rFonts w:hAnsi="宋体" w:cs="宋体"/>
          <w:color w:val="auto"/>
          <w:szCs w:val="24"/>
          <w:highlight w:val="none"/>
        </w:rPr>
      </w:r>
      <w:r/>
    </w:p>
    <w:p>
      <w:pPr>
        <w:rPr>
          <w:rStyle w:val="1303"/>
          <w:rFonts w:hAnsi="宋体" w:cs="宋体"/>
          <w:b/>
          <w:bCs/>
          <w:color w:val="auto"/>
          <w:szCs w:val="24"/>
          <w:highlight w:val="none"/>
        </w:rPr>
      </w:pPr>
      <w:r>
        <w:rPr>
          <w:rStyle w:val="1303"/>
          <w:rFonts w:hint="eastAsia" w:hAnsi="宋体" w:cs="宋体"/>
          <w:b/>
          <w:bCs/>
          <w:color w:val="auto"/>
          <w:szCs w:val="24"/>
          <w:highlight w:val="none"/>
        </w:rPr>
        <w:br w:type="page" w:clear="all"/>
      </w:r>
      <w:r/>
    </w:p>
    <w:p>
      <w:pPr>
        <w:pStyle w:val="1055"/>
        <w:jc w:val="center"/>
        <w:spacing w:line="312" w:lineRule="auto"/>
        <w:widowControl w:val="off"/>
        <w:rPr>
          <w:rStyle w:val="1303"/>
          <w:rFonts w:hAnsi="宋体" w:cs="宋体"/>
          <w:color w:val="auto"/>
          <w:szCs w:val="24"/>
          <w:highlight w:val="none"/>
        </w:rPr>
        <w:outlineLvl w:val="1"/>
      </w:pPr>
      <w:r/>
      <w:bookmarkStart w:id="52" w:name="_Toc8511"/>
      <w:r>
        <w:rPr>
          <w:rStyle w:val="1303"/>
          <w:rFonts w:hint="eastAsia" w:hAnsi="宋体" w:cs="宋体"/>
          <w:b/>
          <w:bCs/>
          <w:color w:val="auto"/>
          <w:szCs w:val="24"/>
          <w:highlight w:val="none"/>
        </w:rPr>
        <w:t xml:space="preserve">5.2技术偏离表</w:t>
      </w:r>
      <w:bookmarkEnd w:id="52"/>
      <w:r/>
      <w:r/>
    </w:p>
    <w:p>
      <w:pPr>
        <w:pStyle w:val="1055"/>
        <w:jc w:val="left"/>
        <w:spacing w:line="312" w:lineRule="auto"/>
        <w:widowControl w:val="off"/>
        <w:rPr>
          <w:rStyle w:val="1303"/>
          <w:rFonts w:hint="eastAsia" w:hAnsi="宋体" w:cs="宋体"/>
          <w:color w:val="auto"/>
          <w:highlight w:val="none"/>
        </w:rPr>
      </w:pPr>
      <w:r>
        <w:rPr>
          <w:rStyle w:val="1303"/>
          <w:rFonts w:hint="eastAsia" w:hAnsi="宋体" w:cs="宋体"/>
          <w:color w:val="auto"/>
          <w:szCs w:val="24"/>
          <w:highlight w:val="none"/>
        </w:rPr>
        <w:t xml:space="preserve">   项目名称：</w:t>
      </w:r>
      <w:r>
        <w:rPr>
          <w:rStyle w:val="1303"/>
          <w:rFonts w:hint="eastAsia" w:hAnsi="宋体" w:cs="宋体"/>
          <w:color w:val="auto"/>
          <w:szCs w:val="24"/>
          <w:highlight w:val="none"/>
          <w:lang w:eastAsia="zh-CN"/>
        </w:rPr>
        <w:t xml:space="preserve">会见楼1、2层维修改造项目土建装饰工程</w:t>
      </w:r>
      <w:r>
        <w:rPr>
          <w:rStyle w:val="1303"/>
          <w:rFonts w:hint="eastAsia" w:hAnsi="宋体" w:cs="宋体"/>
          <w:color w:val="auto"/>
          <w:szCs w:val="24"/>
          <w:highlight w:val="none"/>
        </w:rPr>
        <w:t xml:space="preserve">   </w:t>
      </w:r>
      <w:r>
        <w:rPr>
          <w:rStyle w:val="1303"/>
          <w:rFonts w:hint="eastAsia" w:hAnsi="宋体" w:eastAsia="宋体" w:cs="宋体"/>
          <w:color w:val="auto"/>
          <w:szCs w:val="24"/>
          <w:highlight w:val="none"/>
          <w:lang w:eastAsia="zh-CN"/>
        </w:rPr>
      </w:r>
      <w:r/>
    </w:p>
    <w:p>
      <w:pPr>
        <w:pStyle w:val="1055"/>
        <w:jc w:val="left"/>
        <w:spacing w:line="312" w:lineRule="auto"/>
        <w:widowControl w:val="off"/>
        <w:rPr>
          <w:rStyle w:val="1303"/>
          <w:rFonts w:hint="eastAsia" w:hAnsi="宋体" w:eastAsia="宋体" w:cs="宋体"/>
          <w:color w:val="auto"/>
          <w:highlight w:val="none"/>
          <w:lang w:eastAsia="zh-CN"/>
        </w:rPr>
      </w:pPr>
      <w:r>
        <w:rPr>
          <w:rStyle w:val="1303"/>
          <w:rFonts w:hint="eastAsia" w:hAnsi="宋体" w:cs="宋体"/>
          <w:color w:val="auto"/>
          <w:szCs w:val="24"/>
          <w:highlight w:val="none"/>
        </w:rPr>
        <w:t xml:space="preserve">   项目编号： </w:t>
      </w:r>
      <w:r>
        <w:rPr>
          <w:rStyle w:val="1303"/>
          <w:rFonts w:hint="eastAsia" w:hAnsi="宋体" w:cs="宋体"/>
          <w:color w:val="auto"/>
          <w:szCs w:val="24"/>
          <w:highlight w:val="none"/>
          <w:lang w:eastAsia="zh-CN"/>
        </w:rPr>
        <w:t xml:space="preserve">JSZC-320000-JSKJ-C2026-0011</w:t>
      </w:r>
      <w:r/>
    </w:p>
    <w:tbl>
      <w:tblPr>
        <w:tblStyle w:val="1013"/>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55"/>
              <w:jc w:val="center"/>
              <w:spacing w:line="312" w:lineRule="auto"/>
              <w:widowControl w:val="off"/>
              <w:rPr>
                <w:rStyle w:val="1303"/>
                <w:rFonts w:hAnsi="宋体" w:cs="宋体"/>
                <w:caps/>
                <w:color w:val="auto"/>
                <w:szCs w:val="24"/>
                <w:highlight w:val="none"/>
              </w:rPr>
            </w:pPr>
            <w:r>
              <w:rPr>
                <w:rStyle w:val="1303"/>
                <w:rFonts w:hint="eastAsia" w:hAnsi="宋体" w:cs="宋体"/>
                <w:caps/>
                <w:color w:val="auto"/>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55"/>
              <w:jc w:val="center"/>
              <w:spacing w:line="312" w:lineRule="auto"/>
              <w:widowControl w:val="off"/>
              <w:rPr>
                <w:rStyle w:val="1303"/>
                <w:rFonts w:hAnsi="宋体" w:cs="宋体"/>
                <w:caps/>
                <w:color w:val="auto"/>
                <w:szCs w:val="24"/>
                <w:highlight w:val="none"/>
              </w:rPr>
            </w:pPr>
            <w:r>
              <w:rPr>
                <w:rStyle w:val="1303"/>
                <w:rFonts w:hint="eastAsia" w:hAnsi="宋体" w:cs="宋体"/>
                <w:caps/>
                <w:color w:val="auto"/>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55"/>
              <w:jc w:val="center"/>
              <w:spacing w:line="312" w:lineRule="auto"/>
              <w:widowControl w:val="off"/>
              <w:rPr>
                <w:rStyle w:val="1303"/>
                <w:rFonts w:hAnsi="宋体" w:cs="宋体"/>
                <w:caps/>
                <w:color w:val="auto"/>
                <w:szCs w:val="24"/>
                <w:highlight w:val="none"/>
              </w:rPr>
            </w:pPr>
            <w:r>
              <w:rPr>
                <w:rStyle w:val="1303"/>
                <w:rFonts w:hint="eastAsia" w:hAnsi="宋体" w:cs="宋体"/>
                <w:color w:val="auto"/>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55"/>
              <w:jc w:val="center"/>
              <w:spacing w:line="312" w:lineRule="auto"/>
              <w:widowControl w:val="off"/>
              <w:rPr>
                <w:rStyle w:val="1303"/>
                <w:rFonts w:hAnsi="宋体" w:cs="宋体"/>
                <w:caps/>
                <w:color w:val="auto"/>
                <w:szCs w:val="24"/>
                <w:highlight w:val="none"/>
              </w:rPr>
            </w:pPr>
            <w:r>
              <w:rPr>
                <w:rStyle w:val="1303"/>
                <w:rFonts w:hint="eastAsia" w:hAnsi="宋体" w:cs="宋体"/>
                <w:color w:val="auto"/>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55"/>
              <w:jc w:val="left"/>
              <w:spacing w:line="312" w:lineRule="auto"/>
              <w:widowControl w:val="off"/>
              <w:rPr>
                <w:rStyle w:val="1303"/>
                <w:rFonts w:hAnsi="宋体" w:cs="宋体"/>
                <w:caps/>
                <w:color w:val="auto"/>
                <w:szCs w:val="24"/>
                <w:highlight w:val="none"/>
              </w:rPr>
            </w:pPr>
            <w:r>
              <w:rPr>
                <w:rStyle w:val="1303"/>
                <w:rFonts w:hint="eastAsia" w:hAnsi="宋体" w:cs="宋体"/>
                <w:caps/>
                <w:color w:val="auto"/>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55"/>
              <w:jc w:val="center"/>
              <w:spacing w:line="312" w:lineRule="auto"/>
              <w:widowControl w:val="off"/>
              <w:rPr>
                <w:rStyle w:val="1303"/>
                <w:rFonts w:hAnsi="宋体" w:cs="宋体"/>
                <w:caps/>
                <w:color w:val="auto"/>
                <w:szCs w:val="24"/>
                <w:highlight w:val="none"/>
              </w:rPr>
            </w:pPr>
            <w:r>
              <w:rPr>
                <w:rStyle w:val="1303"/>
                <w:rFonts w:hint="eastAsia" w:hAnsi="宋体" w:cs="宋体"/>
                <w:caps/>
                <w:color w:val="auto"/>
                <w:szCs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1055"/>
              <w:jc w:val="center"/>
              <w:spacing w:line="312" w:lineRule="auto"/>
              <w:widowControl w:val="off"/>
              <w:rPr>
                <w:rStyle w:val="1303"/>
                <w:rFonts w:hAnsi="宋体" w:cs="宋体"/>
                <w:caps/>
                <w:color w:val="auto"/>
                <w:szCs w:val="24"/>
                <w:highlight w:val="none"/>
              </w:rPr>
            </w:pPr>
            <w:r>
              <w:rPr>
                <w:rFonts w:hAnsi="宋体" w:cs="宋体"/>
                <w:caps/>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1055"/>
              <w:jc w:val="center"/>
              <w:spacing w:line="312" w:lineRule="auto"/>
              <w:widowControl w:val="off"/>
              <w:rPr>
                <w:rStyle w:val="1303"/>
                <w:rFonts w:hAnsi="宋体" w:cs="宋体"/>
                <w:caps/>
                <w:color w:val="auto"/>
                <w:szCs w:val="24"/>
                <w:highlight w:val="none"/>
              </w:rPr>
            </w:pPr>
            <w:r>
              <w:rPr>
                <w:rFonts w:hAnsi="宋体" w:cs="宋体"/>
                <w:caps/>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55"/>
              <w:jc w:val="center"/>
              <w:spacing w:line="312" w:lineRule="auto"/>
              <w:widowControl w:val="off"/>
              <w:rPr>
                <w:rStyle w:val="1303"/>
                <w:rFonts w:hAnsi="宋体" w:cs="宋体"/>
                <w:caps/>
                <w:color w:val="auto"/>
                <w:szCs w:val="24"/>
                <w:highlight w:val="none"/>
              </w:rPr>
            </w:pPr>
            <w:r>
              <w:rPr>
                <w:rFonts w:hAnsi="宋体" w:cs="宋体"/>
                <w:caps/>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55"/>
              <w:jc w:val="center"/>
              <w:spacing w:line="312" w:lineRule="auto"/>
              <w:widowControl w:val="off"/>
              <w:rPr>
                <w:rStyle w:val="1303"/>
                <w:rFonts w:hAnsi="宋体" w:cs="宋体"/>
                <w:caps/>
                <w:color w:val="auto"/>
                <w:szCs w:val="24"/>
                <w:highlight w:val="none"/>
              </w:rPr>
            </w:pPr>
            <w:r>
              <w:rPr>
                <w:rFonts w:hAnsi="宋体" w:cs="宋体"/>
                <w:caps/>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1055"/>
              <w:jc w:val="center"/>
              <w:spacing w:line="312" w:lineRule="auto"/>
              <w:widowControl w:val="off"/>
              <w:rPr>
                <w:rStyle w:val="1303"/>
                <w:rFonts w:hAnsi="宋体" w:cs="宋体"/>
                <w:caps/>
                <w:color w:val="auto"/>
                <w:szCs w:val="24"/>
                <w:highlight w:val="none"/>
              </w:rPr>
            </w:pPr>
            <w:r>
              <w:rPr>
                <w:rFonts w:hAnsi="宋体" w:cs="宋体"/>
                <w:caps/>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1055"/>
              <w:jc w:val="center"/>
              <w:spacing w:line="312" w:lineRule="auto"/>
              <w:widowControl w:val="off"/>
              <w:rPr>
                <w:rStyle w:val="1303"/>
                <w:rFonts w:hAnsi="宋体" w:cs="宋体"/>
                <w:caps/>
                <w:color w:val="auto"/>
                <w:szCs w:val="24"/>
                <w:highlight w:val="none"/>
              </w:rPr>
            </w:pPr>
            <w:r>
              <w:rPr>
                <w:rFonts w:hAnsi="宋体" w:cs="宋体"/>
                <w:caps/>
                <w:color w:val="auto"/>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r>
    </w:tbl>
    <w:p>
      <w:pPr>
        <w:pStyle w:val="1055"/>
        <w:jc w:val="left"/>
        <w:spacing w:line="312" w:lineRule="auto"/>
        <w:widowControl w:val="off"/>
        <w:rPr>
          <w:rStyle w:val="1303"/>
          <w:rFonts w:hAnsi="宋体" w:cs="宋体"/>
          <w:color w:val="auto"/>
          <w:szCs w:val="24"/>
          <w:highlight w:val="none"/>
          <w:u w:val="single"/>
        </w:rPr>
      </w:pPr>
      <w:r>
        <w:rPr>
          <w:rStyle w:val="1303"/>
          <w:rFonts w:hint="eastAsia" w:hAnsi="宋体" w:cs="宋体"/>
          <w:color w:val="auto"/>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p>
      <w:pPr>
        <w:ind w:firstLine="480"/>
        <w:jc w:val="center"/>
        <w:spacing w:line="312" w:lineRule="auto"/>
        <w:rPr>
          <w:rStyle w:val="1303"/>
          <w:rFonts w:hAnsi="宋体" w:cs="宋体"/>
          <w:color w:val="auto"/>
          <w:szCs w:val="24"/>
          <w:highlight w:val="none"/>
        </w:rPr>
      </w:pPr>
      <w:r>
        <w:rPr>
          <w:rStyle w:val="1303"/>
          <w:rFonts w:hint="eastAsia" w:hAnsi="宋体" w:cs="宋体"/>
          <w:color w:val="auto"/>
          <w:szCs w:val="24"/>
          <w:highlight w:val="none"/>
        </w:rPr>
        <w:t xml:space="preserve">                                                   供应商</w:t>
      </w:r>
      <w:r>
        <w:rPr>
          <w:rFonts w:hint="eastAsia" w:ascii="宋体" w:hAnsi="宋体" w:cs="宋体"/>
          <w:bCs/>
          <w:color w:val="auto"/>
          <w:sz w:val="24"/>
          <w:highlight w:val="none"/>
        </w:rPr>
        <w:t xml:space="preserve">（电子签章）</w:t>
      </w:r>
      <w:r>
        <w:rPr>
          <w:rStyle w:val="1303"/>
          <w:rFonts w:hint="eastAsia" w:hAnsi="宋体" w:cs="宋体"/>
          <w:color w:val="auto"/>
          <w:szCs w:val="24"/>
          <w:highlight w:val="none"/>
        </w:rPr>
        <w:t xml:space="preserve">：</w:t>
      </w:r>
      <w:r/>
    </w:p>
    <w:p>
      <w:pPr>
        <w:pStyle w:val="1055"/>
        <w:ind w:firstLine="396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  </w:t>
      </w:r>
      <w:r/>
    </w:p>
    <w:p>
      <w:pPr>
        <w:pStyle w:val="1055"/>
        <w:ind w:firstLine="7164"/>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日期：</w:t>
      </w:r>
      <w:r/>
    </w:p>
    <w:p>
      <w:pPr>
        <w:pStyle w:val="1055"/>
        <w:jc w:val="center"/>
        <w:spacing w:line="312" w:lineRule="auto"/>
        <w:widowControl w:val="off"/>
        <w:rPr>
          <w:rStyle w:val="1303"/>
          <w:rFonts w:hAnsi="宋体" w:cs="宋体"/>
          <w:color w:val="auto"/>
          <w:szCs w:val="24"/>
          <w:highlight w:val="none"/>
        </w:rPr>
      </w:pPr>
      <w:r>
        <w:rPr>
          <w:rFonts w:hAnsi="宋体" w:cs="宋体"/>
          <w:color w:val="auto"/>
          <w:szCs w:val="24"/>
          <w:highlight w:val="none"/>
        </w:rPr>
      </w:r>
      <w:r/>
    </w:p>
    <w:p>
      <w:pPr>
        <w:pStyle w:val="1055"/>
        <w:jc w:val="center"/>
        <w:spacing w:line="312" w:lineRule="auto"/>
        <w:widowControl w:val="off"/>
        <w:rPr>
          <w:rStyle w:val="1303"/>
          <w:rFonts w:hAnsi="宋体" w:cs="宋体"/>
          <w:color w:val="auto"/>
          <w:szCs w:val="24"/>
          <w:highlight w:val="none"/>
        </w:rPr>
      </w:pPr>
      <w:r>
        <w:rPr>
          <w:rFonts w:hAnsi="宋体" w:cs="宋体"/>
          <w:color w:val="auto"/>
          <w:szCs w:val="24"/>
          <w:highlight w:val="none"/>
        </w:rPr>
      </w:r>
      <w:r/>
    </w:p>
    <w:p>
      <w:pPr>
        <w:pStyle w:val="1055"/>
        <w:jc w:val="center"/>
        <w:spacing w:line="312" w:lineRule="auto"/>
        <w:widowControl w:val="off"/>
        <w:rPr>
          <w:rStyle w:val="1303"/>
          <w:rFonts w:hAnsi="宋体" w:cs="宋体"/>
          <w:color w:val="auto"/>
          <w:szCs w:val="24"/>
          <w:highlight w:val="none"/>
        </w:rPr>
      </w:pPr>
      <w:r>
        <w:rPr>
          <w:rFonts w:hAnsi="宋体" w:cs="宋体"/>
          <w:color w:val="auto"/>
          <w:szCs w:val="24"/>
          <w:highlight w:val="none"/>
        </w:rPr>
      </w:r>
      <w:r/>
    </w:p>
    <w:p>
      <w:pPr>
        <w:pStyle w:val="1273"/>
        <w:jc w:val="center"/>
        <w:keepLines w:val="0"/>
        <w:keepNext w:val="0"/>
        <w:spacing w:line="312" w:lineRule="auto"/>
        <w:widowControl w:val="off"/>
        <w:rPr>
          <w:rStyle w:val="1303"/>
          <w:rFonts w:hAnsi="宋体" w:cs="宋体"/>
          <w:color w:val="auto"/>
          <w:szCs w:val="24"/>
          <w:highlight w:val="none"/>
        </w:rPr>
      </w:pPr>
      <w:r/>
      <w:bookmarkStart w:id="53" w:name="_Toc80122306"/>
      <w:r>
        <w:rPr>
          <w:rStyle w:val="1303"/>
          <w:rFonts w:hint="eastAsia" w:hAnsi="宋体" w:cs="宋体"/>
          <w:color w:val="auto"/>
          <w:szCs w:val="24"/>
          <w:highlight w:val="none"/>
        </w:rPr>
        <w:br w:type="page" w:clear="all"/>
      </w:r>
      <w:bookmarkStart w:id="54" w:name="_Toc24131"/>
      <w:r/>
      <w:bookmarkStart w:id="55" w:name="_Toc7832"/>
      <w:r>
        <w:rPr>
          <w:rStyle w:val="1303"/>
          <w:rFonts w:hint="eastAsia" w:hAnsi="宋体" w:cs="宋体"/>
          <w:color w:val="auto"/>
          <w:szCs w:val="24"/>
          <w:highlight w:val="none"/>
        </w:rPr>
        <w:t xml:space="preserve">六、授权委托书</w:t>
      </w:r>
      <w:bookmarkEnd w:id="53"/>
      <w:r/>
      <w:bookmarkEnd w:id="54"/>
      <w:r/>
      <w:bookmarkEnd w:id="55"/>
      <w:r/>
      <w:r/>
    </w:p>
    <w:p>
      <w:pPr>
        <w:pStyle w:val="1559"/>
        <w:spacing w:before="0"/>
        <w:rPr>
          <w:rFonts w:ascii="宋体" w:hAnsi="宋体" w:cs="Microsoft New Tai Lue"/>
          <w:bCs w:val="0"/>
          <w:color w:val="auto"/>
          <w:sz w:val="24"/>
          <w:szCs w:val="24"/>
          <w:highlight w:val="none"/>
          <w:lang w:eastAsia="zh-CN"/>
        </w:rPr>
        <w:outlineLvl w:val="9"/>
      </w:pPr>
      <w:r>
        <w:rPr>
          <w:rFonts w:hint="eastAsia" w:ascii="宋体" w:hAnsi="宋体" w:cs="Microsoft New Tai Lue"/>
          <w:bCs w:val="0"/>
          <w:color w:val="auto"/>
          <w:sz w:val="24"/>
          <w:szCs w:val="24"/>
          <w:highlight w:val="none"/>
          <w:lang w:eastAsia="zh-CN"/>
        </w:rPr>
        <w:t xml:space="preserve">6.1法定代表人身份证明（如法定代表人参加时提供）</w:t>
      </w:r>
      <w:r/>
    </w:p>
    <w:p>
      <w:pPr>
        <w:pStyle w:val="1073"/>
        <w:ind w:left="1236" w:hanging="396"/>
        <w:tabs>
          <w:tab w:val="left" w:pos="4228" w:leader="none"/>
        </w:tabs>
        <w:rPr>
          <w:rFonts w:ascii="宋体" w:hAnsi="宋体" w:cs="Microsoft New Tai Lue"/>
          <w:color w:val="auto"/>
          <w:spacing w:val="-1"/>
          <w:highlight w:val="none"/>
        </w:rPr>
      </w:pPr>
      <w:r>
        <w:rPr>
          <w:rFonts w:ascii="宋体" w:hAnsi="宋体" w:cs="Microsoft New Tai Lue"/>
          <w:color w:val="auto"/>
          <w:spacing w:val="-1"/>
          <w:highlight w:val="none"/>
        </w:rPr>
      </w:r>
      <w:r/>
    </w:p>
    <w:p>
      <w:pPr>
        <w:pStyle w:val="1073"/>
        <w:ind w:left="1236" w:hanging="396"/>
        <w:tabs>
          <w:tab w:val="left" w:pos="4228" w:leader="none"/>
        </w:tabs>
        <w:rPr>
          <w:rFonts w:ascii="宋体" w:hAnsi="宋体" w:cs="Microsoft New Tai Lue"/>
          <w:color w:val="auto"/>
          <w:spacing w:val="-1"/>
          <w:highlight w:val="none"/>
        </w:rPr>
      </w:pPr>
      <w:r>
        <w:rPr>
          <w:rFonts w:ascii="宋体" w:hAnsi="宋体" w:cs="Microsoft New Tai Lue"/>
          <w:color w:val="auto"/>
          <w:spacing w:val="-1"/>
          <w:highlight w:val="none"/>
        </w:rPr>
      </w:r>
      <w:r/>
    </w:p>
    <w:p>
      <w:pPr>
        <w:pStyle w:val="1073"/>
        <w:ind w:firstLine="420"/>
        <w:tabs>
          <w:tab w:val="left" w:pos="4228" w:leader="none"/>
        </w:tabs>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供应商名</w:t>
      </w:r>
      <w:r>
        <w:rPr>
          <w:rFonts w:hint="eastAsia" w:ascii="宋体" w:hAnsi="宋体" w:eastAsia="宋体" w:cs="宋体"/>
          <w:b w:val="0"/>
          <w:bCs w:val="0"/>
          <w:color w:val="auto"/>
          <w:spacing w:val="-3"/>
          <w:sz w:val="24"/>
          <w:highlight w:val="none"/>
        </w:rPr>
        <w:t xml:space="preserve">称</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u w:val="single"/>
        </w:rPr>
        <w:tab/>
      </w:r>
      <w:r/>
    </w:p>
    <w:p>
      <w:pPr>
        <w:pStyle w:val="1073"/>
        <w:ind w:firstLine="420"/>
        <w:spacing w:before="170"/>
        <w:tabs>
          <w:tab w:val="left" w:pos="2712" w:leader="none"/>
          <w:tab w:val="left" w:pos="4183" w:leader="none"/>
          <w:tab w:val="left" w:pos="5652" w:leader="none"/>
          <w:tab w:val="left" w:pos="7169" w:leader="none"/>
        </w:tabs>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姓名</w:t>
      </w:r>
      <w:r>
        <w:rPr>
          <w:rFonts w:hint="eastAsia" w:ascii="宋体" w:hAnsi="宋体" w:eastAsia="宋体" w:cs="宋体"/>
          <w:b w:val="0"/>
          <w:bCs w:val="0"/>
          <w:color w:val="auto"/>
          <w:spacing w:val="-3"/>
          <w:sz w:val="24"/>
          <w:highlight w:val="none"/>
        </w:rPr>
        <w:t xml:space="preserve">：</w:t>
      </w:r>
      <w:r>
        <w:rPr>
          <w:rFonts w:hint="eastAsia" w:ascii="宋体" w:hAnsi="宋体" w:eastAsia="宋体" w:cs="宋体"/>
          <w:b w:val="0"/>
          <w:bCs w:val="0"/>
          <w:color w:val="auto"/>
          <w:spacing w:val="-3"/>
          <w:sz w:val="24"/>
          <w:highlight w:val="none"/>
          <w:u w:val="single"/>
        </w:rPr>
        <w:t xml:space="preserve"> </w:t>
      </w:r>
      <w:r>
        <w:rPr>
          <w:rFonts w:hint="eastAsia" w:ascii="宋体" w:hAnsi="宋体" w:eastAsia="宋体" w:cs="宋体"/>
          <w:b w:val="0"/>
          <w:bCs w:val="0"/>
          <w:color w:val="auto"/>
          <w:spacing w:val="-3"/>
          <w:sz w:val="24"/>
          <w:highlight w:val="none"/>
          <w:u w:val="single"/>
        </w:rPr>
        <w:tab/>
      </w:r>
      <w:r>
        <w:rPr>
          <w:rFonts w:hint="eastAsia" w:ascii="宋体" w:hAnsi="宋体" w:eastAsia="宋体" w:cs="宋体"/>
          <w:b w:val="0"/>
          <w:bCs w:val="0"/>
          <w:color w:val="auto"/>
          <w:sz w:val="24"/>
          <w:highlight w:val="none"/>
        </w:rPr>
        <w:t xml:space="preserve">性别</w:t>
      </w:r>
      <w:r>
        <w:rPr>
          <w:rFonts w:hint="eastAsia" w:ascii="宋体" w:hAnsi="宋体" w:eastAsia="宋体" w:cs="宋体"/>
          <w:b w:val="0"/>
          <w:bCs w:val="0"/>
          <w:color w:val="auto"/>
          <w:spacing w:val="-3"/>
          <w:sz w:val="24"/>
          <w:highlight w:val="none"/>
        </w:rPr>
        <w:t xml:space="preserve">：</w:t>
      </w:r>
      <w:r>
        <w:rPr>
          <w:rFonts w:hint="eastAsia" w:ascii="宋体" w:hAnsi="宋体" w:eastAsia="宋体" w:cs="宋体"/>
          <w:b w:val="0"/>
          <w:bCs w:val="0"/>
          <w:color w:val="auto"/>
          <w:spacing w:val="-3"/>
          <w:sz w:val="24"/>
          <w:highlight w:val="none"/>
          <w:u w:val="single"/>
        </w:rPr>
        <w:t xml:space="preserve"> </w:t>
      </w:r>
      <w:r>
        <w:rPr>
          <w:rFonts w:hint="eastAsia" w:ascii="宋体" w:hAnsi="宋体" w:eastAsia="宋体" w:cs="宋体"/>
          <w:b w:val="0"/>
          <w:bCs w:val="0"/>
          <w:color w:val="auto"/>
          <w:spacing w:val="-3"/>
          <w:sz w:val="24"/>
          <w:highlight w:val="none"/>
          <w:u w:val="single"/>
        </w:rPr>
        <w:tab/>
      </w:r>
      <w:r>
        <w:rPr>
          <w:rFonts w:hint="eastAsia" w:ascii="宋体" w:hAnsi="宋体" w:eastAsia="宋体" w:cs="宋体"/>
          <w:b w:val="0"/>
          <w:bCs w:val="0"/>
          <w:color w:val="auto"/>
          <w:sz w:val="24"/>
          <w:highlight w:val="none"/>
        </w:rPr>
        <w:t xml:space="preserve">年</w:t>
      </w:r>
      <w:r>
        <w:rPr>
          <w:rFonts w:hint="eastAsia" w:ascii="宋体" w:hAnsi="宋体" w:eastAsia="宋体" w:cs="宋体"/>
          <w:b w:val="0"/>
          <w:bCs w:val="0"/>
          <w:color w:val="auto"/>
          <w:spacing w:val="-3"/>
          <w:sz w:val="24"/>
          <w:highlight w:val="none"/>
        </w:rPr>
        <w:t xml:space="preserve">龄</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u w:val="single"/>
        </w:rPr>
        <w:tab/>
      </w:r>
      <w:r>
        <w:rPr>
          <w:rFonts w:hint="eastAsia" w:ascii="宋体" w:hAnsi="宋体" w:eastAsia="宋体" w:cs="宋体"/>
          <w:b w:val="0"/>
          <w:bCs w:val="0"/>
          <w:color w:val="auto"/>
          <w:spacing w:val="-1"/>
          <w:sz w:val="24"/>
          <w:highlight w:val="none"/>
        </w:rPr>
        <w:t xml:space="preserve">职</w:t>
      </w:r>
      <w:r>
        <w:rPr>
          <w:rFonts w:hint="eastAsia" w:ascii="宋体" w:hAnsi="宋体" w:eastAsia="宋体" w:cs="宋体"/>
          <w:b w:val="0"/>
          <w:bCs w:val="0"/>
          <w:color w:val="auto"/>
          <w:spacing w:val="-3"/>
          <w:sz w:val="24"/>
          <w:highlight w:val="none"/>
        </w:rPr>
        <w:t xml:space="preserve">务</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u w:val="single"/>
        </w:rPr>
        <w:tab/>
      </w:r>
      <w:r/>
    </w:p>
    <w:p>
      <w:pPr>
        <w:pStyle w:val="1073"/>
        <w:ind w:firstLine="420"/>
        <w:spacing w:before="173"/>
        <w:tabs>
          <w:tab w:val="left" w:pos="3132" w:leader="none"/>
        </w:tabs>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系</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u w:val="single"/>
        </w:rPr>
        <w:tab/>
      </w:r>
      <w:r>
        <w:rPr>
          <w:rFonts w:hint="eastAsia" w:ascii="宋体" w:hAnsi="宋体" w:eastAsia="宋体" w:cs="宋体"/>
          <w:b w:val="0"/>
          <w:bCs w:val="0"/>
          <w:color w:val="auto"/>
          <w:spacing w:val="-3"/>
          <w:sz w:val="24"/>
          <w:highlight w:val="none"/>
        </w:rPr>
        <w:t xml:space="preserve">（</w:t>
      </w:r>
      <w:r>
        <w:rPr>
          <w:rFonts w:hint="eastAsia" w:ascii="宋体" w:hAnsi="宋体" w:eastAsia="宋体" w:cs="宋体"/>
          <w:b w:val="0"/>
          <w:bCs w:val="0"/>
          <w:color w:val="auto"/>
          <w:sz w:val="24"/>
          <w:highlight w:val="none"/>
        </w:rPr>
        <w:t xml:space="preserve">供应商</w:t>
      </w:r>
      <w:r>
        <w:rPr>
          <w:rFonts w:hint="eastAsia" w:ascii="宋体" w:hAnsi="宋体" w:eastAsia="宋体" w:cs="宋体"/>
          <w:b w:val="0"/>
          <w:bCs w:val="0"/>
          <w:color w:val="auto"/>
          <w:spacing w:val="-3"/>
          <w:sz w:val="24"/>
          <w:highlight w:val="none"/>
        </w:rPr>
        <w:t xml:space="preserve">名</w:t>
      </w:r>
      <w:r>
        <w:rPr>
          <w:rFonts w:hint="eastAsia" w:ascii="宋体" w:hAnsi="宋体" w:eastAsia="宋体" w:cs="宋体"/>
          <w:b w:val="0"/>
          <w:bCs w:val="0"/>
          <w:color w:val="auto"/>
          <w:sz w:val="24"/>
          <w:highlight w:val="none"/>
        </w:rPr>
        <w:t xml:space="preserve">称</w:t>
      </w:r>
      <w:r>
        <w:rPr>
          <w:rFonts w:hint="eastAsia" w:ascii="宋体" w:hAnsi="宋体" w:eastAsia="宋体" w:cs="宋体"/>
          <w:b w:val="0"/>
          <w:bCs w:val="0"/>
          <w:color w:val="auto"/>
          <w:spacing w:val="-3"/>
          <w:sz w:val="24"/>
          <w:highlight w:val="none"/>
        </w:rPr>
        <w:t xml:space="preserve">）</w:t>
      </w:r>
      <w:r>
        <w:rPr>
          <w:rFonts w:hint="eastAsia" w:ascii="宋体" w:hAnsi="宋体" w:eastAsia="宋体" w:cs="宋体"/>
          <w:b w:val="0"/>
          <w:bCs w:val="0"/>
          <w:color w:val="auto"/>
          <w:sz w:val="24"/>
          <w:highlight w:val="none"/>
        </w:rPr>
        <w:t xml:space="preserve">的</w:t>
      </w:r>
      <w:r>
        <w:rPr>
          <w:rFonts w:hint="eastAsia" w:ascii="宋体" w:hAnsi="宋体" w:eastAsia="宋体" w:cs="宋体"/>
          <w:b w:val="0"/>
          <w:bCs w:val="0"/>
          <w:color w:val="auto"/>
          <w:spacing w:val="-3"/>
          <w:sz w:val="24"/>
          <w:highlight w:val="none"/>
        </w:rPr>
        <w:t xml:space="preserve">法定</w:t>
      </w:r>
      <w:r>
        <w:rPr>
          <w:rFonts w:hint="eastAsia" w:ascii="宋体" w:hAnsi="宋体" w:eastAsia="宋体" w:cs="宋体"/>
          <w:b w:val="0"/>
          <w:bCs w:val="0"/>
          <w:color w:val="auto"/>
          <w:sz w:val="24"/>
          <w:highlight w:val="none"/>
        </w:rPr>
        <w:t xml:space="preserve">代表</w:t>
      </w:r>
      <w:r>
        <w:rPr>
          <w:rFonts w:hint="eastAsia" w:ascii="宋体" w:hAnsi="宋体" w:eastAsia="宋体" w:cs="宋体"/>
          <w:b w:val="0"/>
          <w:bCs w:val="0"/>
          <w:color w:val="auto"/>
          <w:spacing w:val="-3"/>
          <w:sz w:val="24"/>
          <w:highlight w:val="none"/>
        </w:rPr>
        <w:t xml:space="preserve">人。</w:t>
      </w:r>
      <w:r/>
    </w:p>
    <w:p>
      <w:pPr>
        <w:pStyle w:val="1073"/>
        <w:ind w:firstLine="420"/>
        <w:spacing w:before="170"/>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特此证明。</w:t>
      </w:r>
      <w:r/>
    </w:p>
    <w:p>
      <w:pPr>
        <w:pStyle w:val="1073"/>
        <w:ind w:left="1260"/>
        <w:rPr>
          <w:rFonts w:ascii="宋体" w:hAnsi="宋体"/>
          <w:color w:val="auto"/>
          <w:sz w:val="24"/>
          <w:highlight w:val="none"/>
        </w:rPr>
      </w:pPr>
      <w:r>
        <w:rPr>
          <w:rFonts w:ascii="宋体" w:hAnsi="宋体"/>
          <w:color w:val="auto"/>
          <w:sz w:val="24"/>
          <w:highlight w:val="none"/>
        </w:rPr>
      </w:r>
      <w:r/>
    </w:p>
    <w:p>
      <w:pPr>
        <w:pStyle w:val="1073"/>
        <w:ind w:left="1260"/>
        <w:spacing w:before="10"/>
        <w:rPr>
          <w:rFonts w:ascii="宋体" w:hAnsi="宋体"/>
          <w:color w:val="auto"/>
          <w:sz w:val="24"/>
          <w:highlight w:val="none"/>
        </w:rPr>
      </w:pPr>
      <w:r>
        <w:rPr>
          <w:rFonts w:ascii="宋体" w:hAnsi="宋体"/>
          <w:color w:val="auto"/>
          <w:sz w:val="24"/>
          <w:highlight w:val="none"/>
        </w:rPr>
      </w:r>
      <w:r/>
    </w:p>
    <w:p>
      <w:pPr>
        <w:spacing w:line="480" w:lineRule="auto"/>
        <w:rPr>
          <w:rFonts w:ascii="宋体" w:hAnsi="宋体" w:cs="Microsoft New Tai Lue"/>
          <w:color w:val="auto"/>
          <w:sz w:val="24"/>
          <w:szCs w:val="24"/>
          <w:highlight w:val="none"/>
        </w:rPr>
      </w:pPr>
      <w:r>
        <w:rPr>
          <w:rFonts w:ascii="宋体" w:hAnsi="宋体"/>
          <w:color w:val="auto"/>
          <w:sz w:val="24"/>
          <w:szCs w:val="24"/>
          <w:highlight w:val="none"/>
        </w:rPr>
        <w:t xml:space="preserve">附：法定代表人</w:t>
      </w:r>
      <w:r>
        <w:rPr>
          <w:rFonts w:hint="eastAsia" w:ascii="宋体" w:hAnsi="宋体"/>
          <w:color w:val="auto"/>
          <w:sz w:val="24"/>
          <w:szCs w:val="24"/>
          <w:highlight w:val="none"/>
        </w:rPr>
        <w:t xml:space="preserve">有效期内的身份证复印件</w:t>
      </w:r>
      <w:r>
        <w:rPr>
          <w:rFonts w:ascii="宋体" w:hAnsi="宋体" w:cs="Microsoft New Tai Lue"/>
          <w:color w:val="auto"/>
          <w:sz w:val="24"/>
          <w:szCs w:val="24"/>
          <w:highlight w:val="none"/>
        </w:rPr>
        <w:t xml:space="preserve">（正反面）</w:t>
      </w:r>
      <w:r/>
    </w:p>
    <w:p>
      <w:pPr>
        <w:pStyle w:val="1055"/>
        <w:ind w:firstLine="456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委托人</w:t>
      </w:r>
      <w:r>
        <w:rPr>
          <w:rFonts w:hint="eastAsia" w:ascii="宋体" w:hAnsi="宋体" w:cs="宋体"/>
          <w:bCs/>
          <w:color w:val="auto"/>
          <w:sz w:val="24"/>
          <w:szCs w:val="24"/>
          <w:highlight w:val="none"/>
        </w:rPr>
        <w:t xml:space="preserve">（电子签章）</w:t>
      </w:r>
      <w:r>
        <w:rPr>
          <w:rStyle w:val="1303"/>
          <w:rFonts w:hint="eastAsia" w:hAnsi="宋体" w:cs="宋体"/>
          <w:color w:val="auto"/>
          <w:szCs w:val="24"/>
          <w:highlight w:val="none"/>
        </w:rPr>
        <w:t xml:space="preserve">：</w:t>
      </w:r>
      <w:r/>
    </w:p>
    <w:p>
      <w:pPr>
        <w:pStyle w:val="1055"/>
        <w:ind w:firstLine="456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日期：</w:t>
      </w:r>
      <w:r/>
    </w:p>
    <w:tbl>
      <w:tblPr>
        <w:tblStyle w:val="1044"/>
        <w:tblpPr w:horzAnchor="page" w:tblpXSpec="center" w:vertAnchor="text" w:tblpY="748"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0"/>
      </w:tblGrid>
      <w:tr>
        <w:trPr>
          <w:jc w:val="center"/>
          <w:trHeight w:val="2526"/>
        </w:trPr>
        <w:tc>
          <w:tcPr>
            <w:tcW w:w="7280" w:type="dxa"/>
            <w:textDirection w:val="lrTb"/>
            <w:noWrap w:val="false"/>
          </w:tcPr>
          <w:p>
            <w:pPr>
              <w:rPr>
                <w:rStyle w:val="1303"/>
                <w:rFonts w:hAnsi="宋体" w:cs="宋体"/>
                <w:color w:val="auto"/>
                <w:szCs w:val="24"/>
                <w:highlight w:val="none"/>
              </w:rPr>
            </w:pPr>
            <w:r>
              <w:rPr>
                <w:rFonts w:ascii="宋体" w:hAnsi="宋体"/>
                <w:color w:val="auto"/>
                <w:sz w:val="24"/>
                <w:szCs w:val="24"/>
                <w:highlight w:val="none"/>
              </w:rPr>
              <w:t xml:space="preserve">附：法定代表人</w:t>
            </w:r>
            <w:r>
              <w:rPr>
                <w:rFonts w:hint="eastAsia" w:ascii="宋体" w:hAnsi="宋体"/>
                <w:color w:val="auto"/>
                <w:sz w:val="24"/>
                <w:szCs w:val="24"/>
                <w:highlight w:val="none"/>
              </w:rPr>
              <w:t xml:space="preserve">有效期内的身份证</w:t>
            </w:r>
            <w:r>
              <w:rPr>
                <w:rFonts w:ascii="宋体" w:hAnsi="宋体" w:cs="Microsoft New Tai Lue"/>
                <w:color w:val="auto"/>
                <w:sz w:val="24"/>
                <w:szCs w:val="24"/>
                <w:highlight w:val="none"/>
              </w:rPr>
              <w:t xml:space="preserve">（正反面）</w:t>
            </w:r>
            <w:r>
              <w:rPr>
                <w:rStyle w:val="1303"/>
                <w:rFonts w:hint="eastAsia" w:hAnsi="宋体" w:cs="宋体"/>
                <w:color w:val="auto"/>
                <w:szCs w:val="24"/>
                <w:highlight w:val="none"/>
              </w:rPr>
              <w:br w:type="page" w:clear="all"/>
            </w:r>
            <w:r/>
          </w:p>
        </w:tc>
      </w:tr>
    </w:tbl>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p>
      <w:pPr>
        <w:rPr>
          <w:rStyle w:val="1303"/>
          <w:rFonts w:hAnsi="宋体" w:cs="宋体"/>
          <w:color w:val="auto"/>
          <w:szCs w:val="24"/>
          <w:highlight w:val="none"/>
        </w:rPr>
      </w:pPr>
      <w:r>
        <w:rPr>
          <w:rFonts w:hAnsi="宋体" w:cs="宋体"/>
          <w:color w:val="auto"/>
          <w:szCs w:val="24"/>
          <w:highlight w:val="none"/>
        </w:rPr>
      </w:r>
      <w:r/>
    </w:p>
    <w:p>
      <w:pPr>
        <w:rPr>
          <w:rStyle w:val="1303"/>
          <w:rFonts w:hAnsi="宋体" w:cs="宋体"/>
          <w:b/>
          <w:bCs/>
          <w:color w:val="auto"/>
          <w:szCs w:val="24"/>
          <w:highlight w:val="none"/>
        </w:rPr>
      </w:pPr>
      <w:r>
        <w:rPr>
          <w:rStyle w:val="1303"/>
          <w:rFonts w:hint="eastAsia" w:hAnsi="宋体" w:cs="宋体"/>
          <w:b/>
          <w:bCs/>
          <w:color w:val="auto"/>
          <w:szCs w:val="24"/>
          <w:highlight w:val="none"/>
        </w:rPr>
        <w:br w:type="page" w:clear="all"/>
      </w:r>
      <w:r/>
    </w:p>
    <w:p>
      <w:pPr>
        <w:pStyle w:val="1055"/>
        <w:jc w:val="center"/>
        <w:spacing w:line="312" w:lineRule="auto"/>
        <w:widowControl w:val="off"/>
        <w:rPr>
          <w:rStyle w:val="1303"/>
          <w:rFonts w:hAnsi="宋体" w:cs="宋体"/>
          <w:b/>
          <w:bCs/>
          <w:color w:val="auto"/>
          <w:szCs w:val="24"/>
          <w:highlight w:val="none"/>
        </w:rPr>
      </w:pPr>
      <w:r>
        <w:rPr>
          <w:rStyle w:val="1303"/>
          <w:rFonts w:hint="eastAsia" w:hAnsi="宋体" w:cs="宋体"/>
          <w:b/>
          <w:bCs/>
          <w:color w:val="auto"/>
          <w:szCs w:val="24"/>
          <w:highlight w:val="none"/>
        </w:rPr>
        <w:t xml:space="preserve">授权委托书</w:t>
      </w:r>
      <w:r/>
    </w:p>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p>
      <w:pPr>
        <w:pStyle w:val="1055"/>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委托人（全称）：</w:t>
      </w:r>
      <w:r/>
    </w:p>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p>
      <w:pPr>
        <w:pStyle w:val="1055"/>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地  址：</w:t>
      </w:r>
      <w:r/>
    </w:p>
    <w:p>
      <w:pPr>
        <w:pStyle w:val="1055"/>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法定代表人：              </w:t>
      </w:r>
      <w:r/>
    </w:p>
    <w:p>
      <w:pPr>
        <w:pStyle w:val="1055"/>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统一社会信用代码：</w:t>
      </w:r>
      <w:r/>
    </w:p>
    <w:p>
      <w:pPr>
        <w:pStyle w:val="1055"/>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受托人：                  先生（女士）</w:t>
      </w:r>
      <w:r/>
    </w:p>
    <w:p>
      <w:pPr>
        <w:pStyle w:val="1055"/>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身份证号：</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兹委托（            ）全权代表我企业（公司）参与</w:t>
      </w:r>
      <w:r>
        <w:rPr>
          <w:rStyle w:val="1303"/>
          <w:rFonts w:hint="eastAsia" w:hAnsi="宋体" w:cs="宋体"/>
          <w:color w:val="auto"/>
          <w:szCs w:val="24"/>
          <w:highlight w:val="none"/>
          <w:u w:val="single"/>
          <w:lang w:eastAsia="zh-CN"/>
        </w:rPr>
        <w:t xml:space="preserve">会见楼1、2层维修改造项目土建装饰工程</w:t>
      </w:r>
      <w:r>
        <w:rPr>
          <w:rStyle w:val="1303"/>
          <w:rFonts w:hint="eastAsia" w:hAnsi="宋体" w:cs="宋体"/>
          <w:color w:val="auto"/>
          <w:szCs w:val="24"/>
          <w:highlight w:val="none"/>
        </w:rPr>
        <w:t xml:space="preserve"> [项目编号：</w:t>
      </w:r>
      <w:r>
        <w:rPr>
          <w:rStyle w:val="1303"/>
          <w:rFonts w:hint="eastAsia" w:hAnsi="宋体" w:cs="宋体"/>
          <w:color w:val="auto"/>
          <w:szCs w:val="24"/>
          <w:highlight w:val="none"/>
          <w:lang w:eastAsia="zh-CN"/>
        </w:rPr>
        <w:t xml:space="preserve">JSZC-320000-JSKJ-C2026-0011</w:t>
      </w:r>
      <w:r>
        <w:rPr>
          <w:rStyle w:val="1303"/>
          <w:rFonts w:hint="eastAsia" w:hAnsi="宋体" w:cs="宋体"/>
          <w:color w:val="auto"/>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1055"/>
        <w:ind w:firstLine="456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委托人</w:t>
      </w:r>
      <w:r>
        <w:rPr>
          <w:rFonts w:hint="eastAsia" w:ascii="宋体" w:hAnsi="宋体" w:cs="宋体"/>
          <w:bCs/>
          <w:color w:val="auto"/>
          <w:sz w:val="24"/>
          <w:highlight w:val="none"/>
        </w:rPr>
        <w:t xml:space="preserve">（电子签章）</w:t>
      </w:r>
      <w:r>
        <w:rPr>
          <w:rStyle w:val="1303"/>
          <w:rFonts w:hint="eastAsia" w:hAnsi="宋体" w:cs="宋体"/>
          <w:color w:val="auto"/>
          <w:szCs w:val="24"/>
          <w:highlight w:val="none"/>
        </w:rPr>
        <w:t xml:space="preserve">：</w:t>
      </w:r>
      <w:r/>
    </w:p>
    <w:p>
      <w:pPr>
        <w:pStyle w:val="1055"/>
        <w:ind w:firstLine="456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法定代表人（签字或盖章）：</w:t>
      </w:r>
      <w:r/>
    </w:p>
    <w:p>
      <w:pPr>
        <w:pStyle w:val="1055"/>
        <w:ind w:firstLine="456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受托人（签字或盖章）：</w:t>
      </w:r>
      <w:r/>
    </w:p>
    <w:p>
      <w:pPr>
        <w:pStyle w:val="1055"/>
        <w:ind w:firstLine="456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日期：</w:t>
      </w:r>
      <w:r/>
    </w:p>
    <w:p>
      <w:pPr>
        <w:pStyle w:val="1055"/>
        <w:jc w:val="center"/>
        <w:spacing w:line="312" w:lineRule="auto"/>
        <w:widowControl w:val="off"/>
        <w:rPr>
          <w:rStyle w:val="1303"/>
          <w:rFonts w:hAnsi="宋体" w:cs="宋体"/>
          <w:color w:val="auto"/>
          <w:szCs w:val="24"/>
          <w:highlight w:val="none"/>
        </w:rPr>
      </w:pPr>
      <w:r>
        <w:rPr>
          <w:rFonts w:hAnsi="宋体" w:cs="宋体"/>
          <w:color w:val="auto"/>
          <w:szCs w:val="24"/>
          <w:highlight w:val="none"/>
        </w:rPr>
      </w:r>
      <w:r/>
    </w:p>
    <w:tbl>
      <w:tblPr>
        <w:tblStyle w:val="1044"/>
        <w:tblpPr w:horzAnchor="page" w:tblpXSpec="center" w:vertAnchor="text" w:tblpY="42"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60"/>
      </w:tblGrid>
      <w:tr>
        <w:trPr>
          <w:jc w:val="center"/>
          <w:trHeight w:val="2962"/>
        </w:trPr>
        <w:tc>
          <w:tcPr>
            <w:tcW w:w="7160" w:type="dxa"/>
            <w:textDirection w:val="lrTb"/>
            <w:noWrap w:val="false"/>
          </w:tcPr>
          <w:p>
            <w:pPr>
              <w:pStyle w:val="1055"/>
              <w:jc w:val="center"/>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附：受托人有效期内的身份证反正面</w:t>
            </w:r>
            <w:r/>
          </w:p>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tc>
      </w:tr>
    </w:tbl>
    <w:p>
      <w:pPr>
        <w:pStyle w:val="1055"/>
        <w:spacing w:line="312" w:lineRule="auto"/>
        <w:widowControl w:val="off"/>
        <w:rPr>
          <w:rStyle w:val="1303"/>
          <w:rFonts w:hAnsi="宋体" w:cs="宋体"/>
          <w:b/>
          <w:bCs/>
          <w:color w:val="auto"/>
          <w:szCs w:val="24"/>
          <w:highlight w:val="none"/>
        </w:rPr>
      </w:pPr>
      <w:r>
        <w:rPr>
          <w:rFonts w:hAnsi="宋体" w:cs="宋体"/>
          <w:b/>
          <w:bCs/>
          <w:color w:val="auto"/>
          <w:szCs w:val="24"/>
          <w:highlight w:val="none"/>
        </w:rPr>
      </w:r>
      <w:r/>
    </w:p>
    <w:p>
      <w:pPr>
        <w:pStyle w:val="1055"/>
        <w:jc w:val="center"/>
        <w:spacing w:line="312" w:lineRule="auto"/>
        <w:widowControl w:val="off"/>
        <w:rPr>
          <w:rStyle w:val="1303"/>
          <w:rFonts w:hAnsi="宋体" w:cs="宋体"/>
          <w:color w:val="auto"/>
          <w:szCs w:val="24"/>
          <w:highlight w:val="none"/>
        </w:rPr>
      </w:pPr>
      <w:r>
        <w:rPr>
          <w:rFonts w:hAnsi="宋体" w:cs="宋体"/>
          <w:color w:val="auto"/>
          <w:szCs w:val="24"/>
          <w:highlight w:val="none"/>
        </w:rPr>
      </w:r>
      <w:r/>
    </w:p>
    <w:p>
      <w:pPr>
        <w:pStyle w:val="1273"/>
        <w:jc w:val="center"/>
        <w:keepLines w:val="0"/>
        <w:keepNext w:val="0"/>
        <w:spacing w:line="312" w:lineRule="auto"/>
        <w:widowControl w:val="off"/>
        <w:rPr>
          <w:rStyle w:val="1303"/>
          <w:rFonts w:hAnsi="宋体" w:cs="宋体"/>
          <w:color w:val="auto"/>
          <w:szCs w:val="24"/>
          <w:highlight w:val="none"/>
        </w:rPr>
        <w:outlineLvl w:val="9"/>
      </w:pPr>
      <w:r/>
      <w:bookmarkStart w:id="56" w:name="_Toc80122307"/>
      <w:r/>
      <w:r/>
    </w:p>
    <w:p>
      <w:pPr>
        <w:ind w:firstLine="482"/>
        <w:jc w:val="left"/>
        <w:spacing w:line="312"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jc w:val="left"/>
        <w:spacing w:line="312"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jc w:val="left"/>
        <w:spacing w:line="312"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jc w:val="left"/>
        <w:spacing w:line="312"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jc w:val="left"/>
        <w:spacing w:line="312"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特别提醒：竞争性磋商文件中如需法定代表人（签字或盖章）或受托人（签字或盖章），供应商应打印成文档，签字或盖章后再扫描上传，最后再电子签章。</w:t>
      </w:r>
      <w:r/>
    </w:p>
    <w:p>
      <w:pPr>
        <w:pStyle w:val="1273"/>
        <w:jc w:val="center"/>
        <w:keepLines w:val="0"/>
        <w:keepNext w:val="0"/>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br w:type="page" w:clear="all"/>
      </w:r>
      <w:bookmarkStart w:id="57" w:name="_Toc6068"/>
      <w:r/>
      <w:bookmarkStart w:id="58" w:name="_Toc26568"/>
      <w:r>
        <w:rPr>
          <w:rStyle w:val="1303"/>
          <w:rFonts w:hint="eastAsia" w:hAnsi="宋体" w:cs="宋体"/>
          <w:color w:val="auto"/>
          <w:szCs w:val="24"/>
          <w:highlight w:val="none"/>
        </w:rPr>
        <w:t xml:space="preserve">七、中小企业声明函</w:t>
      </w:r>
      <w:bookmarkEnd w:id="56"/>
      <w:r/>
      <w:bookmarkEnd w:id="57"/>
      <w:r/>
      <w:bookmarkEnd w:id="58"/>
      <w:r/>
      <w:r/>
    </w:p>
    <w:p>
      <w:pPr>
        <w:pStyle w:val="1055"/>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项目名称：</w:t>
      </w:r>
      <w:r/>
    </w:p>
    <w:p>
      <w:pPr>
        <w:pStyle w:val="1055"/>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项目编号：</w:t>
      </w:r>
      <w:r/>
    </w:p>
    <w:p>
      <w:pPr>
        <w:pStyle w:val="1055"/>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rPr>
        <w:t xml:space="preserve">（</w:t>
      </w:r>
      <w:r>
        <w:rPr>
          <w:rFonts w:hint="eastAsia" w:ascii="宋体" w:hAnsi="宋体" w:cs="宋体"/>
          <w:b/>
          <w:bCs/>
          <w:i/>
          <w:iCs/>
          <w:color w:val="auto"/>
          <w:sz w:val="24"/>
          <w:szCs w:val="24"/>
          <w:highlight w:val="none"/>
          <w:u w:val="single"/>
        </w:rPr>
        <w:t xml:space="preserve">单位名称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w:t>
      </w:r>
      <w:r>
        <w:rPr>
          <w:rFonts w:hint="eastAsia" w:ascii="宋体" w:hAnsi="宋体" w:cs="宋体"/>
          <w:b/>
          <w:bCs/>
          <w:i/>
          <w:iCs/>
          <w:color w:val="auto"/>
          <w:sz w:val="24"/>
          <w:szCs w:val="24"/>
          <w:highlight w:val="none"/>
          <w:u w:val="single"/>
        </w:rPr>
        <w:t xml:space="preserve">项目名称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采购活动，工程的施工单位全部为符合政策要求的中小企业。相关企业的具体情况如下：</w:t>
      </w:r>
      <w:r/>
    </w:p>
    <w:p>
      <w:pPr>
        <w:pStyle w:val="1055"/>
        <w:ind w:firstLine="480"/>
        <w:spacing w:line="312" w:lineRule="auto"/>
        <w:widowControl w:val="off"/>
        <w:rPr>
          <w:rFonts w:ascii="宋体" w:hAnsi="宋体" w:cs="宋体"/>
          <w:color w:val="auto"/>
          <w:spacing w:val="6"/>
          <w:sz w:val="24"/>
          <w:szCs w:val="24"/>
          <w:highlight w:val="none"/>
        </w:rPr>
      </w:pPr>
      <w:r>
        <w:rPr>
          <w:rFonts w:hint="eastAsia" w:ascii="宋体" w:hAnsi="宋体" w:cs="宋体"/>
          <w:i/>
          <w:iCs/>
          <w:color w:val="auto"/>
          <w:sz w:val="24"/>
          <w:szCs w:val="24"/>
          <w:highlight w:val="none"/>
          <w:u w:val="single"/>
        </w:rPr>
        <w:t xml:space="preserve">（项目名称）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w:t>
      </w:r>
      <w:bookmarkStart w:id="59" w:name="_Hlk105228467"/>
      <w:r>
        <w:rPr>
          <w:rFonts w:hint="eastAsia" w:ascii="宋体" w:hAnsi="宋体" w:cs="宋体"/>
          <w:color w:val="auto"/>
          <w:sz w:val="24"/>
          <w:szCs w:val="24"/>
          <w:highlight w:val="none"/>
          <w:u w:val="single"/>
        </w:rPr>
        <w:t xml:space="preserve">采购文件中明确的所属行业</w:t>
      </w:r>
      <w:bookmarkEnd w:id="59"/>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 承建（承接）企业为</w:t>
      </w:r>
      <w:r>
        <w:rPr>
          <w:rFonts w:hint="eastAsia" w:ascii="宋体" w:hAnsi="宋体" w:cs="宋体"/>
          <w:color w:val="auto"/>
          <w:sz w:val="24"/>
          <w:szCs w:val="24"/>
          <w:highlight w:val="none"/>
          <w:u w:val="single"/>
        </w:rPr>
        <w:t xml:space="preserve">（</w:t>
      </w:r>
      <w:r>
        <w:rPr>
          <w:rFonts w:hint="eastAsia" w:ascii="宋体" w:hAnsi="宋体" w:cs="宋体"/>
          <w:b/>
          <w:bCs/>
          <w:i/>
          <w:iCs/>
          <w:color w:val="auto"/>
          <w:sz w:val="24"/>
          <w:szCs w:val="24"/>
          <w:highlight w:val="none"/>
          <w:u w:val="single"/>
        </w:rPr>
        <w:t xml:space="preserve">企业名称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cs="宋体"/>
          <w:b/>
          <w:color w:val="auto"/>
          <w:sz w:val="24"/>
          <w:szCs w:val="24"/>
          <w:highlight w:val="none"/>
          <w:u w:val="single"/>
        </w:rPr>
        <w:t xml:space="preserve">此处请填空</w:t>
      </w:r>
      <w:r>
        <w:rPr>
          <w:rFonts w:hint="eastAsia" w:ascii="宋体" w:hAnsi="宋体" w:cs="宋体"/>
          <w:color w:val="auto"/>
          <w:sz w:val="24"/>
          <w:szCs w:val="24"/>
          <w:highlight w:val="none"/>
          <w:u w:val="single"/>
        </w:rPr>
        <w:t xml:space="preserve">）（</w:t>
      </w:r>
      <w:r>
        <w:rPr>
          <w:rFonts w:hint="eastAsia" w:ascii="宋体" w:hAnsi="宋体" w:cs="宋体"/>
          <w:b/>
          <w:bCs/>
          <w:i/>
          <w:iCs/>
          <w:color w:val="auto"/>
          <w:sz w:val="24"/>
          <w:szCs w:val="24"/>
          <w:highlight w:val="none"/>
          <w:u w:val="single"/>
        </w:rPr>
        <w:t xml:space="preserve">中型企业、小型企业、微型企业</w:t>
      </w:r>
      <w:r>
        <w:rPr>
          <w:rFonts w:hint="eastAsia" w:ascii="宋体" w:hAnsi="宋体" w:cs="宋体"/>
          <w:b/>
          <w:color w:val="auto"/>
          <w:sz w:val="24"/>
          <w:szCs w:val="24"/>
          <w:highlight w:val="none"/>
          <w:u w:val="single"/>
        </w:rPr>
        <w:t xml:space="preserve">，请填空！</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pStyle w:val="1055"/>
        <w:ind w:firstLine="482"/>
        <w:spacing w:line="312" w:lineRule="auto"/>
        <w:widowControl w:val="off"/>
        <w:rPr>
          <w:rFonts w:ascii="宋体" w:hAnsi="宋体" w:cs="宋体"/>
          <w:bCs/>
          <w:color w:val="auto"/>
          <w:sz w:val="24"/>
          <w:szCs w:val="24"/>
          <w:highlight w:val="none"/>
        </w:rPr>
      </w:pPr>
      <w:r>
        <w:rPr>
          <w:rFonts w:ascii="宋体" w:hAnsi="宋体" w:cs="宋体"/>
          <w:bCs/>
          <w:color w:val="auto"/>
          <w:sz w:val="24"/>
          <w:szCs w:val="24"/>
          <w:highlight w:val="none"/>
        </w:rPr>
      </w:r>
      <w:r/>
    </w:p>
    <w:p>
      <w:pPr>
        <w:pStyle w:val="1055"/>
        <w:ind w:firstLine="482"/>
        <w:spacing w:line="312" w:lineRule="auto"/>
        <w:widowControl w:val="off"/>
        <w:rPr>
          <w:rFonts w:ascii="宋体" w:hAnsi="宋体" w:cs="宋体"/>
          <w:bCs/>
          <w:color w:val="auto"/>
          <w:spacing w:val="6"/>
          <w:sz w:val="24"/>
          <w:szCs w:val="24"/>
          <w:highlight w:val="none"/>
        </w:rPr>
      </w:pPr>
      <w:r>
        <w:rPr>
          <w:rFonts w:hint="eastAsia" w:ascii="宋体" w:hAnsi="宋体" w:cs="宋体"/>
          <w:bCs/>
          <w:color w:val="auto"/>
          <w:sz w:val="24"/>
          <w:szCs w:val="24"/>
          <w:highlight w:val="none"/>
        </w:rPr>
        <w:t xml:space="preserve">以上企业，不属于大企业的分支机构，不存在控股股东为大企业的情形，也不存在与大企业的负责人为同一人的情形。</w:t>
      </w:r>
      <w:r/>
    </w:p>
    <w:p>
      <w:pPr>
        <w:pStyle w:val="1055"/>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pStyle w:val="1055"/>
        <w:ind w:firstLine="480"/>
        <w:spacing w:line="312"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pStyle w:val="1055"/>
        <w:ind w:firstLine="480"/>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注： </w:t>
      </w:r>
      <w:r>
        <w:rPr>
          <w:rFonts w:hint="eastAsia" w:ascii="宋体" w:hAnsi="宋体"/>
          <w:color w:val="auto"/>
          <w:sz w:val="21"/>
          <w:szCs w:val="21"/>
          <w:highlight w:val="none"/>
          <w:lang w:bidi="ar"/>
        </w:rPr>
        <w:t xml:space="preserve">【1】</w:t>
      </w:r>
      <w:r>
        <w:rPr>
          <w:rFonts w:hint="eastAsia" w:ascii="宋体" w:hAnsi="宋体" w:cs="宋体"/>
          <w:color w:val="auto"/>
          <w:sz w:val="24"/>
          <w:szCs w:val="24"/>
          <w:highlight w:val="none"/>
        </w:rPr>
        <w:t xml:space="preserve">本项目采购属于</w:t>
      </w:r>
      <w:r>
        <w:rPr>
          <w:rFonts w:hint="eastAsia" w:ascii="宋体" w:hAnsi="宋体" w:cs="宋体"/>
          <w:color w:val="auto"/>
          <w:sz w:val="24"/>
          <w:szCs w:val="24"/>
          <w:highlight w:val="none"/>
          <w:u w:val="single"/>
        </w:rPr>
        <w:t xml:space="preserve"> 建筑业 </w:t>
      </w:r>
      <w:r>
        <w:rPr>
          <w:rFonts w:hint="eastAsia" w:ascii="宋体" w:hAnsi="宋体" w:cs="宋体"/>
          <w:color w:val="auto"/>
          <w:sz w:val="24"/>
          <w:szCs w:val="24"/>
          <w:highlight w:val="none"/>
        </w:rPr>
        <w:t xml:space="preserve">。</w:t>
      </w:r>
      <w:r/>
    </w:p>
    <w:p>
      <w:pPr>
        <w:pStyle w:val="1055"/>
        <w:ind w:firstLine="1104"/>
        <w:spacing w:line="312" w:lineRule="auto"/>
        <w:widowControl w:val="off"/>
        <w:rPr>
          <w:rFonts w:ascii="宋体" w:hAnsi="宋体" w:cs="宋体"/>
          <w:color w:val="auto"/>
          <w:sz w:val="24"/>
          <w:szCs w:val="24"/>
          <w:highlight w:val="none"/>
        </w:rPr>
      </w:pPr>
      <w:r>
        <w:rPr>
          <w:rFonts w:hint="eastAsia" w:ascii="宋体" w:hAnsi="宋体"/>
          <w:color w:val="auto"/>
          <w:sz w:val="21"/>
          <w:szCs w:val="21"/>
          <w:highlight w:val="none"/>
          <w:lang w:bidi="ar"/>
        </w:rPr>
        <w:t xml:space="preserve">【2】</w:t>
      </w:r>
      <w:r>
        <w:rPr>
          <w:rFonts w:hint="eastAsia" w:ascii="宋体" w:hAnsi="宋体" w:cs="宋体"/>
          <w:b/>
          <w:color w:val="auto"/>
          <w:sz w:val="24"/>
          <w:szCs w:val="24"/>
          <w:highlight w:val="none"/>
        </w:rPr>
        <w:t xml:space="preserve">从业人员、营业收入、资产总额填报上一年度数据，无上一年度数据的新成立企业可不填报</w:t>
      </w:r>
      <w:r>
        <w:rPr>
          <w:rFonts w:hint="eastAsia" w:ascii="宋体" w:hAnsi="宋体" w:cs="宋体"/>
          <w:color w:val="auto"/>
          <w:sz w:val="24"/>
          <w:szCs w:val="24"/>
          <w:highlight w:val="none"/>
        </w:rPr>
        <w:t xml:space="preserve">。</w:t>
      </w:r>
      <w:r/>
    </w:p>
    <w:p>
      <w:pPr>
        <w:pStyle w:val="1055"/>
        <w:ind w:firstLine="482"/>
        <w:jc w:val="left"/>
        <w:spacing w:line="312"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pStyle w:val="1055"/>
        <w:jc w:val="right"/>
        <w:spacing w:line="312" w:lineRule="auto"/>
        <w:widowControl w:val="off"/>
        <w:rPr>
          <w:rStyle w:val="1303"/>
          <w:rFonts w:hAnsi="宋体" w:cs="宋体"/>
          <w:color w:val="auto"/>
          <w:szCs w:val="24"/>
          <w:highlight w:val="none"/>
        </w:rPr>
      </w:pPr>
      <w:r>
        <w:rPr>
          <w:rFonts w:hAnsi="宋体" w:cs="宋体"/>
          <w:color w:val="auto"/>
          <w:szCs w:val="24"/>
          <w:highlight w:val="none"/>
        </w:rPr>
      </w:r>
      <w:r/>
    </w:p>
    <w:p>
      <w:pPr>
        <w:pStyle w:val="1055"/>
        <w:ind w:firstLine="312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    供应商：</w:t>
      </w:r>
      <w:r>
        <w:rPr>
          <w:rFonts w:hint="eastAsia" w:ascii="宋体" w:hAnsi="宋体" w:cs="宋体"/>
          <w:bCs/>
          <w:color w:val="auto"/>
          <w:sz w:val="24"/>
          <w:highlight w:val="none"/>
        </w:rPr>
        <w:t xml:space="preserve">（电子签章）</w:t>
      </w:r>
      <w:r/>
    </w:p>
    <w:p>
      <w:pPr>
        <w:pStyle w:val="1055"/>
        <w:ind w:firstLine="360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日期：  </w:t>
      </w:r>
      <w:r/>
    </w:p>
    <w:p>
      <w:pPr>
        <w:pStyle w:val="1067"/>
        <w:rPr>
          <w:color w:val="auto"/>
          <w:highlight w:val="none"/>
        </w:rPr>
      </w:pPr>
      <w:r>
        <w:rPr>
          <w:color w:val="auto"/>
          <w:highlight w:val="none"/>
        </w:rPr>
      </w:r>
      <w:r/>
    </w:p>
    <w:p>
      <w:pPr>
        <w:pStyle w:val="1066"/>
        <w:ind w:left="0"/>
        <w:spacing w:after="0" w:line="312" w:lineRule="auto"/>
        <w:rPr>
          <w:rFonts w:ascii="宋体" w:hAnsi="宋体" w:eastAsia="宋体" w:cs="宋体"/>
          <w:color w:val="auto"/>
          <w:szCs w:val="21"/>
          <w:highlight w:val="none"/>
        </w:rPr>
      </w:pPr>
      <w:r/>
      <w:bookmarkStart w:id="60" w:name="OLE_LINK7"/>
      <w:r>
        <w:rPr>
          <w:rFonts w:hint="eastAsia" w:ascii="宋体" w:hAnsi="宋体" w:eastAsia="宋体" w:cs="宋体"/>
          <w:color w:val="auto"/>
          <w:szCs w:val="21"/>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66"/>
        <w:ind w:left="0" w:firstLine="482"/>
        <w:spacing w:after="0" w:line="312"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2、从业人员、营业收入、资产总额填报响应投标人上一年度数据，无上一年度数据的新成立企业可不填报。</w:t>
      </w:r>
      <w:r/>
    </w:p>
    <w:p>
      <w:pPr>
        <w:pStyle w:val="1066"/>
        <w:ind w:left="0" w:firstLine="482"/>
        <w:spacing w:after="0" w:line="312"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3、中标人为中型、小型、微型企业的，采购人或者其委托的采购代理机构有权随中标、成交结果同时公告其《中小企业声明函》，接受社会监督。</w:t>
      </w:r>
      <w:r/>
    </w:p>
    <w:p>
      <w:pPr>
        <w:pStyle w:val="1066"/>
        <w:ind w:left="0" w:firstLine="482"/>
        <w:spacing w:after="0" w:line="312"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4、执行江苏省财政厅关于进一步加大政府采购支持中小企业力度的通知（苏财购〔2022〕45号）的规定。</w:t>
      </w:r>
      <w:r/>
    </w:p>
    <w:p>
      <w:pPr>
        <w:pStyle w:val="1066"/>
        <w:ind w:left="0" w:firstLine="482"/>
        <w:spacing w:after="0" w:line="312"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5、响应投标人提供的《中小企业声明函》与事实不符的，依照《中华人民共和国政府采购法》第七十七条第一款的规定追究法律责任。</w:t>
      </w:r>
      <w:r/>
    </w:p>
    <w:p>
      <w:pPr>
        <w:pStyle w:val="1293"/>
        <w:ind w:firstLine="480"/>
        <w:spacing w:beforeAutospacing="0" w:afterAutospacing="0" w:line="312" w:lineRule="auto"/>
        <w:rPr>
          <w:rFonts w:cs="宋体"/>
          <w:color w:val="auto"/>
          <w:sz w:val="21"/>
          <w:szCs w:val="21"/>
          <w:highlight w:val="none"/>
        </w:rPr>
      </w:pPr>
      <w:r>
        <w:rPr>
          <w:rFonts w:hint="eastAsia" w:cs="宋体"/>
          <w:b/>
          <w:bCs/>
          <w:color w:val="auto"/>
          <w:sz w:val="21"/>
          <w:szCs w:val="21"/>
          <w:highlight w:val="none"/>
        </w:rPr>
        <w:t xml:space="preserve">6、《中小企业声明函》查询渠道用微信搜索“中小企业规模类型自测小程序”。见下图：</w:t>
      </w:r>
      <w:r/>
    </w:p>
    <w:p>
      <w:pPr>
        <w:pStyle w:val="1293"/>
        <w:spacing w:beforeAutospacing="0" w:afterAutospacing="0" w:line="312" w:lineRule="auto"/>
        <w:rPr>
          <w:rFonts w:cs="宋体"/>
          <w:color w:val="auto"/>
          <w:sz w:val="30"/>
          <w:szCs w:val="30"/>
          <w:highlight w:val="none"/>
        </w:rPr>
      </w:pPr>
      <w:r>
        <w:rPr>
          <w:rFonts w:cs="宋体"/>
          <w:color w:val="auto"/>
          <w:sz w:val="30"/>
          <w:szCs w:val="30"/>
          <w:highlight w:val="none"/>
        </w:rPr>
      </w:r>
      <w:r/>
    </w:p>
    <w:p>
      <w:pPr>
        <w:pStyle w:val="1293"/>
        <w:jc w:val="center"/>
        <w:spacing w:beforeAutospacing="0" w:afterAutospacing="0" w:line="312" w:lineRule="auto"/>
        <w:rPr>
          <w:rFonts w:cs="宋体"/>
          <w:color w:val="auto"/>
          <w:sz w:val="30"/>
          <w:szCs w:val="30"/>
          <w:highlight w:val="none"/>
        </w:rPr>
        <w:sectPr>
          <w:footerReference w:type="even" r:id="rId15"/>
          <w:footnotePr/>
          <w:endnotePr/>
          <w:type w:val="nextPage"/>
          <w:pgSz w:w="11906" w:h="16838" w:orient="portrait"/>
          <w:pgMar w:top="1440" w:right="1080" w:bottom="1440" w:left="1080" w:header="851" w:footer="992" w:gutter="0"/>
          <w:cols w:num="1" w:sep="0" w:space="1701" w:equalWidth="1"/>
          <w:docGrid w:linePitch="360"/>
        </w:sectPr>
      </w:pPr>
      <w:r>
        <w:rPr>
          <w:rFonts w:hint="eastAsia" w:cs="宋体"/>
          <w:color w:val="auto"/>
          <w:highlight w:val="none"/>
        </w:rPr>
        <mc:AlternateContent>
          <mc:Choice Requires="wpg">
            <w:drawing>
              <wp:inline xmlns:wp="http://schemas.openxmlformats.org/drawingml/2006/wordprocessingDrawing" distT="0" distB="0" distL="0" distR="0">
                <wp:extent cx="2123440" cy="4614545"/>
                <wp:effectExtent l="0" t="0" r="635" b="5080"/>
                <wp:docPr id="17"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6"/>
                        <a:srcRect l="0" t="4825" r="0" b="0"/>
                        <a:stretch/>
                      </pic:blipFill>
                      <pic:spPr bwMode="auto">
                        <a:xfrm>
                          <a:off x="0" y="0"/>
                          <a:ext cx="2123440" cy="4614544"/>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67.2pt;height:363.3pt;mso-wrap-distance-left:0.0pt;mso-wrap-distance-top:0.0pt;mso-wrap-distance-right:0.0pt;mso-wrap-distance-bottom:0.0pt;" stroked="f">
                <v:path textboxrect="0,0,0,0"/>
                <v:imagedata r:id="rId26" o:title=""/>
              </v:shape>
            </w:pict>
          </mc:Fallback>
        </mc:AlternateContent>
      </w:r>
      <w:bookmarkEnd w:id="60"/>
      <w:r/>
      <w:r/>
    </w:p>
    <w:p>
      <w:pPr>
        <w:pStyle w:val="1055"/>
        <w:jc w:val="center"/>
        <w:spacing w:line="312" w:lineRule="auto"/>
        <w:widowControl w:val="off"/>
        <w:rPr>
          <w:rStyle w:val="1303"/>
          <w:rFonts w:hAnsi="宋体" w:cs="宋体"/>
          <w:b/>
          <w:bCs/>
          <w:color w:val="auto"/>
          <w:szCs w:val="24"/>
          <w:highlight w:val="none"/>
        </w:rPr>
        <w:outlineLvl w:val="1"/>
      </w:pPr>
      <w:r/>
      <w:bookmarkStart w:id="61" w:name="_Toc80122308"/>
      <w:r/>
      <w:bookmarkStart w:id="62" w:name="_Toc15197"/>
      <w:r/>
      <w:bookmarkStart w:id="63" w:name="_Toc3451"/>
      <w:r>
        <w:rPr>
          <w:rStyle w:val="1303"/>
          <w:rFonts w:hint="eastAsia" w:hAnsi="宋体" w:cs="宋体"/>
          <w:b/>
          <w:bCs/>
          <w:color w:val="auto"/>
          <w:szCs w:val="24"/>
          <w:highlight w:val="none"/>
        </w:rPr>
        <w:t xml:space="preserve">八、残疾人福利性单位声明函</w:t>
      </w:r>
      <w:bookmarkEnd w:id="61"/>
      <w:r/>
      <w:bookmarkEnd w:id="62"/>
      <w:r>
        <w:rPr>
          <w:rStyle w:val="1303"/>
          <w:rFonts w:hint="eastAsia" w:hAnsi="宋体" w:cs="宋体"/>
          <w:b/>
          <w:bCs/>
          <w:color w:val="auto"/>
          <w:szCs w:val="24"/>
          <w:highlight w:val="none"/>
        </w:rPr>
        <w:t xml:space="preserve">（非残疾人福利性单位可以不提供）</w:t>
      </w:r>
      <w:bookmarkEnd w:id="63"/>
      <w:r/>
      <w:r/>
    </w:p>
    <w:p>
      <w:pPr>
        <w:pStyle w:val="1055"/>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项目名称：</w:t>
      </w:r>
      <w:r/>
    </w:p>
    <w:p>
      <w:pPr>
        <w:pStyle w:val="1055"/>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项目编号：</w:t>
      </w:r>
      <w:r/>
    </w:p>
    <w:p>
      <w:pPr>
        <w:pStyle w:val="1055"/>
        <w:ind w:firstLine="504"/>
        <w:jc w:val="left"/>
        <w:spacing w:line="312" w:lineRule="auto"/>
        <w:widowControl w:val="off"/>
        <w:rPr>
          <w:rStyle w:val="1303"/>
          <w:rFonts w:hAnsi="宋体" w:cs="宋体"/>
          <w:color w:val="auto"/>
          <w:spacing w:val="6"/>
          <w:szCs w:val="24"/>
          <w:highlight w:val="none"/>
        </w:rPr>
      </w:pPr>
      <w:r>
        <w:rPr>
          <w:rStyle w:val="1303"/>
          <w:rFonts w:hint="eastAsia" w:hAnsi="宋体" w:cs="宋体"/>
          <w:color w:val="auto"/>
          <w:spacing w:val="6"/>
          <w:szCs w:val="24"/>
          <w:highlight w:val="none"/>
        </w:rPr>
        <w:t xml:space="preserve">本单位郑重声明，根据《财政部民政部中国残疾人联合会关于促进残疾人就业政府采购政策的通知》（财库</w:t>
      </w:r>
      <w:r>
        <w:rPr>
          <w:rStyle w:val="1303"/>
          <w:rFonts w:hint="eastAsia" w:hAnsi="宋体" w:cs="宋体"/>
          <w:color w:val="auto"/>
          <w:szCs w:val="24"/>
          <w:highlight w:val="none"/>
        </w:rPr>
        <w:t xml:space="preserve">〔2017〕141</w:t>
      </w:r>
      <w:r>
        <w:rPr>
          <w:rStyle w:val="1303"/>
          <w:rFonts w:hint="eastAsia" w:hAnsi="宋体" w:cs="宋体"/>
          <w:color w:val="auto"/>
          <w:spacing w:val="6"/>
          <w:szCs w:val="24"/>
          <w:highlight w:val="none"/>
        </w:rPr>
        <w:t xml:space="preserve">号）的规定，本单位为符合条件的残疾人福利性单位，且本单位参加</w:t>
      </w:r>
      <w:r>
        <w:rPr>
          <w:rStyle w:val="1303"/>
          <w:rFonts w:hint="eastAsia" w:hAnsi="宋体" w:cs="宋体"/>
          <w:color w:val="auto"/>
          <w:szCs w:val="24"/>
          <w:highlight w:val="none"/>
        </w:rPr>
        <w:t xml:space="preserve">______</w:t>
      </w:r>
      <w:r>
        <w:rPr>
          <w:rStyle w:val="1303"/>
          <w:rFonts w:hint="eastAsia" w:hAnsi="宋体" w:cs="宋体"/>
          <w:color w:val="auto"/>
          <w:spacing w:val="6"/>
          <w:szCs w:val="24"/>
          <w:highlight w:val="none"/>
        </w:rPr>
        <w:t xml:space="preserve">单位的</w:t>
      </w:r>
      <w:r>
        <w:rPr>
          <w:rStyle w:val="1303"/>
          <w:rFonts w:hint="eastAsia" w:hAnsi="宋体" w:cs="宋体"/>
          <w:color w:val="auto"/>
          <w:szCs w:val="24"/>
          <w:highlight w:val="none"/>
        </w:rPr>
        <w:t xml:space="preserve">______</w:t>
      </w:r>
      <w:r>
        <w:rPr>
          <w:rStyle w:val="1303"/>
          <w:rFonts w:hint="eastAsia" w:hAnsi="宋体" w:cs="宋体"/>
          <w:color w:val="auto"/>
          <w:spacing w:val="6"/>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55"/>
        <w:ind w:firstLine="504"/>
        <w:jc w:val="left"/>
        <w:spacing w:line="312" w:lineRule="auto"/>
        <w:widowControl w:val="off"/>
        <w:rPr>
          <w:rStyle w:val="1303"/>
          <w:rFonts w:hAnsi="宋体" w:cs="宋体"/>
          <w:color w:val="auto"/>
          <w:spacing w:val="6"/>
          <w:szCs w:val="24"/>
          <w:highlight w:val="none"/>
        </w:rPr>
      </w:pPr>
      <w:r>
        <w:rPr>
          <w:rStyle w:val="1303"/>
          <w:rFonts w:hint="eastAsia" w:hAnsi="宋体" w:cs="宋体"/>
          <w:color w:val="auto"/>
          <w:spacing w:val="6"/>
          <w:szCs w:val="24"/>
          <w:highlight w:val="none"/>
        </w:rPr>
        <w:t xml:space="preserve">本单位对上述声明的真实性负责。如有虚假，将依法承担相应责任。</w:t>
      </w:r>
      <w:r/>
    </w:p>
    <w:p>
      <w:pPr>
        <w:pStyle w:val="1055"/>
        <w:ind w:firstLine="504"/>
        <w:jc w:val="left"/>
        <w:spacing w:line="312" w:lineRule="auto"/>
        <w:widowControl w:val="off"/>
        <w:rPr>
          <w:rStyle w:val="1303"/>
          <w:rFonts w:hAnsi="宋体" w:cs="宋体"/>
          <w:color w:val="auto"/>
          <w:spacing w:val="6"/>
          <w:szCs w:val="24"/>
          <w:highlight w:val="none"/>
        </w:rPr>
      </w:pPr>
      <w:r>
        <w:rPr>
          <w:rFonts w:hAnsi="宋体" w:cs="宋体"/>
          <w:color w:val="auto"/>
          <w:spacing w:val="6"/>
          <w:szCs w:val="24"/>
          <w:highlight w:val="none"/>
        </w:rPr>
      </w:r>
      <w:r/>
    </w:p>
    <w:p>
      <w:pPr>
        <w:pStyle w:val="1055"/>
        <w:ind w:firstLine="504"/>
        <w:jc w:val="left"/>
        <w:spacing w:line="312" w:lineRule="auto"/>
        <w:widowControl w:val="off"/>
        <w:rPr>
          <w:rStyle w:val="1303"/>
          <w:rFonts w:hAnsi="宋体" w:cs="宋体"/>
          <w:color w:val="auto"/>
          <w:spacing w:val="6"/>
          <w:szCs w:val="24"/>
          <w:highlight w:val="none"/>
        </w:rPr>
      </w:pPr>
      <w:r>
        <w:rPr>
          <w:rFonts w:hAnsi="宋体" w:cs="宋体"/>
          <w:color w:val="auto"/>
          <w:spacing w:val="6"/>
          <w:szCs w:val="24"/>
          <w:highlight w:val="none"/>
        </w:rPr>
      </w:r>
      <w:r/>
    </w:p>
    <w:p>
      <w:pPr>
        <w:pStyle w:val="1055"/>
        <w:ind w:firstLine="456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供应商：</w:t>
      </w:r>
      <w:r>
        <w:rPr>
          <w:rFonts w:hint="eastAsia" w:ascii="宋体" w:hAnsi="宋体" w:cs="宋体"/>
          <w:bCs/>
          <w:color w:val="auto"/>
          <w:sz w:val="24"/>
          <w:highlight w:val="none"/>
        </w:rPr>
        <w:t xml:space="preserve">（电子签章）</w:t>
      </w:r>
      <w:r/>
    </w:p>
    <w:p>
      <w:pPr>
        <w:pStyle w:val="1055"/>
        <w:ind w:firstLine="480"/>
        <w:jc w:val="left"/>
        <w:spacing w:line="312" w:lineRule="auto"/>
        <w:widowControl w:val="off"/>
        <w:rPr>
          <w:rFonts w:ascii="宋体" w:hAnsi="宋体" w:cs="宋体"/>
          <w:color w:val="auto"/>
          <w:sz w:val="24"/>
          <w:szCs w:val="24"/>
          <w:highlight w:val="none"/>
        </w:rPr>
      </w:pPr>
      <w:r>
        <w:rPr>
          <w:rStyle w:val="1303"/>
          <w:rFonts w:hint="eastAsia" w:hAnsi="宋体" w:cs="宋体"/>
          <w:color w:val="auto"/>
          <w:szCs w:val="24"/>
          <w:highlight w:val="none"/>
        </w:rPr>
        <w:t xml:space="preserve">                                   日期：  </w:t>
      </w:r>
      <w:r/>
    </w:p>
    <w:p>
      <w:pPr>
        <w:pStyle w:val="1055"/>
        <w:jc w:val="center"/>
        <w:spacing w:line="312" w:lineRule="auto"/>
        <w:widowControl w:val="off"/>
        <w:rPr>
          <w:rStyle w:val="1303"/>
          <w:rFonts w:hAnsi="宋体" w:cs="宋体"/>
          <w:color w:val="auto"/>
          <w:szCs w:val="24"/>
          <w:highlight w:val="none"/>
        </w:rPr>
        <w:sectPr>
          <w:headerReference w:type="default" r:id="rId11"/>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hAnsi="宋体" w:cs="宋体"/>
          <w:color w:val="auto"/>
          <w:szCs w:val="24"/>
          <w:highlight w:val="none"/>
        </w:rPr>
      </w:r>
      <w:r/>
    </w:p>
    <w:p>
      <w:pPr>
        <w:pStyle w:val="1273"/>
        <w:jc w:val="center"/>
        <w:keepLines w:val="0"/>
        <w:keepNext w:val="0"/>
        <w:spacing w:before="0" w:after="0" w:line="312" w:lineRule="auto"/>
        <w:widowControl w:val="off"/>
        <w:rPr>
          <w:rStyle w:val="1303"/>
          <w:rFonts w:hAnsi="宋体" w:cs="宋体"/>
          <w:color w:val="auto"/>
          <w:szCs w:val="24"/>
          <w:highlight w:val="none"/>
        </w:rPr>
      </w:pPr>
      <w:r/>
      <w:bookmarkStart w:id="64" w:name="_Toc80122309"/>
      <w:r/>
      <w:bookmarkStart w:id="65" w:name="_Toc5658"/>
      <w:r/>
      <w:bookmarkStart w:id="66" w:name="_Toc2515"/>
      <w:r>
        <w:rPr>
          <w:rStyle w:val="1303"/>
          <w:rFonts w:hint="eastAsia" w:hAnsi="宋体" w:cs="宋体"/>
          <w:color w:val="auto"/>
          <w:szCs w:val="24"/>
          <w:highlight w:val="none"/>
        </w:rPr>
        <w:t xml:space="preserve">九、</w:t>
      </w:r>
      <w:bookmarkEnd w:id="64"/>
      <w:r/>
      <w:bookmarkEnd w:id="65"/>
      <w:r>
        <w:rPr>
          <w:rStyle w:val="1303"/>
          <w:rFonts w:hint="eastAsia" w:hAnsi="宋体" w:cs="宋体"/>
          <w:color w:val="auto"/>
          <w:szCs w:val="24"/>
          <w:highlight w:val="none"/>
        </w:rPr>
        <w:t xml:space="preserve">供应商参加政府采购活动前3年内在经营活动中没有重大违法记录的书面声明</w:t>
      </w:r>
      <w:bookmarkEnd w:id="66"/>
      <w:r/>
      <w:r/>
    </w:p>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我单位在参加</w:t>
      </w:r>
      <w:r>
        <w:rPr>
          <w:rStyle w:val="1303"/>
          <w:rFonts w:hint="eastAsia" w:hAnsi="宋体" w:cs="宋体"/>
          <w:color w:val="auto"/>
          <w:szCs w:val="24"/>
          <w:highlight w:val="none"/>
          <w:u w:val="single"/>
        </w:rPr>
        <w:t xml:space="preserve"> </w:t>
      </w:r>
      <w:r>
        <w:rPr>
          <w:rStyle w:val="1303"/>
          <w:rFonts w:hint="eastAsia" w:hAnsi="宋体" w:cs="宋体"/>
          <w:color w:val="auto"/>
          <w:szCs w:val="24"/>
          <w:highlight w:val="none"/>
          <w:u w:val="single"/>
          <w:lang w:eastAsia="zh-CN"/>
        </w:rPr>
        <w:t xml:space="preserve">会见楼1、2层维修改造项目土建装饰工程</w:t>
      </w:r>
      <w:r>
        <w:rPr>
          <w:rStyle w:val="1303"/>
          <w:rFonts w:hint="eastAsia" w:hAnsi="宋体" w:cs="宋体"/>
          <w:color w:val="auto"/>
          <w:szCs w:val="24"/>
          <w:highlight w:val="none"/>
          <w:u w:val="single"/>
        </w:rPr>
        <w:t xml:space="preserve"> </w:t>
      </w:r>
      <w:r>
        <w:rPr>
          <w:rStyle w:val="1303"/>
          <w:rFonts w:hint="eastAsia" w:hAnsi="宋体" w:cs="宋体"/>
          <w:color w:val="auto"/>
          <w:szCs w:val="24"/>
          <w:highlight w:val="none"/>
        </w:rPr>
        <w:t xml:space="preserve">[项目编号：</w:t>
      </w:r>
      <w:r>
        <w:rPr>
          <w:rStyle w:val="1303"/>
          <w:rFonts w:hint="eastAsia" w:hAnsi="宋体" w:cs="宋体"/>
          <w:color w:val="auto"/>
          <w:szCs w:val="24"/>
          <w:highlight w:val="none"/>
          <w:lang w:eastAsia="zh-CN"/>
        </w:rPr>
        <w:t xml:space="preserve">JSZC-320000-JSKJ-C2026-0011</w:t>
      </w:r>
      <w:r>
        <w:rPr>
          <w:rStyle w:val="1303"/>
          <w:rFonts w:hint="eastAsia" w:hAnsi="宋体" w:cs="宋体"/>
          <w:color w:val="auto"/>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55"/>
        <w:ind w:firstLine="72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我单位对上述声明的真实性负责。如有虚假，将依法承担相应责任。</w:t>
      </w:r>
      <w:r/>
    </w:p>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p>
      <w:pPr>
        <w:pStyle w:val="1055"/>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                                  供应商</w:t>
      </w:r>
      <w:r>
        <w:rPr>
          <w:rFonts w:hint="eastAsia" w:ascii="宋体" w:hAnsi="宋体" w:cs="宋体"/>
          <w:bCs/>
          <w:color w:val="auto"/>
          <w:sz w:val="24"/>
          <w:highlight w:val="none"/>
        </w:rPr>
        <w:t xml:space="preserve">（电子签章）</w:t>
      </w:r>
      <w:r>
        <w:rPr>
          <w:rStyle w:val="1303"/>
          <w:rFonts w:hint="eastAsia" w:hAnsi="宋体" w:cs="宋体"/>
          <w:color w:val="auto"/>
          <w:szCs w:val="24"/>
          <w:highlight w:val="none"/>
        </w:rPr>
        <w:t xml:space="preserve">：</w:t>
      </w:r>
      <w:r/>
    </w:p>
    <w:p>
      <w:pPr>
        <w:pStyle w:val="1055"/>
        <w:jc w:val="left"/>
        <w:spacing w:line="312" w:lineRule="auto"/>
        <w:widowControl w:val="off"/>
        <w:rPr>
          <w:rFonts w:ascii="宋体" w:hAnsi="宋体" w:cs="宋体"/>
          <w:color w:val="auto"/>
          <w:sz w:val="24"/>
          <w:szCs w:val="24"/>
          <w:highlight w:val="none"/>
        </w:rPr>
      </w:pPr>
      <w:r>
        <w:rPr>
          <w:rStyle w:val="1303"/>
          <w:rFonts w:hint="eastAsia" w:hAnsi="宋体" w:cs="宋体"/>
          <w:color w:val="auto"/>
          <w:szCs w:val="24"/>
          <w:highlight w:val="none"/>
        </w:rPr>
        <w:t xml:space="preserve">                                  日期： </w:t>
      </w:r>
      <w:r/>
    </w:p>
    <w:p>
      <w:pPr>
        <w:pStyle w:val="1055"/>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p>
      <w:pPr>
        <w:pStyle w:val="1273"/>
        <w:jc w:val="center"/>
        <w:keepLines w:val="0"/>
        <w:keepNext w:val="0"/>
        <w:spacing w:before="0" w:after="0"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br w:type="page" w:clear="all"/>
      </w:r>
      <w:bookmarkStart w:id="67" w:name="_Toc7334"/>
      <w:r/>
      <w:bookmarkStart w:id="68" w:name="_Toc28643"/>
      <w:r/>
      <w:bookmarkStart w:id="69" w:name="_Toc80122310"/>
      <w:r>
        <w:rPr>
          <w:rStyle w:val="1303"/>
          <w:rFonts w:hint="eastAsia" w:hAnsi="宋体" w:cs="宋体"/>
          <w:color w:val="auto"/>
          <w:szCs w:val="24"/>
          <w:highlight w:val="none"/>
        </w:rPr>
        <w:t xml:space="preserve">十、具备履行合同所必需的设备和专业技术能力的书面声明</w:t>
      </w:r>
      <w:bookmarkEnd w:id="67"/>
      <w:r/>
      <w:bookmarkEnd w:id="68"/>
      <w:r/>
      <w:r/>
    </w:p>
    <w:p>
      <w:pPr>
        <w:pStyle w:val="1273"/>
        <w:jc w:val="center"/>
        <w:keepLines w:val="0"/>
        <w:keepNext w:val="0"/>
        <w:spacing w:before="0" w:after="0" w:line="312" w:lineRule="auto"/>
        <w:widowControl w:val="off"/>
        <w:rPr>
          <w:rStyle w:val="1303"/>
          <w:rFonts w:hAnsi="宋体" w:cs="宋体"/>
          <w:color w:val="auto"/>
          <w:szCs w:val="24"/>
          <w:highlight w:val="none"/>
        </w:rPr>
        <w:outlineLvl w:val="9"/>
      </w:pPr>
      <w:r/>
      <w:bookmarkStart w:id="70" w:name="_Toc28074"/>
      <w:r/>
      <w:bookmarkStart w:id="71" w:name="_Toc19685"/>
      <w:r>
        <w:rPr>
          <w:rStyle w:val="1303"/>
          <w:rFonts w:hint="eastAsia" w:hAnsi="宋体" w:cs="宋体"/>
          <w:color w:val="auto"/>
          <w:szCs w:val="24"/>
          <w:highlight w:val="none"/>
        </w:rPr>
        <w:t xml:space="preserve">（附证明材料扫描件）</w:t>
      </w:r>
      <w:bookmarkEnd w:id="69"/>
      <w:r/>
      <w:bookmarkEnd w:id="70"/>
      <w:r/>
      <w:bookmarkEnd w:id="71"/>
      <w:r/>
      <w:r/>
    </w:p>
    <w:p>
      <w:pPr>
        <w:pStyle w:val="1055"/>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项目名称：</w:t>
      </w:r>
      <w:r/>
    </w:p>
    <w:p>
      <w:pPr>
        <w:pStyle w:val="1055"/>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项目编号：</w:t>
      </w:r>
      <w:r/>
    </w:p>
    <w:p>
      <w:pPr>
        <w:pStyle w:val="1055"/>
        <w:ind w:firstLine="48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供应商郑重声明：供应商具备履行合同（项目名称</w:t>
      </w:r>
      <w:r>
        <w:rPr>
          <w:rStyle w:val="1303"/>
          <w:rFonts w:hint="eastAsia" w:hAnsi="宋体" w:cs="宋体"/>
          <w:color w:val="auto"/>
          <w:szCs w:val="24"/>
          <w:highlight w:val="none"/>
          <w:u w:val="single"/>
        </w:rPr>
        <w:t xml:space="preserve">：      </w:t>
      </w:r>
      <w:r>
        <w:rPr>
          <w:rStyle w:val="1303"/>
          <w:rFonts w:hint="eastAsia" w:hAnsi="宋体" w:cs="宋体"/>
          <w:color w:val="auto"/>
          <w:szCs w:val="24"/>
          <w:highlight w:val="none"/>
        </w:rPr>
        <w:t xml:space="preserve">，项目编号：</w:t>
      </w:r>
      <w:r>
        <w:rPr>
          <w:rStyle w:val="1303"/>
          <w:rFonts w:hint="eastAsia" w:hAnsi="宋体" w:cs="宋体"/>
          <w:color w:val="auto"/>
          <w:szCs w:val="24"/>
          <w:highlight w:val="none"/>
          <w:u w:val="single"/>
        </w:rPr>
        <w:t xml:space="preserve">       </w:t>
      </w:r>
      <w:r>
        <w:rPr>
          <w:rStyle w:val="1303"/>
          <w:rFonts w:hint="eastAsia" w:hAnsi="宋体" w:cs="宋体"/>
          <w:color w:val="auto"/>
          <w:szCs w:val="24"/>
          <w:highlight w:val="none"/>
        </w:rPr>
        <w:t xml:space="preserve">所必需的设备和专业技术能力，具体为： </w:t>
      </w:r>
      <w:r/>
    </w:p>
    <w:p>
      <w:pPr>
        <w:pStyle w:val="1055"/>
        <w:ind w:firstLine="972"/>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设备：</w:t>
      </w:r>
      <w:r/>
    </w:p>
    <w:p>
      <w:pPr>
        <w:pStyle w:val="1055"/>
        <w:ind w:firstLine="972"/>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1、 </w:t>
      </w:r>
      <w:r>
        <w:rPr>
          <w:rStyle w:val="1303"/>
          <w:rFonts w:hint="eastAsia" w:hAnsi="宋体" w:cs="宋体"/>
          <w:color w:val="auto"/>
          <w:szCs w:val="24"/>
          <w:highlight w:val="none"/>
          <w:u w:val="single"/>
        </w:rPr>
        <w:t xml:space="preserve">                          </w:t>
      </w:r>
      <w:r>
        <w:rPr>
          <w:rStyle w:val="1303"/>
          <w:rFonts w:hint="eastAsia" w:hAnsi="宋体" w:cs="宋体"/>
          <w:color w:val="auto"/>
          <w:szCs w:val="24"/>
          <w:highlight w:val="none"/>
        </w:rPr>
        <w:t xml:space="preserve">（证明材料扫描件附后）</w:t>
      </w:r>
      <w:r/>
    </w:p>
    <w:p>
      <w:pPr>
        <w:pStyle w:val="1055"/>
        <w:ind w:firstLine="972"/>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2、  </w:t>
      </w:r>
      <w:r>
        <w:rPr>
          <w:rStyle w:val="1303"/>
          <w:rFonts w:hint="eastAsia" w:hAnsi="宋体" w:cs="宋体"/>
          <w:color w:val="auto"/>
          <w:szCs w:val="24"/>
          <w:highlight w:val="none"/>
          <w:u w:val="single"/>
        </w:rPr>
        <w:t xml:space="preserve">                        </w:t>
      </w:r>
      <w:r>
        <w:rPr>
          <w:rStyle w:val="1303"/>
          <w:rFonts w:hint="eastAsia" w:hAnsi="宋体" w:cs="宋体"/>
          <w:color w:val="auto"/>
          <w:szCs w:val="24"/>
          <w:highlight w:val="none"/>
        </w:rPr>
        <w:t xml:space="preserve"> （证明材料扫描件附后）</w:t>
      </w:r>
      <w:r/>
    </w:p>
    <w:p>
      <w:pPr>
        <w:pStyle w:val="1055"/>
        <w:ind w:firstLine="972"/>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3、</w:t>
      </w:r>
      <w:r>
        <w:rPr>
          <w:rStyle w:val="1303"/>
          <w:rFonts w:hint="eastAsia" w:hAnsi="宋体" w:cs="宋体"/>
          <w:color w:val="auto"/>
          <w:szCs w:val="24"/>
          <w:highlight w:val="none"/>
          <w:u w:val="single"/>
        </w:rPr>
        <w:t xml:space="preserve">                          </w:t>
      </w:r>
      <w:r>
        <w:rPr>
          <w:rStyle w:val="1303"/>
          <w:rFonts w:hint="eastAsia" w:hAnsi="宋体" w:cs="宋体"/>
          <w:color w:val="auto"/>
          <w:szCs w:val="24"/>
          <w:highlight w:val="none"/>
        </w:rPr>
        <w:t xml:space="preserve">（证明材料扫描件附后）</w:t>
      </w:r>
      <w:r/>
    </w:p>
    <w:p>
      <w:pPr>
        <w:pStyle w:val="1055"/>
        <w:ind w:firstLine="972"/>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w:t>
      </w:r>
      <w:r/>
    </w:p>
    <w:p>
      <w:pPr>
        <w:pStyle w:val="1055"/>
        <w:ind w:firstLine="972"/>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专业技术能力：</w:t>
      </w:r>
      <w:r/>
    </w:p>
    <w:p>
      <w:pPr>
        <w:pStyle w:val="1055"/>
        <w:ind w:firstLine="972"/>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1、</w:t>
      </w:r>
      <w:r>
        <w:rPr>
          <w:rStyle w:val="1303"/>
          <w:rFonts w:hint="eastAsia" w:hAnsi="宋体" w:cs="宋体"/>
          <w:color w:val="auto"/>
          <w:szCs w:val="24"/>
          <w:highlight w:val="none"/>
          <w:u w:val="single"/>
        </w:rPr>
        <w:t xml:space="preserve">                          </w:t>
      </w:r>
      <w:r>
        <w:rPr>
          <w:rStyle w:val="1303"/>
          <w:rFonts w:hint="eastAsia" w:hAnsi="宋体" w:cs="宋体"/>
          <w:color w:val="auto"/>
          <w:szCs w:val="24"/>
          <w:highlight w:val="none"/>
        </w:rPr>
        <w:t xml:space="preserve">（证明材料扫描件附后）</w:t>
      </w:r>
      <w:r/>
    </w:p>
    <w:p>
      <w:pPr>
        <w:pStyle w:val="1055"/>
        <w:ind w:firstLine="972"/>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2、</w:t>
      </w:r>
      <w:r>
        <w:rPr>
          <w:rStyle w:val="1303"/>
          <w:rFonts w:hint="eastAsia" w:hAnsi="宋体" w:cs="宋体"/>
          <w:color w:val="auto"/>
          <w:szCs w:val="24"/>
          <w:highlight w:val="none"/>
          <w:u w:val="single"/>
        </w:rPr>
        <w:t xml:space="preserve">                          </w:t>
      </w:r>
      <w:r>
        <w:rPr>
          <w:rStyle w:val="1303"/>
          <w:rFonts w:hint="eastAsia" w:hAnsi="宋体" w:cs="宋体"/>
          <w:color w:val="auto"/>
          <w:szCs w:val="24"/>
          <w:highlight w:val="none"/>
        </w:rPr>
        <w:t xml:space="preserve"> （证明材料扫描件附后）</w:t>
      </w:r>
      <w:r/>
    </w:p>
    <w:p>
      <w:pPr>
        <w:pStyle w:val="1055"/>
        <w:ind w:firstLine="972"/>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3、</w:t>
      </w:r>
      <w:r>
        <w:rPr>
          <w:rStyle w:val="1303"/>
          <w:rFonts w:hint="eastAsia" w:hAnsi="宋体" w:cs="宋体"/>
          <w:color w:val="auto"/>
          <w:szCs w:val="24"/>
          <w:highlight w:val="none"/>
          <w:u w:val="single"/>
        </w:rPr>
        <w:t xml:space="preserve">                          </w:t>
      </w:r>
      <w:r>
        <w:rPr>
          <w:rStyle w:val="1303"/>
          <w:rFonts w:hint="eastAsia" w:hAnsi="宋体" w:cs="宋体"/>
          <w:color w:val="auto"/>
          <w:szCs w:val="24"/>
          <w:highlight w:val="none"/>
        </w:rPr>
        <w:t xml:space="preserve"> （证明材料扫描件附后）</w:t>
      </w:r>
      <w:r/>
    </w:p>
    <w:p>
      <w:pPr>
        <w:pStyle w:val="1055"/>
        <w:ind w:firstLine="972"/>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w:t>
      </w:r>
      <w:r/>
    </w:p>
    <w:p>
      <w:pPr>
        <w:pStyle w:val="1055"/>
        <w:ind w:firstLine="972"/>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特此声明。</w:t>
      </w:r>
      <w:r/>
    </w:p>
    <w:p>
      <w:pPr>
        <w:pStyle w:val="1055"/>
        <w:ind w:firstLine="972"/>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供应商人对上述声明的真实性负责。如有虚假，将依法承担相应责任。</w:t>
      </w:r>
      <w:r/>
    </w:p>
    <w:p>
      <w:pPr>
        <w:pStyle w:val="1055"/>
        <w:ind w:firstLine="972"/>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 </w:t>
      </w:r>
      <w:r/>
    </w:p>
    <w:p>
      <w:pPr>
        <w:pStyle w:val="1055"/>
        <w:ind w:firstLine="3600"/>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供应商</w:t>
      </w:r>
      <w:r>
        <w:rPr>
          <w:rFonts w:hint="eastAsia" w:ascii="宋体" w:hAnsi="宋体" w:cs="宋体"/>
          <w:bCs/>
          <w:color w:val="auto"/>
          <w:sz w:val="24"/>
          <w:highlight w:val="none"/>
        </w:rPr>
        <w:t xml:space="preserve">（电子签章）</w:t>
      </w:r>
      <w:r>
        <w:rPr>
          <w:rStyle w:val="1303"/>
          <w:rFonts w:hint="eastAsia" w:hAnsi="宋体" w:cs="宋体"/>
          <w:color w:val="auto"/>
          <w:szCs w:val="24"/>
          <w:highlight w:val="none"/>
        </w:rPr>
        <w:t xml:space="preserve">：</w:t>
      </w:r>
      <w:r/>
    </w:p>
    <w:p>
      <w:pPr>
        <w:pStyle w:val="1055"/>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                                </w:t>
      </w:r>
      <w:r/>
    </w:p>
    <w:p>
      <w:pPr>
        <w:pStyle w:val="1055"/>
        <w:ind w:firstLine="3600"/>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日期：</w:t>
      </w:r>
      <w:r/>
    </w:p>
    <w:p>
      <w:pPr>
        <w:pStyle w:val="1055"/>
        <w:jc w:val="center"/>
        <w:spacing w:line="312" w:lineRule="auto"/>
        <w:widowControl w:val="off"/>
        <w:rPr>
          <w:rStyle w:val="1303"/>
          <w:rFonts w:hAnsi="宋体" w:cs="宋体"/>
          <w:color w:val="auto"/>
          <w:szCs w:val="24"/>
          <w:highlight w:val="none"/>
        </w:rPr>
      </w:pPr>
      <w:r>
        <w:rPr>
          <w:rFonts w:hAnsi="宋体" w:cs="宋体"/>
          <w:color w:val="auto"/>
          <w:szCs w:val="24"/>
          <w:highlight w:val="none"/>
        </w:rPr>
      </w:r>
      <w:r/>
    </w:p>
    <w:p>
      <w:pPr>
        <w:pStyle w:val="1273"/>
        <w:jc w:val="center"/>
        <w:keepLines w:val="0"/>
        <w:keepNext w:val="0"/>
        <w:spacing w:line="312" w:lineRule="auto"/>
        <w:widowControl w:val="off"/>
        <w:rPr>
          <w:rStyle w:val="1303"/>
          <w:rFonts w:hAnsi="宋体" w:cs="宋体"/>
          <w:color w:val="auto"/>
          <w:szCs w:val="24"/>
          <w:highlight w:val="none"/>
        </w:rPr>
        <w:outlineLvl w:val="9"/>
      </w:pPr>
      <w:r/>
      <w:bookmarkStart w:id="72" w:name="_Toc80122311"/>
      <w:r>
        <w:rPr>
          <w:rStyle w:val="1303"/>
          <w:rFonts w:hint="eastAsia" w:hAnsi="宋体" w:cs="宋体"/>
          <w:color w:val="auto"/>
          <w:szCs w:val="24"/>
          <w:highlight w:val="none"/>
        </w:rPr>
        <w:t xml:space="preserve">       </w:t>
      </w:r>
      <w:r/>
    </w:p>
    <w:p>
      <w:pPr>
        <w:pStyle w:val="1055"/>
        <w:jc w:val="center"/>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br w:type="page" w:clear="all"/>
      </w:r>
      <w:bookmarkStart w:id="73" w:name="_Toc6127"/>
      <w:r/>
      <w:bookmarkEnd w:id="72"/>
      <w:r/>
      <w:r/>
    </w:p>
    <w:p>
      <w:pPr>
        <w:pStyle w:val="1055"/>
        <w:jc w:val="center"/>
        <w:spacing w:line="312" w:lineRule="auto"/>
        <w:widowControl w:val="off"/>
        <w:rPr>
          <w:rFonts w:ascii="宋体" w:hAnsi="宋体" w:cs="宋体"/>
          <w:b/>
          <w:bCs/>
          <w:color w:val="auto"/>
          <w:sz w:val="24"/>
          <w:szCs w:val="24"/>
          <w:highlight w:val="none"/>
        </w:rPr>
        <w:outlineLvl w:val="1"/>
      </w:pPr>
      <w:r/>
      <w:bookmarkStart w:id="74" w:name="_Toc536"/>
      <w:r/>
      <w:bookmarkStart w:id="75" w:name="_Toc80122313"/>
      <w:r>
        <w:rPr>
          <w:rFonts w:hint="eastAsia" w:ascii="宋体" w:hAnsi="宋体" w:cs="宋体"/>
          <w:b/>
          <w:bCs/>
          <w:color w:val="auto"/>
          <w:sz w:val="24"/>
          <w:szCs w:val="24"/>
          <w:highlight w:val="none"/>
        </w:rPr>
        <w:t xml:space="preserve">十一、项目负责人承诺书</w:t>
      </w:r>
      <w:bookmarkEnd w:id="74"/>
      <w:r/>
      <w:r/>
    </w:p>
    <w:p>
      <w:pPr>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项目负责人必须满足下列条件（提供承诺书加盖电子签章，格式自拟）：</w:t>
      </w:r>
      <w:r/>
    </w:p>
    <w:p>
      <w:pPr>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a.项目负责人必须在本企业注册且无在建工程；</w:t>
      </w:r>
      <w:r/>
    </w:p>
    <w:p>
      <w:pPr>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b.项目负责人不得同时在两个或者两个以上单位受聘或者执业；</w:t>
      </w:r>
      <w:r/>
    </w:p>
    <w:p>
      <w:pPr>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c.项目负责人无行贿犯罪行为记录；或者有行贿犯罪行为记录，但自记录之日起已超过5年的。</w:t>
      </w:r>
      <w:r/>
    </w:p>
    <w:p>
      <w:pPr>
        <w:pStyle w:val="1055"/>
        <w:jc w:val="center"/>
        <w:spacing w:line="312" w:lineRule="auto"/>
        <w:widowControl w:val="off"/>
        <w:rPr>
          <w:rStyle w:val="1303"/>
          <w:rFonts w:hAnsi="宋体" w:cs="宋体"/>
          <w:b/>
          <w:bCs/>
          <w:color w:val="auto"/>
          <w:szCs w:val="24"/>
          <w:highlight w:val="none"/>
        </w:rPr>
      </w:pPr>
      <w:r>
        <w:rPr>
          <w:rStyle w:val="1303"/>
          <w:rFonts w:hint="eastAsia" w:hAnsi="宋体" w:cs="宋体"/>
          <w:b/>
          <w:bCs/>
          <w:color w:val="auto"/>
          <w:szCs w:val="24"/>
          <w:highlight w:val="none"/>
        </w:rPr>
        <w:t xml:space="preserve">（格式自拟）</w:t>
      </w:r>
      <w:r/>
    </w:p>
    <w:p>
      <w:pPr>
        <w:pStyle w:val="1055"/>
        <w:ind w:firstLine="3600"/>
        <w:jc w:val="left"/>
        <w:spacing w:line="312" w:lineRule="auto"/>
        <w:widowControl w:val="off"/>
        <w:rPr>
          <w:rStyle w:val="1303"/>
          <w:rFonts w:hAnsi="宋体" w:cs="宋体"/>
          <w:color w:val="auto"/>
          <w:szCs w:val="24"/>
          <w:highlight w:val="none"/>
        </w:rPr>
      </w:pPr>
      <w:r>
        <w:rPr>
          <w:rFonts w:hAnsi="宋体" w:cs="宋体"/>
          <w:color w:val="auto"/>
          <w:szCs w:val="24"/>
          <w:highlight w:val="none"/>
        </w:rPr>
      </w:r>
      <w:r/>
    </w:p>
    <w:p>
      <w:pPr>
        <w:pStyle w:val="1055"/>
        <w:ind w:firstLine="4828"/>
        <w:jc w:val="left"/>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供应商</w:t>
      </w:r>
      <w:r>
        <w:rPr>
          <w:rFonts w:hint="eastAsia" w:ascii="宋体" w:hAnsi="宋体" w:cs="宋体"/>
          <w:bCs/>
          <w:color w:val="auto"/>
          <w:sz w:val="24"/>
          <w:highlight w:val="none"/>
        </w:rPr>
        <w:t xml:space="preserve">（电子签章）</w:t>
      </w:r>
      <w:r>
        <w:rPr>
          <w:rStyle w:val="1303"/>
          <w:rFonts w:hint="eastAsia" w:hAnsi="宋体" w:cs="宋体"/>
          <w:color w:val="auto"/>
          <w:szCs w:val="24"/>
          <w:highlight w:val="none"/>
        </w:rPr>
        <w:t xml:space="preserve">：</w:t>
      </w:r>
      <w:r/>
    </w:p>
    <w:p>
      <w:pPr>
        <w:pStyle w:val="1055"/>
        <w:ind w:firstLine="4828"/>
        <w:spacing w:line="312" w:lineRule="auto"/>
        <w:widowControl w:val="off"/>
        <w:rPr>
          <w:rStyle w:val="1303"/>
          <w:rFonts w:hAnsi="宋体" w:cs="宋体"/>
          <w:color w:val="auto"/>
          <w:szCs w:val="24"/>
          <w:highlight w:val="none"/>
        </w:rPr>
      </w:pPr>
      <w:r>
        <w:rPr>
          <w:rStyle w:val="1303"/>
          <w:rFonts w:hint="eastAsia" w:hAnsi="宋体" w:cs="宋体"/>
          <w:color w:val="auto"/>
          <w:szCs w:val="24"/>
          <w:highlight w:val="none"/>
        </w:rPr>
        <w:t xml:space="preserve">日期：</w:t>
      </w:r>
      <w:r/>
    </w:p>
    <w:p>
      <w:pPr>
        <w:pStyle w:val="1055"/>
        <w:jc w:val="center"/>
        <w:spacing w:line="312" w:lineRule="auto"/>
        <w:widowControl w:val="off"/>
        <w:rPr>
          <w:rStyle w:val="1303"/>
          <w:rFonts w:hAnsi="宋体" w:cs="宋体"/>
          <w:b/>
          <w:bCs/>
          <w:color w:val="auto"/>
          <w:szCs w:val="24"/>
          <w:highlight w:val="none"/>
        </w:rPr>
      </w:pPr>
      <w:r>
        <w:rPr>
          <w:rFonts w:hAnsi="宋体" w:cs="宋体"/>
          <w:b/>
          <w:bCs/>
          <w:color w:val="auto"/>
          <w:szCs w:val="24"/>
          <w:highlight w:val="none"/>
        </w:rPr>
      </w:r>
      <w:r/>
    </w:p>
    <w:p>
      <w:pPr>
        <w:pStyle w:val="1055"/>
        <w:jc w:val="center"/>
        <w:spacing w:line="312" w:lineRule="auto"/>
        <w:widowControl w:val="off"/>
        <w:rPr>
          <w:rStyle w:val="1303"/>
          <w:rFonts w:hAnsi="宋体" w:cs="宋体"/>
          <w:b/>
          <w:bCs/>
          <w:color w:val="auto"/>
          <w:szCs w:val="24"/>
          <w:highlight w:val="none"/>
        </w:rPr>
      </w:pPr>
      <w:r>
        <w:rPr>
          <w:rFonts w:hAnsi="宋体" w:cs="宋体"/>
          <w:b/>
          <w:bCs/>
          <w:color w:val="auto"/>
          <w:szCs w:val="24"/>
          <w:highlight w:val="none"/>
        </w:rPr>
      </w:r>
      <w:r/>
    </w:p>
    <w:p>
      <w:pPr>
        <w:rPr>
          <w:rStyle w:val="1303"/>
          <w:rFonts w:hAnsi="宋体" w:cs="宋体"/>
          <w:b/>
          <w:bCs/>
          <w:color w:val="auto"/>
          <w:szCs w:val="24"/>
          <w:highlight w:val="none"/>
        </w:rPr>
      </w:pPr>
      <w:r>
        <w:rPr>
          <w:rFonts w:hAnsi="宋体" w:cs="宋体"/>
          <w:b/>
          <w:bCs/>
          <w:color w:val="auto"/>
          <w:szCs w:val="24"/>
          <w:highlight w:val="none"/>
        </w:rPr>
      </w:r>
      <w:r/>
    </w:p>
    <w:p>
      <w:pPr>
        <w:rPr>
          <w:rStyle w:val="1303"/>
          <w:rFonts w:hAnsi="宋体" w:cs="宋体"/>
          <w:b/>
          <w:bCs/>
          <w:color w:val="auto"/>
          <w:szCs w:val="24"/>
          <w:highlight w:val="none"/>
        </w:rPr>
      </w:pPr>
      <w:r>
        <w:rPr>
          <w:rStyle w:val="1303"/>
          <w:rFonts w:hint="eastAsia" w:hAnsi="宋体" w:cs="宋体"/>
          <w:b/>
          <w:bCs/>
          <w:color w:val="auto"/>
          <w:szCs w:val="24"/>
          <w:highlight w:val="none"/>
        </w:rPr>
        <w:br w:type="page" w:clear="all"/>
      </w:r>
      <w:r/>
    </w:p>
    <w:p>
      <w:pPr>
        <w:pStyle w:val="1055"/>
        <w:jc w:val="center"/>
        <w:spacing w:line="312" w:lineRule="auto"/>
        <w:widowControl w:val="off"/>
        <w:rPr>
          <w:rStyle w:val="1303"/>
          <w:rFonts w:hAnsi="宋体" w:cs="宋体"/>
          <w:b/>
          <w:bCs/>
          <w:color w:val="auto"/>
          <w:szCs w:val="24"/>
          <w:highlight w:val="none"/>
        </w:rPr>
        <w:outlineLvl w:val="1"/>
      </w:pPr>
      <w:r/>
      <w:bookmarkStart w:id="76" w:name="_Toc15680"/>
      <w:r>
        <w:rPr>
          <w:rStyle w:val="1303"/>
          <w:rFonts w:hint="eastAsia" w:hAnsi="宋体" w:cs="宋体"/>
          <w:b/>
          <w:bCs/>
          <w:color w:val="auto"/>
          <w:szCs w:val="24"/>
          <w:highlight w:val="none"/>
        </w:rPr>
        <w:t xml:space="preserve">十二、</w:t>
      </w:r>
      <w:r>
        <w:rPr>
          <w:rFonts w:hint="eastAsia" w:ascii="宋体" w:hAnsi="宋体" w:cs="宋体"/>
          <w:b/>
          <w:color w:val="auto"/>
          <w:sz w:val="24"/>
          <w:highlight w:val="none"/>
        </w:rPr>
        <w:t xml:space="preserve">甲控品牌材料投标产品承诺书</w:t>
      </w:r>
      <w:bookmarkEnd w:id="76"/>
      <w:r/>
      <w:r/>
    </w:p>
    <w:p>
      <w:pPr>
        <w:pStyle w:val="1055"/>
        <w:jc w:val="left"/>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highlight w:val="none"/>
          <w:u w:val="single"/>
          <w:lang w:bidi="ar"/>
        </w:rPr>
      </w:pPr>
      <w:r>
        <w:rPr>
          <w:rFonts w:hint="eastAsia" w:ascii="宋体" w:hAnsi="宋体" w:cs="宋体"/>
          <w:color w:val="auto"/>
          <w:highlight w:val="none"/>
          <w:lang w:bidi="ar"/>
        </w:rPr>
        <w:t xml:space="preserve">致（采购人）：</w:t>
      </w:r>
      <w:r>
        <w:rPr>
          <w:rFonts w:hint="eastAsia" w:ascii="宋体" w:hAnsi="宋体" w:cs="宋体"/>
          <w:color w:val="auto"/>
          <w:highlight w:val="none"/>
          <w:u w:val="single"/>
          <w:lang w:bidi="ar"/>
        </w:rPr>
        <w:t xml:space="preserve"> </w:t>
      </w:r>
      <w:r/>
    </w:p>
    <w:p>
      <w:pPr>
        <w:pStyle w:val="1055"/>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ind w:firstLine="480"/>
        <w:jc w:val="left"/>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rPr>
        <w:t xml:space="preserve">项目名称：</w:t>
      </w:r>
      <w:r/>
    </w:p>
    <w:p>
      <w:pPr>
        <w:ind w:firstLine="480"/>
        <w:jc w:val="left"/>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1、我单位承诺关于竞争性磋商文件中约定的《甲控品牌材料一览表》的投标产品，除以下第 2 条特别说明外，均在竞争性磋商文件约定的品牌或厂家清单范围内选择，并进行自主报价，具体产品在合同履行过程中进行选择。</w:t>
      </w:r>
      <w:r/>
    </w:p>
    <w:p>
      <w:pPr>
        <w:ind w:firstLine="480"/>
        <w:jc w:val="left"/>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2、我单位同意</w:t>
      </w:r>
      <w:r>
        <w:rPr>
          <w:rFonts w:hint="eastAsia"/>
          <w:color w:val="auto"/>
          <w:sz w:val="24"/>
          <w:szCs w:val="24"/>
          <w:highlight w:val="none"/>
        </w:rPr>
        <w:t xml:space="preserve">招标人有权根据实际施工情况对甲控材料进行调整。</w:t>
      </w:r>
      <w:r/>
    </w:p>
    <w:p>
      <w:pPr>
        <w:ind w:firstLine="480"/>
        <w:jc w:val="left"/>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3、竞争性磋商文件中约定的甲控材料设备中的产品</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bidi="ar"/>
        </w:rPr>
        <w:tab/>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（如果有，无则打×），我单位拟采用</w:t>
      </w:r>
      <w:r>
        <w:rPr>
          <w:rFonts w:hint="eastAsia" w:ascii="宋体" w:hAnsi="宋体" w:cs="宋体"/>
          <w:color w:val="auto"/>
          <w:sz w:val="24"/>
          <w:szCs w:val="24"/>
          <w:highlight w:val="none"/>
          <w:u w:val="single"/>
          <w:lang w:bidi="ar"/>
        </w:rPr>
        <w:tab/>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（如果有，无则打×）品牌或厂家产品，且已在响应文件开启前获得了你方的书面同意，书面同意书原件和本承诺书一起放在响应文件中。</w:t>
      </w:r>
      <w:r/>
    </w:p>
    <w:p>
      <w:pPr>
        <w:ind w:firstLine="480"/>
        <w:jc w:val="left"/>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如果我单位所投甲控品牌材料的投标产品不在竞争性磋商文件约定的品牌或厂家清单范围内，且未经你方书面同意的，即使评标中未发现，中标后你方亦有权取消我单位中标资格，同时我单位须向你方支付签约合同价5%的违约金。</w:t>
      </w:r>
      <w:r/>
    </w:p>
    <w:p>
      <w:pPr>
        <w:ind w:firstLine="480"/>
        <w:jc w:val="left"/>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我单位在签订合同后进行甲控品牌材料采购前，须提供材料样品，并详细列出材料设备的名称、品牌、系列、规格/型号、产地、生产厂家全称、数量等技术参数内容，经监理人、你方书面认可后方可采购，工程结算时该类材料价格不予调整。</w:t>
      </w:r>
      <w:r/>
    </w:p>
    <w:p>
      <w:pPr>
        <w:pStyle w:val="1549"/>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承 诺 单 位（盖章）： </w:t>
      </w:r>
      <w:r/>
    </w:p>
    <w:p>
      <w:pPr>
        <w:ind w:firstLine="480"/>
        <w:jc w:val="left"/>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法定代表人或其委托代理人：（签字或盖章）</w:t>
      </w:r>
      <w:r/>
    </w:p>
    <w:p>
      <w:pPr>
        <w:ind w:firstLine="480"/>
        <w:jc w:val="left"/>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年 月 日 </w:t>
      </w:r>
      <w:r/>
    </w:p>
    <w:p>
      <w:pPr>
        <w:pStyle w:val="1055"/>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055"/>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注：1、如果不提供《甲控品牌材料投标产品承诺书》将视为没有实质性响应。</w:t>
      </w:r>
      <w:r/>
    </w:p>
    <w:p>
      <w:pPr>
        <w:pStyle w:val="1055"/>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2、响应供应商对以上数据的真实性负责。</w:t>
      </w:r>
      <w:r/>
    </w:p>
    <w:p>
      <w:pPr>
        <w:rPr>
          <w:rFonts w:ascii="宋体" w:hAnsi="宋体" w:cs="宋体"/>
          <w:b/>
          <w:bCs/>
          <w:color w:val="auto"/>
          <w:sz w:val="24"/>
          <w:highlight w:val="none"/>
        </w:rPr>
      </w:pPr>
      <w:r>
        <w:rPr>
          <w:rFonts w:ascii="宋体" w:hAnsi="宋体" w:cs="宋体"/>
          <w:b/>
          <w:bCs/>
          <w:color w:val="auto"/>
          <w:sz w:val="24"/>
          <w:highlight w:val="none"/>
        </w:rPr>
      </w:r>
      <w:r/>
    </w:p>
    <w:p>
      <w:pPr>
        <w:rPr>
          <w:rFonts w:ascii="宋体" w:hAnsi="宋体" w:cs="宋体"/>
          <w:b/>
          <w:bCs/>
          <w:color w:val="auto"/>
          <w:sz w:val="24"/>
          <w:highlight w:val="none"/>
        </w:rPr>
      </w:pPr>
      <w:r>
        <w:rPr>
          <w:rFonts w:ascii="宋体" w:hAnsi="宋体" w:cs="宋体"/>
          <w:b/>
          <w:bCs/>
          <w:color w:val="auto"/>
          <w:sz w:val="24"/>
          <w:highlight w:val="none"/>
        </w:rPr>
      </w:r>
      <w:r/>
    </w:p>
    <w:p>
      <w:pPr>
        <w:jc w:val="center"/>
        <w:rPr>
          <w:rFonts w:ascii="宋体" w:hAnsi="宋体" w:cs="宋体"/>
          <w:b/>
          <w:bCs/>
          <w:i/>
          <w:iCs/>
          <w:color w:val="auto"/>
          <w:sz w:val="24"/>
          <w:highlight w:val="none"/>
        </w:rPr>
      </w:pPr>
      <w:r>
        <w:rPr>
          <w:rFonts w:hint="eastAsia" w:ascii="宋体" w:hAnsi="宋体" w:cs="宋体"/>
          <w:b/>
          <w:bCs/>
          <w:i/>
          <w:iCs/>
          <w:color w:val="auto"/>
          <w:sz w:val="24"/>
          <w:highlight w:val="none"/>
          <w:u w:val="single"/>
        </w:rPr>
        <w:t xml:space="preserve">采购人或采购代理机构有权将以上内容进行公示</w:t>
      </w:r>
      <w:r>
        <w:rPr>
          <w:rFonts w:hint="eastAsia" w:ascii="宋体" w:hAnsi="宋体" w:cs="宋体"/>
          <w:b/>
          <w:bCs/>
          <w:i/>
          <w:iCs/>
          <w:color w:val="auto"/>
          <w:sz w:val="24"/>
          <w:highlight w:val="none"/>
        </w:rPr>
        <w:t xml:space="preserve">。</w:t>
      </w:r>
      <w:r/>
    </w:p>
    <w:p>
      <w:pPr>
        <w:jc w:val="center"/>
        <w:spacing w:line="360" w:lineRule="auto"/>
        <w:rPr>
          <w:rFonts w:ascii="宋体" w:hAnsi="宋体" w:cs="宋体"/>
          <w:b/>
          <w:color w:val="auto"/>
          <w:sz w:val="24"/>
          <w:highlight w:val="none"/>
          <w:lang w:bidi="ar"/>
        </w:rPr>
      </w:pPr>
      <w:r>
        <w:rPr>
          <w:rFonts w:ascii="宋体" w:hAnsi="宋体" w:cs="宋体"/>
          <w:b/>
          <w:color w:val="auto"/>
          <w:sz w:val="24"/>
          <w:highlight w:val="none"/>
          <w:lang w:bidi="ar"/>
        </w:rPr>
      </w:r>
      <w:r/>
    </w:p>
    <w:p>
      <w:pPr>
        <w:jc w:val="center"/>
        <w:spacing w:line="360" w:lineRule="auto"/>
        <w:rPr>
          <w:rFonts w:ascii="宋体" w:hAnsi="宋体" w:cs="宋体"/>
          <w:b/>
          <w:bCs/>
          <w:color w:val="auto"/>
          <w:sz w:val="24"/>
          <w:szCs w:val="24"/>
          <w:highlight w:val="none"/>
          <w:lang w:bidi="ar"/>
        </w:rPr>
      </w:pPr>
      <w:r>
        <w:rPr>
          <w:rFonts w:ascii="宋体" w:hAnsi="宋体" w:cs="宋体"/>
          <w:b/>
          <w:color w:val="auto"/>
          <w:sz w:val="24"/>
          <w:highlight w:val="none"/>
          <w:lang w:bidi="ar"/>
        </w:rPr>
      </w:r>
      <w:r>
        <w:rPr>
          <w:rFonts w:ascii="宋体" w:hAnsi="宋体" w:cs="宋体"/>
          <w:b/>
          <w:color w:val="auto"/>
          <w:sz w:val="24"/>
          <w:highlight w:val="none"/>
          <w:lang w:bidi="ar"/>
        </w:rPr>
      </w:r>
      <w:r/>
    </w:p>
    <w:p>
      <w:pPr>
        <w:jc w:val="center"/>
        <w:spacing w:line="360" w:lineRule="auto"/>
        <w:rPr>
          <w:rFonts w:ascii="宋体" w:hAnsi="宋体" w:cs="宋体"/>
          <w:b/>
          <w:bCs/>
          <w:color w:val="auto"/>
          <w:sz w:val="24"/>
          <w:szCs w:val="24"/>
          <w:highlight w:val="none"/>
          <w:lang w:bidi="ar"/>
        </w:rPr>
      </w:pPr>
      <w:r>
        <w:rPr>
          <w:rFonts w:ascii="宋体" w:hAnsi="宋体" w:cs="宋体"/>
          <w:b/>
          <w:color w:val="auto"/>
          <w:sz w:val="24"/>
          <w:highlight w:val="none"/>
          <w:lang w:bidi="ar"/>
        </w:rPr>
      </w:r>
      <w:r/>
    </w:p>
    <w:p>
      <w:pPr>
        <w:pStyle w:val="1055"/>
        <w:jc w:val="center"/>
        <w:spacing w:line="312" w:lineRule="auto"/>
        <w:widowControl w:val="off"/>
        <w:rPr>
          <w:rStyle w:val="1303"/>
          <w:rFonts w:hAnsi="宋体" w:cs="宋体"/>
          <w:color w:val="auto"/>
          <w:szCs w:val="24"/>
          <w:highlight w:val="none"/>
        </w:rPr>
        <w:outlineLvl w:val="1"/>
      </w:pPr>
      <w:r/>
      <w:bookmarkStart w:id="77" w:name="_Toc14753"/>
      <w:r>
        <w:rPr>
          <w:rStyle w:val="1303"/>
          <w:rFonts w:hint="eastAsia" w:hAnsi="宋体" w:cs="宋体"/>
          <w:b/>
          <w:bCs/>
          <w:color w:val="auto"/>
          <w:szCs w:val="24"/>
          <w:highlight w:val="none"/>
        </w:rPr>
        <w:t xml:space="preserve">十三、响应文件编制及评分细则要求提供的其他资料</w:t>
      </w:r>
      <w:bookmarkEnd w:id="73"/>
      <w:r/>
      <w:bookmarkEnd w:id="75"/>
      <w:r/>
      <w:bookmarkEnd w:id="77"/>
      <w:r/>
      <w:r/>
    </w:p>
    <w:p>
      <w:pPr>
        <w:pStyle w:val="1055"/>
        <w:jc w:val="center"/>
        <w:spacing w:line="312" w:lineRule="auto"/>
        <w:widowControl w:val="off"/>
        <w:rPr>
          <w:rStyle w:val="1303"/>
          <w:rFonts w:hAnsi="宋体" w:cs="宋体"/>
          <w:color w:val="auto"/>
          <w:szCs w:val="24"/>
          <w:highlight w:val="none"/>
        </w:rPr>
      </w:pPr>
      <w:r/>
      <w:bookmarkStart w:id="78" w:name="_Toc80122314"/>
      <w:r>
        <w:rPr>
          <w:rStyle w:val="1303"/>
          <w:rFonts w:hint="eastAsia" w:hAnsi="宋体" w:cs="宋体"/>
          <w:color w:val="auto"/>
          <w:szCs w:val="24"/>
          <w:highlight w:val="none"/>
        </w:rPr>
        <w:t xml:space="preserve">（格式自拟）</w:t>
      </w:r>
      <w:r/>
    </w:p>
    <w:p>
      <w:pPr>
        <w:pStyle w:val="1067"/>
        <w:rPr>
          <w:rStyle w:val="1303"/>
          <w:rFonts w:hAnsi="宋体" w:eastAsia="宋体" w:cs="宋体"/>
          <w:color w:val="auto"/>
          <w:szCs w:val="24"/>
          <w:highlight w:val="none"/>
        </w:rPr>
      </w:pPr>
      <w:r>
        <w:rPr>
          <w:rFonts w:hAnsi="宋体" w:eastAsia="宋体" w:cs="宋体"/>
          <w:color w:val="auto"/>
          <w:szCs w:val="24"/>
          <w:highlight w:val="none"/>
        </w:rPr>
      </w:r>
      <w:r/>
    </w:p>
    <w:p>
      <w:pPr>
        <w:pStyle w:val="1067"/>
        <w:rPr>
          <w:rStyle w:val="1303"/>
          <w:rFonts w:hAnsi="宋体" w:eastAsia="宋体" w:cs="宋体"/>
          <w:color w:val="auto"/>
          <w:szCs w:val="24"/>
          <w:highlight w:val="none"/>
        </w:rPr>
      </w:pPr>
      <w:r>
        <w:rPr>
          <w:rFonts w:hAnsi="宋体" w:eastAsia="宋体" w:cs="宋体"/>
          <w:color w:val="auto"/>
          <w:szCs w:val="24"/>
          <w:highlight w:val="none"/>
        </w:rPr>
      </w:r>
      <w:r/>
    </w:p>
    <w:p>
      <w:pPr>
        <w:jc w:val="center"/>
        <w:spacing w:line="312"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067"/>
        <w:rPr>
          <w:rStyle w:val="1303"/>
          <w:rFonts w:hAnsi="宋体" w:eastAsia="宋体" w:cs="宋体"/>
          <w:color w:val="auto"/>
          <w:szCs w:val="24"/>
          <w:highlight w:val="none"/>
        </w:rPr>
      </w:pPr>
      <w:r>
        <w:rPr>
          <w:rFonts w:hAnsi="宋体" w:eastAsia="宋体" w:cs="宋体"/>
          <w:color w:val="auto"/>
          <w:szCs w:val="24"/>
          <w:highlight w:val="none"/>
        </w:rPr>
      </w:r>
      <w:r/>
    </w:p>
    <w:p>
      <w:pPr>
        <w:pStyle w:val="1055"/>
        <w:ind w:firstLine="2800"/>
        <w:jc w:val="left"/>
        <w:spacing w:line="312" w:lineRule="auto"/>
        <w:widowControl w:val="off"/>
        <w:rPr>
          <w:rStyle w:val="1303"/>
          <w:rFonts w:hAnsi="宋体" w:cs="宋体"/>
          <w:color w:val="auto"/>
          <w:szCs w:val="24"/>
          <w:highlight w:val="none"/>
        </w:rPr>
        <w:outlineLvl w:val="1"/>
      </w:pPr>
      <w:r/>
      <w:bookmarkStart w:id="79" w:name="_Toc29022"/>
      <w:r/>
      <w:bookmarkStart w:id="80" w:name="_Toc27950"/>
      <w:r>
        <w:rPr>
          <w:rStyle w:val="1303"/>
          <w:rFonts w:hint="eastAsia" w:hAnsi="宋体" w:cs="宋体"/>
          <w:b/>
          <w:bCs/>
          <w:color w:val="auto"/>
          <w:szCs w:val="24"/>
          <w:highlight w:val="none"/>
        </w:rPr>
        <w:t xml:space="preserve">十</w:t>
      </w:r>
      <w:r>
        <w:rPr>
          <w:rStyle w:val="1303"/>
          <w:rFonts w:hint="eastAsia" w:hAnsi="宋体" w:cs="宋体"/>
          <w:b/>
          <w:bCs/>
          <w:color w:val="auto"/>
          <w:szCs w:val="24"/>
          <w:highlight w:val="none"/>
          <w:lang w:val="en-US" w:eastAsia="zh-CN"/>
        </w:rPr>
        <w:t xml:space="preserve">四</w:t>
      </w:r>
      <w:r>
        <w:rPr>
          <w:rStyle w:val="1303"/>
          <w:rFonts w:hint="eastAsia" w:hAnsi="宋体" w:cs="宋体"/>
          <w:b/>
          <w:bCs/>
          <w:color w:val="auto"/>
          <w:szCs w:val="24"/>
          <w:highlight w:val="none"/>
        </w:rPr>
        <w:t xml:space="preserve">、预付款保函支付条款模板</w:t>
      </w:r>
      <w:bookmarkEnd w:id="78"/>
      <w:r/>
      <w:bookmarkEnd w:id="79"/>
      <w:r/>
      <w:bookmarkEnd w:id="80"/>
      <w:r/>
      <w:r/>
    </w:p>
    <w:p>
      <w:pPr>
        <w:pStyle w:val="1055"/>
        <w:jc w:val="left"/>
        <w:spacing w:line="312" w:lineRule="auto"/>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符合条件一：提交预付款保函的</w:t>
      </w:r>
      <w:r/>
    </w:p>
    <w:p>
      <w:pPr>
        <w:pStyle w:val="1055"/>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（1）合同签订且乙方向甲方出具预付款保函后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人民币。</w:t>
      </w:r>
      <w:r/>
    </w:p>
    <w:p>
      <w:pPr>
        <w:pStyle w:val="1055"/>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乙方需提交的支付文件：乙方出具的全额正式发票。</w:t>
      </w:r>
      <w:r/>
    </w:p>
    <w:p>
      <w:pPr>
        <w:pStyle w:val="1055"/>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人民币 。 </w:t>
      </w:r>
      <w:r/>
    </w:p>
    <w:p>
      <w:pPr>
        <w:pStyle w:val="1055"/>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1055"/>
        <w:jc w:val="left"/>
        <w:spacing w:line="312"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符合条件二：不提交预付款保函的</w:t>
      </w:r>
      <w:r/>
    </w:p>
    <w:p>
      <w:pPr>
        <w:pStyle w:val="1055"/>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（1）合同签订后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人民币。</w:t>
      </w:r>
      <w:r/>
    </w:p>
    <w:p>
      <w:pPr>
        <w:pStyle w:val="1055"/>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乙方需提交的支付文件：乙方出具的全额正式发票。</w:t>
      </w:r>
      <w:r/>
    </w:p>
    <w:p>
      <w:pPr>
        <w:pStyle w:val="1055"/>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人民币。</w:t>
      </w:r>
      <w:r/>
    </w:p>
    <w:p>
      <w:pPr>
        <w:pStyle w:val="1055"/>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1055"/>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注: </w:t>
      </w:r>
      <w:r/>
    </w:p>
    <w:p>
      <w:pPr>
        <w:pStyle w:val="1055"/>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1、付款条件一中，出具预付款保函后支付的合同款应当与保函金额一致。</w:t>
      </w:r>
      <w:r/>
    </w:p>
    <w:p>
      <w:pPr>
        <w:pStyle w:val="1055"/>
        <w:ind w:firstLine="480"/>
        <w:jc w:val="left"/>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2、付款条件二中，预付款比例设定应符合《关于做好政府采购支持企业发展有关事项的通知》(苏财购〔2020〕52号)要求。</w:t>
      </w:r>
      <w:r/>
    </w:p>
    <w:p>
      <w:pPr>
        <w:rPr>
          <w:rStyle w:val="1303"/>
          <w:rFonts w:hAnsi="宋体" w:cs="宋体"/>
          <w:b/>
          <w:color w:val="auto"/>
          <w:szCs w:val="24"/>
          <w:highlight w:val="none"/>
        </w:rPr>
      </w:pPr>
      <w:r>
        <w:rPr>
          <w:rStyle w:val="1303"/>
          <w:rFonts w:hint="eastAsia" w:hAnsi="宋体" w:cs="宋体"/>
          <w:b/>
          <w:color w:val="auto"/>
          <w:szCs w:val="24"/>
          <w:highlight w:val="none"/>
        </w:rPr>
        <w:br w:type="page" w:clear="all"/>
      </w:r>
      <w:r/>
    </w:p>
    <w:p>
      <w:pPr>
        <w:rPr>
          <w:rFonts w:ascii="宋体" w:hAnsi="宋体" w:cs="宋体"/>
          <w:b/>
          <w:bCs/>
          <w:color w:val="auto"/>
          <w:sz w:val="36"/>
          <w:highlight w:val="none"/>
        </w:rPr>
      </w:pPr>
      <w:r>
        <w:rPr>
          <w:rFonts w:ascii="宋体" w:hAnsi="宋体" w:cs="宋体"/>
          <w:b/>
          <w:bCs/>
          <w:color w:val="auto"/>
          <w:sz w:val="36"/>
          <w:highlight w:val="none"/>
        </w:rPr>
      </w:r>
      <w:r/>
    </w:p>
    <w:p>
      <w:pPr>
        <w:pStyle w:val="1055"/>
        <w:ind w:firstLine="643"/>
        <w:jc w:val="center"/>
        <w:spacing w:line="312" w:lineRule="auto"/>
        <w:widowControl w:val="off"/>
        <w:rPr>
          <w:rStyle w:val="1303"/>
          <w:rFonts w:hAnsi="宋体" w:cs="宋体"/>
          <w:color w:val="auto"/>
          <w:szCs w:val="24"/>
          <w:highlight w:val="none"/>
        </w:rPr>
        <w:outlineLvl w:val="0"/>
      </w:pPr>
      <w:r/>
      <w:bookmarkStart w:id="81" w:name="_Toc80122315"/>
      <w:r/>
      <w:bookmarkStart w:id="82" w:name="_Toc11596"/>
      <w:r/>
      <w:bookmarkStart w:id="83" w:name="_Toc24634"/>
      <w:r>
        <w:rPr>
          <w:rStyle w:val="1303"/>
          <w:rFonts w:hint="eastAsia" w:hAnsi="宋体" w:cs="宋体"/>
          <w:b/>
          <w:bCs/>
          <w:color w:val="auto"/>
          <w:szCs w:val="24"/>
          <w:highlight w:val="none"/>
        </w:rPr>
        <w:t xml:space="preserve">第十章</w:t>
      </w:r>
      <w:bookmarkStart w:id="84" w:name="_Hlk77698623"/>
      <w:r>
        <w:rPr>
          <w:rStyle w:val="1303"/>
          <w:rFonts w:hint="eastAsia" w:hAnsi="宋体" w:cs="宋体"/>
          <w:b/>
          <w:bCs/>
          <w:color w:val="auto"/>
          <w:szCs w:val="24"/>
          <w:highlight w:val="none"/>
        </w:rPr>
        <w:t xml:space="preserve"> 拟签订的合同文本</w:t>
      </w:r>
      <w:bookmarkEnd w:id="81"/>
      <w:r/>
      <w:bookmarkEnd w:id="82"/>
      <w:r/>
      <w:bookmarkEnd w:id="83"/>
      <w:r/>
      <w:bookmarkEnd w:id="84"/>
      <w:r/>
      <w:r/>
    </w:p>
    <w:p>
      <w:pPr>
        <w:jc w:val="center"/>
        <w:spacing w:line="312" w:lineRule="auto"/>
        <w:rPr>
          <w:rFonts w:ascii="宋体" w:hAnsi="宋体" w:cs="宋体"/>
          <w:b/>
          <w:color w:val="auto"/>
          <w:sz w:val="44"/>
          <w:szCs w:val="44"/>
          <w:highlight w:val="none"/>
        </w:rPr>
      </w:pPr>
      <w:r/>
      <w:bookmarkStart w:id="85" w:name="_Toc80122316"/>
      <w:r/>
      <w:bookmarkStart w:id="86" w:name="_Toc358569763"/>
      <w:r/>
      <w:bookmarkStart w:id="87" w:name="_Toc498006748"/>
      <w:r/>
      <w:r/>
    </w:p>
    <w:p>
      <w:pPr>
        <w:pStyle w:val="1022"/>
        <w:spacing w:line="312" w:lineRule="auto"/>
        <w:rPr>
          <w:rFonts w:ascii="宋体" w:hAnsi="宋体" w:eastAsia="宋体" w:cs="宋体"/>
          <w:b/>
          <w:color w:val="auto"/>
          <w:sz w:val="44"/>
          <w:szCs w:val="44"/>
          <w:highlight w:val="none"/>
        </w:rPr>
      </w:pPr>
      <w:r>
        <w:rPr>
          <w:rFonts w:ascii="宋体" w:hAnsi="宋体" w:eastAsia="宋体" w:cs="宋体"/>
          <w:b/>
          <w:color w:val="auto"/>
          <w:sz w:val="44"/>
          <w:szCs w:val="44"/>
          <w:highlight w:val="none"/>
        </w:rPr>
      </w:r>
      <w:r/>
    </w:p>
    <w:p>
      <w:pPr>
        <w:jc w:val="center"/>
        <w:spacing w:line="312" w:lineRule="auto"/>
        <w:rPr>
          <w:rFonts w:ascii="宋体" w:hAnsi="宋体" w:cs="宋体"/>
          <w:b/>
          <w:color w:val="auto"/>
          <w:sz w:val="24"/>
          <w:szCs w:val="24"/>
          <w:highlight w:val="none"/>
        </w:rPr>
      </w:pPr>
      <w:r>
        <w:rPr>
          <w:rFonts w:hint="eastAsia" w:ascii="宋体" w:hAnsi="宋体" w:cs="宋体"/>
          <w:b/>
          <w:color w:val="auto"/>
          <w:sz w:val="44"/>
          <w:szCs w:val="44"/>
          <w:highlight w:val="none"/>
        </w:rPr>
        <w:t xml:space="preserve">建设工程施工合同</w:t>
      </w:r>
      <w:r>
        <w:rPr>
          <w:rFonts w:hint="eastAsia" w:ascii="宋体" w:hAnsi="宋体" w:cs="宋体"/>
          <w:b/>
          <w:color w:val="auto"/>
          <w:sz w:val="44"/>
          <w:szCs w:val="44"/>
          <w:highlight w:val="none"/>
        </w:rPr>
        <w:br/>
      </w:r>
      <w:r>
        <w:rPr>
          <w:rFonts w:hint="eastAsia" w:ascii="宋体" w:hAnsi="宋体" w:cs="宋体"/>
          <w:b/>
          <w:color w:val="auto"/>
          <w:sz w:val="24"/>
          <w:szCs w:val="24"/>
          <w:highlight w:val="none"/>
        </w:rPr>
        <w:t xml:space="preserve">（示范文本）</w:t>
      </w:r>
      <w:r/>
    </w:p>
    <w:p>
      <w:pPr>
        <w:jc w:val="center"/>
        <w:spacing w:line="312"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（GF—2017—0201）</w:t>
      </w:r>
      <w:r/>
    </w:p>
    <w:p>
      <w:pPr>
        <w:jc w:val="center"/>
        <w:spacing w:line="312"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312" w:lineRule="auto"/>
        <w:rPr>
          <w:rFonts w:ascii="宋体" w:hAnsi="宋体" w:cs="宋体"/>
          <w:b/>
          <w:color w:val="auto"/>
          <w:sz w:val="24"/>
          <w:szCs w:val="24"/>
          <w:highlight w:val="none"/>
        </w:rPr>
      </w:pPr>
      <w:r>
        <w:rPr>
          <w:rFonts w:ascii="宋体" w:hAnsi="宋体" w:cs="宋体"/>
          <w:b/>
          <w:color w:val="auto"/>
          <w:sz w:val="24"/>
          <w:szCs w:val="24"/>
          <w:highlight w:val="none"/>
        </w:rPr>
      </w:r>
      <w:r/>
    </w:p>
    <w:p>
      <w:pPr>
        <w:ind w:firstLine="2520"/>
        <w:spacing w:after="120"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项目名称： </w:t>
      </w:r>
      <w:r/>
    </w:p>
    <w:p>
      <w:pPr>
        <w:ind w:firstLine="2100"/>
        <w:spacing w:after="120" w:line="312"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2520"/>
        <w:spacing w:after="120" w:line="31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标段名称：</w:t>
      </w:r>
      <w:r/>
    </w:p>
    <w:p>
      <w:pPr>
        <w:pStyle w:val="1059"/>
        <w:ind w:firstLine="2400"/>
        <w:jc w:val="left"/>
        <w:spacing w:after="0" w:line="312"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59"/>
        <w:ind w:firstLine="2400"/>
        <w:jc w:val="left"/>
        <w:spacing w:after="0" w:line="312"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发包人（全称）：</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r/>
    </w:p>
    <w:p>
      <w:pPr>
        <w:pStyle w:val="1059"/>
        <w:ind w:firstLine="2400"/>
        <w:jc w:val="left"/>
        <w:spacing w:after="0" w:line="312" w:lineRule="auto"/>
        <w:rPr>
          <w:rFonts w:ascii="宋体" w:hAnsi="宋体" w:eastAsia="宋体" w:cs="宋体"/>
          <w:b/>
          <w:color w:val="auto"/>
          <w:sz w:val="24"/>
          <w:highlight w:val="none"/>
          <w:u w:val="single"/>
        </w:rPr>
      </w:pPr>
      <w:r>
        <w:rPr>
          <w:rFonts w:hint="eastAsia" w:ascii="宋体" w:hAnsi="宋体" w:eastAsia="宋体" w:cs="宋体"/>
          <w:bCs/>
          <w:color w:val="auto"/>
          <w:sz w:val="24"/>
          <w:highlight w:val="none"/>
        </w:rPr>
        <w:t xml:space="preserve">承包人（全称）：</w:t>
      </w:r>
      <w:r>
        <w:rPr>
          <w:rFonts w:hint="eastAsia" w:ascii="宋体" w:hAnsi="宋体" w:eastAsia="宋体" w:cs="宋体"/>
          <w:bCs/>
          <w:color w:val="auto"/>
          <w:sz w:val="24"/>
          <w:highlight w:val="none"/>
          <w:u w:val="single"/>
        </w:rPr>
        <w:t xml:space="preserve">              </w:t>
      </w:r>
      <w:r>
        <w:rPr>
          <w:rFonts w:hint="eastAsia" w:ascii="宋体" w:hAnsi="宋体" w:eastAsia="宋体" w:cs="宋体"/>
          <w:b/>
          <w:color w:val="auto"/>
          <w:sz w:val="24"/>
          <w:highlight w:val="none"/>
          <w:u w:val="single"/>
        </w:rPr>
        <w:t xml:space="preserve">            </w:t>
      </w:r>
      <w:r/>
    </w:p>
    <w:p>
      <w:pPr>
        <w:pStyle w:val="1059"/>
        <w:ind w:firstLine="2400"/>
        <w:jc w:val="left"/>
        <w:spacing w:after="0" w:line="312" w:lineRule="auto"/>
        <w:rPr>
          <w:rFonts w:ascii="宋体" w:hAnsi="宋体" w:eastAsia="宋体" w:cs="宋体"/>
          <w:b/>
          <w:color w:val="auto"/>
          <w:sz w:val="24"/>
          <w:highlight w:val="none"/>
        </w:rPr>
      </w:pPr>
      <w:r>
        <w:rPr>
          <w:rFonts w:hint="eastAsia" w:ascii="宋体" w:hAnsi="宋体" w:eastAsia="宋体" w:cs="宋体"/>
          <w:bCs/>
          <w:color w:val="auto"/>
          <w:sz w:val="24"/>
          <w:highlight w:val="none"/>
        </w:rPr>
        <w:t xml:space="preserve">合同签订日期：   年   月   日</w:t>
      </w:r>
      <w:r/>
    </w:p>
    <w:p>
      <w:pPr>
        <w:jc w:val="center"/>
        <w:spacing w:line="312" w:lineRule="auto"/>
        <w:rPr>
          <w:rFonts w:ascii="宋体" w:hAnsi="宋体" w:cs="宋体"/>
          <w:b/>
          <w:color w:val="auto"/>
          <w:sz w:val="24"/>
          <w:szCs w:val="24"/>
          <w:highlight w:val="none"/>
        </w:rPr>
      </w:pPr>
      <w:r>
        <w:rPr>
          <w:rFonts w:ascii="宋体" w:hAnsi="宋体" w:cs="宋体"/>
          <w:b/>
          <w:color w:val="auto"/>
          <w:sz w:val="24"/>
          <w:szCs w:val="24"/>
          <w:highlight w:val="none"/>
        </w:rPr>
      </w:r>
      <w:r/>
    </w:p>
    <w:p>
      <w:pPr>
        <w:pStyle w:val="1055"/>
        <w:ind w:firstLine="48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友情提醒：采购人与中标、成交供应商应当在中标、成交通知书发出之日起30日内，按照采购文件确定的事项签订政府采购合同。</w:t>
      </w:r>
      <w:r/>
    </w:p>
    <w:p>
      <w:pPr>
        <w:pStyle w:val="1546"/>
        <w:ind w:left="0" w:right="0" w:firstLine="560"/>
        <w:spacing w:line="312"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采购人应当自政府采购合同签订之日起2个</w:t>
      </w:r>
      <w:r>
        <w:rPr>
          <w:rFonts w:hint="eastAsia" w:ascii="宋体" w:hAnsi="宋体" w:eastAsia="宋体" w:cs="宋体"/>
          <w:bCs/>
          <w:color w:val="auto"/>
          <w:sz w:val="24"/>
          <w:szCs w:val="24"/>
          <w:highlight w:val="none"/>
        </w:rPr>
        <w:t xml:space="preserve">工作日内，将政府采购合同在省级以上人民政府财政部门指定的媒体上公告，但政府采购合同中涉及国家秘密、商业秘密的内容除外。</w:t>
      </w:r>
      <w:r/>
    </w:p>
    <w:p>
      <w:pPr>
        <w:spacing w:line="312"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1546"/>
        <w:ind w:left="0" w:right="0" w:firstLine="482"/>
        <w:spacing w:line="312" w:lineRule="auto"/>
        <w:rPr>
          <w:rStyle w:val="1547"/>
          <w:rFonts w:ascii="宋体" w:hAnsi="宋体" w:eastAsia="宋体" w:cs="宋体"/>
          <w:b/>
          <w:color w:val="auto"/>
          <w:sz w:val="24"/>
          <w:szCs w:val="24"/>
          <w:highlight w:val="none"/>
        </w:rPr>
      </w:pPr>
      <w:r>
        <w:rPr>
          <w:rStyle w:val="1547"/>
          <w:rFonts w:hint="eastAsia" w:ascii="宋体" w:hAnsi="宋体" w:eastAsia="宋体" w:cs="宋体"/>
          <w:b/>
          <w:color w:val="auto"/>
          <w:sz w:val="24"/>
          <w:szCs w:val="24"/>
          <w:highlight w:val="none"/>
        </w:rPr>
        <w:t xml:space="preserve">特别提醒：</w:t>
      </w:r>
      <w:r/>
    </w:p>
    <w:p>
      <w:pPr>
        <w:ind w:firstLine="480"/>
        <w:spacing w:line="312" w:lineRule="auto"/>
        <w:rPr>
          <w:rFonts w:ascii="宋体" w:hAnsi="宋体" w:cs="宋体"/>
          <w:b/>
          <w:color w:val="auto"/>
          <w:sz w:val="24"/>
          <w:szCs w:val="24"/>
          <w:highlight w:val="none"/>
        </w:rPr>
      </w:pPr>
      <w:r>
        <w:rPr>
          <w:rFonts w:hint="eastAsia" w:ascii="宋体" w:hAnsi="宋体" w:cs="宋体"/>
          <w:color w:val="auto"/>
          <w:sz w:val="24"/>
          <w:highlight w:val="none"/>
        </w:rPr>
        <w:t xml:space="preserve">中标人领取中标通知书时须向代理机构提交纸质胶装投标文件一正四副，及电子版投标文件2份（U盘）。</w:t>
      </w:r>
      <w:r/>
    </w:p>
    <w:p>
      <w:pPr>
        <w:rPr>
          <w:rFonts w:ascii="宋体" w:hAnsi="宋体" w:cs="宋体"/>
          <w:b/>
          <w:color w:val="auto"/>
          <w:sz w:val="24"/>
          <w:szCs w:val="24"/>
          <w:highlight w:val="none"/>
        </w:rPr>
      </w:pPr>
      <w:r>
        <w:rPr>
          <w:rFonts w:hint="eastAsia" w:ascii="宋体" w:hAnsi="宋体" w:cs="宋体"/>
          <w:b/>
          <w:color w:val="auto"/>
          <w:sz w:val="24"/>
          <w:szCs w:val="24"/>
          <w:highlight w:val="none"/>
        </w:rPr>
        <w:br w:type="page" w:clear="all"/>
      </w:r>
      <w:bookmarkStart w:id="88" w:name="_Toc91836564"/>
      <w:r/>
      <w:bookmarkStart w:id="89" w:name="_Toc107246271"/>
      <w:r/>
      <w:r/>
    </w:p>
    <w:p>
      <w:pPr>
        <w:ind w:firstLine="400"/>
        <w:jc w:val="center"/>
        <w:spacing w:line="400" w:lineRule="exact"/>
        <w:rPr>
          <w:rFonts w:ascii="宋体" w:hAnsi="宋体" w:cs="宋体"/>
          <w:color w:val="auto"/>
          <w:highlight w:val="none"/>
        </w:rPr>
        <w:outlineLvl w:val="0"/>
      </w:pPr>
      <w:r/>
      <w:bookmarkStart w:id="90" w:name="_Toc15200"/>
      <w:r>
        <w:rPr>
          <w:rFonts w:hint="eastAsia" w:ascii="宋体" w:hAnsi="宋体" w:cs="宋体"/>
          <w:color w:val="auto"/>
          <w:highlight w:val="none"/>
        </w:rPr>
        <w:t xml:space="preserve">第一部分 合同协议书</w:t>
      </w:r>
      <w:bookmarkEnd w:id="90"/>
      <w:r/>
      <w:r/>
    </w:p>
    <w:p>
      <w:pPr>
        <w:ind w:firstLine="400"/>
        <w:jc w:val="left"/>
        <w:spacing w:line="400" w:lineRule="exact"/>
        <w:rPr>
          <w:rFonts w:ascii="宋体" w:hAnsi="宋体" w:cs="宋体"/>
          <w:color w:val="auto"/>
          <w:highlight w:val="none"/>
        </w:rPr>
      </w:pPr>
      <w:r>
        <w:rPr>
          <w:rFonts w:ascii="宋体" w:hAnsi="宋体" w:cs="宋体"/>
          <w:color w:val="auto"/>
          <w:highlight w:val="none"/>
        </w:rPr>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发包人（全称）：</w:t>
      </w:r>
      <w:r>
        <w:rPr>
          <w:rFonts w:hint="eastAsia" w:ascii="宋体" w:hAnsi="宋体" w:cs="宋体"/>
          <w:color w:val="auto"/>
          <w:highlight w:val="none"/>
          <w:lang w:eastAsia="zh-CN"/>
        </w:rPr>
        <w:t xml:space="preserve">江苏省徐州监狱</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承包人（全称）：     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根据《中华人民共和国民法典》、《中华人民共和国建筑法》及有关法律规定，遵循平等、自愿、公平和诚实信用的原则，双方就</w:t>
      </w:r>
      <w:r>
        <w:rPr>
          <w:rFonts w:hint="eastAsia" w:ascii="宋体" w:hAnsi="宋体" w:cs="宋体"/>
          <w:color w:val="auto"/>
          <w:highlight w:val="none"/>
          <w:u w:val="single"/>
        </w:rPr>
        <w:t xml:space="preserve"> 会见楼1、2层维修改造项目（土建装饰）工程 </w:t>
      </w:r>
      <w:r>
        <w:rPr>
          <w:rFonts w:hint="eastAsia" w:ascii="宋体" w:hAnsi="宋体" w:cs="宋体"/>
          <w:color w:val="auto"/>
          <w:highlight w:val="none"/>
        </w:rPr>
        <w:t xml:space="preserve">施工及有关事项协商一致，共同达成如下协议：</w:t>
      </w:r>
      <w:r/>
    </w:p>
    <w:p>
      <w:pPr>
        <w:ind w:firstLine="400"/>
        <w:jc w:val="left"/>
        <w:spacing w:line="400" w:lineRule="exact"/>
        <w:rPr>
          <w:rFonts w:ascii="宋体" w:hAnsi="宋体" w:cs="宋体"/>
          <w:color w:val="auto"/>
          <w:highlight w:val="none"/>
        </w:rPr>
      </w:pPr>
      <w:r/>
      <w:bookmarkStart w:id="91" w:name="_Toc351203481"/>
      <w:r>
        <w:rPr>
          <w:rFonts w:hint="eastAsia" w:ascii="宋体" w:hAnsi="宋体" w:cs="宋体"/>
          <w:color w:val="auto"/>
          <w:highlight w:val="none"/>
        </w:rPr>
        <w:t xml:space="preserve">一、工程概况</w:t>
      </w:r>
      <w:bookmarkEnd w:id="91"/>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1.工程名称：</w:t>
      </w:r>
      <w:r>
        <w:rPr>
          <w:rFonts w:hint="eastAsia" w:ascii="宋体" w:hAnsi="宋体" w:cs="宋体"/>
          <w:color w:val="auto"/>
          <w:highlight w:val="none"/>
          <w:u w:val="single"/>
        </w:rPr>
        <w:t xml:space="preserve">会见楼1、2层维修改造项目（土建装饰）工程</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2.工程地点：</w:t>
      </w:r>
      <w:r>
        <w:rPr>
          <w:rFonts w:hint="eastAsia" w:ascii="宋体" w:hAnsi="宋体" w:cs="宋体"/>
          <w:color w:val="auto"/>
          <w:highlight w:val="none"/>
          <w:u w:val="single"/>
        </w:rPr>
        <w:t xml:space="preserve">徐州市鼓楼区180号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3.工程立项批准文号：</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4.资金来源：</w:t>
      </w:r>
      <w:r>
        <w:rPr>
          <w:rFonts w:hint="eastAsia" w:ascii="宋体" w:hAnsi="宋体" w:cs="宋体"/>
          <w:color w:val="auto"/>
          <w:highlight w:val="none"/>
          <w:u w:val="single"/>
        </w:rPr>
        <w:t xml:space="preserve">财政 资金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5.工程内容：具体详见工程量清单。</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群体工程应附《承包人承揽工程项目一览表》（附件1）。</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6.工程承包范围：工程量清单及施工图纸所含全部内容。</w:t>
      </w:r>
      <w:r/>
    </w:p>
    <w:p>
      <w:pPr>
        <w:ind w:firstLine="400"/>
        <w:jc w:val="left"/>
        <w:spacing w:line="400" w:lineRule="exact"/>
        <w:rPr>
          <w:rFonts w:ascii="宋体" w:hAnsi="宋体" w:cs="宋体"/>
          <w:color w:val="auto"/>
          <w:highlight w:val="none"/>
        </w:rPr>
      </w:pPr>
      <w:r/>
      <w:bookmarkStart w:id="92" w:name="_Toc351203482"/>
      <w:r>
        <w:rPr>
          <w:rFonts w:hint="eastAsia" w:ascii="宋体" w:hAnsi="宋体" w:cs="宋体"/>
          <w:color w:val="auto"/>
          <w:highlight w:val="none"/>
        </w:rPr>
        <w:t xml:space="preserve">二、合同工期</w:t>
      </w:r>
      <w:bookmarkEnd w:id="92"/>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计划开工日期：</w:t>
      </w:r>
      <w:r>
        <w:rPr>
          <w:rFonts w:hint="eastAsia" w:ascii="宋体" w:hAnsi="宋体" w:cs="宋体"/>
          <w:color w:val="auto"/>
          <w:highlight w:val="none"/>
          <w:u w:val="single"/>
        </w:rPr>
        <w:t xml:space="preserve"> 2026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6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17   </w:t>
      </w:r>
      <w:r>
        <w:rPr>
          <w:rFonts w:hint="eastAsia" w:ascii="宋体" w:hAnsi="宋体" w:cs="宋体"/>
          <w:color w:val="auto"/>
          <w:highlight w:val="none"/>
        </w:rPr>
        <w:t xml:space="preserve">日。</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计划竣工日期： </w:t>
      </w:r>
      <w:r>
        <w:rPr>
          <w:rFonts w:hint="eastAsia" w:ascii="宋体" w:hAnsi="宋体" w:cs="宋体"/>
          <w:color w:val="auto"/>
          <w:highlight w:val="none"/>
          <w:u w:val="single"/>
        </w:rPr>
        <w:t xml:space="preserve"> 2026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7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11   </w:t>
      </w:r>
      <w:r>
        <w:rPr>
          <w:rFonts w:hint="eastAsia" w:ascii="宋体" w:hAnsi="宋体" w:cs="宋体"/>
          <w:color w:val="auto"/>
          <w:highlight w:val="none"/>
        </w:rPr>
        <w:t xml:space="preserve">日。</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工期总日历天数：</w:t>
      </w:r>
      <w:r>
        <w:rPr>
          <w:rFonts w:hint="eastAsia" w:ascii="宋体" w:hAnsi="宋体" w:cs="宋体"/>
          <w:color w:val="auto"/>
          <w:highlight w:val="none"/>
          <w:u w:val="single"/>
        </w:rPr>
        <w:t xml:space="preserve"> 25日历天</w:t>
      </w:r>
      <w:r>
        <w:rPr>
          <w:rFonts w:hint="eastAsia" w:ascii="宋体" w:hAnsi="宋体" w:cs="宋体"/>
          <w:color w:val="auto"/>
          <w:highlight w:val="none"/>
        </w:rPr>
        <w:t xml:space="preserve">。工期总日历天数与根据前述计划开竣工日期计算的工期天数不一致的，以工期总日历天数为准。</w:t>
      </w:r>
      <w:r/>
    </w:p>
    <w:p>
      <w:pPr>
        <w:ind w:firstLine="400"/>
        <w:jc w:val="left"/>
        <w:spacing w:line="400" w:lineRule="exact"/>
        <w:rPr>
          <w:rFonts w:ascii="宋体" w:hAnsi="宋体" w:cs="宋体"/>
          <w:color w:val="auto"/>
          <w:highlight w:val="none"/>
        </w:rPr>
      </w:pPr>
      <w:r/>
      <w:bookmarkStart w:id="93" w:name="_Toc351203483"/>
      <w:r>
        <w:rPr>
          <w:rFonts w:hint="eastAsia" w:ascii="宋体" w:hAnsi="宋体" w:cs="宋体"/>
          <w:color w:val="auto"/>
          <w:highlight w:val="none"/>
        </w:rPr>
        <w:t xml:space="preserve">三、质量标准</w:t>
      </w:r>
      <w:bookmarkEnd w:id="93"/>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工程质量符合</w:t>
      </w:r>
      <w:r>
        <w:rPr>
          <w:rFonts w:hint="eastAsia" w:ascii="宋体" w:hAnsi="宋体" w:cs="宋体"/>
          <w:color w:val="auto"/>
          <w:highlight w:val="none"/>
          <w:u w:val="single"/>
        </w:rPr>
        <w:t xml:space="preserve">合格</w:t>
      </w:r>
      <w:r>
        <w:rPr>
          <w:rFonts w:hint="eastAsia" w:ascii="宋体" w:hAnsi="宋体" w:cs="宋体"/>
          <w:color w:val="auto"/>
          <w:highlight w:val="none"/>
        </w:rPr>
        <w:t xml:space="preserve">标准。</w:t>
      </w:r>
      <w:r/>
    </w:p>
    <w:p>
      <w:pPr>
        <w:ind w:firstLine="400"/>
        <w:jc w:val="left"/>
        <w:spacing w:line="400" w:lineRule="exact"/>
        <w:rPr>
          <w:rFonts w:ascii="宋体" w:hAnsi="宋体" w:cs="宋体"/>
          <w:color w:val="auto"/>
          <w:highlight w:val="none"/>
        </w:rPr>
      </w:pPr>
      <w:r/>
      <w:bookmarkStart w:id="94" w:name="_Toc351203484"/>
      <w:r>
        <w:rPr>
          <w:rFonts w:hint="eastAsia" w:ascii="宋体" w:hAnsi="宋体" w:cs="宋体"/>
          <w:color w:val="auto"/>
          <w:highlight w:val="none"/>
        </w:rPr>
        <w:t xml:space="preserve">四、签约合同价与合同价格形式</w:t>
      </w:r>
      <w:bookmarkEnd w:id="94"/>
      <w:r>
        <w:rPr>
          <w:rFonts w:hint="eastAsia" w:ascii="宋体" w:hAnsi="宋体" w:cs="宋体"/>
          <w:color w:val="auto"/>
          <w:highlight w:val="none"/>
        </w:rPr>
        <w:tab/>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1.签约合同价为：</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shd w:val="clear" w:color="auto" w:fill="ffffff"/>
        </w:rPr>
        <w:t xml:space="preserve">元</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其中：</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（1）安全文明施工费：</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人民币（大写）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元)；</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（2）材料和工程设备暂估价金额：</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人民币（大写）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元)；</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（3）专业工程暂估价金额：</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人民币（大写）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元)；</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（4）暂列金额：</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2.合同价格形式：</w:t>
      </w:r>
      <w:r>
        <w:rPr>
          <w:rFonts w:hint="eastAsia" w:ascii="宋体" w:hAnsi="宋体" w:cs="宋体"/>
          <w:color w:val="auto"/>
          <w:highlight w:val="none"/>
          <w:u w:val="single"/>
        </w:rPr>
        <w:t xml:space="preserve">固定单价合同</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bookmarkStart w:id="95" w:name="_Toc351203485"/>
      <w:r>
        <w:rPr>
          <w:rFonts w:hint="eastAsia" w:ascii="宋体" w:hAnsi="宋体" w:cs="宋体"/>
          <w:color w:val="auto"/>
          <w:highlight w:val="none"/>
        </w:rPr>
        <w:t xml:space="preserve">五、</w:t>
      </w:r>
      <w:bookmarkEnd w:id="95"/>
      <w:r>
        <w:rPr>
          <w:rFonts w:hint="eastAsia" w:ascii="宋体" w:hAnsi="宋体" w:cs="宋体"/>
          <w:color w:val="auto"/>
          <w:highlight w:val="none"/>
        </w:rPr>
        <w:t xml:space="preserve">项目经理</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承包人项目经理：</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bookmarkStart w:id="96" w:name="_Toc351203486"/>
      <w:r>
        <w:rPr>
          <w:rFonts w:hint="eastAsia" w:ascii="宋体" w:hAnsi="宋体" w:cs="宋体"/>
          <w:color w:val="auto"/>
          <w:highlight w:val="none"/>
        </w:rPr>
        <w:t xml:space="preserve">六、合同文件构成</w:t>
      </w:r>
      <w:bookmarkEnd w:id="96"/>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本协议书与下列文件一起构成合同文件：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（1）成交通知书（如有）；</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（2）投标函及其附录（如有）；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（3）专用合同条款及其附件；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（4）通用合同条款；</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（5）技术标准和要求；</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（6）图纸；</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（7）已标价工程量清单或预算书；</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（8）其他合同文件。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在合同订立及履行过程中形成的与合同有关的文件均构成合同文件组成部分。</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00"/>
        <w:jc w:val="left"/>
        <w:spacing w:line="400" w:lineRule="exact"/>
        <w:rPr>
          <w:rFonts w:ascii="宋体" w:hAnsi="宋体" w:cs="宋体"/>
          <w:color w:val="auto"/>
          <w:highlight w:val="none"/>
        </w:rPr>
      </w:pPr>
      <w:r/>
      <w:bookmarkStart w:id="97" w:name="_Toc351203487"/>
      <w:r>
        <w:rPr>
          <w:rFonts w:hint="eastAsia" w:ascii="宋体" w:hAnsi="宋体" w:cs="宋体"/>
          <w:color w:val="auto"/>
          <w:highlight w:val="none"/>
        </w:rPr>
        <w:t xml:space="preserve">七、承诺</w:t>
      </w:r>
      <w:bookmarkEnd w:id="97"/>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1.发包人承诺按照法律规定履行项目审批手续、筹集工程建设资金并按照合同约定的期限和方式支付合同价款。</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3.发包人和承包人通过招投标形式签订合同的，双方理解并承诺不再就同一工程另行签订与合同实质性内容相背离的协议。</w:t>
      </w:r>
      <w:r/>
    </w:p>
    <w:p>
      <w:pPr>
        <w:ind w:firstLine="400"/>
        <w:jc w:val="left"/>
        <w:spacing w:line="400" w:lineRule="exact"/>
        <w:rPr>
          <w:rFonts w:ascii="宋体" w:hAnsi="宋体" w:cs="宋体"/>
          <w:color w:val="auto"/>
          <w:highlight w:val="none"/>
        </w:rPr>
      </w:pPr>
      <w:r/>
      <w:bookmarkStart w:id="98" w:name="_Toc351203488"/>
      <w:r>
        <w:rPr>
          <w:rFonts w:hint="eastAsia" w:ascii="宋体" w:hAnsi="宋体" w:cs="宋体"/>
          <w:color w:val="auto"/>
          <w:highlight w:val="none"/>
        </w:rPr>
        <w:t xml:space="preserve">八、词语含义</w:t>
      </w:r>
      <w:bookmarkEnd w:id="98"/>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本协议书中词语含义与第二部分通用合同条款中赋予的含义相同。</w:t>
      </w:r>
      <w:r/>
    </w:p>
    <w:p>
      <w:pPr>
        <w:ind w:firstLine="400"/>
        <w:jc w:val="left"/>
        <w:spacing w:line="400" w:lineRule="exact"/>
        <w:rPr>
          <w:rFonts w:ascii="宋体" w:hAnsi="宋体" w:cs="宋体"/>
          <w:color w:val="auto"/>
          <w:highlight w:val="none"/>
        </w:rPr>
      </w:pPr>
      <w:r/>
      <w:bookmarkStart w:id="99" w:name="_Toc351203489"/>
      <w:r>
        <w:rPr>
          <w:rFonts w:hint="eastAsia" w:ascii="宋体" w:hAnsi="宋体" w:cs="宋体"/>
          <w:color w:val="auto"/>
          <w:highlight w:val="none"/>
        </w:rPr>
        <w:t xml:space="preserve">九、签订时间</w:t>
      </w:r>
      <w:bookmarkEnd w:id="99"/>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本合同于</w:t>
      </w:r>
      <w:r>
        <w:rPr>
          <w:rFonts w:hint="eastAsia" w:ascii="宋体" w:hAnsi="宋体" w:cs="宋体"/>
          <w:color w:val="auto"/>
          <w:highlight w:val="none"/>
          <w:u w:val="single"/>
        </w:rPr>
        <w:t xml:space="preserve"> 2026  </w:t>
      </w:r>
      <w:r>
        <w:rPr>
          <w:rFonts w:hint="eastAsia" w:ascii="宋体" w:hAnsi="宋体" w:cs="宋体"/>
          <w:color w:val="auto"/>
          <w:highlight w:val="none"/>
        </w:rPr>
        <w:t xml:space="preserve"> 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日签订。</w:t>
      </w:r>
      <w:r/>
    </w:p>
    <w:p>
      <w:pPr>
        <w:ind w:firstLine="400"/>
        <w:jc w:val="left"/>
        <w:spacing w:line="400" w:lineRule="exact"/>
        <w:rPr>
          <w:rFonts w:ascii="宋体" w:hAnsi="宋体" w:cs="宋体"/>
          <w:color w:val="auto"/>
          <w:highlight w:val="none"/>
        </w:rPr>
      </w:pPr>
      <w:r/>
      <w:bookmarkStart w:id="100" w:name="_Toc351203490"/>
      <w:r>
        <w:rPr>
          <w:rFonts w:hint="eastAsia" w:ascii="宋体" w:hAnsi="宋体" w:cs="宋体"/>
          <w:color w:val="auto"/>
          <w:highlight w:val="none"/>
        </w:rPr>
        <w:t xml:space="preserve">十、签订地点</w:t>
      </w:r>
      <w:bookmarkEnd w:id="100"/>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本合同在</w:t>
      </w:r>
      <w:r>
        <w:rPr>
          <w:rFonts w:hint="eastAsia" w:ascii="宋体" w:hAnsi="宋体" w:cs="宋体"/>
          <w:color w:val="auto"/>
          <w:highlight w:val="none"/>
          <w:u w:val="single"/>
        </w:rPr>
        <w:t xml:space="preserve">徐州市鼓楼区铜沛路180号 </w:t>
      </w:r>
      <w:r>
        <w:rPr>
          <w:rFonts w:hint="eastAsia" w:ascii="宋体" w:hAnsi="宋体" w:cs="宋体"/>
          <w:color w:val="auto"/>
          <w:highlight w:val="none"/>
        </w:rPr>
        <w:t xml:space="preserve">签订。</w:t>
      </w:r>
      <w:r/>
    </w:p>
    <w:p>
      <w:pPr>
        <w:ind w:firstLine="400"/>
        <w:jc w:val="left"/>
        <w:spacing w:line="400" w:lineRule="exact"/>
        <w:rPr>
          <w:rFonts w:ascii="宋体" w:hAnsi="宋体" w:cs="宋体"/>
          <w:color w:val="auto"/>
          <w:highlight w:val="none"/>
        </w:rPr>
      </w:pPr>
      <w:r/>
      <w:bookmarkStart w:id="101" w:name="_Toc351203491"/>
      <w:r>
        <w:rPr>
          <w:rFonts w:hint="eastAsia" w:ascii="宋体" w:hAnsi="宋体" w:cs="宋体"/>
          <w:color w:val="auto"/>
          <w:highlight w:val="none"/>
        </w:rPr>
        <w:t xml:space="preserve">十一、补充协议</w:t>
      </w:r>
      <w:bookmarkEnd w:id="101"/>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合同未尽事宜，合同当事人另行签订补充协议，补充协议是合同的组成部分。</w:t>
      </w:r>
      <w:r/>
    </w:p>
    <w:p>
      <w:pPr>
        <w:ind w:firstLine="400"/>
        <w:jc w:val="left"/>
        <w:spacing w:line="400" w:lineRule="exact"/>
        <w:rPr>
          <w:rFonts w:ascii="宋体" w:hAnsi="宋体" w:cs="宋体"/>
          <w:color w:val="auto"/>
          <w:highlight w:val="none"/>
        </w:rPr>
      </w:pPr>
      <w:r/>
      <w:bookmarkStart w:id="102" w:name="_Toc351203492"/>
      <w:r>
        <w:rPr>
          <w:rFonts w:hint="eastAsia" w:ascii="宋体" w:hAnsi="宋体" w:cs="宋体"/>
          <w:color w:val="auto"/>
          <w:highlight w:val="none"/>
        </w:rPr>
        <w:t xml:space="preserve">十二、合同生效</w:t>
      </w:r>
      <w:bookmarkEnd w:id="102"/>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本合同自双方签字并盖章后生效。</w:t>
      </w:r>
      <w:r/>
    </w:p>
    <w:p>
      <w:pPr>
        <w:ind w:firstLine="400"/>
        <w:jc w:val="left"/>
        <w:spacing w:line="400" w:lineRule="exact"/>
        <w:rPr>
          <w:rFonts w:ascii="宋体" w:hAnsi="宋体" w:cs="宋体"/>
          <w:color w:val="auto"/>
          <w:highlight w:val="none"/>
        </w:rPr>
      </w:pPr>
      <w:r/>
      <w:bookmarkStart w:id="103" w:name="_Toc351203493"/>
      <w:r>
        <w:rPr>
          <w:rFonts w:hint="eastAsia" w:ascii="宋体" w:hAnsi="宋体" w:cs="宋体"/>
          <w:color w:val="auto"/>
          <w:highlight w:val="none"/>
        </w:rPr>
        <w:t xml:space="preserve">十三、合同份数</w:t>
      </w:r>
      <w:bookmarkEnd w:id="103"/>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本合同一式</w:t>
      </w:r>
      <w:r>
        <w:rPr>
          <w:rFonts w:hint="eastAsia" w:ascii="宋体" w:hAnsi="宋体" w:cs="宋体"/>
          <w:color w:val="auto"/>
          <w:highlight w:val="none"/>
          <w:u w:val="single"/>
        </w:rPr>
        <w:t xml:space="preserve">  6  </w:t>
      </w:r>
      <w:r>
        <w:rPr>
          <w:rFonts w:hint="eastAsia" w:ascii="宋体" w:hAnsi="宋体" w:cs="宋体"/>
          <w:color w:val="auto"/>
          <w:highlight w:val="none"/>
        </w:rPr>
        <w:t xml:space="preserve">份，均具有同等法律效力，发包人执</w:t>
      </w:r>
      <w:r>
        <w:rPr>
          <w:rFonts w:hint="eastAsia" w:ascii="宋体" w:hAnsi="宋体" w:cs="宋体"/>
          <w:color w:val="auto"/>
          <w:highlight w:val="none"/>
          <w:u w:val="single"/>
        </w:rPr>
        <w:t xml:space="preserve"> 4  </w:t>
      </w:r>
      <w:r>
        <w:rPr>
          <w:rFonts w:hint="eastAsia" w:ascii="宋体" w:hAnsi="宋体" w:cs="宋体"/>
          <w:color w:val="auto"/>
          <w:highlight w:val="none"/>
        </w:rPr>
        <w:t xml:space="preserve">份，承包人执 </w:t>
      </w:r>
      <w:r>
        <w:rPr>
          <w:rFonts w:hint="eastAsia" w:ascii="宋体" w:hAnsi="宋体" w:cs="宋体"/>
          <w:color w:val="auto"/>
          <w:highlight w:val="none"/>
          <w:u w:val="single"/>
        </w:rPr>
        <w:t xml:space="preserve"> 2 </w:t>
      </w:r>
      <w:r>
        <w:rPr>
          <w:rFonts w:hint="eastAsia" w:ascii="宋体" w:hAnsi="宋体" w:cs="宋体"/>
          <w:color w:val="auto"/>
          <w:highlight w:val="none"/>
        </w:rPr>
        <w:t xml:space="preserve"> 份。</w:t>
      </w:r>
      <w:r/>
    </w:p>
    <w:p>
      <w:pPr>
        <w:ind w:firstLine="400"/>
        <w:jc w:val="left"/>
        <w:spacing w:line="400" w:lineRule="exact"/>
        <w:rPr>
          <w:rFonts w:ascii="宋体" w:hAnsi="宋体" w:cs="宋体"/>
          <w:color w:val="auto"/>
          <w:highlight w:val="none"/>
        </w:rPr>
      </w:pPr>
      <w:r>
        <w:rPr>
          <w:rFonts w:ascii="宋体" w:hAnsi="宋体" w:cs="宋体"/>
          <w:color w:val="auto"/>
          <w:highlight w:val="none"/>
        </w:rPr>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  (公章)             承包人：  (公章)</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法定代表人或其委托代理人：  法定代表人或其委托代理人：</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（签字）                    （签字）</w:t>
      </w:r>
      <w:r/>
    </w:p>
    <w:p>
      <w:pPr>
        <w:ind w:firstLine="400"/>
        <w:jc w:val="left"/>
        <w:spacing w:line="400" w:lineRule="exact"/>
        <w:rPr>
          <w:rFonts w:ascii="宋体" w:hAnsi="宋体" w:cs="宋体"/>
          <w:color w:val="auto"/>
          <w:highlight w:val="none"/>
        </w:rPr>
      </w:pPr>
      <w:r>
        <w:rPr>
          <w:rFonts w:ascii="宋体" w:hAnsi="宋体" w:cs="宋体"/>
          <w:color w:val="auto"/>
          <w:highlight w:val="none"/>
        </w:rPr>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组织机构代码：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组织机构代码：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地  址：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地  址：</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邮政编码：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邮政编码：</w:t>
      </w:r>
      <w:r>
        <w:rPr>
          <w:rFonts w:hint="eastAsia" w:ascii="宋体" w:hAnsi="宋体" w:cs="宋体"/>
          <w:color w:val="auto"/>
          <w:highlight w:val="none"/>
          <w:u w:val="singl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法定代表人：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法定代表人：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委托代理人：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委托代理人：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电  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电  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传  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传  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电子信箱：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电子信箱：</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开户银行：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开户银行：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账  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账  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ascii="宋体" w:hAnsi="宋体" w:cs="宋体"/>
          <w:color w:val="auto"/>
          <w:highlight w:val="none"/>
        </w:rPr>
      </w:r>
      <w:r/>
    </w:p>
    <w:p>
      <w:pPr>
        <w:ind w:firstLine="400"/>
        <w:jc w:val="center"/>
        <w:spacing w:line="400" w:lineRule="exact"/>
        <w:rPr>
          <w:rFonts w:ascii="宋体" w:hAnsi="宋体" w:cs="宋体"/>
          <w:color w:val="auto"/>
          <w:highlight w:val="none"/>
        </w:rPr>
        <w:outlineLvl w:val="0"/>
      </w:pPr>
      <w:r>
        <w:rPr>
          <w:rFonts w:hint="eastAsia" w:ascii="宋体" w:hAnsi="宋体" w:cs="宋体"/>
          <w:color w:val="auto"/>
          <w:highlight w:val="none"/>
        </w:rPr>
        <w:br w:type="page" w:clear="all"/>
      </w:r>
      <w:bookmarkStart w:id="104" w:name="_Toc526760852"/>
      <w:r/>
      <w:bookmarkStart w:id="105" w:name="_Toc13549"/>
      <w:r>
        <w:rPr>
          <w:rFonts w:hint="eastAsia" w:ascii="宋体" w:hAnsi="宋体" w:cs="宋体"/>
          <w:color w:val="auto"/>
          <w:highlight w:val="none"/>
        </w:rPr>
        <w:t xml:space="preserve">第二部分 通用合同条款</w:t>
      </w:r>
      <w:bookmarkEnd w:id="104"/>
      <w:r/>
      <w:bookmarkEnd w:id="105"/>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采用《建设工程施工合同（示范文本）》（GF—2017—0201）</w:t>
      </w:r>
      <w:r/>
    </w:p>
    <w:p>
      <w:pPr>
        <w:jc w:val="center"/>
        <w:spacing w:line="400" w:lineRule="exact"/>
        <w:rPr>
          <w:rFonts w:ascii="宋体" w:hAnsi="宋体" w:cs="宋体"/>
          <w:color w:val="auto"/>
          <w:highlight w:val="none"/>
        </w:rPr>
        <w:outlineLvl w:val="0"/>
      </w:pPr>
      <w:r/>
      <w:bookmarkStart w:id="106" w:name="_Toc24759"/>
      <w:r/>
      <w:bookmarkStart w:id="107" w:name="_Toc526760853"/>
      <w:r>
        <w:rPr>
          <w:rFonts w:hint="eastAsia" w:ascii="宋体" w:hAnsi="宋体" w:cs="宋体"/>
          <w:color w:val="auto"/>
          <w:highlight w:val="none"/>
        </w:rPr>
        <w:t xml:space="preserve">第三部分 专用合同条款</w:t>
      </w:r>
      <w:bookmarkEnd w:id="106"/>
      <w:r/>
      <w:bookmarkEnd w:id="107"/>
      <w:r/>
      <w:r/>
    </w:p>
    <w:p>
      <w:pPr>
        <w:ind w:firstLine="400"/>
        <w:jc w:val="left"/>
        <w:spacing w:line="400" w:lineRule="exact"/>
        <w:rPr>
          <w:rFonts w:ascii="宋体" w:hAnsi="宋体" w:cs="宋体"/>
          <w:color w:val="auto"/>
          <w:highlight w:val="none"/>
        </w:rPr>
      </w:pPr>
      <w:r/>
      <w:bookmarkStart w:id="108" w:name="_Toc351203633"/>
      <w:r>
        <w:rPr>
          <w:rFonts w:hint="eastAsia" w:ascii="宋体" w:hAnsi="宋体" w:cs="宋体"/>
          <w:color w:val="auto"/>
          <w:highlight w:val="none"/>
        </w:rPr>
        <w:t xml:space="preserve">1</w:t>
      </w:r>
      <w:bookmarkStart w:id="109" w:name="_Toc296347155"/>
      <w:r/>
      <w:bookmarkStart w:id="110" w:name="_Toc296890984"/>
      <w:r/>
      <w:bookmarkStart w:id="111" w:name="_Toc297048342"/>
      <w:r/>
      <w:bookmarkStart w:id="112" w:name="_Toc296503156"/>
      <w:r/>
      <w:bookmarkStart w:id="113" w:name="_Toc292559866"/>
      <w:r/>
      <w:bookmarkStart w:id="114" w:name="_Toc296891196"/>
      <w:r/>
      <w:bookmarkStart w:id="115" w:name="_Toc292559361"/>
      <w:r/>
      <w:bookmarkStart w:id="116" w:name="_Toc296346657"/>
      <w:r/>
      <w:bookmarkStart w:id="117" w:name="_Toc297120456"/>
      <w:r/>
      <w:bookmarkStart w:id="118" w:name="_Toc296944495"/>
      <w:r>
        <w:rPr>
          <w:rFonts w:hint="eastAsia" w:ascii="宋体" w:hAnsi="宋体" w:cs="宋体"/>
          <w:color w:val="auto"/>
          <w:highlight w:val="none"/>
        </w:rPr>
        <w:t xml:space="preserve">. 一般约定</w:t>
      </w:r>
      <w:bookmarkEnd w:id="108"/>
      <w:r/>
      <w:bookmarkEnd w:id="109"/>
      <w:r/>
      <w:bookmarkEnd w:id="110"/>
      <w:r/>
      <w:bookmarkEnd w:id="111"/>
      <w:r/>
      <w:bookmarkEnd w:id="112"/>
      <w:r/>
      <w:bookmarkEnd w:id="113"/>
      <w:r/>
      <w:bookmarkEnd w:id="114"/>
      <w:r/>
      <w:bookmarkEnd w:id="115"/>
      <w:r/>
      <w:bookmarkEnd w:id="116"/>
      <w:r/>
      <w:bookmarkEnd w:id="117"/>
      <w:r/>
      <w:bookmarkEnd w:id="118"/>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1.1 词语定义</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1.1.1合同</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1.1.1.1其他合同文件包括：指经合同当事人约定的与工程施工有关的具有合同约束力的文件或书面协议。</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1.1.2 合同当事人及其他相关方</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1.1.2.1监理人：</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名    称：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资质类别和等级：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1.1.2.2设计人：</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s="宋体"/>
          <w:color w:val="auto"/>
          <w:highlight w:val="none"/>
          <w:u w:val="single"/>
        </w:rPr>
        <w:t xml:space="preserve">江苏中宁建筑设计研究院有限公司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资质类别和等级： </w:t>
      </w:r>
      <w:r>
        <w:rPr>
          <w:rFonts w:hint="eastAsia" w:ascii="宋体" w:hAnsi="宋体" w:cs="宋体"/>
          <w:color w:val="auto"/>
          <w:highlight w:val="none"/>
          <w:u w:val="single"/>
        </w:rPr>
        <w:t xml:space="preserve">  乙级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1.1.3 工程和设备</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1.1.3.1作为施工现场组成部分的其他场所包括：</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1.1.3.2永久占地包括：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1.1.3.3 临时占地包括：</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1.2法律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适用于合同的其他规范性文件：执行国家和地方现行标准、规范的相关规定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1.3标准和规范</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1.3.1适用于工程的标准规范包括：执行国家和地方现行标准、规范的相关规定。</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1.3.2 发包人提供国外标准、规范的名称：发包人不提供，由承包人自行购置，费用包含在投标报价内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发包人提供国外标准、规范的份数：</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发包人提供国外标准、规范的名称：</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1.3.3发包人对工程的技术标准和功能要求的特殊要求： 国内没有相应标准、规范时的约定：按甲、乙双方及监理共同商定的标准实施。符合有关行业主管部门和业主的要求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1.4 合同文件的优先顺序</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合同文件组成及优先顺序为：</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１)、本合同协议书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２)、成交通知书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３)、响应文件及其附件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４)、本合同专用条款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５)、本合同通用条款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６)、标准、规范及有关技术文件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７)、图纸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８)、已标价工程量清单或预算书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9）、谈判文件及其他合同文件。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上述各项合同文件包括合同当事人就该项合同文件所作出的补充和修改，属于同一类内容的文件，应以最新签署的为准。</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在合同订立及履行过程中形成的与合同有关的文件如会议纪要、工程变更、工程洽商、签证、通知、信函、数据电文等均构成合同文件组成部分，并根据其性质确定优先解释顺序。</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1.5图纸和承包人文件</w:t>
      </w:r>
      <w:r>
        <w:rPr>
          <w:rFonts w:hint="eastAsia" w:ascii="宋体" w:hAnsi="宋体" w:cs="宋体"/>
          <w:color w:val="auto"/>
          <w:highlight w:val="none"/>
        </w:rPr>
        <w:tab/>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1.5.1 图纸的提供</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发包人向承包人提供图纸的期限：</w:t>
      </w:r>
      <w:r>
        <w:rPr>
          <w:rFonts w:hint="eastAsia" w:ascii="宋体" w:hAnsi="宋体" w:cs="宋体"/>
          <w:color w:val="auto"/>
          <w:highlight w:val="none"/>
          <w:u w:val="single"/>
        </w:rPr>
        <w:t xml:space="preserve">开工前5天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发包人向承包人提供图纸的数量：</w:t>
      </w:r>
      <w:r>
        <w:rPr>
          <w:rFonts w:hint="eastAsia" w:ascii="宋体" w:hAnsi="宋体" w:cs="宋体"/>
          <w:color w:val="auto"/>
          <w:highlight w:val="none"/>
          <w:u w:val="single"/>
        </w:rPr>
        <w:t xml:space="preserve"> 开工前 5 天</w:t>
      </w:r>
      <w:r>
        <w:rPr>
          <w:rFonts w:hint="eastAsia" w:ascii="宋体" w:hAnsi="宋体" w:cs="宋体"/>
          <w:color w:val="auto"/>
          <w:highlight w:val="none"/>
        </w:rPr>
        <w:t xml:space="preserve">，</w:t>
      </w:r>
      <w:r>
        <w:rPr>
          <w:rFonts w:hint="eastAsia" w:ascii="宋体" w:hAnsi="宋体" w:cs="宋体"/>
          <w:color w:val="auto"/>
          <w:highlight w:val="none"/>
          <w:u w:val="single"/>
        </w:rPr>
        <w:t xml:space="preserve">肆套</w:t>
      </w:r>
      <w:r>
        <w:rPr>
          <w:rFonts w:hint="eastAsia" w:ascii="宋体" w:hAnsi="宋体" w:cs="宋体"/>
          <w:color w:val="auto"/>
          <w:highlight w:val="none"/>
        </w:rPr>
        <w:t xml:space="preserve">（含用作竣工图使用的图纸）。如承包人需增加施工图纸，由发包人与设计院联系，出图费用由承包人自行承担。设计文件和图纸由发包人统一提供，承包人不得直接接收设计单位提供的设计文件和图纸；承包人收到设计文件和图纸后，要根据技术标准、设计规范、标准设计图、通用图和有关规定，对设计文件和图纸认真审查。发现问题及时以书面形式报告发包人。</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发包人向承包人提供图纸的内容：</w:t>
      </w:r>
      <w:r>
        <w:rPr>
          <w:rFonts w:hint="eastAsia" w:ascii="宋体" w:hAnsi="宋体" w:cs="宋体"/>
          <w:color w:val="auto"/>
          <w:highlight w:val="none"/>
          <w:u w:val="single"/>
        </w:rPr>
        <w:t xml:space="preserve"> 全套施工图纸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1.5.3 现场图纸准备</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关于现场图纸准备的约定：</w:t>
      </w:r>
      <w:r>
        <w:rPr>
          <w:rFonts w:hint="eastAsia" w:ascii="宋体" w:hAnsi="宋体" w:cs="宋体"/>
          <w:color w:val="auto"/>
          <w:highlight w:val="none"/>
          <w:u w:val="single"/>
        </w:rPr>
        <w:t xml:space="preserve">执行通用条款</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1.5.4联络</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1.5.4.1发包人和承包人应当在领取成交通知书之日起  五  天内将与合同有关的通知、批准、证明、证书、指示、指令、要求、请求、同意、意见、确定和决定等书面函件送达对方当事人。</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1.5.4.2 发包人接收文件的地点：发包人办公室</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发包人指定的接收人为：发包人派驻现场代表</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rPr>
        <w:t xml:space="preserve">承包人接收文件的地点：</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承包人指定的接收人为：项目负责人</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rPr>
        <w:t xml:space="preserve">监理人接收文件的地点：</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监理人指定的接收人为：总监或总监代表。</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1.6交通运输</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w:t>
      </w:r>
      <w:bookmarkStart w:id="119" w:name="_Toc303539100"/>
      <w:r/>
      <w:bookmarkStart w:id="120" w:name="_Toc304295521"/>
      <w:r/>
      <w:bookmarkStart w:id="121" w:name="_Toc318581155"/>
      <w:r/>
      <w:bookmarkStart w:id="122" w:name="_Toc300934943"/>
      <w:r/>
      <w:bookmarkStart w:id="123" w:name="_Toc312677986"/>
      <w:r>
        <w:rPr>
          <w:rFonts w:hint="eastAsia" w:ascii="宋体" w:hAnsi="宋体" w:cs="宋体"/>
          <w:color w:val="auto"/>
          <w:highlight w:val="none"/>
        </w:rPr>
        <w:t xml:space="preserve">.6.1 出入现场的权利</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rPr>
        <w:t xml:space="preserve">关于出入现场的权利的约定：</w:t>
      </w:r>
      <w:r>
        <w:rPr>
          <w:rFonts w:hint="eastAsia" w:ascii="宋体" w:hAnsi="宋体" w:cs="宋体"/>
          <w:color w:val="auto"/>
          <w:highlight w:val="none"/>
          <w:u w:val="single"/>
        </w:rPr>
        <w:t xml:space="preserve">由承包人按发包人要求负责取得出入施工现场所需的批准手续和全部权利，由承包人按发包人要求负责取得出入施工现场所需的批准手续和全部权利，以及取得因施工所需修建道路以及其他基础设施的权利，并承担相关手续费用和建设费用。</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1.6.2场内交通</w:t>
      </w:r>
      <w:bookmarkEnd w:id="119"/>
      <w:r/>
      <w:bookmarkEnd w:id="120"/>
      <w:r/>
      <w:bookmarkEnd w:id="121"/>
      <w:r/>
      <w:bookmarkEnd w:id="122"/>
      <w:r/>
      <w:bookmarkEnd w:id="123"/>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关于场外交通和场内交通的边界的约定：</w:t>
      </w:r>
      <w:r>
        <w:rPr>
          <w:rFonts w:hint="eastAsia" w:ascii="宋体" w:hAnsi="宋体" w:cs="宋体"/>
          <w:color w:val="auto"/>
          <w:highlight w:val="none"/>
          <w:u w:val="single"/>
        </w:rPr>
        <w:t xml:space="preserve">以现场实际施工条件为准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关于发包人向承包人免费提供满足工程施工需要的场内道路和交通设施的约定：</w:t>
      </w:r>
      <w:r>
        <w:rPr>
          <w:rFonts w:hint="eastAsia" w:ascii="宋体" w:hAnsi="宋体" w:cs="宋体"/>
          <w:color w:val="auto"/>
          <w:highlight w:val="none"/>
          <w:u w:val="single"/>
        </w:rPr>
        <w:t xml:space="preserve">以现场实际施工条件为准 </w:t>
      </w:r>
      <w:r>
        <w:rPr>
          <w:rFonts w:hint="eastAsia" w:ascii="宋体" w:hAnsi="宋体" w:cs="宋体"/>
          <w:color w:val="auto"/>
          <w:highlight w:val="none"/>
        </w:rPr>
        <w:t xml:space="preserve"> 。</w:t>
      </w:r>
      <w:bookmarkStart w:id="124" w:name="_Toc318581157"/>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1.6.3超大件和超重件的运输</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运输超大件或超重件所需的道路和桥梁临时加固改造费用和其他有关费用由</w:t>
      </w:r>
      <w:r>
        <w:rPr>
          <w:rFonts w:hint="eastAsia" w:ascii="宋体" w:hAnsi="宋体" w:cs="宋体"/>
          <w:color w:val="auto"/>
          <w:highlight w:val="none"/>
          <w:u w:val="single"/>
        </w:rPr>
        <w:t xml:space="preserve">   承包人  </w:t>
      </w:r>
      <w:r>
        <w:rPr>
          <w:rFonts w:hint="eastAsia" w:ascii="宋体" w:hAnsi="宋体" w:cs="宋体"/>
          <w:color w:val="auto"/>
          <w:highlight w:val="none"/>
        </w:rPr>
        <w:t xml:space="preserve">承担。</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1.6.4 承包人文件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需要由承包人提供的文件，包括：①按GB/T50502、本合同第二部分 通用合同条款7.1和7.2编制施工组织设计、施工措施计划、施工方案、交通导改方案、扬尘污染防止措施报监理人审核和发包人确认；</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②由承包人办理的许可和批准的办理结果书面报送监理人审核和发包人确认、留存；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③拟制施工人员名册（动态），并与为其办理工伤保险的有效证明一起报送监理人审核和发包人确认；</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⑤特殊工种作业人员资格证明报送监理人审核和发包人确认；</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⑦工程质量管理体系及措施文件、质量检查制度、质量控制文件，报送监理人审核和发包人确认；</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⑧工程安全管理体系及措施文件、安全检查制度、安全控制文件，报送监理人审核和发包人确认；</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⑨发包人管理需要的其他文件；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⑩上述文件如发包人因管理需增加时，承包人有义务按发包人提出的形式、格式、数量、时间等要求提供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承包人提供的文件的期限为：</w:t>
      </w:r>
      <w:r>
        <w:rPr>
          <w:rFonts w:hint="eastAsia" w:ascii="宋体" w:hAnsi="宋体" w:cs="宋体"/>
          <w:color w:val="auto"/>
          <w:highlight w:val="none"/>
          <w:u w:val="single"/>
        </w:rPr>
        <w:t xml:space="preserve">根据合同约定或发包人、监理人要求</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承包人提供的文件的数量为：</w:t>
      </w:r>
      <w:r>
        <w:rPr>
          <w:rFonts w:hint="eastAsia" w:ascii="宋体" w:hAnsi="宋体" w:cs="宋体"/>
          <w:color w:val="auto"/>
          <w:highlight w:val="none"/>
          <w:u w:val="single"/>
        </w:rPr>
        <w:t xml:space="preserve">根据合同约定或发包人、监理人要求</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承包人提供的文件的形式为：</w:t>
      </w:r>
      <w:r>
        <w:rPr>
          <w:rFonts w:hint="eastAsia" w:ascii="宋体" w:hAnsi="宋体" w:cs="宋体"/>
          <w:color w:val="auto"/>
          <w:highlight w:val="none"/>
          <w:u w:val="single"/>
        </w:rPr>
        <w:t xml:space="preserve">根据合同约定或发包人、监理人要求</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发包人审批承包人文件的期限：根据合同约定。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1.6.5 现场图纸准备</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关于现场图纸准备的约定：</w:t>
      </w:r>
      <w:r>
        <w:rPr>
          <w:rFonts w:hint="eastAsia" w:ascii="宋体" w:hAnsi="宋体" w:cs="宋体"/>
          <w:color w:val="auto"/>
          <w:highlight w:val="none"/>
          <w:u w:val="single"/>
        </w:rPr>
        <w:t xml:space="preserve">执行通用条款</w:t>
      </w:r>
      <w:r>
        <w:rPr>
          <w:rFonts w:hint="eastAsia" w:ascii="宋体" w:hAnsi="宋体" w:cs="宋体"/>
          <w:color w:val="auto"/>
          <w:highlight w:val="none"/>
        </w:rPr>
        <w:t xml:space="preserve"> 。</w:t>
      </w:r>
      <w:bookmarkEnd w:id="124"/>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1.7 知识产权</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1.7.1关于发包人提供给承包人的图纸、发包人为实施工程自行编制或委托编制的技术规范以及反映发包人关于合同要求或其他类似性质的文件的著作权的归属：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highlight w:val="none"/>
          <w:u w:val="single"/>
        </w:rPr>
        <w:t xml:space="preserve">执行通用条款</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1.7.2关于发包人提供的上述文件的使用限制的要求： </w:t>
      </w:r>
      <w:r>
        <w:rPr>
          <w:rFonts w:hint="eastAsia" w:ascii="宋体" w:hAnsi="宋体" w:cs="宋体"/>
          <w:color w:val="auto"/>
          <w:highlight w:val="none"/>
          <w:u w:val="single"/>
        </w:rPr>
        <w:t xml:space="preserve">图纸资料所有权属发包人，未经发包人同意不得复制，承包人应确保图纸不丢失、不向外泄露、不得将施工图纸提供给第三方或移作它用。违反本条约规定的，承包人应承担因此给发包人造成的一切损失</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1.7.3关于承包人为实施工程所编制文件的著作权的归属：</w:t>
      </w:r>
      <w:r>
        <w:rPr>
          <w:rFonts w:hint="eastAsia" w:ascii="宋体" w:hAnsi="宋体" w:cs="宋体"/>
          <w:color w:val="auto"/>
          <w:highlight w:val="none"/>
          <w:u w:val="single"/>
        </w:rPr>
        <w:t xml:space="preserve">  执行通用条款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关于承包人提供的上述文件的使用限制的要求：</w:t>
      </w:r>
      <w:r>
        <w:rPr>
          <w:rFonts w:hint="eastAsia" w:ascii="宋体" w:hAnsi="宋体" w:cs="宋体"/>
          <w:color w:val="auto"/>
          <w:highlight w:val="none"/>
          <w:u w:val="single"/>
        </w:rPr>
        <w:t xml:space="preserve"> 执行通用条款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1.7.4承包人在施工过程中所采用的专利、专有技术、技术秘密的使用费的承担方式：</w:t>
      </w:r>
      <w:r>
        <w:rPr>
          <w:rFonts w:hint="eastAsia" w:ascii="宋体" w:hAnsi="宋体" w:cs="宋体"/>
          <w:color w:val="auto"/>
          <w:highlight w:val="none"/>
          <w:u w:val="single"/>
        </w:rPr>
        <w:t xml:space="preserve">执行通用条款</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1.8工程量清单错误的修正</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出现工程量清单错误时，是否调整合同价格：</w:t>
      </w:r>
      <w:r>
        <w:rPr>
          <w:rFonts w:hint="eastAsia" w:ascii="宋体" w:hAnsi="宋体" w:cs="宋体"/>
          <w:color w:val="auto"/>
          <w:highlight w:val="none"/>
          <w:u w:val="single"/>
        </w:rPr>
        <w:t xml:space="preserve">供应商应认真研读图纸，仔细核对清单，发现工程量清单漏项、清单中工程量有误差，特征描述不清、图纸设计不详及其工程量清单项目的完整性等内容，供应商必须以书面形式于谈判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允许调整合同价格的工程量偏差范围：</w:t>
      </w:r>
      <w:r>
        <w:rPr>
          <w:rFonts w:hint="eastAsia" w:ascii="宋体" w:hAnsi="宋体" w:cs="宋体"/>
          <w:color w:val="auto"/>
          <w:highlight w:val="none"/>
          <w:u w:val="single"/>
        </w:rPr>
        <w:t xml:space="preserve">工程量清单存在缺项、漏项、错误的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bookmarkStart w:id="125" w:name="_Toc351203634"/>
      <w:r>
        <w:rPr>
          <w:rFonts w:hint="eastAsia" w:ascii="宋体" w:hAnsi="宋体" w:cs="宋体"/>
          <w:color w:val="auto"/>
          <w:highlight w:val="none"/>
        </w:rPr>
        <w:t xml:space="preserve">2</w:t>
      </w:r>
      <w:bookmarkStart w:id="126" w:name="_Toc296503157"/>
      <w:r/>
      <w:bookmarkStart w:id="127" w:name="_Toc296347156"/>
      <w:r/>
      <w:bookmarkStart w:id="128" w:name="_Toc297048343"/>
      <w:r/>
      <w:bookmarkStart w:id="129" w:name="_Toc292559362"/>
      <w:r/>
      <w:bookmarkStart w:id="130" w:name="_Toc296890985"/>
      <w:r/>
      <w:bookmarkStart w:id="131" w:name="_Toc296891197"/>
      <w:r/>
      <w:bookmarkStart w:id="132" w:name="_Toc296346658"/>
      <w:r/>
      <w:bookmarkStart w:id="133" w:name="_Toc297120457"/>
      <w:r/>
      <w:bookmarkStart w:id="134" w:name="_Toc296944496"/>
      <w:r/>
      <w:bookmarkStart w:id="135" w:name="_Toc292559867"/>
      <w:r>
        <w:rPr>
          <w:rFonts w:hint="eastAsia" w:ascii="宋体" w:hAnsi="宋体" w:cs="宋体"/>
          <w:color w:val="auto"/>
          <w:highlight w:val="none"/>
        </w:rPr>
        <w:t xml:space="preserve">. 发包人</w:t>
      </w:r>
      <w:bookmarkEnd w:id="125"/>
      <w:r/>
      <w:bookmarkEnd w:id="126"/>
      <w:r/>
      <w:bookmarkEnd w:id="127"/>
      <w:r/>
      <w:bookmarkEnd w:id="128"/>
      <w:r/>
      <w:bookmarkEnd w:id="129"/>
      <w:r/>
      <w:bookmarkEnd w:id="130"/>
      <w:r/>
      <w:bookmarkEnd w:id="131"/>
      <w:r/>
      <w:bookmarkEnd w:id="132"/>
      <w:r/>
      <w:bookmarkEnd w:id="133"/>
      <w:r/>
      <w:bookmarkEnd w:id="134"/>
      <w:r/>
      <w:bookmarkEnd w:id="135"/>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2.2 发包人代表</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发包人代表：</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姓    名： </w:t>
      </w:r>
      <w:r>
        <w:rPr>
          <w:rFonts w:hint="eastAsia" w:ascii="宋体" w:hAnsi="宋体" w:cs="宋体"/>
          <w:color w:val="auto"/>
          <w:highlight w:val="none"/>
          <w:u w:val="single"/>
        </w:rPr>
        <w:t xml:space="preserve">  蒋连弟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身份证号：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职    务： </w:t>
      </w:r>
      <w:r>
        <w:rPr>
          <w:rFonts w:hint="eastAsia" w:ascii="宋体" w:hAnsi="宋体" w:cs="宋体"/>
          <w:color w:val="auto"/>
          <w:highlight w:val="none"/>
          <w:u w:val="single"/>
        </w:rPr>
        <w:t xml:space="preserve"> 发包人代表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联系电话： </w:t>
      </w:r>
      <w:r>
        <w:rPr>
          <w:rFonts w:hint="eastAsia" w:ascii="宋体" w:hAnsi="宋体" w:cs="宋体"/>
          <w:color w:val="auto"/>
          <w:highlight w:val="none"/>
          <w:u w:val="single"/>
        </w:rPr>
        <w:t xml:space="preserve">   19351617357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发包人对发包人代表的授权范围如下：</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（1）检查和督促承包人和监理人执行合同；</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（2）检查和督促监理工程师行使职权；</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（3）协调施工现场各方面的关系；</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（4）协调工程质量、进度和安全文明等施工中出现的问题；</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（5）责令监理工程师查封、扣押施工现场发现不符合质量要求的建筑材料、建筑构配件和设备；</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（6）审核工程进度报表，参与审核工程进度款的支付；</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（7）监督和检查确认承包人主要施工管理人员施工现场在岗/出勤情况及监理人主要监理人员施工现场在岗/出勤情况；</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（8）确认承包人提出的顺延工期的签证；</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（9）对发生的不可抗力造成工程无法施工的处置；</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（10）设计变更及施工条件变更等有关签证的确认；</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（11）处理和协调外部施工条件；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（12）工程竣工验收报告的确认，组织工程竣工验收；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（13）代表发包人行使本合同约定的其它权利和义务。</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2.2 施工现场、施工条件和基础资料的提供</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2.2.1 提供施工现场</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关于发包人移交施工现场的期限要求：</w:t>
      </w:r>
      <w:r>
        <w:rPr>
          <w:rFonts w:hint="eastAsia" w:ascii="宋体" w:hAnsi="宋体" w:cs="宋体"/>
          <w:color w:val="auto"/>
          <w:highlight w:val="none"/>
          <w:u w:val="single"/>
        </w:rPr>
        <w:t xml:space="preserve">开工通知载明的开工日期7日前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2.2.2 提供施工条件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关于发包人应负责提供施工所需要的条件，包括：</w:t>
      </w:r>
      <w:r>
        <w:rPr>
          <w:rFonts w:hint="eastAsia" w:ascii="宋体" w:hAnsi="宋体" w:cs="宋体"/>
          <w:color w:val="auto"/>
          <w:highlight w:val="none"/>
          <w:u w:val="single"/>
        </w:rPr>
        <w:t xml:space="preserve">/</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2.2.3发包人工作</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00"/>
        <w:jc w:val="left"/>
        <w:spacing w:line="400" w:lineRule="exact"/>
        <w:rPr>
          <w:rFonts w:ascii="宋体" w:hAnsi="宋体" w:cs="宋体"/>
          <w:color w:val="auto"/>
          <w:highlight w:val="none"/>
        </w:rPr>
      </w:pPr>
      <w:r/>
      <w:bookmarkStart w:id="136" w:name="_Toc351203635"/>
      <w:r>
        <w:rPr>
          <w:rFonts w:hint="eastAsia" w:ascii="宋体" w:hAnsi="宋体" w:cs="宋体"/>
          <w:color w:val="auto"/>
          <w:highlight w:val="none"/>
        </w:rPr>
        <w:t xml:space="preserve">2.3 资金来源证明及支付担保</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发包人提供资金来源证明的期限要求：</w:t>
      </w:r>
      <w:r>
        <w:rPr>
          <w:rFonts w:hint="eastAsia" w:ascii="宋体" w:hAnsi="宋体" w:cs="宋体"/>
          <w:color w:val="auto"/>
          <w:highlight w:val="none"/>
          <w:u w:val="single"/>
        </w:rPr>
        <w:t xml:space="preserve">/</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发包人是否提供支付担保：</w:t>
      </w:r>
      <w:r>
        <w:rPr>
          <w:rFonts w:hint="eastAsia" w:ascii="宋体" w:hAnsi="宋体" w:cs="宋体"/>
          <w:color w:val="auto"/>
          <w:highlight w:val="none"/>
          <w:u w:val="single"/>
        </w:rPr>
        <w:t xml:space="preserve">不提供</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发包人提供支付担保的形式：</w:t>
      </w:r>
      <w:r>
        <w:rPr>
          <w:rFonts w:hint="eastAsia" w:ascii="宋体" w:hAnsi="宋体" w:cs="宋体"/>
          <w:color w:val="auto"/>
          <w:highlight w:val="none"/>
          <w:u w:val="single"/>
        </w:rPr>
        <w:t xml:space="preserve">/</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w:t>
      </w:r>
      <w:bookmarkStart w:id="137" w:name="_Toc296347157"/>
      <w:r/>
      <w:bookmarkStart w:id="138" w:name="_Toc292559868"/>
      <w:r/>
      <w:bookmarkStart w:id="139" w:name="_Toc296346659"/>
      <w:r/>
      <w:bookmarkStart w:id="140" w:name="_Toc297120458"/>
      <w:r/>
      <w:bookmarkStart w:id="141" w:name="_Toc296891198"/>
      <w:r/>
      <w:bookmarkStart w:id="142" w:name="_Toc297048344"/>
      <w:r/>
      <w:bookmarkStart w:id="143" w:name="_Toc296890986"/>
      <w:r/>
      <w:bookmarkStart w:id="144" w:name="_Toc296944497"/>
      <w:r/>
      <w:bookmarkStart w:id="145" w:name="_Toc296503158"/>
      <w:r/>
      <w:bookmarkStart w:id="146" w:name="_Toc292559363"/>
      <w:r>
        <w:rPr>
          <w:rFonts w:hint="eastAsia" w:ascii="宋体" w:hAnsi="宋体" w:cs="宋体"/>
          <w:color w:val="auto"/>
          <w:highlight w:val="none"/>
        </w:rPr>
        <w:t xml:space="preserve">. 承包人</w:t>
      </w:r>
      <w:bookmarkEnd w:id="136"/>
      <w:r/>
      <w:bookmarkEnd w:id="137"/>
      <w:r/>
      <w:bookmarkEnd w:id="138"/>
      <w:r/>
      <w:bookmarkEnd w:id="139"/>
      <w:r/>
      <w:bookmarkEnd w:id="140"/>
      <w:r/>
      <w:bookmarkEnd w:id="141"/>
      <w:r/>
      <w:bookmarkEnd w:id="142"/>
      <w:r/>
      <w:bookmarkEnd w:id="143"/>
      <w:r/>
      <w:bookmarkEnd w:id="144"/>
      <w:r/>
      <w:bookmarkEnd w:id="145"/>
      <w:r/>
      <w:bookmarkEnd w:id="146"/>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3.1 承包人的一般义务</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3.1.1参加发包人组织的施工图纸或作法说明的现场交底，拟定施工方案和进度计划，交发包人和总监理工程师审定及批准；</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3.1.2应提供计划、报表的名称及完成时间：进度统计、进度计划、材料、设备需用计划表于每月25日前提供；</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3.1.3施工中未经发包人同意或有关部门批准，不得随意拆改原建筑物结构及各种设备管线；</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3.1.4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3.1.5施工过程中的排污、环卫、市容、城建、城管、治安、人口管理等相关手续由承包人按规定负责办理。</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3.1.6承包人负责采取有效措施对已完成工程成品的保护，费用由承包人承担。保护期间发生的损坏承包人自费予以修理。损坏其他单位所承担的施工内容，由承包人负责赔偿，并承担修复费用。</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3.1.7承包人按规定做好施工场地周围地下管线和邻近建筑物的保护。</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3.1.8符合徐州市有关部门规定的标准化施工现场要求，同时应满足市政、市容等相关主管部门的有关规定。道路施工工地一律实行封闭施工、防尘网覆盖、定时洒水，控制扬尘污染等安全文明施工措施。承包人违反规定所造成的损失和处罚由承包人承担。交工后一周内彻底清洁完毕撤离现场。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3.1.9承担施工安全保卫工作及非夜间施工照明的责任和要求：承包人在进场前要制订对人员、机械设备的操作及安全用电等各方面的安全制度；负责发包人的现场安全；按行政主管部门及规范要求承担施工安全保卫工作及非夜间施工照明，费用自理；</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3.1.10需承包人办理的有关施工场地交通、环卫、环保和施工噪音管理等手续：按行政主管部门及规范要求办理的有关施工场地交通、环卫、环保和施工噪音管理等手续，费用自理，并以书面形式通知发包人，如因承包人违法环保规定组织施工而造成的罚款由承包人承担；施工产生的水、电费用由承包人承担；</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3.1.11遵守国家或地方政府及有关部门对施工现场管理的规定，妥善保护好施工现场周围建筑物、设备管线、古树名木不受损坏。做好施工现场保卫和垃圾消除等工作，处理好由于施工带来的扰民问题及与周围单位（住户）的关系；</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3.1.12严格执行施工规范、安全操作规程、防火安全规定、环境保护规定，工地现场必须配备一定数量的灭火器，灭火器由承包人自行购置。严格按照图纸或作法说明进行施工，做好各项质量检查记录；</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3.1.13承包人提交的竣工资料的内容：提供符合城建档案馆和行政监督部门要求的竣工图及竣工资料；</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3.1.14承包人应积极主动核对图纸中的标高、轴线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3.1.15承包人应按照政府相关规定，建立健全的雇员工资发放和劳动保障制度。如因雇员的工资发放和劳动保障制度不健全而引发纠纷，导致民工围堵发包人等的，发包人有权解除合同，并要求承包人退场并支付5万元的违约金；</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3.1.16承包人进入现场施工，做好现场安全文明施工及已有成品保护工作。现场运输材料、堆放材料等造成的路面的污染，承包人应该有专人负责跟踪打扫；场地的绿化、市政等公用设施做好施工期间的保护工作；现场施工及生活产生的垃圾应该每天有人清除；不允许在现场道路上搅拌砼及砂浆；</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3.1.19施工场地清洁卫生的要求：整个工地需达到市文明施工要求，承担因自身原因及违反有关规定造成的损失和罚款。清理标准应征得发包人认可，否则如发生相关费用由发包人在工程竣工决算价款中扣除；</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3.1.20工程竣工未移交发包人之前，负责对现场的一切设施和工程成品进行保护，费用由承包人自理；</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3.1.21 工程质量见证取样检测按现行标准执行。</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承包人提交的竣工资料的内容：  承包人按照GB/T50328-2001《建设工程文件归档整理规范》及江苏省相关法规、规范标准及本合同要求绘制竣工图及完整的工程技术档案、工程质量保修书、及有关工程使用、保养、维护的说明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承包人需要提交的竣工资料套数：</w:t>
      </w:r>
      <w:r>
        <w:rPr>
          <w:rFonts w:hint="eastAsia" w:ascii="宋体" w:hAnsi="宋体" w:cs="宋体"/>
          <w:color w:val="auto"/>
          <w:highlight w:val="none"/>
          <w:u w:val="single"/>
        </w:rPr>
        <w:t xml:space="preserve">  ①满足行政主管部门要求；②向发包人提交盖承包人公章和工程竣工资料专用章的纸质版资料四套、电子文档资料一套；③承包人自留一套</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承包人提交的竣工资料的费用承担：</w:t>
      </w:r>
      <w:r>
        <w:rPr>
          <w:rFonts w:hint="eastAsia" w:ascii="宋体" w:hAnsi="宋体" w:cs="宋体"/>
          <w:color w:val="auto"/>
          <w:highlight w:val="none"/>
          <w:u w:val="single"/>
        </w:rPr>
        <w:t xml:space="preserve">  承包人承担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承包人提交的竣工资料移交时间：  工程竣工验收合格之日起30天内完成移交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承包人提交的竣工资料形式要求： 立卷、装订成册的纸质文档和电子文档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承包人应履行的其他义务 办理合同备案及相关手续，并缴纳相关费用。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3.2 项目经理</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3.2.1 项目经理：</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姓    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身份证号：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建造师执业资格等级：</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建造师注册证书号：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建造师执业印章号：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安全生产考核合格证书号：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电子信箱：</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通信地址：</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承包人对项目经理的授权范围如下：</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1）领导、决策，调集企业所属各单位、各部门为项目进行全面服务和控制。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2）代表承包人履行对业主的合约，并受业主委托行使对项目所有分包商统一指挥、协调、管理权；</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3）负责组织编制与审批工程总体进度</w:t>
      </w:r>
      <w:r>
        <w:rPr>
          <w:color w:val="auto"/>
          <w:highlight w:val="none"/>
        </w:rPr>
        <w:fldChar w:fldCharType="begin"/>
      </w:r>
      <w:r>
        <w:rPr>
          <w:color w:val="auto"/>
          <w:highlight w:val="none"/>
        </w:rPr>
        <w:instrText xml:space="preserve"> HYPERLINK "http://www.fdcew.com/gw/List_203.html" </w:instrText>
      </w:r>
      <w:r>
        <w:rPr>
          <w:color w:val="auto"/>
          <w:highlight w:val="none"/>
        </w:rPr>
        <w:fldChar w:fldCharType="separate"/>
      </w:r>
      <w:r>
        <w:rPr>
          <w:rFonts w:hint="eastAsia" w:ascii="宋体" w:hAnsi="宋体" w:cs="宋体"/>
          <w:color w:val="auto"/>
          <w:highlight w:val="none"/>
        </w:rPr>
        <w:t xml:space="preserve">计划</w:t>
      </w:r>
      <w:r>
        <w:rPr>
          <w:rFonts w:hint="eastAsia" w:ascii="宋体" w:hAnsi="宋体" w:cs="宋体"/>
          <w:color w:val="auto"/>
          <w:highlight w:val="none"/>
        </w:rPr>
        <w:fldChar w:fldCharType="end"/>
      </w:r>
      <w:r>
        <w:rPr>
          <w:rFonts w:hint="eastAsia" w:ascii="宋体" w:hAnsi="宋体" w:cs="宋体"/>
          <w:color w:val="auto"/>
          <w:highlight w:val="none"/>
        </w:rPr>
        <w:t xml:space="preserve">及其修订与调整；</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4）负责组织编制与审批质量保证计划及其修订与调整；</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5）负责组织编制与审批主要物资供应与采购计划及其修订与调整；</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6）负责组织编制与审批工程分包计划及其修订与调整；</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7）组织工程成本的分析、预测及控制，对项目资金管理与</w:t>
      </w:r>
      <w:r>
        <w:rPr>
          <w:color w:val="auto"/>
          <w:highlight w:val="none"/>
        </w:rPr>
        <w:fldChar w:fldCharType="begin"/>
      </w:r>
      <w:r>
        <w:rPr>
          <w:color w:val="auto"/>
          <w:highlight w:val="none"/>
        </w:rPr>
        <w:instrText xml:space="preserve"> HYPERLINK "http://www.fdcew.com/hypx/List_192.html" </w:instrText>
      </w:r>
      <w:r>
        <w:rPr>
          <w:color w:val="auto"/>
          <w:highlight w:val="none"/>
        </w:rPr>
        <w:fldChar w:fldCharType="separate"/>
      </w:r>
      <w:r>
        <w:rPr>
          <w:rFonts w:hint="eastAsia" w:ascii="宋体" w:hAnsi="宋体" w:cs="宋体"/>
          <w:color w:val="auto"/>
          <w:highlight w:val="none"/>
        </w:rPr>
        <w:t xml:space="preserve">财务</w:t>
      </w:r>
      <w:r>
        <w:rPr>
          <w:rFonts w:hint="eastAsia" w:ascii="宋体" w:hAnsi="宋体" w:cs="宋体"/>
          <w:color w:val="auto"/>
          <w:highlight w:val="none"/>
        </w:rPr>
        <w:fldChar w:fldCharType="end"/>
      </w:r>
      <w:r>
        <w:rPr>
          <w:rFonts w:hint="eastAsia" w:ascii="宋体" w:hAnsi="宋体" w:cs="宋体"/>
          <w:color w:val="auto"/>
          <w:highlight w:val="none"/>
        </w:rPr>
        <w:t xml:space="preserve">运作负责；</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8）与业主、监理保持经常沟通，了解业主需求，解决随时出现的问题，替业主排忧解难，保护业主利益；</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9）负责组织人力资源调配、内部和外部关系协调；遵照</w:t>
      </w:r>
      <w:r>
        <w:rPr>
          <w:color w:val="auto"/>
          <w:highlight w:val="none"/>
        </w:rPr>
        <w:fldChar w:fldCharType="begin"/>
      </w:r>
      <w:r>
        <w:rPr>
          <w:color w:val="auto"/>
          <w:highlight w:val="none"/>
        </w:rPr>
        <w:instrText xml:space="preserve"> HYPERLINK "http://www.fdcew.com/gw/List_211.html" </w:instrText>
      </w:r>
      <w:r>
        <w:rPr>
          <w:color w:val="auto"/>
          <w:highlight w:val="none"/>
        </w:rPr>
        <w:fldChar w:fldCharType="separate"/>
      </w:r>
      <w:r>
        <w:rPr>
          <w:rFonts w:hint="eastAsia" w:ascii="宋体" w:hAnsi="宋体" w:cs="宋体"/>
          <w:color w:val="auto"/>
          <w:highlight w:val="none"/>
        </w:rPr>
        <w:t xml:space="preserve">合同</w:t>
      </w:r>
      <w:r>
        <w:rPr>
          <w:rFonts w:hint="eastAsia" w:ascii="宋体" w:hAnsi="宋体" w:cs="宋体"/>
          <w:color w:val="auto"/>
          <w:highlight w:val="none"/>
        </w:rPr>
        <w:fldChar w:fldCharType="end"/>
      </w:r>
      <w:r>
        <w:rPr>
          <w:rFonts w:hint="eastAsia" w:ascii="宋体" w:hAnsi="宋体" w:cs="宋体"/>
          <w:color w:val="auto"/>
          <w:highlight w:val="none"/>
        </w:rPr>
        <w:t xml:space="preserve">约定及施工组织设计中的内容实施于工程，当超出实施范围应向上级决策机构申报。</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关于项目经理每月在施工现场的时间要求： 开工之日起到竣工结束，项目经理每周至少5日，每天必须不少于8小时在现场组织施工同投标文件承诺时间，但不得少于25天。</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承包人未提交劳动合同，以及没有为项目经理缴纳社会保险证明的违约责任： 承包人承担叁万元的违约金，责令限期提交劳动合同并补缴社会保险。</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项目经理未经批准，擅自离开施工现场的违约责任： 发包人有权要求承包人承担1000元/天的违约金，且承包人承担上述违约给发包人造成的一切损失。</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3.2.2承包人擅自更换项目经理的违约责任：发包人有权要求承包人承担拾万元的违约金，并有权解除合同并责令承包人退场，由此产生的一切损失及后果由承包人承担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3.2.4 承包人无正当理由拒绝更换项目经理的违约责任：发包人有权要求承包人承担捌万元违约金，并有权解除合同并责令承包人退场，由此产生的一切损失及后果由承包人承担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3.3 承包人人员</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3.3.1 承包人提交项目管理机构及施工现场管理人员安排报告的期限：合同签字后7天内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3.3.2 承包人无正当理由拒绝撤换主要施工管理人员的违约责任：发包人有权要求承包人承担叁万元的违约金，并有权解除合同并责令承包人退场，由此产生的一切损失及后果由承包人承担。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3.3.3 承包人主要施工管理人员离开施工现场的批准要求：由总监理工程师及发包人代表批准后方可离开。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3.3.4承包人擅自更换主要施工管理人员的违约责任：发包人有权要求承包人承担壹万元的违约金，并有权解除合同并责令承包人退场，由此产生的一切损失及后果由承包人承担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承包人主要施工管理人员擅自离开施工现场的违约责任：承包人承担壹万元/次的违约金，承包人承担上述违约给发包人造成的损失。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w:t>
      </w:r>
      <w:bookmarkStart w:id="147" w:name="_Toc296503159"/>
      <w:r/>
      <w:bookmarkStart w:id="148" w:name="_Toc312677988"/>
      <w:r/>
      <w:bookmarkStart w:id="149" w:name="_Toc296944498"/>
      <w:r/>
      <w:bookmarkStart w:id="150" w:name="_Toc296346660"/>
      <w:r/>
      <w:bookmarkStart w:id="151" w:name="_Toc292559364"/>
      <w:r/>
      <w:bookmarkStart w:id="152" w:name="_Toc297120459"/>
      <w:r/>
      <w:bookmarkStart w:id="153" w:name="_Toc292559869"/>
      <w:r/>
      <w:bookmarkStart w:id="154" w:name="_Toc300934945"/>
      <w:r/>
      <w:bookmarkStart w:id="155" w:name="_Toc303539102"/>
      <w:r/>
      <w:bookmarkStart w:id="156" w:name="_Toc296890987"/>
      <w:r/>
      <w:bookmarkStart w:id="157" w:name="_Toc296891199"/>
      <w:r/>
      <w:bookmarkStart w:id="158" w:name="_Toc297123492"/>
      <w:r/>
      <w:bookmarkStart w:id="159" w:name="_Toc297216151"/>
      <w:r/>
      <w:bookmarkStart w:id="160" w:name="_Toc297048345"/>
      <w:r/>
      <w:bookmarkStart w:id="161" w:name="_Toc296347158"/>
      <w:r/>
      <w:bookmarkStart w:id="162" w:name="_Toc304295523"/>
      <w:r>
        <w:rPr>
          <w:rFonts w:hint="eastAsia" w:ascii="宋体" w:hAnsi="宋体" w:cs="宋体"/>
          <w:color w:val="auto"/>
          <w:highlight w:val="none"/>
        </w:rPr>
        <w:t xml:space="preserve">.4分包</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w:t>
      </w:r>
      <w:bookmarkStart w:id="163" w:name="_Toc318581158"/>
      <w:r/>
      <w:bookmarkStart w:id="164" w:name="_Toc300934946"/>
      <w:r/>
      <w:bookmarkStart w:id="165" w:name="_Toc296891200"/>
      <w:r/>
      <w:bookmarkStart w:id="166" w:name="_Toc296890988"/>
      <w:r/>
      <w:bookmarkStart w:id="167" w:name="_Toc292559870"/>
      <w:r/>
      <w:bookmarkStart w:id="168" w:name="_Toc312677989"/>
      <w:r/>
      <w:bookmarkStart w:id="169" w:name="_Toc296503160"/>
      <w:r/>
      <w:bookmarkStart w:id="170" w:name="_Toc296944499"/>
      <w:r/>
      <w:bookmarkStart w:id="171" w:name="_Toc303539103"/>
      <w:r/>
      <w:bookmarkStart w:id="172" w:name="_Toc297048346"/>
      <w:r/>
      <w:bookmarkStart w:id="173" w:name="_Toc304295524"/>
      <w:r/>
      <w:bookmarkStart w:id="174" w:name="_Toc297216152"/>
      <w:r/>
      <w:bookmarkStart w:id="175" w:name="_Toc296347159"/>
      <w:r/>
      <w:bookmarkStart w:id="176" w:name="_Toc297123493"/>
      <w:r/>
      <w:bookmarkStart w:id="177" w:name="_Toc297120460"/>
      <w:r/>
      <w:bookmarkStart w:id="178" w:name="_Toc296346661"/>
      <w:r/>
      <w:bookmarkStart w:id="179" w:name="_Toc292559365"/>
      <w:r>
        <w:rPr>
          <w:rFonts w:hint="eastAsia" w:ascii="宋体" w:hAnsi="宋体" w:cs="宋体"/>
          <w:color w:val="auto"/>
          <w:highlight w:val="none"/>
        </w:rPr>
        <w:t xml:space="preserve">.4.1 分包的一般约定</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禁止分包的工程包括：</w:t>
      </w:r>
      <w:r>
        <w:rPr>
          <w:rFonts w:hint="eastAsia" w:ascii="宋体" w:hAnsi="宋体" w:cs="宋体"/>
          <w:color w:val="auto"/>
          <w:highlight w:val="none"/>
          <w:u w:val="single"/>
        </w:rPr>
        <w:t xml:space="preserve">   本工程禁止分包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主体结构、关键性工作的范围：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w:t>
      </w:r>
      <w:bookmarkStart w:id="180" w:name="_Toc312677990"/>
      <w:r/>
      <w:bookmarkStart w:id="181" w:name="_Toc318581159"/>
      <w:r>
        <w:rPr>
          <w:rFonts w:hint="eastAsia" w:ascii="宋体" w:hAnsi="宋体" w:cs="宋体"/>
          <w:color w:val="auto"/>
          <w:highlight w:val="none"/>
        </w:rPr>
        <w:t xml:space="preserve">.4.2分包的确定</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允许分包的专业工程包括：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其他关于分包的约定：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3.4.3 分包合同价款</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关于分包合同价款支付的约定：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bookmarkEnd w:id="180"/>
      <w:r/>
      <w:bookmarkEnd w:id="181"/>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3.5工程照管与成品、半成品保护</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承包人负责照管工程及工程相关的材料、工程设备的起始时间：</w:t>
      </w:r>
      <w:r>
        <w:rPr>
          <w:rFonts w:hint="eastAsia" w:ascii="宋体" w:hAnsi="宋体" w:cs="宋体"/>
          <w:color w:val="auto"/>
          <w:highlight w:val="none"/>
          <w:u w:val="single"/>
        </w:rPr>
        <w:t xml:space="preserve">设备、人员进场至工程移交/接收证书签发前由承包人负责照管，费用由承包人承担</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3.6 履约担保</w:t>
      </w:r>
      <w:r/>
    </w:p>
    <w:p>
      <w:pPr>
        <w:ind w:firstLine="400"/>
        <w:jc w:val="left"/>
        <w:spacing w:line="400" w:lineRule="exact"/>
        <w:rPr>
          <w:rFonts w:ascii="宋体" w:hAnsi="宋体" w:cs="宋体"/>
          <w:color w:val="auto"/>
          <w:highlight w:val="none"/>
        </w:rPr>
      </w:pPr>
      <w:r/>
      <w:bookmarkStart w:id="182" w:name="_Toc351203636"/>
      <w:r>
        <w:rPr>
          <w:rFonts w:hint="eastAsia" w:ascii="宋体" w:hAnsi="宋体" w:cs="宋体"/>
          <w:color w:val="auto"/>
          <w:highlight w:val="none"/>
        </w:rPr>
        <w:t xml:space="preserve">承包人是否提供履约担保：</w:t>
      </w:r>
      <w:r>
        <w:rPr>
          <w:rFonts w:hint="eastAsia" w:ascii="宋体" w:hAnsi="宋体" w:cs="宋体"/>
          <w:color w:val="auto"/>
          <w:highlight w:val="none"/>
          <w:u w:val="single"/>
        </w:rPr>
        <w:t xml:space="preserve">  </w:t>
      </w:r>
      <w:r>
        <w:rPr>
          <w:rFonts w:hint="eastAsia" w:ascii="宋体" w:hAnsi="宋体" w:cs="宋体"/>
          <w:b/>
          <w:bCs/>
          <w:color w:val="auto"/>
          <w:highlight w:val="none"/>
          <w:u w:val="single"/>
        </w:rPr>
        <w:t xml:space="preserve"> 不提供</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承包人提供履约担保的形式、金额及期限的：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履约保证金的返还时间约定：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4</w:t>
      </w:r>
      <w:bookmarkStart w:id="183" w:name="_Toc296347161"/>
      <w:r/>
      <w:bookmarkStart w:id="184" w:name="_Toc296891202"/>
      <w:r/>
      <w:bookmarkStart w:id="185" w:name="_Toc296503162"/>
      <w:r/>
      <w:bookmarkStart w:id="186" w:name="_Toc292559871"/>
      <w:r/>
      <w:bookmarkStart w:id="187" w:name="_Toc296944501"/>
      <w:r/>
      <w:bookmarkStart w:id="188" w:name="_Toc292559366"/>
      <w:r/>
      <w:bookmarkStart w:id="189" w:name="_Toc296890990"/>
      <w:r/>
      <w:bookmarkStart w:id="190" w:name="_Toc296346663"/>
      <w:r/>
      <w:bookmarkStart w:id="191" w:name="_Toc297120462"/>
      <w:r/>
      <w:bookmarkStart w:id="192" w:name="_Toc267251413"/>
      <w:r/>
      <w:bookmarkStart w:id="193" w:name="_Toc297048348"/>
      <w:r>
        <w:rPr>
          <w:rFonts w:hint="eastAsia" w:ascii="宋体" w:hAnsi="宋体" w:cs="宋体"/>
          <w:color w:val="auto"/>
          <w:highlight w:val="none"/>
        </w:rPr>
        <w:t xml:space="preserve">. 监</w:t>
      </w:r>
      <w:bookmarkEnd w:id="183"/>
      <w:r/>
      <w:bookmarkEnd w:id="184"/>
      <w:r/>
      <w:bookmarkEnd w:id="185"/>
      <w:r/>
      <w:bookmarkEnd w:id="186"/>
      <w:r/>
      <w:bookmarkEnd w:id="187"/>
      <w:r/>
      <w:bookmarkEnd w:id="188"/>
      <w:r/>
      <w:bookmarkEnd w:id="189"/>
      <w:r/>
      <w:bookmarkEnd w:id="190"/>
      <w:r/>
      <w:bookmarkEnd w:id="191"/>
      <w:r/>
      <w:bookmarkEnd w:id="192"/>
      <w:r/>
      <w:bookmarkEnd w:id="193"/>
      <w:r>
        <w:rPr>
          <w:rFonts w:hint="eastAsia" w:ascii="宋体" w:hAnsi="宋体" w:cs="宋体"/>
          <w:color w:val="auto"/>
          <w:highlight w:val="none"/>
        </w:rPr>
        <w:t xml:space="preserve">理人</w:t>
      </w:r>
      <w:bookmarkEnd w:id="182"/>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4.1监理人的一般规定</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关于监理人的监理内容：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关于监理人的监理权限：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关于监理人在施工现场的办公场所的提供和费用承担的约定：</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4.2 监理人员</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总监理工程师：</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姓    名：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职    务：</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监理工程师执业资格证书号：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联系电话：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关于监理人的其他约定：</w:t>
      </w:r>
      <w:r>
        <w:rPr>
          <w:rFonts w:hint="eastAsia" w:ascii="宋体" w:hAnsi="宋体" w:cs="宋体"/>
          <w:color w:val="auto"/>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发包人赋予的其他有关权利。</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需要取得发包人批准监理人才能行使的职权：</w:t>
      </w:r>
      <w:r>
        <w:rPr>
          <w:rFonts w:hint="eastAsia" w:ascii="宋体" w:hAnsi="宋体" w:cs="宋体"/>
          <w:color w:val="auto"/>
          <w:highlight w:val="none"/>
          <w:u w:val="single"/>
        </w:rPr>
        <w:t xml:space="preserve">工程变更、工程量增减的签证、需增加工程费用的现场签证、形象进度工程量的核准、影响工期的签证及开工令、停复工令的签发。</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4.4 商定或确定</w:t>
      </w:r>
      <w:r/>
    </w:p>
    <w:p>
      <w:pPr>
        <w:ind w:firstLine="400"/>
        <w:jc w:val="left"/>
        <w:spacing w:line="400" w:lineRule="exact"/>
        <w:rPr>
          <w:rFonts w:ascii="宋体" w:hAnsi="宋体" w:cs="宋体"/>
          <w:color w:val="auto"/>
          <w:highlight w:val="none"/>
        </w:rPr>
      </w:pPr>
      <w:r/>
      <w:bookmarkStart w:id="194" w:name="_Toc267251418"/>
      <w:r>
        <w:rPr>
          <w:rFonts w:hint="eastAsia" w:ascii="宋体" w:hAnsi="宋体" w:cs="宋体"/>
          <w:color w:val="auto"/>
          <w:highlight w:val="none"/>
        </w:rPr>
        <w:t xml:space="preserve">在发包人和承包人不能通过协商达成一致意见时，发包人授权监理人对以下事项进行确定：</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u w:val="single"/>
        </w:rPr>
        <w:t xml:space="preserve">详见监理合同</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bookmarkStart w:id="195" w:name="_Toc351203637"/>
      <w:r>
        <w:rPr>
          <w:rFonts w:hint="eastAsia" w:ascii="宋体" w:hAnsi="宋体" w:cs="宋体"/>
          <w:color w:val="auto"/>
          <w:highlight w:val="none"/>
        </w:rPr>
        <w:t xml:space="preserve">5</w:t>
      </w:r>
      <w:bookmarkEnd w:id="194"/>
      <w:r/>
      <w:bookmarkStart w:id="196" w:name="_Toc296890991"/>
      <w:r/>
      <w:bookmarkStart w:id="197" w:name="_Toc297120463"/>
      <w:r/>
      <w:bookmarkStart w:id="198" w:name="_Toc296944502"/>
      <w:r/>
      <w:bookmarkStart w:id="199" w:name="_Toc297048349"/>
      <w:r/>
      <w:bookmarkStart w:id="200" w:name="_Toc296503163"/>
      <w:r/>
      <w:bookmarkStart w:id="201" w:name="_Toc296346664"/>
      <w:r/>
      <w:bookmarkStart w:id="202" w:name="_Toc292559367"/>
      <w:r/>
      <w:bookmarkStart w:id="203" w:name="_Toc292559872"/>
      <w:r/>
      <w:bookmarkStart w:id="204" w:name="_Toc296891203"/>
      <w:r/>
      <w:bookmarkStart w:id="205" w:name="_Toc296347162"/>
      <w:r>
        <w:rPr>
          <w:rFonts w:hint="eastAsia" w:ascii="宋体" w:hAnsi="宋体" w:cs="宋体"/>
          <w:color w:val="auto"/>
          <w:highlight w:val="none"/>
        </w:rPr>
        <w:t xml:space="preserve">. 工程质量</w:t>
      </w:r>
      <w:bookmarkEnd w:id="195"/>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5.1 质量要求</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5</w:t>
      </w:r>
      <w:bookmarkStart w:id="206" w:name="_Toc297123496"/>
      <w:r/>
      <w:bookmarkStart w:id="207" w:name="_Toc304295527"/>
      <w:r/>
      <w:bookmarkStart w:id="208" w:name="_Toc303539106"/>
      <w:r/>
      <w:bookmarkStart w:id="209" w:name="_Toc297216155"/>
      <w:r/>
      <w:bookmarkStart w:id="210" w:name="_Toc312677997"/>
      <w:r/>
      <w:bookmarkStart w:id="211" w:name="_Toc318581164"/>
      <w:r/>
      <w:bookmarkStart w:id="212" w:name="_Toc300934949"/>
      <w:r>
        <w:rPr>
          <w:rFonts w:hint="eastAsia" w:ascii="宋体" w:hAnsi="宋体" w:cs="宋体"/>
          <w:color w:val="auto"/>
          <w:highlight w:val="none"/>
        </w:rPr>
        <w:t xml:space="preserve">.1.1 特殊质量标准和要求：</w:t>
      </w:r>
      <w:r>
        <w:rPr>
          <w:rFonts w:hint="eastAsia" w:ascii="宋体" w:hAnsi="宋体" w:cs="宋体"/>
          <w:color w:val="auto"/>
          <w:highlight w:val="none"/>
          <w:u w:val="single"/>
        </w:rPr>
        <w:t xml:space="preserve">工程质量必须达到合同约定合格标准，且保证相关部门验收一次通过；未达到质量要求的，承包人负责无条件返工，直至达到要求，返工所发生的费用由承包人自行承担，承包人还应赔偿因此给发包人造成的损失，工期不予顺延，同时发包人有权对承包人进行适度处罚。</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关于工程奖项的约定：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5.3 隐蔽工程检查</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5.3.2承包人提前通知监理人隐蔽工程检查的期限的约定：执行通用条款。</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监理人不能按时进行检查时，应提前 </w:t>
      </w:r>
      <w:r>
        <w:rPr>
          <w:rFonts w:hint="eastAsia" w:ascii="宋体" w:hAnsi="宋体" w:cs="宋体"/>
          <w:color w:val="auto"/>
          <w:highlight w:val="none"/>
          <w:u w:val="single"/>
        </w:rPr>
        <w:t xml:space="preserve"> 12  </w:t>
      </w:r>
      <w:r>
        <w:rPr>
          <w:rFonts w:hint="eastAsia" w:ascii="宋体" w:hAnsi="宋体" w:cs="宋体"/>
          <w:color w:val="auto"/>
          <w:highlight w:val="none"/>
        </w:rPr>
        <w:t xml:space="preserve">   小时提交书面延期要求。</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关于延期最长不得超过：  </w:t>
      </w:r>
      <w:r>
        <w:rPr>
          <w:rFonts w:hint="eastAsia" w:ascii="宋体" w:hAnsi="宋体" w:cs="宋体"/>
          <w:color w:val="auto"/>
          <w:highlight w:val="none"/>
          <w:u w:val="single"/>
        </w:rPr>
        <w:t xml:space="preserve">   24    </w:t>
      </w:r>
      <w:r>
        <w:rPr>
          <w:rFonts w:hint="eastAsia" w:ascii="宋体" w:hAnsi="宋体" w:cs="宋体"/>
          <w:color w:val="auto"/>
          <w:highlight w:val="none"/>
        </w:rPr>
        <w:t xml:space="preserve">小时。</w:t>
      </w:r>
      <w:r/>
    </w:p>
    <w:p>
      <w:pPr>
        <w:ind w:firstLine="400"/>
        <w:jc w:val="left"/>
        <w:spacing w:line="400" w:lineRule="exact"/>
        <w:rPr>
          <w:rFonts w:ascii="宋体" w:hAnsi="宋体" w:cs="宋体"/>
          <w:color w:val="auto"/>
          <w:highlight w:val="none"/>
        </w:rPr>
      </w:pPr>
      <w:r/>
      <w:bookmarkStart w:id="213" w:name="_Toc351203638"/>
      <w:r>
        <w:rPr>
          <w:rFonts w:hint="eastAsia" w:ascii="宋体" w:hAnsi="宋体" w:cs="宋体"/>
          <w:color w:val="auto"/>
          <w:highlight w:val="none"/>
        </w:rPr>
        <w:t xml:space="preserve">6. 安全文明施工与环境保护</w:t>
      </w:r>
      <w:bookmarkEnd w:id="213"/>
      <w:r/>
      <w:bookmarkEnd w:id="206"/>
      <w:r/>
      <w:bookmarkEnd w:id="207"/>
      <w:r/>
      <w:bookmarkEnd w:id="208"/>
      <w:r/>
      <w:bookmarkEnd w:id="209"/>
      <w:r/>
      <w:bookmarkEnd w:id="210"/>
      <w:r/>
      <w:bookmarkEnd w:id="211"/>
      <w:r/>
      <w:bookmarkEnd w:id="212"/>
      <w:r/>
      <w:r/>
    </w:p>
    <w:p>
      <w:pPr>
        <w:ind w:firstLine="400"/>
        <w:jc w:val="left"/>
        <w:spacing w:line="400" w:lineRule="exact"/>
        <w:rPr>
          <w:rFonts w:ascii="宋体" w:hAnsi="宋体" w:cs="宋体"/>
          <w:color w:val="auto"/>
          <w:highlight w:val="none"/>
        </w:rPr>
      </w:pPr>
      <w:r/>
      <w:bookmarkStart w:id="214" w:name="_Toc351203639"/>
      <w:r>
        <w:rPr>
          <w:rFonts w:hint="eastAsia" w:ascii="宋体" w:hAnsi="宋体" w:cs="宋体"/>
          <w:color w:val="auto"/>
          <w:highlight w:val="none"/>
        </w:rPr>
        <w:t xml:space="preserve">6.1安全文明施工</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6.1.1 项目安全生产的达标目标及相应</w:t>
      </w:r>
      <w:r>
        <w:rPr>
          <w:rFonts w:hint="eastAsia" w:ascii="宋体" w:hAnsi="宋体" w:cs="宋体"/>
          <w:color w:val="auto"/>
          <w:highlight w:val="none"/>
        </w:rPr>
        <w:t xml:space="preserve">事项的约定：  其安全文明施工费用已经含在合同价款（即成交价）内。承包人应遵守工程建设安全生产有关管理规定，严格按现行安全标准组织施工，并随时接受行业安全检查人员依法实施的监督检查，采取必要的安全防护措施，消除事故隐患。其安全施工防护费用已经含在合同价款内 。本工程在整个施工期间杜绝一切人身安全和重大质量安全事故，如发生上述事故，则发包人视为承包人违约；在施工期间每发生一起人身损害事故，承包人除了接受政府相关部门处罚外，承包人须向发包人支付违约金5万元。其安全文明施工费用已经含在合同价款（即成交价）内  。</w:t>
      </w:r>
      <w:r/>
    </w:p>
    <w:p>
      <w:pPr>
        <w:ind w:firstLine="400"/>
        <w:jc w:val="left"/>
        <w:spacing w:line="400" w:lineRule="exact"/>
        <w:rPr>
          <w:rFonts w:ascii="宋体" w:hAnsi="宋体" w:cs="宋体"/>
          <w:b/>
          <w:bCs/>
          <w:color w:val="auto"/>
          <w:highlight w:val="none"/>
        </w:rPr>
      </w:pPr>
      <w:r>
        <w:rPr>
          <w:rFonts w:hint="eastAsia" w:ascii="宋体" w:hAnsi="宋体" w:cs="宋体"/>
          <w:b/>
          <w:bCs/>
          <w:color w:val="auto"/>
          <w:highlight w:val="none"/>
        </w:rPr>
        <w:t xml:space="preserve">电焊气焊气割等动火作业人员必须持证上岗，使用的焊机必须合规赋码。</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工地扬尘污染防治费已【按徐建价2018（1）及（2）号文件计取】，在工程量清单中列出，承包人须按要求进行报价，发包人不再支付任何有关费用。</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工程变更所引起措施项目费增减：按中标价费率增减。</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开工通知载明的开工日期7天前提交安全技术措施或专项施工方案、安全生产责任制度、治安保卫制度及安全生产教育培训制度；</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五向发包人支付违约金。</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   承包人若在施工期间因拖欠农民工工资问题上访，不得以任何理由及借口拖延处理。如因发包人未能按时拨付工程款造成上访的，发包人自愿接受并执行建设行政主管部门的处理意见；如因承包人未能按时支付工人工资而造成上访的且未能及时解决，因处理不力造成影响，每一例承包人按合同价款的百分之五向发包人支付违约金。</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6.1.2 关于治安保卫的特别约定： </w:t>
      </w:r>
      <w:r>
        <w:rPr>
          <w:rFonts w:hint="eastAsia" w:ascii="宋体" w:hAnsi="宋体" w:cs="宋体"/>
          <w:color w:val="auto"/>
          <w:highlight w:val="none"/>
          <w:u w:val="single"/>
        </w:rPr>
        <w:t xml:space="preserve"> 按通用条款执</w:t>
      </w:r>
      <w:r>
        <w:rPr>
          <w:rFonts w:hint="eastAsia" w:ascii="宋体" w:hAnsi="宋体" w:cs="宋体"/>
          <w:color w:val="auto"/>
          <w:highlight w:val="none"/>
        </w:rPr>
        <w:t xml:space="preserve">行。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关于编制施工场地治安管理计划的约定：</w:t>
      </w:r>
      <w:r>
        <w:rPr>
          <w:rFonts w:hint="eastAsia" w:ascii="宋体" w:hAnsi="宋体" w:cs="宋体"/>
          <w:color w:val="auto"/>
          <w:highlight w:val="none"/>
          <w:u w:val="single"/>
        </w:rPr>
        <w:t xml:space="preserve"> 开工前提供</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6.1.3 文明施工</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合同当事人对文明施工的要求：符合徐州市有关部门规定的标准化施工现场要求，同时应满足市政、市容等相关主管部门的有关规定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按照《徐州市市区工地扬</w:t>
      </w:r>
      <w:r>
        <w:rPr>
          <w:rFonts w:hint="eastAsia" w:ascii="宋体" w:hAnsi="宋体" w:cs="宋体"/>
          <w:color w:val="auto"/>
          <w:highlight w:val="none"/>
        </w:rPr>
        <w:t xml:space="preserve">尘污染防治管理规范》的要求，制定并落实扬尘污染防治措施；开工前15日内向项目所在地环境保护行政主管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承包人应负责修建、维修、养护和管理施工所需的临时道路和交通设施，并承担相应费用；承包人修建的临时道路和交通设施应免费提供给发包人、监理人和其他承包人使用。</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本工程承包人必须充分考虑道路施工涉及的地方关系、交通协调等情况，及时与交通、公安部门协商，采取足够的交通疏导措施，保持施工期间交通通行，不得全封闭交通，并按要求设置围挡和安全标识；制定运输计划时，应充分考虑现有道路承运能力，避开高峰时段；施工机械设备不得停放在通行道路上。</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承包人不得以现场增加投入、赶工等借口拖延工期或申请追加合同金额，否则视为违约。</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交工后一周内彻底清洁完毕撤离现场。</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6.1.6 关于安全文明施工费支付比例和支付期限的约定： 合同价（即成交价）款中已含，与合同价款同期支付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 工期和进度</w:t>
      </w:r>
      <w:bookmarkEnd w:id="214"/>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7.1 施工组织设计</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7.1.1 合同当事人约定的施工组织设计应包括的其他内容：执行通用条款。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7.1.2 施工组织设计的提交和修改</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承包人提交详细施工组织设计的期限的约定： 开工通知载明的开工日期2天前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发包人和监理人在收到详细的施工组织设计后确认或提出修改意见的期限： 收到后2天内。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w:t>
      </w:r>
      <w:bookmarkStart w:id="215" w:name="_Toc312678005"/>
      <w:r/>
      <w:bookmarkStart w:id="216" w:name="_Toc297216173"/>
      <w:r/>
      <w:bookmarkStart w:id="217" w:name="_Toc297123514"/>
      <w:r/>
      <w:bookmarkStart w:id="218" w:name="_Toc303539123"/>
      <w:r/>
      <w:bookmarkStart w:id="219" w:name="_Toc300934966"/>
      <w:r/>
      <w:bookmarkStart w:id="220" w:name="_Toc312677479"/>
      <w:r/>
      <w:bookmarkStart w:id="221" w:name="_Toc304295541"/>
      <w:r>
        <w:rPr>
          <w:rFonts w:hint="eastAsia" w:ascii="宋体" w:hAnsi="宋体" w:cs="宋体"/>
          <w:color w:val="auto"/>
          <w:highlight w:val="none"/>
        </w:rPr>
        <w:t xml:space="preserve">.2 施工进度计划</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7.2.2 施工进度计划的修订</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发包人和监理人在收到修订的施工进度计划后确认或提出修改意见的期限：收到后2天内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施工期间，承包人每月20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7.3 开工</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7.3.1 开工准备</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关于承包人提交工程开工报审表的期限：</w:t>
      </w:r>
      <w:r>
        <w:rPr>
          <w:rFonts w:hint="eastAsia" w:ascii="宋体" w:hAnsi="宋体" w:cs="宋体"/>
          <w:color w:val="auto"/>
          <w:highlight w:val="none"/>
          <w:u w:val="single"/>
        </w:rPr>
        <w:t xml:space="preserve">合同签订后、开工前2天</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关于发包人应完成的其他开工准备工作及期限：</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关于承包人应完成的其他开工准备工作及期限：</w:t>
      </w:r>
      <w:r>
        <w:rPr>
          <w:rFonts w:hint="eastAsia" w:ascii="宋体" w:hAnsi="宋体" w:cs="宋体"/>
          <w:color w:val="auto"/>
          <w:highlight w:val="none"/>
          <w:u w:val="single"/>
        </w:rPr>
        <w:t xml:space="preserve">合同备案后7日内</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7.3.2开工通知</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因发包人原因造成监理人未能在计划开工日期之日起 28 天内发出开工通知的，承包人有权提出价格调整要求，或者解除合同。</w:t>
      </w:r>
      <w:bookmarkEnd w:id="215"/>
      <w:r/>
      <w:bookmarkEnd w:id="216"/>
      <w:r/>
      <w:bookmarkEnd w:id="217"/>
      <w:r/>
      <w:bookmarkEnd w:id="218"/>
      <w:r/>
      <w:bookmarkEnd w:id="219"/>
      <w:r/>
      <w:bookmarkEnd w:id="220"/>
      <w:r/>
      <w:bookmarkEnd w:id="221"/>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7.4 测量放线</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7.4.1发包人通过监理人向承包人提供测量基准点、基准线和水准点及其书面资料的期限：</w:t>
      </w:r>
      <w:r>
        <w:rPr>
          <w:rFonts w:hint="eastAsia" w:ascii="宋体" w:hAnsi="宋体" w:cs="宋体"/>
          <w:color w:val="auto"/>
          <w:highlight w:val="none"/>
          <w:u w:val="single"/>
        </w:rPr>
        <w:t xml:space="preserve"> 合同签订后、开工前7天</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7.5 工期延误</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7.5.1.1 发包人要求比合同约定的工期提前竣工时，应征得承包人同意，赶工采取的措施费用由甲乙协商确定。</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7.5.1.2因发包人未按约定完成工作，影响工期，工期顺延，但必须以书面签证为准。</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因发包人原因导致工期延误</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因发包人原因导致工期延误的其他情形：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7.5.1.3 因承包人责任，不能按期开工或中途无故停工，影响工期，工期不顺延。另工期每推迟一天，按一天2000元向发包人支付违约金，并承担由此造成的一切损失。</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因</w:t>
      </w:r>
      <w:bookmarkStart w:id="222" w:name="_Toc312678013"/>
      <w:r/>
      <w:bookmarkStart w:id="223" w:name="_Toc318581170"/>
      <w:r/>
      <w:bookmarkStart w:id="224" w:name="_Toc312677487"/>
      <w:r>
        <w:rPr>
          <w:rFonts w:hint="eastAsia" w:ascii="宋体" w:hAnsi="宋体" w:cs="宋体"/>
          <w:color w:val="auto"/>
          <w:highlight w:val="none"/>
        </w:rPr>
        <w:t xml:space="preserve">承包人原因造成工期延误，逾期竣工违约金的计算方法为：工期每推迟一天，另按一天2000元向发包人支付违约金，并承担由此造成的一切损失。</w:t>
      </w:r>
      <w:bookmarkEnd w:id="222"/>
      <w:r/>
      <w:bookmarkEnd w:id="223"/>
      <w:r/>
      <w:bookmarkEnd w:id="224"/>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因承包人原因造成工期延误，逾</w:t>
      </w:r>
      <w:bookmarkStart w:id="225" w:name="_Toc318581171"/>
      <w:r/>
      <w:bookmarkStart w:id="226" w:name="_Toc312678014"/>
      <w:r>
        <w:rPr>
          <w:rFonts w:hint="eastAsia" w:ascii="宋体" w:hAnsi="宋体" w:cs="宋体"/>
          <w:color w:val="auto"/>
          <w:highlight w:val="none"/>
        </w:rPr>
        <w:t xml:space="preserve">期竣工违约金的上限：</w:t>
      </w:r>
      <w:r>
        <w:rPr>
          <w:rFonts w:hint="eastAsia" w:ascii="宋体" w:hAnsi="宋体" w:cs="宋体"/>
          <w:color w:val="auto"/>
          <w:highlight w:val="none"/>
          <w:u w:val="single"/>
        </w:rPr>
        <w:t xml:space="preserve">合同价的 20%</w:t>
      </w:r>
      <w:r>
        <w:rPr>
          <w:rFonts w:hint="eastAsia" w:ascii="宋体" w:hAnsi="宋体" w:cs="宋体"/>
          <w:color w:val="auto"/>
          <w:highlight w:val="none"/>
        </w:rPr>
        <w:t xml:space="preserve">。</w:t>
      </w:r>
      <w:bookmarkEnd w:id="225"/>
      <w:r/>
      <w:bookmarkEnd w:id="226"/>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7.5.1.4因设计变更或非承包人原因造成的停电、停水、停气及不可抗力因素影响，导致停工8小时以上（一周内累计计算），工期相应顺延，但承包人需办理延期手续，批准后方可顺延工期。</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w:t>
      </w:r>
      <w:bookmarkStart w:id="227" w:name="_Toc297123519"/>
      <w:r/>
      <w:bookmarkStart w:id="228" w:name="_Toc312678015"/>
      <w:r/>
      <w:bookmarkStart w:id="229" w:name="_Toc297216178"/>
      <w:r/>
      <w:bookmarkStart w:id="230" w:name="_Toc303539128"/>
      <w:r/>
      <w:bookmarkStart w:id="231" w:name="_Toc300934971"/>
      <w:r/>
      <w:bookmarkStart w:id="232" w:name="_Toc304295549"/>
      <w:r>
        <w:rPr>
          <w:rFonts w:hint="eastAsia" w:ascii="宋体" w:hAnsi="宋体" w:cs="宋体"/>
          <w:color w:val="auto"/>
          <w:highlight w:val="none"/>
        </w:rPr>
        <w:t xml:space="preserve">.6 不</w:t>
      </w:r>
      <w:bookmarkEnd w:id="227"/>
      <w:r/>
      <w:bookmarkEnd w:id="228"/>
      <w:r/>
      <w:bookmarkEnd w:id="229"/>
      <w:r/>
      <w:bookmarkEnd w:id="230"/>
      <w:r/>
      <w:bookmarkEnd w:id="231"/>
      <w:r/>
      <w:bookmarkEnd w:id="232"/>
      <w:r>
        <w:rPr>
          <w:rFonts w:hint="eastAsia" w:ascii="宋体" w:hAnsi="宋体" w:cs="宋体"/>
          <w:color w:val="auto"/>
          <w:highlight w:val="none"/>
        </w:rPr>
        <w:t xml:space="preserve">利物质条件</w:t>
      </w:r>
      <w:r/>
    </w:p>
    <w:p>
      <w:pPr>
        <w:ind w:firstLine="400"/>
        <w:jc w:val="left"/>
        <w:spacing w:line="400" w:lineRule="exact"/>
        <w:rPr>
          <w:rFonts w:ascii="宋体" w:hAnsi="宋体" w:cs="宋体"/>
          <w:color w:val="auto"/>
          <w:highlight w:val="none"/>
        </w:rPr>
      </w:pPr>
      <w:r/>
      <w:bookmarkStart w:id="233" w:name="_Toc300934972"/>
      <w:r/>
      <w:bookmarkStart w:id="234" w:name="_Toc318581172"/>
      <w:r/>
      <w:bookmarkStart w:id="235" w:name="_Toc297123520"/>
      <w:r/>
      <w:bookmarkStart w:id="236" w:name="_Toc303539129"/>
      <w:r/>
      <w:bookmarkStart w:id="237" w:name="_Toc312678016"/>
      <w:r/>
      <w:bookmarkStart w:id="238" w:name="_Toc297216179"/>
      <w:r/>
      <w:bookmarkStart w:id="239" w:name="_Toc304295550"/>
      <w:r>
        <w:rPr>
          <w:rFonts w:hint="eastAsia" w:ascii="宋体" w:hAnsi="宋体" w:cs="宋体"/>
          <w:color w:val="auto"/>
          <w:highlight w:val="none"/>
        </w:rPr>
        <w:t xml:space="preserve">不利物质条件的其他情形和有关约定：  /   。</w:t>
      </w:r>
      <w:bookmarkEnd w:id="233"/>
      <w:r/>
      <w:bookmarkEnd w:id="234"/>
      <w:r/>
      <w:bookmarkEnd w:id="235"/>
      <w:r/>
      <w:bookmarkEnd w:id="236"/>
      <w:r/>
      <w:bookmarkEnd w:id="237"/>
      <w:r/>
      <w:bookmarkEnd w:id="238"/>
      <w:r/>
      <w:bookmarkEnd w:id="239"/>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w:t>
      </w:r>
      <w:bookmarkStart w:id="240" w:name="_Toc300934973"/>
      <w:r/>
      <w:bookmarkStart w:id="241" w:name="_Toc312678017"/>
      <w:r/>
      <w:bookmarkStart w:id="242" w:name="_Toc297123521"/>
      <w:r/>
      <w:bookmarkStart w:id="243" w:name="_Toc297216180"/>
      <w:r/>
      <w:bookmarkStart w:id="244" w:name="_Toc304295551"/>
      <w:r/>
      <w:bookmarkStart w:id="245" w:name="_Toc303539130"/>
      <w:r>
        <w:rPr>
          <w:rFonts w:hint="eastAsia" w:ascii="宋体" w:hAnsi="宋体" w:cs="宋体"/>
          <w:color w:val="auto"/>
          <w:highlight w:val="none"/>
        </w:rPr>
        <w:t xml:space="preserve">.7异常恶劣的气候条件</w:t>
      </w:r>
      <w:bookmarkEnd w:id="240"/>
      <w:r/>
      <w:bookmarkEnd w:id="241"/>
      <w:r/>
      <w:bookmarkEnd w:id="242"/>
      <w:r/>
      <w:bookmarkEnd w:id="243"/>
      <w:r/>
      <w:bookmarkEnd w:id="244"/>
      <w:r/>
      <w:bookmarkEnd w:id="245"/>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发包人和承包人同意以下情形视为异常恶劣的气候条件：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（1）由徐州市有关部门正式发布和认定的自然灾害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7.9 提前竣工的奖励</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7.9.2提前竣工的奖励：</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bookmarkStart w:id="246" w:name="_Toc351203640"/>
      <w:r>
        <w:rPr>
          <w:rFonts w:hint="eastAsia" w:ascii="宋体" w:hAnsi="宋体" w:cs="宋体"/>
          <w:color w:val="auto"/>
          <w:highlight w:val="none"/>
        </w:rPr>
        <w:t xml:space="preserve">8. 材料与设备</w:t>
      </w:r>
      <w:bookmarkEnd w:id="246"/>
      <w:r/>
      <w:bookmarkEnd w:id="196"/>
      <w:r/>
      <w:bookmarkEnd w:id="197"/>
      <w:r/>
      <w:bookmarkEnd w:id="198"/>
      <w:r/>
      <w:bookmarkEnd w:id="199"/>
      <w:r/>
      <w:bookmarkEnd w:id="200"/>
      <w:r/>
      <w:bookmarkEnd w:id="201"/>
      <w:r/>
      <w:bookmarkEnd w:id="202"/>
      <w:r/>
      <w:bookmarkEnd w:id="203"/>
      <w:r/>
      <w:bookmarkEnd w:id="204"/>
      <w:r/>
      <w:bookmarkEnd w:id="205"/>
      <w:r/>
      <w:r/>
    </w:p>
    <w:p>
      <w:pPr>
        <w:ind w:firstLine="400"/>
        <w:jc w:val="left"/>
        <w:spacing w:line="400" w:lineRule="exact"/>
        <w:rPr>
          <w:rFonts w:ascii="宋体" w:hAnsi="宋体" w:cs="宋体"/>
          <w:color w:val="auto"/>
          <w:highlight w:val="none"/>
        </w:rPr>
      </w:pPr>
      <w:r/>
      <w:bookmarkStart w:id="247" w:name="_Toc280868655"/>
      <w:r/>
      <w:bookmarkStart w:id="248" w:name="_Toc267251424"/>
      <w:r/>
      <w:bookmarkStart w:id="249" w:name="_Toc280868656"/>
      <w:r/>
      <w:bookmarkStart w:id="250" w:name="_Toc351203641"/>
      <w:r>
        <w:rPr>
          <w:rFonts w:hint="eastAsia" w:ascii="宋体" w:hAnsi="宋体" w:cs="宋体"/>
          <w:color w:val="auto"/>
          <w:highlight w:val="none"/>
        </w:rPr>
        <w:t xml:space="preserve">8</w:t>
      </w:r>
      <w:bookmarkStart w:id="251" w:name="_Toc303539136"/>
      <w:r/>
      <w:bookmarkStart w:id="252" w:name="_Toc296891207"/>
      <w:r/>
      <w:bookmarkStart w:id="253" w:name="_Toc296346668"/>
      <w:r/>
      <w:bookmarkStart w:id="254" w:name="_Toc296944506"/>
      <w:r/>
      <w:bookmarkStart w:id="255" w:name="_Toc296347166"/>
      <w:r/>
      <w:bookmarkStart w:id="256" w:name="_Toc296890995"/>
      <w:r/>
      <w:bookmarkStart w:id="257" w:name="_Toc297120467"/>
      <w:r/>
      <w:bookmarkStart w:id="258" w:name="_Toc297123527"/>
      <w:r/>
      <w:bookmarkStart w:id="259" w:name="_Toc312678019"/>
      <w:r/>
      <w:bookmarkStart w:id="260" w:name="_Toc300934979"/>
      <w:r/>
      <w:bookmarkStart w:id="261" w:name="_Toc297048353"/>
      <w:r/>
      <w:bookmarkStart w:id="262" w:name="_Toc292559877"/>
      <w:r/>
      <w:bookmarkStart w:id="263" w:name="_Toc280868654"/>
      <w:r/>
      <w:bookmarkStart w:id="264" w:name="_Toc292559372"/>
      <w:r/>
      <w:bookmarkStart w:id="265" w:name="_Toc297216186"/>
      <w:r/>
      <w:bookmarkStart w:id="266" w:name="_Toc296503167"/>
      <w:r/>
      <w:bookmarkStart w:id="267" w:name="_Toc304295556"/>
      <w:r/>
      <w:bookmarkStart w:id="268" w:name="_Toc312677493"/>
      <w:r>
        <w:rPr>
          <w:rFonts w:hint="eastAsia" w:ascii="宋体" w:hAnsi="宋体" w:cs="宋体"/>
          <w:color w:val="auto"/>
          <w:highlight w:val="none"/>
        </w:rPr>
        <w:t xml:space="preserve">.1材料与工程设备的保管与使用</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8</w:t>
      </w:r>
      <w:bookmarkStart w:id="269" w:name="_Toc292559373"/>
      <w:r/>
      <w:bookmarkStart w:id="270" w:name="_Toc292559878"/>
      <w:r>
        <w:rPr>
          <w:rFonts w:hint="eastAsia" w:ascii="宋体" w:hAnsi="宋体" w:cs="宋体"/>
          <w:color w:val="auto"/>
          <w:highlight w:val="none"/>
        </w:rPr>
        <w:t xml:space="preserve">.1.1发包人供应的材料设备的保管费用的承担：</w:t>
      </w:r>
      <w:r>
        <w:rPr>
          <w:rFonts w:hint="eastAsia" w:ascii="宋体" w:hAnsi="宋体" w:cs="宋体"/>
          <w:color w:val="auto"/>
          <w:highlight w:val="none"/>
          <w:u w:val="single"/>
        </w:rPr>
        <w:t xml:space="preserve">由承包人承担</w:t>
      </w:r>
      <w:r>
        <w:rPr>
          <w:rFonts w:hint="eastAsia" w:ascii="宋体" w:hAnsi="宋体" w:cs="宋体"/>
          <w:color w:val="auto"/>
          <w:highlight w:val="none"/>
        </w:rPr>
        <w:t xml:space="preserve"> 。</w:t>
      </w:r>
      <w:bookmarkEnd w:id="269"/>
      <w:r/>
      <w:bookmarkEnd w:id="270"/>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8.2 样品</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8.2.1</w:t>
      </w:r>
      <w:r>
        <w:rPr>
          <w:rFonts w:hint="eastAsia" w:ascii="宋体" w:hAnsi="宋体" w:cs="宋体"/>
          <w:color w:val="auto"/>
          <w:highlight w:val="none"/>
        </w:rPr>
        <w:tab/>
      </w:r>
      <w:r>
        <w:rPr>
          <w:rFonts w:hint="eastAsia" w:ascii="宋体" w:hAnsi="宋体" w:cs="宋体"/>
          <w:color w:val="auto"/>
          <w:highlight w:val="none"/>
        </w:rPr>
        <w:t xml:space="preserve">样品的报送与封存</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需要承包人报送样品的材料或工程设备，样品的种类、名称、规格、数量要求： 按管理部门和发包人要求确定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8.3 施工设备和临时设施</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8.3.1 承包人提供的施工设备和临时设施</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关于修建临时设施费用承担的约定： </w:t>
      </w:r>
      <w:r>
        <w:rPr>
          <w:rFonts w:hint="eastAsia" w:ascii="宋体" w:hAnsi="宋体" w:cs="宋体"/>
          <w:color w:val="auto"/>
          <w:highlight w:val="none"/>
          <w:u w:val="single"/>
        </w:rPr>
        <w:t xml:space="preserve"> 由承包人承担</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9</w:t>
      </w:r>
      <w:bookmarkEnd w:id="247"/>
      <w:r/>
      <w:bookmarkEnd w:id="248"/>
      <w:r/>
      <w:bookmarkEnd w:id="249"/>
      <w:r/>
      <w:bookmarkStart w:id="271" w:name="_Toc312678021"/>
      <w:r/>
      <w:bookmarkStart w:id="272" w:name="_Toc300934982"/>
      <w:r/>
      <w:bookmarkStart w:id="273" w:name="_Toc297216192"/>
      <w:r/>
      <w:bookmarkStart w:id="274" w:name="_Toc312677495"/>
      <w:r/>
      <w:bookmarkStart w:id="275" w:name="_Toc304295559"/>
      <w:r/>
      <w:bookmarkStart w:id="276" w:name="_Toc303539139"/>
      <w:r/>
      <w:bookmarkStart w:id="277" w:name="_Toc297123533"/>
      <w:r/>
      <w:bookmarkStart w:id="278" w:name="_Toc296347172"/>
      <w:r/>
      <w:bookmarkStart w:id="279" w:name="_Toc296346674"/>
      <w:r/>
      <w:bookmarkStart w:id="280" w:name="_Toc296503173"/>
      <w:r/>
      <w:bookmarkStart w:id="281" w:name="_Toc267251427"/>
      <w:r/>
      <w:bookmarkStart w:id="282" w:name="_Toc267251428"/>
      <w:r/>
      <w:bookmarkStart w:id="283" w:name="_Toc292559378"/>
      <w:r/>
      <w:bookmarkStart w:id="284" w:name="_Toc297048359"/>
      <w:r/>
      <w:bookmarkStart w:id="285" w:name="_Toc292559883"/>
      <w:r/>
      <w:bookmarkStart w:id="286" w:name="_Toc296891001"/>
      <w:r/>
      <w:bookmarkStart w:id="287" w:name="_Toc297120473"/>
      <w:r/>
      <w:bookmarkStart w:id="288" w:name="_Toc296891213"/>
      <w:r/>
      <w:bookmarkStart w:id="289" w:name="_Toc296944512"/>
      <w:r>
        <w:rPr>
          <w:rFonts w:hint="eastAsia" w:ascii="宋体" w:hAnsi="宋体" w:cs="宋体"/>
          <w:color w:val="auto"/>
          <w:highlight w:val="none"/>
        </w:rPr>
        <w:t xml:space="preserve">. 试验与检验</w:t>
      </w:r>
      <w:bookmarkEnd w:id="250"/>
      <w:r/>
      <w:bookmarkEnd w:id="271"/>
      <w:r/>
      <w:bookmarkEnd w:id="272"/>
      <w:r/>
      <w:bookmarkEnd w:id="273"/>
      <w:r/>
      <w:bookmarkEnd w:id="274"/>
      <w:r/>
      <w:bookmarkEnd w:id="275"/>
      <w:r/>
      <w:bookmarkEnd w:id="276"/>
      <w:r/>
      <w:bookmarkEnd w:id="277"/>
      <w:r/>
      <w:r/>
    </w:p>
    <w:p>
      <w:pPr>
        <w:ind w:firstLine="400"/>
        <w:jc w:val="left"/>
        <w:spacing w:line="400" w:lineRule="exact"/>
        <w:rPr>
          <w:rFonts w:ascii="宋体" w:hAnsi="宋体" w:cs="宋体"/>
          <w:color w:val="auto"/>
          <w:highlight w:val="none"/>
        </w:rPr>
      </w:pPr>
      <w:r/>
      <w:bookmarkStart w:id="290" w:name="_Toc351203642"/>
      <w:r>
        <w:rPr>
          <w:rFonts w:hint="eastAsia" w:ascii="宋体" w:hAnsi="宋体" w:cs="宋体"/>
          <w:color w:val="auto"/>
          <w:highlight w:val="none"/>
        </w:rPr>
        <w:t xml:space="preserve">9</w:t>
      </w:r>
      <w:bookmarkStart w:id="291" w:name="_Toc312678022"/>
      <w:r/>
      <w:bookmarkStart w:id="292" w:name="_Toc303539140"/>
      <w:r/>
      <w:bookmarkStart w:id="293" w:name="_Toc297123534"/>
      <w:r/>
      <w:bookmarkStart w:id="294" w:name="_Toc312677496"/>
      <w:r/>
      <w:bookmarkStart w:id="295" w:name="_Toc297216193"/>
      <w:r/>
      <w:bookmarkStart w:id="296" w:name="_Toc304295560"/>
      <w:r/>
      <w:bookmarkStart w:id="297" w:name="_Toc300934983"/>
      <w:r>
        <w:rPr>
          <w:rFonts w:hint="eastAsia" w:ascii="宋体" w:hAnsi="宋体" w:cs="宋体"/>
          <w:color w:val="auto"/>
          <w:highlight w:val="none"/>
        </w:rPr>
        <w:t xml:space="preserve">.1试验设备与试验人员</w:t>
      </w:r>
      <w:bookmarkEnd w:id="291"/>
      <w:r/>
      <w:bookmarkEnd w:id="292"/>
      <w:r/>
      <w:bookmarkEnd w:id="293"/>
      <w:r/>
      <w:bookmarkEnd w:id="294"/>
      <w:r/>
      <w:bookmarkEnd w:id="295"/>
      <w:r/>
      <w:bookmarkEnd w:id="296"/>
      <w:r/>
      <w:bookmarkEnd w:id="297"/>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9</w:t>
      </w:r>
      <w:bookmarkStart w:id="298" w:name="_Toc312677497"/>
      <w:r/>
      <w:bookmarkStart w:id="299" w:name="_Toc304295561"/>
      <w:r/>
      <w:bookmarkStart w:id="300" w:name="_Toc303539141"/>
      <w:r/>
      <w:bookmarkStart w:id="301" w:name="_Toc312678023"/>
      <w:r/>
      <w:bookmarkStart w:id="302" w:name="_Toc297123535"/>
      <w:r/>
      <w:bookmarkStart w:id="303" w:name="_Toc297216194"/>
      <w:r/>
      <w:bookmarkStart w:id="304" w:name="_Toc300934984"/>
      <w:r/>
      <w:bookmarkStart w:id="305" w:name="_Toc318581174"/>
      <w:r>
        <w:rPr>
          <w:rFonts w:hint="eastAsia" w:ascii="宋体" w:hAnsi="宋体" w:cs="宋体"/>
          <w:color w:val="auto"/>
          <w:highlight w:val="none"/>
        </w:rPr>
        <w:t xml:space="preserve">.1.1 试验设备</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施工现场需要配置的试验场所：</w:t>
      </w:r>
      <w:bookmarkEnd w:id="298"/>
      <w:r/>
      <w:bookmarkEnd w:id="299"/>
      <w:r/>
      <w:bookmarkEnd w:id="300"/>
      <w:r/>
      <w:bookmarkEnd w:id="301"/>
      <w:r/>
      <w:bookmarkEnd w:id="302"/>
      <w:r/>
      <w:bookmarkEnd w:id="303"/>
      <w:r/>
      <w:bookmarkEnd w:id="304"/>
      <w:r/>
      <w:bookmarkStart w:id="306" w:name="_Toc300934985"/>
      <w:r/>
      <w:bookmarkStart w:id="307" w:name="_Toc297216195"/>
      <w:r/>
      <w:bookmarkStart w:id="308" w:name="_Toc312678024"/>
      <w:r/>
      <w:bookmarkStart w:id="309" w:name="_Toc297123536"/>
      <w:r/>
      <w:bookmarkStart w:id="310" w:name="_Toc303539142"/>
      <w:r/>
      <w:bookmarkStart w:id="311" w:name="_Toc304295562"/>
      <w:r/>
      <w:bookmarkStart w:id="312" w:name="_Toc312677498"/>
      <w:r>
        <w:rPr>
          <w:rFonts w:hint="eastAsia" w:ascii="宋体" w:hAnsi="宋体" w:cs="宋体"/>
          <w:color w:val="auto"/>
          <w:highlight w:val="none"/>
        </w:rPr>
        <w:t xml:space="preserve">  </w:t>
      </w:r>
      <w:r>
        <w:rPr>
          <w:rFonts w:hint="eastAsia" w:ascii="宋体" w:hAnsi="宋体" w:cs="宋体"/>
          <w:color w:val="auto"/>
          <w:highlight w:val="none"/>
          <w:u w:val="single"/>
        </w:rPr>
        <w:t xml:space="preserve"> 按有关规定执行</w:t>
      </w:r>
      <w:r>
        <w:rPr>
          <w:rFonts w:hint="eastAsia" w:ascii="宋体" w:hAnsi="宋体" w:cs="宋体"/>
          <w:color w:val="auto"/>
          <w:highlight w:val="none"/>
        </w:rPr>
        <w:t xml:space="preserve">      。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施工现场需要配备的试验设备：  </w:t>
      </w:r>
      <w:r>
        <w:rPr>
          <w:rFonts w:hint="eastAsia" w:ascii="宋体" w:hAnsi="宋体" w:cs="宋体"/>
          <w:color w:val="auto"/>
          <w:highlight w:val="none"/>
          <w:u w:val="single"/>
        </w:rPr>
        <w:t xml:space="preserve"> 按有关规定执行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施工现场需要具备的其他试验条件：</w:t>
      </w:r>
      <w:r>
        <w:rPr>
          <w:rFonts w:hint="eastAsia" w:ascii="宋体" w:hAnsi="宋体" w:cs="宋体"/>
          <w:color w:val="auto"/>
          <w:highlight w:val="none"/>
          <w:u w:val="single"/>
        </w:rPr>
        <w:t xml:space="preserve">  按相关规定执行</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9.2现场工艺试验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现场工艺试验的有关约定：</w:t>
      </w:r>
      <w:r>
        <w:rPr>
          <w:rFonts w:hint="eastAsia" w:ascii="宋体" w:hAnsi="宋体" w:cs="宋体"/>
          <w:color w:val="auto"/>
          <w:highlight w:val="none"/>
          <w:u w:val="single"/>
        </w:rPr>
        <w:t xml:space="preserve">  承包人根据相关规范、标准进行试验并承担检测费用 </w:t>
      </w:r>
      <w:r>
        <w:rPr>
          <w:rFonts w:hint="eastAsia" w:ascii="宋体" w:hAnsi="宋体" w:cs="宋体"/>
          <w:color w:val="auto"/>
          <w:highlight w:val="none"/>
        </w:rPr>
        <w:t xml:space="preserve">  。</w:t>
      </w:r>
      <w:bookmarkEnd w:id="305"/>
      <w:r/>
      <w:bookmarkEnd w:id="306"/>
      <w:r/>
      <w:bookmarkEnd w:id="307"/>
      <w:r/>
      <w:bookmarkEnd w:id="308"/>
      <w:r/>
      <w:bookmarkEnd w:id="309"/>
      <w:r/>
      <w:bookmarkEnd w:id="310"/>
      <w:r/>
      <w:bookmarkEnd w:id="311"/>
      <w:r/>
      <w:bookmarkEnd w:id="312"/>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Start w:id="313" w:name="_Toc303539146"/>
      <w:r/>
      <w:bookmarkStart w:id="314" w:name="_Toc296891021"/>
      <w:r/>
      <w:bookmarkStart w:id="315" w:name="_Toc297216199"/>
      <w:r/>
      <w:bookmarkStart w:id="316" w:name="_Toc296503193"/>
      <w:r/>
      <w:bookmarkStart w:id="317" w:name="_Toc296891233"/>
      <w:r/>
      <w:bookmarkStart w:id="318" w:name="_Toc292559903"/>
      <w:r/>
      <w:bookmarkStart w:id="319" w:name="_Toc297123540"/>
      <w:r/>
      <w:bookmarkStart w:id="320" w:name="_Toc297120493"/>
      <w:r/>
      <w:bookmarkStart w:id="321" w:name="_Toc296347192"/>
      <w:r/>
      <w:bookmarkStart w:id="322" w:name="_Toc300934989"/>
      <w:r/>
      <w:bookmarkStart w:id="323" w:name="_Toc296944532"/>
      <w:r/>
      <w:bookmarkStart w:id="324" w:name="_Toc297048379"/>
      <w:r/>
      <w:bookmarkStart w:id="325" w:name="_Toc296346694"/>
      <w:r/>
      <w:bookmarkStart w:id="326" w:name="_Toc304295566"/>
      <w:r/>
      <w:bookmarkStart w:id="327" w:name="_Toc292559398"/>
      <w:r/>
      <w:bookmarkStart w:id="328" w:name="_Toc312678025"/>
      <w:r/>
      <w:bookmarkStart w:id="329" w:name="_Toc312677499"/>
      <w:r/>
      <w:bookmarkStart w:id="330" w:name="_Toc267251440"/>
      <w:r/>
      <w:bookmarkStart w:id="331" w:name="_Toc267251435"/>
      <w:r/>
      <w:bookmarkStart w:id="332" w:name="_Toc267251441"/>
      <w:r/>
      <w:bookmarkStart w:id="333" w:name="_Toc267251437"/>
      <w:r/>
      <w:bookmarkStart w:id="334" w:name="_Toc267251433"/>
      <w:r/>
      <w:bookmarkStart w:id="335" w:name="_Toc267251439"/>
      <w:r/>
      <w:bookmarkStart w:id="336" w:name="_Toc267251442"/>
      <w:r>
        <w:rPr>
          <w:rFonts w:hint="eastAsia" w:ascii="宋体" w:hAnsi="宋体" w:cs="宋体"/>
          <w:color w:val="auto"/>
          <w:highlight w:val="none"/>
        </w:rPr>
        <w:t xml:space="preserve">0. 变更</w:t>
      </w:r>
      <w:bookmarkEnd w:id="290"/>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w:t>
      </w:r>
      <w:bookmarkStart w:id="337" w:name="_Toc296891022"/>
      <w:r/>
      <w:bookmarkStart w:id="338" w:name="_Toc304295567"/>
      <w:r/>
      <w:bookmarkStart w:id="339" w:name="_Toc296503194"/>
      <w:r/>
      <w:bookmarkStart w:id="340" w:name="_Toc296891234"/>
      <w:r/>
      <w:bookmarkStart w:id="341" w:name="_Toc312678026"/>
      <w:r/>
      <w:bookmarkStart w:id="342" w:name="_Toc296944533"/>
      <w:r/>
      <w:bookmarkStart w:id="343" w:name="_Toc303539147"/>
      <w:r/>
      <w:bookmarkStart w:id="344" w:name="_Toc300934990"/>
      <w:r/>
      <w:bookmarkStart w:id="345" w:name="_Toc296347193"/>
      <w:r/>
      <w:bookmarkStart w:id="346" w:name="_Toc297048380"/>
      <w:r/>
      <w:bookmarkStart w:id="347" w:name="_Toc292559399"/>
      <w:r/>
      <w:bookmarkStart w:id="348" w:name="_Toc297123541"/>
      <w:r/>
      <w:bookmarkStart w:id="349" w:name="_Toc297216200"/>
      <w:r/>
      <w:bookmarkStart w:id="350" w:name="_Toc292559904"/>
      <w:r/>
      <w:bookmarkStart w:id="351" w:name="_Toc296346695"/>
      <w:r/>
      <w:bookmarkStart w:id="352" w:name="_Toc297120494"/>
      <w:r/>
      <w:bookmarkStart w:id="353" w:name="_Toc312677500"/>
      <w:r>
        <w:rPr>
          <w:rFonts w:hint="eastAsia" w:ascii="宋体" w:hAnsi="宋体" w:cs="宋体"/>
          <w:color w:val="auto"/>
          <w:highlight w:val="none"/>
        </w:rPr>
        <w:t xml:space="preserve">0.1变更的范围</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变更的范围的约定：增加或减少合同中任何工作，或追加额外的工作；改变合同中任何工作的质量标准或其他特性。设计变更、现场鉴证和新增工程等变更均须经设计院、监理工程师和发包人代表签字认可并加盖公章，否则不作为结算调整依据,跟踪审计单位审核确认执行本合同通用条款。承包人根据发包人书面确认的变更文件予以变更。变更文件中须明确原做法、变更后做法及工艺、材料名称、规格、品牌、尺寸等，标注要清晰。</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10.2 变更估价</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10.2.1 变更估价原则</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关于变更估价的约定:  </w:t>
      </w:r>
      <w:r>
        <w:rPr>
          <w:rFonts w:hint="eastAsia" w:ascii="宋体" w:hAnsi="宋体" w:cs="宋体"/>
          <w:color w:val="auto"/>
          <w:highlight w:val="none"/>
          <w:u w:val="single"/>
        </w:rPr>
        <w:t xml:space="preserve">   按照谈判文件约定执行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Start w:id="354" w:name="_Toc296891237"/>
      <w:r/>
      <w:bookmarkStart w:id="355" w:name="_Toc297216203"/>
      <w:r/>
      <w:bookmarkStart w:id="356" w:name="_Toc297123544"/>
      <w:r/>
      <w:bookmarkStart w:id="357" w:name="_Toc297120497"/>
      <w:r/>
      <w:bookmarkStart w:id="358" w:name="_Toc296503197"/>
      <w:r/>
      <w:bookmarkStart w:id="359" w:name="_Toc296346698"/>
      <w:r/>
      <w:bookmarkStart w:id="360" w:name="_Toc296891025"/>
      <w:r/>
      <w:bookmarkStart w:id="361" w:name="_Toc296347196"/>
      <w:r/>
      <w:bookmarkStart w:id="362" w:name="_Toc292559402"/>
      <w:r/>
      <w:bookmarkStart w:id="363" w:name="_Toc296944536"/>
      <w:r/>
      <w:bookmarkStart w:id="364" w:name="_Toc300934993"/>
      <w:r/>
      <w:bookmarkStart w:id="365" w:name="_Toc303539150"/>
      <w:r/>
      <w:bookmarkStart w:id="366" w:name="_Toc297048383"/>
      <w:r/>
      <w:bookmarkStart w:id="367" w:name="_Toc292559907"/>
      <w:r/>
      <w:bookmarkStart w:id="368" w:name="_Toc304295570"/>
      <w:r/>
      <w:bookmarkStart w:id="369" w:name="_Toc312677503"/>
      <w:r/>
      <w:bookmarkStart w:id="370" w:name="_Toc312678029"/>
      <w:r>
        <w:rPr>
          <w:rFonts w:hint="eastAsia" w:ascii="宋体" w:hAnsi="宋体" w:cs="宋体"/>
          <w:color w:val="auto"/>
          <w:highlight w:val="none"/>
        </w:rPr>
        <w:t xml:space="preserve">0.3承</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Start w:id="371" w:name="_Toc292559913"/>
      <w:r/>
      <w:bookmarkStart w:id="372" w:name="_Toc300934994"/>
      <w:r/>
      <w:bookmarkStart w:id="373" w:name="_Toc292559408"/>
      <w:r/>
      <w:bookmarkStart w:id="374" w:name="_Toc296346704"/>
      <w:r/>
      <w:bookmarkStart w:id="375" w:name="_Toc296503203"/>
      <w:r/>
      <w:bookmarkStart w:id="376" w:name="_Toc297048389"/>
      <w:r/>
      <w:bookmarkStart w:id="377" w:name="_Toc296347202"/>
      <w:r/>
      <w:bookmarkStart w:id="378" w:name="_Toc297216204"/>
      <w:r/>
      <w:bookmarkStart w:id="379" w:name="_Toc297120503"/>
      <w:r/>
      <w:bookmarkStart w:id="380" w:name="_Toc296891031"/>
      <w:r/>
      <w:bookmarkStart w:id="381" w:name="_Toc296944542"/>
      <w:r/>
      <w:bookmarkStart w:id="382" w:name="_Toc297123545"/>
      <w:r/>
      <w:bookmarkStart w:id="383" w:name="_Toc296891243"/>
      <w:r/>
      <w:bookmarkStart w:id="384" w:name="_Toc303539151"/>
      <w:r>
        <w:rPr>
          <w:rFonts w:hint="eastAsia" w:ascii="宋体" w:hAnsi="宋体" w:cs="宋体"/>
          <w:color w:val="auto"/>
          <w:highlight w:val="none"/>
        </w:rPr>
        <w:t xml:space="preserve">包人的合理化建议</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监理人审查承包人合理化建议的期限：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发包人审批承包人合理化建议的期限：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w:t>
      </w:r>
      <w:bookmarkStart w:id="385" w:name="_Toc297123546"/>
      <w:r/>
      <w:bookmarkStart w:id="386" w:name="_Toc304295571"/>
      <w:r/>
      <w:bookmarkStart w:id="387" w:name="_Toc296346705"/>
      <w:r/>
      <w:bookmarkStart w:id="388" w:name="_Toc296347203"/>
      <w:r/>
      <w:bookmarkStart w:id="389" w:name="_Toc296944543"/>
      <w:r/>
      <w:bookmarkStart w:id="390" w:name="_Toc296503204"/>
      <w:r/>
      <w:bookmarkStart w:id="391" w:name="_Toc300934995"/>
      <w:r/>
      <w:bookmarkStart w:id="392" w:name="_Toc312678030"/>
      <w:r/>
      <w:bookmarkStart w:id="393" w:name="_Toc292559914"/>
      <w:r/>
      <w:bookmarkStart w:id="394" w:name="_Toc296891244"/>
      <w:r/>
      <w:bookmarkStart w:id="395" w:name="_Toc297048390"/>
      <w:r/>
      <w:bookmarkStart w:id="396" w:name="_Toc318581175"/>
      <w:r/>
      <w:bookmarkStart w:id="397" w:name="_Toc297216205"/>
      <w:r/>
      <w:bookmarkStart w:id="398" w:name="_Toc297120504"/>
      <w:r/>
      <w:bookmarkStart w:id="399" w:name="_Toc312677504"/>
      <w:r/>
      <w:bookmarkStart w:id="400" w:name="_Toc296891032"/>
      <w:r/>
      <w:bookmarkStart w:id="401" w:name="_Toc292559409"/>
      <w:r/>
      <w:bookmarkStart w:id="402" w:name="_Toc303539152"/>
      <w:r>
        <w:rPr>
          <w:rFonts w:hint="eastAsia" w:ascii="宋体" w:hAnsi="宋体" w:cs="宋体"/>
          <w:color w:val="auto"/>
          <w:highlight w:val="none"/>
        </w:rPr>
        <w:t xml:space="preserve">包人提出的合理化建议降低了合同价格或者提高了工程经济效益的奖励的方法和金额为：      /       。</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w:t>
      </w:r>
      <w:bookmarkStart w:id="403" w:name="_Toc292559909"/>
      <w:r/>
      <w:bookmarkStart w:id="404" w:name="_Toc297120499"/>
      <w:r/>
      <w:bookmarkStart w:id="405" w:name="_Toc296346700"/>
      <w:r/>
      <w:bookmarkStart w:id="406" w:name="_Toc297048385"/>
      <w:r/>
      <w:bookmarkStart w:id="407" w:name="_Toc312678033"/>
      <w:r/>
      <w:bookmarkStart w:id="408" w:name="_Toc312677507"/>
      <w:r/>
      <w:bookmarkStart w:id="409" w:name="_Toc296503199"/>
      <w:r/>
      <w:bookmarkStart w:id="410" w:name="_Toc292559404"/>
      <w:r/>
      <w:bookmarkStart w:id="411" w:name="_Toc304295574"/>
      <w:r/>
      <w:bookmarkStart w:id="412" w:name="_Toc297216207"/>
      <w:r/>
      <w:bookmarkStart w:id="413" w:name="_Toc296944538"/>
      <w:r/>
      <w:bookmarkStart w:id="414" w:name="_Toc296347198"/>
      <w:r/>
      <w:bookmarkStart w:id="415" w:name="_Toc303539154"/>
      <w:r/>
      <w:bookmarkStart w:id="416" w:name="_Toc297123548"/>
      <w:r/>
      <w:bookmarkStart w:id="417" w:name="_Toc300934997"/>
      <w:r/>
      <w:bookmarkStart w:id="418" w:name="_Toc296891239"/>
      <w:r/>
      <w:bookmarkStart w:id="419" w:name="_Toc296891027"/>
      <w:r>
        <w:rPr>
          <w:rFonts w:hint="eastAsia" w:ascii="宋体" w:hAnsi="宋体" w:cs="宋体"/>
          <w:color w:val="auto"/>
          <w:highlight w:val="none"/>
        </w:rPr>
        <w:t xml:space="preserve">0.4 暂估价</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ind w:firstLine="400"/>
        <w:jc w:val="left"/>
        <w:spacing w:line="400" w:lineRule="exact"/>
        <w:rPr>
          <w:rFonts w:ascii="宋体" w:hAnsi="宋体" w:cs="宋体"/>
          <w:color w:val="auto"/>
          <w:highlight w:val="none"/>
        </w:rPr>
      </w:pPr>
      <w:r/>
      <w:bookmarkStart w:id="420" w:name="_Toc318581176"/>
      <w:r/>
      <w:bookmarkStart w:id="421" w:name="_Toc312677508"/>
      <w:r/>
      <w:bookmarkStart w:id="422" w:name="_Toc312678034"/>
      <w:r>
        <w:rPr>
          <w:rFonts w:hint="eastAsia" w:ascii="宋体" w:hAnsi="宋体" w:cs="宋体"/>
          <w:color w:val="auto"/>
          <w:highlight w:val="none"/>
        </w:rPr>
        <w:t xml:space="preserve">承包人直接实施的暂估价项目的约定： </w:t>
      </w:r>
      <w:r>
        <w:rPr>
          <w:rFonts w:hint="eastAsia" w:ascii="宋体" w:hAnsi="宋体" w:cs="宋体"/>
          <w:color w:val="auto"/>
          <w:highlight w:val="none"/>
          <w:u w:val="single"/>
        </w:rPr>
        <w:t xml:space="preserve">仅作为投标报价使用，不作为最后结算依据。成交供应商采购时，其供应商、品牌、规格、质量（等级）、产地、价格须经采购人认可后，方可采购。结算时，按采购人签字认可的实际价格，进行结算</w:t>
      </w:r>
      <w:r>
        <w:rPr>
          <w:rFonts w:hint="eastAsia" w:ascii="宋体" w:hAnsi="宋体" w:cs="宋体"/>
          <w:color w:val="auto"/>
          <w:highlight w:val="none"/>
        </w:rPr>
        <w:t xml:space="preserve">。</w:t>
      </w:r>
      <w:bookmarkEnd w:id="420"/>
      <w:r/>
      <w:bookmarkEnd w:id="421"/>
      <w:r/>
      <w:bookmarkEnd w:id="422"/>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10.5暂列金额</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合同当事人关于暂列金额使用的约定： </w:t>
      </w:r>
      <w:r>
        <w:rPr>
          <w:rFonts w:hint="eastAsia" w:ascii="宋体" w:hAnsi="宋体" w:cs="宋体"/>
          <w:color w:val="auto"/>
          <w:highlight w:val="none"/>
          <w:u w:val="single"/>
        </w:rPr>
        <w:t xml:space="preserve">根据法律规定及发包人要求</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bookmarkStart w:id="423" w:name="_Toc351203643"/>
      <w:r>
        <w:rPr>
          <w:rFonts w:hint="eastAsia" w:ascii="宋体" w:hAnsi="宋体" w:cs="宋体"/>
          <w:color w:val="auto"/>
          <w:highlight w:val="none"/>
        </w:rPr>
        <w:t xml:space="preserve">11. 价格调整</w:t>
      </w:r>
      <w:bookmarkEnd w:id="423"/>
      <w:r/>
      <w:r/>
    </w:p>
    <w:p>
      <w:pPr>
        <w:ind w:firstLine="400"/>
        <w:jc w:val="left"/>
        <w:spacing w:line="400" w:lineRule="exact"/>
        <w:rPr>
          <w:rFonts w:ascii="宋体" w:hAnsi="宋体" w:cs="宋体"/>
          <w:color w:val="auto"/>
          <w:highlight w:val="none"/>
        </w:rPr>
      </w:pPr>
      <w:r/>
      <w:bookmarkStart w:id="424" w:name="_Toc292559911"/>
      <w:r/>
      <w:bookmarkStart w:id="425" w:name="_Toc297048387"/>
      <w:r/>
      <w:bookmarkStart w:id="426" w:name="_Toc303539157"/>
      <w:r/>
      <w:bookmarkStart w:id="427" w:name="_Toc296944540"/>
      <w:r/>
      <w:bookmarkStart w:id="428" w:name="_Toc297120501"/>
      <w:r/>
      <w:bookmarkStart w:id="429" w:name="_Toc296891029"/>
      <w:r/>
      <w:bookmarkStart w:id="430" w:name="_Toc300935000"/>
      <w:r/>
      <w:bookmarkStart w:id="431" w:name="_Toc304295577"/>
      <w:r/>
      <w:bookmarkStart w:id="432" w:name="_Toc296347200"/>
      <w:r/>
      <w:bookmarkStart w:id="433" w:name="_Toc296891241"/>
      <w:r/>
      <w:bookmarkStart w:id="434" w:name="_Toc297123550"/>
      <w:r/>
      <w:bookmarkStart w:id="435" w:name="_Toc292559406"/>
      <w:r/>
      <w:bookmarkStart w:id="436" w:name="_Toc312678039"/>
      <w:r/>
      <w:bookmarkStart w:id="437" w:name="_Toc296503201"/>
      <w:r/>
      <w:bookmarkStart w:id="438" w:name="_Toc296346702"/>
      <w:r/>
      <w:bookmarkStart w:id="439" w:name="_Toc297216209"/>
      <w:r>
        <w:rPr>
          <w:rFonts w:hint="eastAsia" w:ascii="宋体" w:hAnsi="宋体" w:cs="宋体"/>
          <w:color w:val="auto"/>
          <w:highlight w:val="none"/>
        </w:rPr>
        <w:t xml:space="preserve">11.1 市场价格波动引起的调整</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市场价格波动是否调整合同价格的约定：</w:t>
      </w:r>
      <w:r>
        <w:rPr>
          <w:rFonts w:hint="eastAsia" w:ascii="宋体" w:hAnsi="宋体" w:cs="宋体"/>
          <w:color w:val="auto"/>
          <w:highlight w:val="none"/>
          <w:u w:val="single"/>
        </w:rPr>
        <w:t xml:space="preserve">（1）承包人投标报价中材料单价低于基准单价：施工期间材料单价涨幅以基准单价为基础超过5%，或材料单价跌幅以投标报价为基础超过5%时，其超过部分按实调整。（2）承包人投标报价中材料单价高于基准单价：施工期间材料单价跌幅以基准单价为基础超过5%，或材料单价涨幅以投标报价为基础超过5%时，其超过部分按实调整。（3）承包人投标报价中材料单价等于基准单价：施工期间材料单价涨、跌幅均以基准单价为基础，涨幅超过5%和跌幅超过5%，其超过部分按实调整。</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因市场价格波动调整的以上约定材料合同价格，采用以下第 3 种方式对合同价格进行调整：</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第1种方式：</w:t>
      </w:r>
      <w:r>
        <w:rPr>
          <w:rFonts w:hint="eastAsia" w:ascii="宋体" w:hAnsi="宋体" w:cs="宋体"/>
          <w:color w:val="auto"/>
          <w:highlight w:val="none"/>
          <w:u w:val="single"/>
        </w:rPr>
        <w:t xml:space="preserve">采用价格指数进行价格调整</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关于各可调因子、定值和变值权重，以及基本价格指数及其来源的约定：</w:t>
      </w:r>
      <w:r>
        <w:rPr>
          <w:rFonts w:hint="eastAsia" w:ascii="宋体" w:hAnsi="宋体" w:cs="宋体"/>
          <w:color w:val="auto"/>
          <w:highlight w:val="none"/>
          <w:u w:val="single"/>
        </w:rPr>
        <w:t xml:space="preserve">执行通用合同条款</w:t>
      </w:r>
      <w:r>
        <w:rPr>
          <w:rFonts w:hint="eastAsia" w:ascii="宋体" w:hAnsi="宋体" w:cs="宋体"/>
          <w:color w:val="auto"/>
          <w:highlight w:val="none"/>
        </w:rPr>
        <w:t xml:space="preserve"> ；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第2种方式：采用造价信息进行价格调整。</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关于基准价格的约定： </w:t>
      </w:r>
      <w:r>
        <w:rPr>
          <w:rFonts w:hint="eastAsia" w:ascii="宋体" w:hAnsi="宋体" w:cs="宋体"/>
          <w:color w:val="auto"/>
          <w:highlight w:val="none"/>
          <w:u w:val="single"/>
        </w:rPr>
        <w:t xml:space="preserve"> 执行通用合同条款</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rPr>
        <w:t xml:space="preserve">专用合同条款：</w:t>
      </w:r>
      <w:r>
        <w:rPr>
          <w:rFonts w:hint="eastAsia" w:ascii="宋体" w:hAnsi="宋体" w:cs="宋体"/>
          <w:color w:val="auto"/>
          <w:highlight w:val="none"/>
          <w:u w:val="single"/>
        </w:rPr>
        <w:t xml:space="preserve">①承包人在已标价工程量清单或预算书中载明的材料单价低于基准价格的：专用合同条款合同履行期间材料单价涨幅以基准价格为基础超过 5  %时，或材料单价跌幅以已标价工程量清单或预算书中载明材料单价为基础超过 5  %时，其超过部分据实调整。</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②承包人在已标价工程量清单或预算书中载明的材料单价高于基准价格的：专用合同条款合同履行期间材料单价跌幅以基准价格为基础超过  5 %时，材料单价涨幅以已标价工程量清单或预算书中载明材料单价为基础超过5 %时，其超过部分据实调整。</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③承包人在已标价工程量清单或预算书中载明的材料单价等于基准单价的：专用合同条款合同履行期间材料单价涨跌幅以基准单价为基础超过± 5%时，其超过部分据实调整。</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u w:val="single"/>
        </w:rPr>
        <w:t xml:space="preserve">第3种方式：其他价格调整方式：本项目不调整</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11.2工程价款调整</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rPr>
        <w:t xml:space="preserve">11.2.1</w:t>
      </w:r>
      <w:r>
        <w:rPr>
          <w:rFonts w:hint="eastAsia" w:ascii="宋体" w:hAnsi="宋体" w:cs="宋体"/>
          <w:color w:val="auto"/>
          <w:highlight w:val="none"/>
          <w:u w:val="single"/>
        </w:rPr>
        <w:t xml:space="preserve">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11.2.2因分部分项工程量清单漏项或非承包人原因的工程变更，造成施工组织设计或施工方案变更，引起措施项目发生变化时，措施项目费应按下列原则调整：“措施项目表一”中的措施费仍按投标时费率进行调整；“措施项目表二”中的措施费发生关联变化时，按2014年江苏省计价表规定组价的措施项目按原组价方法调整，未按2014年江苏省计价表规定组价的措施项目按投标时价格折算成费率调整；原措施费中没有的措施项目，由承包人根据措施项目变更情况，提出适当的措施费变更要求，经发包人确认后调整；合同有约定的按合同执行。</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rPr>
        <w:t xml:space="preserve">11.2.3本工程对于工程价款调整约定如下： </w:t>
      </w:r>
      <w:r>
        <w:rPr>
          <w:rFonts w:hint="eastAsia" w:ascii="宋体" w:hAnsi="宋体" w:cs="宋体"/>
          <w:color w:val="auto"/>
          <w:highlight w:val="none"/>
          <w:u w:val="single"/>
        </w:rPr>
        <w:t xml:space="preserve">①设计变更引起新增工程量清单项目，其相应综合单价按本谈判文件规定的招标控制价计价编制办法计算，再乘以成交价与定额预算价（控制价）相比的浮动比</w:t>
      </w:r>
      <w:r>
        <w:rPr>
          <w:rFonts w:hint="eastAsia" w:ascii="宋体" w:hAnsi="宋体" w:cs="宋体"/>
          <w:color w:val="auto"/>
          <w:highlight w:val="none"/>
          <w:u w:val="single"/>
        </w:rPr>
        <w:t xml:space="preserve">率后作为综合单价进行结算。以上变更及工程量签证，必须由发、承包双方、现场监理工程师共同确认。②工程量增减，其相应综合单价执行投标报价的综合单价，但不得高于定额价的综合单价。③清单项目中特征描述不全的工序，如图纸已明确或已指明引用的规范、图集等或是常规工艺必须的工序，应包括在报价中，结算不作调整。④ 以上①、②条以外原因引起的价款调整按照以下方法处理：1.有类似单价的，参照类似单价；2.没有类似单价的，按照双方比价采购或者由采购人经招标确定价格后，同时按照成交时成交价与定额预算价（控制价）的整体下浮比率下浮。</w:t>
      </w:r>
      <w:bookmarkEnd w:id="330"/>
      <w:r/>
      <w:bookmarkEnd w:id="331"/>
      <w:r/>
      <w:bookmarkEnd w:id="332"/>
      <w:r/>
      <w:bookmarkEnd w:id="333"/>
      <w:r/>
      <w:bookmarkEnd w:id="334"/>
      <w:r/>
      <w:bookmarkEnd w:id="335"/>
      <w:r/>
      <w:r/>
    </w:p>
    <w:p>
      <w:pPr>
        <w:ind w:firstLine="400"/>
        <w:jc w:val="left"/>
        <w:spacing w:line="400" w:lineRule="exact"/>
        <w:rPr>
          <w:rFonts w:ascii="宋体" w:hAnsi="宋体" w:cs="宋体"/>
          <w:color w:val="auto"/>
          <w:highlight w:val="none"/>
        </w:rPr>
      </w:pPr>
      <w:r/>
      <w:bookmarkStart w:id="440" w:name="_Toc351203644"/>
      <w:r/>
      <w:bookmarkStart w:id="441" w:name="_Toc297123552"/>
      <w:r/>
      <w:bookmarkStart w:id="442" w:name="_Toc304295579"/>
      <w:r/>
      <w:bookmarkStart w:id="443" w:name="_Toc303539159"/>
      <w:r/>
      <w:bookmarkStart w:id="444" w:name="_Toc300935002"/>
      <w:r/>
      <w:bookmarkStart w:id="445" w:name="_Toc297216211"/>
      <w:r/>
      <w:bookmarkStart w:id="446" w:name="_Toc312678040"/>
      <w:r>
        <w:rPr>
          <w:rFonts w:hint="eastAsia" w:ascii="宋体" w:hAnsi="宋体" w:cs="宋体"/>
          <w:color w:val="auto"/>
          <w:highlight w:val="none"/>
        </w:rPr>
        <w:t xml:space="preserve">11.3人工单价如遇政策性调整，本工程不再进行任何调整。</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12.合同价格、计量与支付</w:t>
      </w:r>
      <w:bookmarkEnd w:id="440"/>
      <w:r/>
      <w:bookmarkEnd w:id="441"/>
      <w:r/>
      <w:bookmarkEnd w:id="442"/>
      <w:r/>
      <w:bookmarkEnd w:id="443"/>
      <w:r/>
      <w:bookmarkEnd w:id="444"/>
      <w:r/>
      <w:bookmarkEnd w:id="445"/>
      <w:r/>
      <w:bookmarkEnd w:id="446"/>
      <w:r/>
      <w:r/>
    </w:p>
    <w:p>
      <w:pPr>
        <w:ind w:firstLine="400"/>
        <w:jc w:val="left"/>
        <w:spacing w:line="400" w:lineRule="exact"/>
        <w:rPr>
          <w:rFonts w:ascii="宋体" w:hAnsi="宋体" w:cs="宋体"/>
          <w:color w:val="auto"/>
          <w:highlight w:val="none"/>
        </w:rPr>
      </w:pPr>
      <w:r/>
      <w:bookmarkStart w:id="447" w:name="_Toc292559411"/>
      <w:r/>
      <w:bookmarkStart w:id="448" w:name="_Toc267251461"/>
      <w:r/>
      <w:bookmarkStart w:id="449" w:name="_Toc292559916"/>
      <w:r/>
      <w:bookmarkStart w:id="450" w:name="_Toc296347205"/>
      <w:r/>
      <w:bookmarkStart w:id="451" w:name="_Toc296503206"/>
      <w:r/>
      <w:bookmarkStart w:id="452" w:name="_Toc296891246"/>
      <w:r/>
      <w:bookmarkStart w:id="453" w:name="_Toc296944545"/>
      <w:r/>
      <w:bookmarkStart w:id="454" w:name="_Toc296891034"/>
      <w:r/>
      <w:bookmarkStart w:id="455" w:name="_Toc296346707"/>
      <w:r/>
      <w:bookmarkStart w:id="456" w:name="_Toc297120506"/>
      <w:r/>
      <w:bookmarkStart w:id="457" w:name="_Toc297048392"/>
      <w:r/>
      <w:bookmarkStart w:id="458" w:name="_Toc303539160"/>
      <w:r/>
      <w:bookmarkStart w:id="459" w:name="_Toc297123553"/>
      <w:r/>
      <w:bookmarkStart w:id="460" w:name="_Toc312678041"/>
      <w:r/>
      <w:bookmarkStart w:id="461" w:name="_Toc297216212"/>
      <w:r/>
      <w:bookmarkStart w:id="462" w:name="_Toc300935003"/>
      <w:r/>
      <w:bookmarkStart w:id="463" w:name="_Toc304295580"/>
      <w:r>
        <w:rPr>
          <w:rFonts w:hint="eastAsia" w:ascii="宋体" w:hAnsi="宋体" w:cs="宋体"/>
          <w:color w:val="auto"/>
          <w:highlight w:val="none"/>
        </w:rPr>
        <w:t xml:space="preserve">12.1 合</w:t>
      </w:r>
      <w:bookmarkEnd w:id="447"/>
      <w:r/>
      <w:bookmarkEnd w:id="448"/>
      <w:r/>
      <w:bookmarkEnd w:id="449"/>
      <w:r>
        <w:rPr>
          <w:rFonts w:hint="eastAsia" w:ascii="宋体" w:hAnsi="宋体" w:cs="宋体"/>
          <w:color w:val="auto"/>
          <w:highlight w:val="none"/>
        </w:rPr>
        <w:t xml:space="preserve">同价</w:t>
      </w:r>
      <w:bookmarkEnd w:id="450"/>
      <w:r/>
      <w:bookmarkEnd w:id="451"/>
      <w:r/>
      <w:bookmarkEnd w:id="452"/>
      <w:r/>
      <w:bookmarkEnd w:id="453"/>
      <w:r/>
      <w:bookmarkEnd w:id="454"/>
      <w:r/>
      <w:bookmarkEnd w:id="455"/>
      <w:r/>
      <w:bookmarkEnd w:id="456"/>
      <w:r/>
      <w:bookmarkEnd w:id="457"/>
      <w:r>
        <w:rPr>
          <w:rFonts w:hint="eastAsia" w:ascii="宋体" w:hAnsi="宋体" w:cs="宋体"/>
          <w:color w:val="auto"/>
          <w:highlight w:val="none"/>
        </w:rPr>
        <w:t xml:space="preserve">格形式</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本合同价款采用</w:t>
      </w:r>
      <w:r>
        <w:rPr>
          <w:rFonts w:hint="eastAsia" w:ascii="宋体" w:hAnsi="宋体" w:cs="宋体"/>
          <w:color w:val="auto"/>
          <w:highlight w:val="none"/>
          <w:u w:val="single"/>
        </w:rPr>
        <w:t xml:space="preserve"> 固定单价 </w:t>
      </w:r>
      <w:r>
        <w:rPr>
          <w:rFonts w:hint="eastAsia" w:ascii="宋体" w:hAnsi="宋体" w:cs="宋体"/>
          <w:color w:val="auto"/>
          <w:highlight w:val="none"/>
        </w:rPr>
        <w:t xml:space="preserve">方式确定。</w:t>
      </w:r>
      <w:bookmarkEnd w:id="458"/>
      <w:r/>
      <w:bookmarkEnd w:id="459"/>
      <w:r/>
      <w:bookmarkEnd w:id="460"/>
      <w:r/>
      <w:bookmarkEnd w:id="461"/>
      <w:r/>
      <w:bookmarkEnd w:id="462"/>
      <w:r/>
      <w:bookmarkEnd w:id="463"/>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采用固定价格合同，合同价款中包括的风险范围：</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（1）施工期间发生设计变更、分部分项工程量变更时综合单价不予调整的风险；</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（2）因承包人自身原因造成工期延误、费用增加的风险；</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（3）合同中明示及隐含的风险及有经验的承包商可以或应该预见的，为完成整体工程内容所必须考虑的风险;</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（4）谈判文件中明示和暗示的其他风险。</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12.2风险费用的计算方法：</w:t>
      </w:r>
      <w:r>
        <w:rPr>
          <w:rFonts w:hint="eastAsia" w:ascii="宋体" w:hAnsi="宋体" w:cs="宋体"/>
          <w:color w:val="auto"/>
          <w:highlight w:val="none"/>
          <w:u w:val="single"/>
        </w:rPr>
        <w:t xml:space="preserve">风险费用已包含在合同价中</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rPr>
        <w:t xml:space="preserve">12.3风险范围以外合同价格的调整方法：</w:t>
      </w:r>
      <w:r>
        <w:rPr>
          <w:rFonts w:hint="eastAsia" w:ascii="宋体" w:hAnsi="宋体" w:cs="宋体"/>
          <w:color w:val="auto"/>
          <w:highlight w:val="none"/>
          <w:u w:val="single"/>
        </w:rPr>
        <w:t xml:space="preserve"> ①工程量清单项目的项目特征与投标报价中项目相同的，按投标报价的综合单价计算。</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②新增工程量清单项目的项目特征与投标报价中项目类似的，综合单价参照类似项目的单价进行结算。</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上述的“与投标报价中项目类似的”新增项目，指与投标分部分项工程量清单项目编码一至九位完全相同的新增的分部分项工程。 </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③投标报价中没有综合单价的新的工程量清单项目，新增项目的综合单价由承包人提出，经发包人确认后执行。</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④除上述情况以外的综合单价，由双方协商按现场签证办理。新增综合单价及材料市场价由承包人提出，经监理方认可、审计部门审核、发包人确定后作为结算单价。</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12.4对于变更、签证计价及结算的约定：</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1）有效工程变更签证的认定原则：签证单上必须有发包人代表、监理工程师、承包人（项目部）等个部门的签字和盖章，方可作为竣工结算的依据；签证单上必须明确签证的原因、位置、尺寸、数量、材料、人工、机械台班、价格等和签证时间。</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（2）关于临时用工的签证事项，双方应在签证通知单上协商确定以下问题：工作内容及工作量、工作时间、工作人数、取定的人工单价（综合单价，已含管理费和利润）；</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3）当变更的工作内容完成之后，承包人要及时督促监理人员和发包人工地代表签字确认，对于隐蔽工程的签证，必须在覆盖前完成验收手续、工程量的确认和费用的报送，否则发包人可以不予支付；对于其他签证，承包人要及时督促监理人员和发包人工地代表必须在完工后10日内签字确认；所有变更签证对未能及时报送，事后补报的一律不予认可。</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（4）承包人每月25日前报送符合本条款范围的变更签证预算；</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u w:val="single"/>
        </w:rPr>
        <w:t xml:space="preserve">（5）每月5日前，甲、乙方应就截止上月末尚未确定最终审定价的变更的费用预算书，进行综合性核对和价格商谈，并形成核对与商谈记录清单。</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2、总价合同。</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总价包含的风险范围：</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风险费用的计算方法：</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风险范围以外合同价格的调整方法：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3、其他价格方式：</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bookmarkStart w:id="464" w:name="_Toc297216213"/>
      <w:r/>
      <w:bookmarkStart w:id="465" w:name="_Toc297123554"/>
      <w:r/>
      <w:bookmarkStart w:id="466" w:name="_Toc312678042"/>
      <w:r/>
      <w:bookmarkStart w:id="467" w:name="_Toc303539161"/>
      <w:r/>
      <w:bookmarkStart w:id="468" w:name="_Toc300935004"/>
      <w:r/>
      <w:bookmarkStart w:id="469" w:name="_Toc304295581"/>
      <w:r/>
      <w:bookmarkStart w:id="470" w:name="_Toc296944546"/>
      <w:r/>
      <w:bookmarkStart w:id="471" w:name="_Toc297048393"/>
      <w:r/>
      <w:bookmarkStart w:id="472" w:name="_Toc292559917"/>
      <w:r/>
      <w:bookmarkStart w:id="473" w:name="_Toc296891035"/>
      <w:r/>
      <w:bookmarkStart w:id="474" w:name="_Toc296347206"/>
      <w:r/>
      <w:bookmarkStart w:id="475" w:name="_Toc296891247"/>
      <w:r/>
      <w:bookmarkStart w:id="476" w:name="_Toc296503207"/>
      <w:r/>
      <w:bookmarkStart w:id="477" w:name="_Toc292559412"/>
      <w:r/>
      <w:bookmarkStart w:id="478" w:name="_Toc297120507"/>
      <w:r/>
      <w:bookmarkStart w:id="479" w:name="_Toc296346708"/>
      <w:r>
        <w:rPr>
          <w:rFonts w:hint="eastAsia" w:ascii="宋体" w:hAnsi="宋体" w:cs="宋体"/>
          <w:color w:val="auto"/>
          <w:highlight w:val="none"/>
        </w:rPr>
        <w:t xml:space="preserve">12.2 预付款</w:t>
      </w:r>
      <w:bookmarkEnd w:id="464"/>
      <w:r/>
      <w:bookmarkEnd w:id="465"/>
      <w:r/>
      <w:bookmarkEnd w:id="466"/>
      <w:r/>
      <w:bookmarkEnd w:id="467"/>
      <w:r/>
      <w:bookmarkEnd w:id="468"/>
      <w:r/>
      <w:bookmarkEnd w:id="469"/>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12.2.1 预付款的支付</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预付款支付比例或金额：</w:t>
      </w:r>
      <w:r>
        <w:rPr>
          <w:rFonts w:hint="eastAsia" w:ascii="宋体" w:hAnsi="宋体" w:cs="宋体"/>
          <w:color w:val="auto"/>
          <w:highlight w:val="none"/>
        </w:rPr>
        <w:fldChar w:fldCharType="begin"/>
      </w:r>
      <w:r>
        <w:rPr>
          <w:rFonts w:hint="eastAsia" w:ascii="宋体" w:hAnsi="宋体" w:cs="宋体"/>
          <w:color w:val="auto"/>
          <w:highlight w:val="none"/>
        </w:rPr>
        <w:instrText xml:space="preserve"> AUTOTEXT  " 空白"  \* MERGEFORMAT </w:instrText>
      </w:r>
      <w:r>
        <w:rPr>
          <w:rFonts w:hint="eastAsia" w:ascii="宋体" w:hAnsi="宋体" w:cs="宋体"/>
          <w:color w:val="auto"/>
          <w:highlight w:val="none"/>
        </w:rPr>
        <w:fldChar w:fldCharType="separate"/>
      </w:r>
      <w:r>
        <w:rPr>
          <w:rFonts w:hint="eastAsia" w:ascii="宋体" w:hAnsi="宋体" w:cs="宋体"/>
          <w:color w:val="auto"/>
          <w:highlight w:val="none"/>
          <w:u w:val="single"/>
        </w:rPr>
        <w:t xml:space="preserve">详见12.4.1 付款周期</w:t>
      </w:r>
      <w:r>
        <w:rPr>
          <w:rFonts w:hint="eastAsia" w:ascii="宋体" w:hAnsi="宋体" w:cs="宋体"/>
          <w:color w:val="auto"/>
          <w:highlight w:val="none"/>
        </w:rPr>
        <w:t xml:space="preserve">。</w:t>
      </w:r>
      <w:r>
        <w:rPr>
          <w:rFonts w:hint="eastAsia" w:ascii="宋体" w:hAnsi="宋体" w:cs="宋体"/>
          <w:color w:val="auto"/>
          <w:highlight w:val="none"/>
        </w:rPr>
        <w:fldChar w:fldCharType="end"/>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预付款支付期限： </w:t>
      </w:r>
      <w:r>
        <w:rPr>
          <w:rFonts w:hint="eastAsia" w:ascii="宋体" w:hAnsi="宋体" w:cs="宋体"/>
          <w:color w:val="auto"/>
          <w:highlight w:val="none"/>
          <w:u w:val="single"/>
        </w:rPr>
        <w:t xml:space="preserve">详见12.4.1 付款周期</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预付款扣回的方式：</w:t>
      </w:r>
      <w:r>
        <w:rPr>
          <w:rFonts w:hint="eastAsia" w:ascii="宋体" w:hAnsi="宋体" w:cs="宋体"/>
          <w:color w:val="auto"/>
          <w:highlight w:val="none"/>
          <w:u w:val="single"/>
        </w:rPr>
        <w:t xml:space="preserve">详见12.4.1 付款周期。</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12.2.2 预付款担保</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承包人提交预付款担保的期限：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预付款担保的形式为：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bookmarkEnd w:id="470"/>
      <w:r/>
      <w:bookmarkEnd w:id="471"/>
      <w:r/>
      <w:bookmarkEnd w:id="472"/>
      <w:r/>
      <w:bookmarkEnd w:id="473"/>
      <w:r/>
      <w:bookmarkEnd w:id="474"/>
      <w:r/>
      <w:bookmarkEnd w:id="475"/>
      <w:r/>
      <w:bookmarkEnd w:id="476"/>
      <w:r/>
      <w:bookmarkEnd w:id="477"/>
      <w:r/>
      <w:bookmarkEnd w:id="478"/>
      <w:r/>
      <w:bookmarkEnd w:id="479"/>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12.3 计量</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12.3.1 计量原则</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rPr>
        <w:t xml:space="preserve">工程量计算规则：</w:t>
      </w:r>
      <w:r>
        <w:rPr>
          <w:rFonts w:hint="eastAsia" w:ascii="宋体" w:hAnsi="宋体" w:cs="宋体"/>
          <w:color w:val="auto"/>
          <w:highlight w:val="none"/>
          <w:u w:val="single"/>
        </w:rPr>
        <w:t xml:space="preserve">①本工程执行现行国家标准《建设工程工程量清单计价规范》（GB50500-2013）、《江苏省建筑与装饰工程计价定额》（2014版）、《江苏省安装工程计价定额》（2014版）、《江苏省市政工程计价定额》（2014版）、《江苏省建设工程费用定额》（2014版）营改增等有关文件规定及采购人提供的工程量清单。</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② 任何工程项目的计量，都应是根据发包人批准的图纸所完成的或监理工程师和发包人书面指示已完成工程量的计量。</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③计量与支付应同时参照技术规范、合同条款、工程量清单、以及图纸进行。</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④ 凡超过图纸所示的任何长度、面积或体积都不予计量与支付。</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⑤ 有关技术规范允许的施工必要损耗，由承包人在投标报价时综合考虑，施工过程中对此不再予以计量。</w:t>
      </w:r>
      <w:r/>
    </w:p>
    <w:p>
      <w:pPr>
        <w:ind w:firstLine="400"/>
        <w:jc w:val="left"/>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⑥ 设计变更等引起的已完工程的拆改，须有发包人、监理、承包人等共同计量。</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12.3.2 计量周期</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关于计量周期的约定：  </w:t>
      </w:r>
      <w:r>
        <w:rPr>
          <w:rFonts w:hint="eastAsia" w:ascii="宋体" w:hAnsi="宋体" w:cs="宋体"/>
          <w:color w:val="auto"/>
          <w:highlight w:val="none"/>
          <w:u w:val="single"/>
        </w:rPr>
        <w:t xml:space="preserve">  按照形象进度计量</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12.3.3 单价合同的计量</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关于单价合同计量的约定： </w:t>
      </w:r>
      <w:r>
        <w:rPr>
          <w:rFonts w:hint="eastAsia" w:ascii="宋体" w:hAnsi="宋体" w:cs="宋体"/>
          <w:color w:val="auto"/>
          <w:highlight w:val="none"/>
          <w:u w:val="single"/>
        </w:rPr>
        <w:t xml:space="preserve">   固定单价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12.3.4 总价合同的计量</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关于总价合同计量的约定：关于总价合同计量的约定：</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12.3.5总价合同采用支付分解表计量支付的，是否适用第12.3.4 项〔总价合同的计量〕约定进行量：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12.3.6 其他价格形式合同的计量</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其他价格形式的计量方式和程序：</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12.4 工程进度款支付</w:t>
      </w:r>
      <w:r/>
    </w:p>
    <w:p>
      <w:pPr>
        <w:ind w:firstLine="400"/>
        <w:jc w:val="left"/>
        <w:spacing w:line="400" w:lineRule="exact"/>
        <w:rPr>
          <w:rFonts w:ascii="宋体" w:hAnsi="宋体" w:cs="宋体"/>
          <w:color w:val="auto"/>
          <w:highlight w:val="none"/>
        </w:rPr>
      </w:pPr>
      <w:r/>
      <w:bookmarkStart w:id="480" w:name="_Toc300935006"/>
      <w:r/>
      <w:bookmarkStart w:id="481" w:name="_Toc296346712"/>
      <w:r/>
      <w:bookmarkStart w:id="482" w:name="_Toc296891039"/>
      <w:r/>
      <w:bookmarkStart w:id="483" w:name="_Toc303539163"/>
      <w:r/>
      <w:bookmarkStart w:id="484" w:name="_Toc297048397"/>
      <w:r/>
      <w:bookmarkStart w:id="485" w:name="_Toc296891251"/>
      <w:r/>
      <w:bookmarkStart w:id="486" w:name="_Toc292559416"/>
      <w:r/>
      <w:bookmarkStart w:id="487" w:name="_Toc297120511"/>
      <w:r/>
      <w:bookmarkStart w:id="488" w:name="_Toc296503211"/>
      <w:r/>
      <w:bookmarkStart w:id="489" w:name="_Toc296944550"/>
      <w:r/>
      <w:bookmarkStart w:id="490" w:name="_Toc297216215"/>
      <w:r/>
      <w:bookmarkStart w:id="491" w:name="_Toc296347210"/>
      <w:r/>
      <w:bookmarkStart w:id="492" w:name="_Toc292559921"/>
      <w:r/>
      <w:bookmarkStart w:id="493" w:name="_Toc297123556"/>
      <w:r>
        <w:rPr>
          <w:rFonts w:hint="eastAsia" w:ascii="宋体" w:hAnsi="宋体" w:cs="宋体"/>
          <w:color w:val="auto"/>
          <w:highlight w:val="none"/>
        </w:rPr>
        <w:t xml:space="preserve">12.4.1 付款周期</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①合同签订，完成进场并实际开工15日内支付合同约定价款金额的百分之十（10%），作为工程预付款。</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②工程完成总工程量的50%，且项目专项资金到位后15日内支付至合同价款的百分之四十（40%）。</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③工程竣工验收合格，且项目专项资金到位后15日内支付至合同价款的百分之八十（80%）。</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④结算资料、竣工图、质量验收资料、施工日志、会议纪要等报发包人，经审计双方认可的竣工结算价完成后，且项目专项资金到位后30日内支付至双方认可的审定价的97%，剩余3%作为工程质保金，待质保期结束后无息支付完成。其他约定：</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合同履行过程中合同价款的调整均在竣工结算时调整，合同履行过程中不预付该款项。</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合同约定的承包人应承担的违约金及各项费用，发包人有权从工程款中直接扣除。</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进度款与质量挂钩，如果所完成工程的质量达不到验收规范要求，发包人有权暂缓支付该部分工程款，待承包人整改完成符合验收规范要求后再行支付。</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12.4.2 进度付款申请单的编制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关于进度付款申请单编制的约定：由承包方提供付款申请与形象进度照片，监理方签字确认。</w:t>
      </w:r>
      <w:bookmarkEnd w:id="336"/>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
    </w:p>
    <w:p>
      <w:pPr>
        <w:ind w:firstLine="400"/>
        <w:jc w:val="left"/>
        <w:spacing w:line="400" w:lineRule="exact"/>
        <w:rPr>
          <w:rFonts w:ascii="宋体" w:hAnsi="宋体" w:cs="宋体"/>
          <w:color w:val="auto"/>
          <w:highlight w:val="none"/>
        </w:rPr>
      </w:pPr>
      <w:r/>
      <w:bookmarkStart w:id="494" w:name="_Toc351203645"/>
      <w:r/>
      <w:bookmarkStart w:id="495" w:name="_Toc297120519"/>
      <w:r/>
      <w:bookmarkStart w:id="496" w:name="_Toc296346720"/>
      <w:r/>
      <w:bookmarkStart w:id="497" w:name="_Toc303539172"/>
      <w:r/>
      <w:bookmarkStart w:id="498" w:name="_Toc296891259"/>
      <w:r/>
      <w:bookmarkStart w:id="499" w:name="_Toc296944558"/>
      <w:r/>
      <w:bookmarkStart w:id="500" w:name="_Toc297216223"/>
      <w:r/>
      <w:bookmarkStart w:id="501" w:name="_Toc292559929"/>
      <w:r/>
      <w:bookmarkStart w:id="502" w:name="_Toc300935015"/>
      <w:r/>
      <w:bookmarkStart w:id="503" w:name="_Toc296503219"/>
      <w:r/>
      <w:bookmarkStart w:id="504" w:name="_Toc296347218"/>
      <w:r/>
      <w:bookmarkStart w:id="505" w:name="_Toc312678053"/>
      <w:r/>
      <w:bookmarkStart w:id="506" w:name="_Toc297048405"/>
      <w:r/>
      <w:bookmarkStart w:id="507" w:name="_Toc304295593"/>
      <w:r/>
      <w:bookmarkStart w:id="508" w:name="_Toc296891047"/>
      <w:r/>
      <w:bookmarkStart w:id="509" w:name="_Toc292559424"/>
      <w:r/>
      <w:bookmarkStart w:id="510" w:name="_Toc297123564"/>
      <w:r>
        <w:rPr>
          <w:rFonts w:hint="eastAsia" w:ascii="宋体" w:hAnsi="宋体" w:cs="宋体"/>
          <w:color w:val="auto"/>
          <w:highlight w:val="none"/>
        </w:rPr>
        <w:t xml:space="preserve">12.4.3 进度付款申请单的提交</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（1）单价合同进度付款申请单提交的约定：按发包人工程款支付管理规定和本合同约定执行。</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（2）总价合同进度付款申请单提交的约定：</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（3）其他价格形式合同进度付款申请单提交的约定：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12.4.4 进度款审核和支付</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（1）监理人审查并报送发包人的期限： </w:t>
      </w:r>
      <w:r>
        <w:rPr>
          <w:rFonts w:hint="eastAsia" w:ascii="宋体" w:hAnsi="宋体" w:cs="宋体"/>
          <w:color w:val="auto"/>
          <w:highlight w:val="none"/>
          <w:u w:val="single"/>
        </w:rPr>
        <w:t xml:space="preserve">收到承包人发票后2个工作日内</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发包人完成审批并签发进度款支付证书的期限：</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（2）发包人支付进度款的期限：</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发包人逾期支付进度款的违约金的计算方式：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12.4.5 支付分解表的编制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总价合同支付分解表的编制与审批：</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单价合同的总价项目支付分解表的编制与审批：</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13. 验收和工程试车</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ind w:firstLine="400"/>
        <w:jc w:val="left"/>
        <w:spacing w:line="400" w:lineRule="exact"/>
        <w:rPr>
          <w:rFonts w:ascii="宋体" w:hAnsi="宋体" w:cs="宋体"/>
          <w:color w:val="auto"/>
          <w:highlight w:val="none"/>
        </w:rPr>
      </w:pPr>
      <w:r/>
      <w:bookmarkStart w:id="511" w:name="_Toc280868708"/>
      <w:r/>
      <w:bookmarkStart w:id="512" w:name="_Toc267251473"/>
      <w:r/>
      <w:bookmarkStart w:id="513" w:name="_Toc267251472"/>
      <w:r/>
      <w:bookmarkStart w:id="514" w:name="_Toc280868709"/>
      <w:r/>
      <w:bookmarkStart w:id="515" w:name="_Toc267251471"/>
      <w:r/>
      <w:bookmarkStart w:id="516" w:name="_Toc267251474"/>
      <w:r/>
      <w:bookmarkStart w:id="517" w:name="_Toc267251475"/>
      <w:r/>
      <w:bookmarkStart w:id="518" w:name="_Toc267251470"/>
      <w:r/>
      <w:bookmarkStart w:id="519" w:name="_Toc267251476"/>
      <w:r>
        <w:rPr>
          <w:rFonts w:hint="eastAsia" w:ascii="宋体" w:hAnsi="宋体" w:cs="宋体"/>
          <w:color w:val="auto"/>
          <w:highlight w:val="none"/>
        </w:rPr>
        <w:t xml:space="preserve">13.1、隐蔽工程和中间验收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13.1.1发包人、承包人双方应及时办理隐蔽工程和中间工程的检查与验收手续。发包人在接到通知48小时内不按时参加隐蔽工程和中间工程验收，承包人可自行验收，发包人应予承认。若发包人要求复验时，承包人应按要求办理复验。若复验合格，发包人应承担复验费用，由此造成停工，工期顺延；若复验不合格，其复验及返工费用由承包人承担，但工期不顺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13.1.2本工程以施工图纸、作法说明、设计变更等国家制订的施工及验收规范为质量评定验收标准。</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13.1.3本工程质量应达到国家质量评定合格标准。发包人要求部分或全部工程项目达到优良标准时，承包人可要求发包人支付由此增加的费用，数额由双方协商确定。</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13.1.4因发包人提供的材料、设备质量不合格而影响工程质量，其返工费用由发包人承担，工期顺延。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13.1.5因承包人原因造成质量事故，其返工费用由承包人承担，工期不顺延。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13.1.6工程竣工后，承包人应及时通知发包人验收，发包人应在接到验收通知15日内组织验收，并办理验收、移交手续。如发包人在约定时间内未能组织验收，需及时通知承包人，另定验收日期。但发包人应承认竣工日期，若在实际中发生看管等费用，由发包人另行签证。</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13.2移交、接收全部与部分工程</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承包人向发包人移交工程的期限：发包人收到《工程移交证书》并签发《工程接收证书》后10个工作日内。</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承包人未按时移交工程的，违约金的计算方法为：由承包人向发包人按合同总造价的1%支付违约金。</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13.3 工程试车</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13.3.1 试车程序</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工程试车内容：</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（1）单机无负荷试车费用由</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承担；</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（2）无负荷联动试车费用由</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承担。</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13.3.2 投料试车</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关于投料试车相关事项的约定：</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bookmarkEnd w:id="511"/>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13.4 竣工退场</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13.4.1 竣工退场</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承包人完成竣工退场的期限： </w:t>
      </w:r>
      <w:r>
        <w:rPr>
          <w:rFonts w:hint="eastAsia" w:ascii="宋体" w:hAnsi="宋体" w:cs="宋体"/>
          <w:color w:val="auto"/>
          <w:highlight w:val="none"/>
          <w:u w:val="single"/>
        </w:rPr>
        <w:t xml:space="preserve">   按通用条款执行</w:t>
      </w:r>
      <w:r>
        <w:rPr>
          <w:rFonts w:hint="eastAsia" w:ascii="宋体" w:hAnsi="宋体" w:cs="宋体"/>
          <w:color w:val="auto"/>
          <w:highlight w:val="none"/>
        </w:rPr>
        <w:t xml:space="preserve"> 。</w:t>
      </w:r>
      <w:bookmarkEnd w:id="512"/>
      <w:r/>
      <w:bookmarkEnd w:id="513"/>
      <w:r/>
      <w:bookmarkEnd w:id="514"/>
      <w:r/>
      <w:bookmarkEnd w:id="515"/>
      <w:r/>
      <w:bookmarkEnd w:id="516"/>
      <w:r/>
      <w:bookmarkEnd w:id="517"/>
      <w:r/>
      <w:bookmarkEnd w:id="518"/>
      <w:r/>
      <w:bookmarkEnd w:id="519"/>
      <w:r/>
      <w:r/>
    </w:p>
    <w:p>
      <w:pPr>
        <w:ind w:firstLine="400"/>
        <w:jc w:val="left"/>
        <w:spacing w:line="400" w:lineRule="exact"/>
        <w:rPr>
          <w:rFonts w:ascii="宋体" w:hAnsi="宋体" w:cs="宋体"/>
          <w:color w:val="auto"/>
          <w:highlight w:val="none"/>
        </w:rPr>
      </w:pPr>
      <w:r/>
      <w:bookmarkStart w:id="520" w:name="_Toc267251499"/>
      <w:r/>
      <w:bookmarkStart w:id="521" w:name="_Toc267251488"/>
      <w:r/>
      <w:bookmarkStart w:id="522" w:name="_Toc267251494"/>
      <w:r/>
      <w:bookmarkStart w:id="523" w:name="_Toc351203647"/>
      <w:r/>
      <w:bookmarkStart w:id="524" w:name="_Toc267251509"/>
      <w:r/>
      <w:bookmarkStart w:id="525" w:name="_Toc267251502"/>
      <w:r/>
      <w:bookmarkStart w:id="526" w:name="_Toc267251511"/>
      <w:r/>
      <w:bookmarkStart w:id="527" w:name="_Toc267251493"/>
      <w:r/>
      <w:bookmarkStart w:id="528" w:name="_Toc267251495"/>
      <w:r/>
      <w:bookmarkStart w:id="529" w:name="_Toc267251506"/>
      <w:r/>
      <w:bookmarkStart w:id="530" w:name="_Toc267251491"/>
      <w:r/>
      <w:bookmarkStart w:id="531" w:name="_Toc267251485"/>
      <w:r/>
      <w:bookmarkStart w:id="532" w:name="_Toc267251497"/>
      <w:r/>
      <w:bookmarkStart w:id="533" w:name="_Toc267251514"/>
      <w:r/>
      <w:bookmarkStart w:id="534" w:name="_Toc267251503"/>
      <w:r/>
      <w:bookmarkStart w:id="535" w:name="_Toc267251482"/>
      <w:r/>
      <w:bookmarkStart w:id="536" w:name="_Toc267251515"/>
      <w:r/>
      <w:bookmarkStart w:id="537" w:name="_Toc267251508"/>
      <w:r/>
      <w:bookmarkStart w:id="538" w:name="_Toc267251496"/>
      <w:r/>
      <w:bookmarkStart w:id="539" w:name="_Toc267251501"/>
      <w:r/>
      <w:bookmarkStart w:id="540" w:name="_Toc267251498"/>
      <w:r/>
      <w:bookmarkStart w:id="541" w:name="_Toc267251513"/>
      <w:r/>
      <w:bookmarkStart w:id="542" w:name="_Toc267251483"/>
      <w:r/>
      <w:bookmarkStart w:id="543" w:name="_Toc267251484"/>
      <w:r/>
      <w:bookmarkStart w:id="544" w:name="_Toc267251507"/>
      <w:r/>
      <w:bookmarkStart w:id="545" w:name="_Toc267251510"/>
      <w:r/>
      <w:bookmarkStart w:id="546" w:name="_Toc267251504"/>
      <w:r/>
      <w:bookmarkStart w:id="547" w:name="_Toc267251486"/>
      <w:r/>
      <w:bookmarkStart w:id="548" w:name="_Toc267251489"/>
      <w:r/>
      <w:bookmarkStart w:id="549" w:name="_Toc267251490"/>
      <w:r/>
      <w:bookmarkStart w:id="550" w:name="_Toc267251492"/>
      <w:r>
        <w:rPr>
          <w:rFonts w:hint="eastAsia" w:ascii="宋体" w:hAnsi="宋体" w:cs="宋体"/>
          <w:color w:val="auto"/>
          <w:highlight w:val="none"/>
        </w:rPr>
        <w:t xml:space="preserve">14.竣工验收与结算</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14.1竣工验收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14.1.1中间交工工程的范围和竣工时间：</w:t>
      </w:r>
      <w:r>
        <w:rPr>
          <w:rFonts w:hint="eastAsia" w:ascii="宋体" w:hAnsi="宋体" w:cs="宋体"/>
          <w:color w:val="auto"/>
          <w:highlight w:val="none"/>
          <w:u w:val="single"/>
        </w:rPr>
        <w:t xml:space="preserve">本工程竣工日期指工程竣工验收合格并对验收提出的问题整改完毕之日</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14.2竣工结算：</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14.2.1工程施工完成后，发包人必须尽快办理竣工验收手续，并由承包人及时编制工程结算书。承包人应在工程竣工验收合格之日起28天内，向发包人提交竣工结算报告和完整的结算资料及结算书，并加盖承包单位证章和编制人员证章。承包人必须保证所有送审资料为有效原件。凡未及时报送结算资料或报送的资料不完整致使审计无法正常进行的，发包人审计部门拒绝审计；</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14.2.2发包人审计部门自接到承包人递交的完整真实的结算资料6个月内按照合同约定的合同价款及合同价款调整办法及调整因素，进行工程竣工结算。承包人在上述时间内应积极配合发包人审计部门的审核，若承包人不配合或双方存在争议的，审计时间相应顺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14.2.3审计过程中，需要被审计单位对审计事项做出解释说明或补充资料的，结算送审内容存在漏项的，被审计单位应当于10个工作日内提供书面形式情况说明或相关资料，逾期不能提供的，发包人不再接受补报资料并根据现有资料，做出判断并进行处理。正式审计开始后，为保证送审资料的严肃性，施工单位郑重申明送审资料没有遗漏，对自报的结算书负责，不再递送任何有关经济签证资料，对结算书中漏算，少算的金额不予增加,并签署审计配合承诺书；</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14.2.4现场核对前，发包人审计人员、发包人工程部门现场管理人员、监理单位项目负责人与被审计单位共同确定现场核对方案，明确核对内容、采用方法及核对小组构成人员等主要事项。现场核对中，方案确定的核对小组构成人员不按时到场的，则视为对核对的工程内容及数量无异议。发包人审计部门在与被审计单位共同核对结算申报内容（对件）时，应做好记录，参与各方需对当天已落实的工程内容、工程数量和需要补充完善的资料进行签字确认，不得以没有权限等理由拒绝签字，已确认的工程内容及工程数量不再重复核对；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14.2.5工程审计结束15日内，承包人和发包人应对审计结果进行核对和确认。对无故不签章又不反馈审计意见的，视为对审计结果无异议，工程结算审计结果生效， 发包人审计部门直接出具审计报告及定案单；</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14.2.6发包人与承包人共同确认的工程量清单每一单项均应计算填写综合单价和合价，对于工程量清单中的承包人没有填写综合单价和合价的项目将不支持，认为此项费用已包括在工程量清单的其他综合单价和合价中。</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15. 缺陷责任期与保修</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15.2缺陷责任期</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缺陷责任期的具体期限：</w:t>
      </w:r>
      <w:r>
        <w:rPr>
          <w:rFonts w:hint="eastAsia" w:ascii="宋体" w:hAnsi="宋体" w:cs="宋体"/>
          <w:color w:val="auto"/>
          <w:highlight w:val="none"/>
          <w:u w:val="single"/>
        </w:rPr>
        <w:t xml:space="preserve">自竣工验收合格之日起24个月</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15.3 质量保证金</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关于是否扣留质量保证金的约定：</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。在工程项目竣工前，承包人按专用合同条款第3.7条提供履约担保的，发包人不得同时预留工程质量保证金。</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15.3.1 承包人提供质量保证金的方式</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质量保证金采用以下第 2 种方式：</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（1）质量保证金保函，保证金额为：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 3 %</w:t>
      </w:r>
      <w:r>
        <w:rPr>
          <w:rFonts w:hint="eastAsia" w:ascii="宋体" w:hAnsi="宋体" w:cs="宋体"/>
          <w:color w:val="auto"/>
          <w:highlight w:val="none"/>
        </w:rPr>
        <w:t xml:space="preserve">的工程款；</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（3）其他方式: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15.3.2 质量保证金的扣留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质量保证金的扣留采取以下第</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种方式：</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（1）在支付工程进度款时逐次扣留，在此情形下，质量保证金的计算基数不包括预付款的支付、扣回以及价格调整的金额；</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（2）工程竣工结算时一次性扣留质量保证金；</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（3）其他扣留方式: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关于质量保证金的补充约定：</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15.4保修</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15.4.1 保修责任</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工程保修期为：</w:t>
      </w:r>
      <w:r>
        <w:rPr>
          <w:rFonts w:hint="eastAsia" w:ascii="宋体" w:hAnsi="宋体" w:cs="宋体"/>
          <w:color w:val="auto"/>
          <w:highlight w:val="none"/>
          <w:u w:val="single"/>
        </w:rPr>
        <w:t xml:space="preserve"> 两年</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15.4.3 修复通知</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承包人收到保修通知并到达工程现场的合理时间： </w:t>
      </w:r>
      <w:r>
        <w:rPr>
          <w:rFonts w:hint="eastAsia" w:ascii="宋体" w:hAnsi="宋体" w:cs="宋体"/>
          <w:color w:val="auto"/>
          <w:highlight w:val="none"/>
          <w:u w:val="single"/>
        </w:rPr>
        <w:t xml:space="preserve">24小时内</w:t>
      </w:r>
      <w:r>
        <w:rPr>
          <w:rFonts w:hint="eastAsia" w:ascii="宋体" w:hAnsi="宋体" w:cs="宋体"/>
          <w:color w:val="auto"/>
          <w:highlight w:val="none"/>
        </w:rPr>
        <w:t xml:space="preserve"> 。</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
    </w:p>
    <w:p>
      <w:pPr>
        <w:ind w:firstLine="400"/>
        <w:jc w:val="left"/>
        <w:spacing w:line="400" w:lineRule="exact"/>
        <w:rPr>
          <w:rFonts w:ascii="宋体" w:hAnsi="宋体" w:cs="宋体"/>
          <w:color w:val="auto"/>
          <w:highlight w:val="none"/>
        </w:rPr>
      </w:pPr>
      <w:r/>
      <w:bookmarkStart w:id="551" w:name="_Toc351203648"/>
      <w:r/>
      <w:bookmarkStart w:id="552" w:name="_Toc280868717"/>
      <w:r/>
      <w:bookmarkStart w:id="553" w:name="_Toc280868718"/>
      <w:r>
        <w:rPr>
          <w:rFonts w:hint="eastAsia" w:ascii="宋体" w:hAnsi="宋体" w:cs="宋体"/>
          <w:color w:val="auto"/>
          <w:highlight w:val="none"/>
        </w:rPr>
        <w:t xml:space="preserve">16. 违约</w:t>
      </w:r>
      <w:bookmarkEnd w:id="551"/>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16.1 发包人违约</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16.1.1发包人违约的情形</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发包人违约的其他情形：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    16.1.2 发包人违约的责任</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发包人违约责任的承担方式和计算方法：</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（1）因发包人原因未能在计划开工日期前7天内下达开工通知的违约责任：</w:t>
      </w:r>
      <w:r>
        <w:rPr>
          <w:rFonts w:hint="eastAsia" w:ascii="宋体" w:hAnsi="宋体" w:cs="宋体"/>
          <w:color w:val="auto"/>
          <w:highlight w:val="none"/>
          <w:u w:val="single"/>
        </w:rPr>
        <w:t xml:space="preserve">执行通用条款。</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（2）因发包人原因未能按合同约定支付合同价款的违约责任：</w:t>
      </w:r>
      <w:r>
        <w:rPr>
          <w:rFonts w:hint="eastAsia" w:ascii="宋体" w:hAnsi="宋体" w:cs="宋体"/>
          <w:color w:val="auto"/>
          <w:highlight w:val="none"/>
          <w:u w:val="single"/>
        </w:rPr>
        <w:t xml:space="preserve"> 执行通用条款 </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（3）发包人违反第10.1款〔变更的范围〕第（2）项约定，自行实施被取消的工作或转由他人实施的违约责任： </w:t>
      </w:r>
      <w:r>
        <w:rPr>
          <w:rFonts w:hint="eastAsia" w:ascii="宋体" w:hAnsi="宋体" w:cs="宋体"/>
          <w:color w:val="auto"/>
          <w:highlight w:val="none"/>
          <w:u w:val="single"/>
        </w:rPr>
        <w:t xml:space="preserve">执行通用条款</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highlight w:val="none"/>
          <w:u w:val="single"/>
        </w:rPr>
        <w:t xml:space="preserve"> 执行通用条款</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（5）因发包人违反合同约定造成暂停施工的违约责任： </w:t>
      </w:r>
      <w:r>
        <w:rPr>
          <w:rFonts w:hint="eastAsia" w:ascii="宋体" w:hAnsi="宋体" w:cs="宋体"/>
          <w:color w:val="auto"/>
          <w:highlight w:val="none"/>
          <w:u w:val="single"/>
        </w:rPr>
        <w:t xml:space="preserve">执行通用条款</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（6）发包人无正当理由没有在约定期限内发出复工指示，导致承包人无法复工的违约责任：  执行通用条款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（7）其他：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16.1.3 因发包人违约解除合同</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承包人按16.1.1项〔发包人违约的情形〕约定暂停施工满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天后发包人仍不纠正其违约行为并致使合同目的不能实现的，承包人有权解除合同。</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16.2 承包人违约</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16.2.1 承包人违约的情形：发生其他不可抗力因素影响工期，造成工期延长的，承包人需办理延期手续，批准后方可顺延工期；由于甲方原因延误，工期顺延，但必须以书面签证为准；因施工方原因延误工程，工期每推迟一天按2000元罚款，并承担由此造成的一切损失；工程质量达不到协议书中约定的质量标准的，返工直至验收合格，工期不予顺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承包人违约的其他情形：</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承包人出现严重安全、质量事故，或在发包人规定的整改期限内达不到整改要求或明显无法按期完工的，发包人报市公司或报市建设局同意后有权要求承包人退场并终止合同，并按已验收合格的工程量的70%款项结算。</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（2）本工程承包人不得私自转包和违法分包，否则一经发现发包人有权终止合同，已完工程量不予结算。</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（3）由于发包人原因导致延期开工或中途停工，工期顺延，发包人不补偿承包人因停工、窝工所造成的任何损失。发包人不按合同的约定拨付款，不补偿因此所造成的任何损失。</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（4）承包人存在以下行为的，发包人有权要求解除合同，并由承包人承担由此引起的一切损失，并负责由此引起的一切法律责任，并赔偿由此引起的发包人的一切经济损失。</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a.本工程具体分项工程完成时间应服从发包人的总体要求，如果因承包人原因导致实际进度与发包人要求的进度计划不符，承包人无措施或无法按工</w:t>
      </w:r>
      <w:r>
        <w:rPr>
          <w:rFonts w:hint="eastAsia" w:ascii="宋体" w:hAnsi="宋体" w:cs="宋体"/>
          <w:color w:val="auto"/>
          <w:highlight w:val="none"/>
        </w:rPr>
        <w:t xml:space="preserve">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解除合同，并要求承包人支付100万元的违约金，承包人无条件退场。承包人未按照程序报验的，每次向发包人支付1000元违约金；工序验收不合格的，每次向发包人支付2000元违约金。违约金在发包人履行书面告知程序（监理签发）后，于最近一次工程进度款中扣除。</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b.承包人须服从发包人发布的各项符合现行法律、法规的管理规定，如承包人不服从发包人及监理工程师的管理，每次向发包人支付1000元违约赔偿金，且发包人有权解除合同，承包人无条件退场。</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c.工程竣工验收合格后60天内，承包人必须将符合发包人要求的竣工资料、竣工结算书上报给发包人，否则每延迟一天支付1000元作为违约金。</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 16.2.2承包人违约的责任</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承包人违约责任的承担方式和计算方法： </w:t>
      </w:r>
      <w:r>
        <w:rPr>
          <w:rFonts w:hint="eastAsia" w:ascii="宋体" w:hAnsi="宋体" w:cs="宋体"/>
          <w:color w:val="auto"/>
          <w:highlight w:val="none"/>
          <w:u w:val="single"/>
        </w:rPr>
        <w:t xml:space="preserve"> 执行通用条款 </w:t>
      </w:r>
      <w:r>
        <w:rPr>
          <w:rFonts w:hint="eastAsia" w:ascii="宋体" w:hAnsi="宋体" w:cs="宋体"/>
          <w:color w:val="auto"/>
          <w:highlight w:val="none"/>
        </w:rPr>
        <w:t xml:space="preserve"> 。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16.2.3 因承包人违约解除合同</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关于承包人违约解除合同的特别约定：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发包人继续使用承包人在施工现场的材料、设备、临时工程、承包人文件和由承包人或以其名义编制的其他文件的费用承担方式：  </w:t>
      </w:r>
      <w:r>
        <w:rPr>
          <w:rFonts w:hint="eastAsia" w:ascii="宋体" w:hAnsi="宋体" w:cs="宋体"/>
          <w:color w:val="auto"/>
          <w:highlight w:val="none"/>
          <w:u w:val="single"/>
        </w:rPr>
        <w:t xml:space="preserve"> 由承包人承担</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bookmarkStart w:id="554" w:name="_Toc351203649"/>
      <w:r>
        <w:rPr>
          <w:rFonts w:hint="eastAsia" w:ascii="宋体" w:hAnsi="宋体" w:cs="宋体"/>
          <w:color w:val="auto"/>
          <w:highlight w:val="none"/>
        </w:rPr>
        <w:t xml:space="preserve">17. 不可抗力</w:t>
      </w:r>
      <w:bookmarkEnd w:id="554"/>
      <w:r>
        <w:rPr>
          <w:rFonts w:hint="eastAsia" w:ascii="宋体" w:hAnsi="宋体" w:cs="宋体"/>
          <w:color w:val="auto"/>
          <w:highlight w:val="none"/>
        </w:rPr>
        <w:t xml:space="preserve"> </w:t>
      </w:r>
      <w:bookmarkEnd w:id="552"/>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17.1 不可抗力的确认</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除通用合同条款约定的不可抗力事件之外，视为不可抗力的其他情形：  因政策调整取消全部或部分工程内容 ；政府限工令、环保督查等导致的15天以上的停工；因战争、动乱、空中飞行物体坠落或其他非发包人承包人责任造成的爆炸、火灾，以及以下方面的自然灾害。</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17.4 因不可抗力解除合同</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合同解除后，发包人应在商定或确定发包人应支付款项后 56 天内完成款项的支付。</w:t>
      </w:r>
      <w:r/>
    </w:p>
    <w:p>
      <w:pPr>
        <w:ind w:firstLine="400"/>
        <w:jc w:val="left"/>
        <w:spacing w:line="400" w:lineRule="exact"/>
        <w:rPr>
          <w:rFonts w:ascii="宋体" w:hAnsi="宋体" w:cs="宋体"/>
          <w:color w:val="auto"/>
          <w:highlight w:val="none"/>
        </w:rPr>
      </w:pPr>
      <w:r/>
      <w:bookmarkStart w:id="555" w:name="_Toc351203650"/>
      <w:r>
        <w:rPr>
          <w:rFonts w:hint="eastAsia" w:ascii="宋体" w:hAnsi="宋体" w:cs="宋体"/>
          <w:color w:val="auto"/>
          <w:highlight w:val="none"/>
        </w:rPr>
        <w:t xml:space="preserve">18. 保险</w:t>
      </w:r>
      <w:bookmarkEnd w:id="555"/>
      <w:r/>
      <w:bookmarkEnd w:id="553"/>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18.1 工程保险</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关于工程保险的特别约定：</w:t>
      </w:r>
      <w:r>
        <w:rPr>
          <w:rFonts w:hint="eastAsia" w:ascii="宋体" w:hAnsi="宋体" w:cs="宋体"/>
          <w:color w:val="auto"/>
          <w:highlight w:val="none"/>
          <w:u w:val="single"/>
        </w:rPr>
        <w:t xml:space="preserve">执行通用条款</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18.3 其他保险</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关于其他保险的约定：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承包人是否应为其施工设备等办理财产保险：</w:t>
      </w:r>
      <w:r>
        <w:rPr>
          <w:rFonts w:hint="eastAsia" w:ascii="宋体" w:hAnsi="宋体" w:cs="宋体"/>
          <w:color w:val="auto"/>
          <w:highlight w:val="none"/>
          <w:u w:val="single"/>
        </w:rPr>
        <w:t xml:space="preserve">  是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18.7 通知义务</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关于变更保险合同时的通知义务的约定：  </w:t>
      </w:r>
      <w:r>
        <w:rPr>
          <w:rFonts w:hint="eastAsia" w:ascii="宋体" w:hAnsi="宋体" w:cs="宋体"/>
          <w:color w:val="auto"/>
          <w:highlight w:val="none"/>
          <w:u w:val="single"/>
        </w:rPr>
        <w:t xml:space="preserve"> 执行通用条款</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bookmarkStart w:id="556" w:name="_Toc351203651"/>
      <w:r>
        <w:rPr>
          <w:rFonts w:hint="eastAsia" w:ascii="宋体" w:hAnsi="宋体" w:cs="宋体"/>
          <w:color w:val="auto"/>
          <w:highlight w:val="none"/>
        </w:rPr>
        <w:t xml:space="preserve">20. 争议解决</w:t>
      </w:r>
      <w:bookmarkEnd w:id="556"/>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20.3 争议评审</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合同当事人是否同意将工程争议提交争议评审小组决定： 执行通用条款 。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20.3.1 争议评审小组的确定</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争议评审小组成员的确定：  </w:t>
      </w:r>
      <w:r>
        <w:rPr>
          <w:rFonts w:hint="eastAsia" w:ascii="宋体" w:hAnsi="宋体" w:cs="宋体"/>
          <w:color w:val="auto"/>
          <w:highlight w:val="none"/>
          <w:u w:val="single"/>
        </w:rPr>
        <w:t xml:space="preserve">执行通用条款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选定争议评审员的期限：   </w:t>
      </w:r>
      <w:r>
        <w:rPr>
          <w:rFonts w:hint="eastAsia" w:ascii="宋体" w:hAnsi="宋体" w:cs="宋体"/>
          <w:color w:val="auto"/>
          <w:highlight w:val="none"/>
          <w:u w:val="single"/>
        </w:rPr>
        <w:t xml:space="preserve">执行通用条款</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争议评审小组成员的报酬承担方式： </w:t>
      </w:r>
      <w:r>
        <w:rPr>
          <w:rFonts w:hint="eastAsia" w:ascii="宋体" w:hAnsi="宋体" w:cs="宋体"/>
          <w:color w:val="auto"/>
          <w:highlight w:val="none"/>
          <w:u w:val="single"/>
        </w:rPr>
        <w:t xml:space="preserve"> 执行通用条款</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其他事项的约定：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20.3.2 争议评审小组的决定</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合同当事人关于本项的约定：  </w:t>
      </w:r>
      <w:r>
        <w:rPr>
          <w:rFonts w:hint="eastAsia" w:ascii="宋体" w:hAnsi="宋体" w:cs="宋体"/>
          <w:color w:val="auto"/>
          <w:highlight w:val="none"/>
          <w:u w:val="single"/>
        </w:rPr>
        <w:t xml:space="preserve">执行通用条款</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20.4仲裁或诉讼</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因合同及合同有关事项发生的争议，按下列第 </w:t>
      </w:r>
      <w:r>
        <w:rPr>
          <w:rFonts w:hint="eastAsia" w:ascii="宋体" w:hAnsi="宋体" w:cs="宋体"/>
          <w:color w:val="auto"/>
          <w:highlight w:val="none"/>
          <w:u w:val="single"/>
        </w:rPr>
        <w:t xml:space="preserve"> 2  </w:t>
      </w:r>
      <w:r>
        <w:rPr>
          <w:rFonts w:hint="eastAsia" w:ascii="宋体" w:hAnsi="宋体" w:cs="宋体"/>
          <w:color w:val="auto"/>
          <w:highlight w:val="none"/>
        </w:rPr>
        <w:t xml:space="preserve">种方式解决：</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（1）向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仲裁委员会申请仲裁；</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（2）向 工程所在地 人民法院起诉。</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21.补充条款</w:t>
      </w:r>
      <w:r/>
    </w:p>
    <w:p>
      <w:pPr>
        <w:ind w:firstLine="480"/>
        <w:spacing w:line="400" w:lineRule="exact"/>
        <w:rPr>
          <w:rFonts w:ascii="宋体" w:hAnsi="宋体" w:cs="宋体"/>
          <w:b/>
          <w:bCs/>
          <w:color w:val="auto"/>
          <w:highlight w:val="none"/>
        </w:rPr>
      </w:pPr>
      <w:r>
        <w:rPr>
          <w:rFonts w:hint="eastAsia" w:ascii="宋体" w:hAnsi="宋体" w:cs="宋体"/>
          <w:color w:val="auto"/>
          <w:highlight w:val="none"/>
        </w:rPr>
        <w:t xml:space="preserve">   </w:t>
      </w:r>
      <w:r>
        <w:rPr>
          <w:rFonts w:hint="eastAsia" w:ascii="宋体" w:hAnsi="宋体" w:cs="宋体"/>
          <w:b/>
          <w:bCs/>
          <w:color w:val="auto"/>
          <w:highlight w:val="none"/>
        </w:rPr>
        <w:t xml:space="preserve">补充条款</w:t>
      </w:r>
      <w:r/>
    </w:p>
    <w:p>
      <w:pPr>
        <w:ind w:firstLine="480"/>
        <w:keepLines w:val="0"/>
        <w:keepNext w:val="0"/>
        <w:pageBreakBefore w:val="0"/>
        <w:spacing w:line="400" w:lineRule="exact"/>
        <w:widowControl/>
        <w:rPr>
          <w:rFonts w:ascii="宋体" w:hAnsi="宋体" w:cs="宋体"/>
          <w:color w:val="auto"/>
          <w:highlight w:val="none"/>
          <w:u w:val="single"/>
        </w:rPr>
      </w:pPr>
      <w:r>
        <w:rPr>
          <w:rFonts w:hint="eastAsia" w:ascii="宋体" w:hAnsi="宋体" w:cs="宋体"/>
          <w:color w:val="auto"/>
          <w:highlight w:val="none"/>
          <w:u w:val="single"/>
        </w:rPr>
        <w:t xml:space="preserve">1、承包人进场前应与发包人签订《安全生产责任协议书》、《建设工程廉政协议》、《治安消防交通安全协议书》和《文明施工责任协议书》等作为本合同的补充，与本合同具有同等法律效力。</w:t>
      </w:r>
      <w:r/>
    </w:p>
    <w:p>
      <w:pPr>
        <w:pStyle w:val="1022"/>
        <w:ind w:left="0" w:firstLine="420"/>
        <w:keepLines w:val="0"/>
        <w:keepNext w:val="0"/>
        <w:pageBreakBefore w:val="0"/>
        <w:spacing w:line="400" w:lineRule="exact"/>
        <w:widowControl/>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w:t>
      </w:r>
      <w:r>
        <w:rPr>
          <w:rFonts w:hint="eastAsia" w:ascii="宋体" w:hAnsi="宋体" w:cs="宋体"/>
          <w:color w:val="auto"/>
          <w:sz w:val="21"/>
          <w:szCs w:val="21"/>
          <w:highlight w:val="none"/>
          <w:u w:val="single"/>
        </w:rPr>
        <w:t xml:space="preserve">、</w:t>
      </w:r>
      <w:r>
        <w:rPr>
          <w:rFonts w:hint="eastAsia" w:ascii="宋体" w:hAnsi="宋体" w:eastAsia="宋体" w:cs="宋体"/>
          <w:color w:val="auto"/>
          <w:sz w:val="21"/>
          <w:szCs w:val="21"/>
          <w:highlight w:val="none"/>
          <w:u w:val="single"/>
        </w:rPr>
        <w:t xml:space="preserve">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 </w:t>
      </w:r>
      <w:r>
        <w:rPr>
          <w:rFonts w:hint="eastAsia" w:ascii="宋体" w:hAnsi="宋体" w:cs="宋体"/>
          <w:color w:val="auto"/>
          <w:sz w:val="21"/>
          <w:szCs w:val="21"/>
          <w:highlight w:val="none"/>
          <w:u w:val="single"/>
        </w:rPr>
        <w:t xml:space="preserve">1</w:t>
      </w:r>
      <w:r>
        <w:rPr>
          <w:rFonts w:hint="eastAsia" w:ascii="宋体" w:hAnsi="宋体" w:eastAsia="宋体" w:cs="宋体"/>
          <w:color w:val="auto"/>
          <w:sz w:val="21"/>
          <w:szCs w:val="21"/>
          <w:highlight w:val="none"/>
          <w:u w:val="single"/>
        </w:rPr>
        <w:t xml:space="preserve">万元违约金；因材料商和机械租赁商的应付款不到位造成投诉或信访，支付不到位的，视情节从质保金中予以相应扣除。（2）对施工企业予以不良行为记录，并在市建设局网上公布。违约金直接从工程款中扣除，承包人对此部分扣付款项及数额无异议，并认可为已付工程款。</w:t>
      </w:r>
      <w:r/>
    </w:p>
    <w:p>
      <w:pPr>
        <w:pStyle w:val="1022"/>
        <w:ind w:left="0" w:firstLine="420"/>
        <w:keepLines w:val="0"/>
        <w:keepNext w:val="0"/>
        <w:pageBreakBefore w:val="0"/>
        <w:spacing w:line="400" w:lineRule="exact"/>
        <w:widowControl/>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3、任何非承包人原因可能对工期、费用产生影响时，承包人应在14天内书面上报监理人、发包人审批，否则视为该原因对工期、费用无影响。其他专用条款中的约定与本条不一致时，以本条为准。</w:t>
      </w:r>
      <w:r/>
    </w:p>
    <w:p>
      <w:pPr>
        <w:ind w:firstLine="480"/>
        <w:keepLines w:val="0"/>
        <w:keepNext w:val="0"/>
        <w:pageBreakBefore w:val="0"/>
        <w:spacing w:line="400" w:lineRule="exact"/>
        <w:widowControl/>
        <w:rPr>
          <w:rFonts w:ascii="宋体" w:hAnsi="宋体" w:cs="宋体"/>
          <w:color w:val="auto"/>
          <w:highlight w:val="none"/>
          <w:u w:val="single"/>
        </w:rPr>
      </w:pPr>
      <w:r>
        <w:rPr>
          <w:rFonts w:hint="eastAsia" w:ascii="宋体" w:hAnsi="宋体" w:cs="宋体"/>
          <w:color w:val="auto"/>
          <w:highlight w:val="none"/>
          <w:u w:val="single"/>
        </w:rPr>
        <w:t xml:space="preserve">4、承包人不按发包人要求参加施工期间各种会议的，向发包人支付违约金500元/人次，迟到的向发包人支付违约金300元/人次，承包人予以认可。</w:t>
      </w:r>
      <w:r/>
    </w:p>
    <w:p>
      <w:pPr>
        <w:ind w:firstLine="480"/>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5、</w:t>
      </w:r>
      <w:r>
        <w:rPr>
          <w:rFonts w:hint="eastAsia" w:ascii="宋体" w:hAnsi="宋体" w:cs="宋体"/>
          <w:bCs/>
          <w:color w:val="auto"/>
          <w:highlight w:val="none"/>
          <w:u w:val="single"/>
        </w:rPr>
        <w:t xml:space="preserve">承包人采购的主要材料设备和暂估价材料（设备）的质量均不得低于设计图纸要求，承包人在采购前向发包人提出书面申请，写明进场材料（设备）的品牌、名称、产地、规格型号、价格及其相关资料等报于监理人和发包人，需提供样品的按照合同约定提供，待发包人书面审核批准后，由承包人进行采购。发包人的批准，并不减少承包人应承担的责任，若承包人购买的材料（设备）不合格的，由</w:t>
      </w:r>
      <w:r>
        <w:rPr>
          <w:rFonts w:hint="eastAsia" w:ascii="宋体" w:hAnsi="宋体" w:cs="宋体"/>
          <w:bCs/>
          <w:color w:val="auto"/>
          <w:highlight w:val="none"/>
          <w:u w:val="single"/>
        </w:rPr>
        <w:t xml:space="preserve">承包人承担一切责任，工期不予顺延。未经发包人批准的甲控品牌及暂估价材料（设备）禁止使用，擅自使用的，承包人应向发包人支付该材料（设备）总价款10%的违约金，同时承包人应对未经批准的材料（设备）予以无条件更换，并提供上述资料供发包人审核，因此产生的一切损失和费用由承包人承担，工期不予顺延。承包人提出的甲控品牌及暂估价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480"/>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6、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480"/>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7、本工程的临时设施建设标准、要求及安全文明施工：</w:t>
      </w:r>
      <w:r/>
    </w:p>
    <w:p>
      <w:pPr>
        <w:ind w:firstLine="480"/>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（1）施工现场各种临时设施的配备要满足住建部《建筑施工现场环境与卫生标准》（JGJ/146-2004）和《施工现场临时建筑物技术规范》（JGJ/T188-2009）等国家、地区相关规范标准的要求。</w:t>
      </w:r>
      <w:r/>
    </w:p>
    <w:p>
      <w:pPr>
        <w:ind w:firstLine="480"/>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（2）临时设施建设规模应能满足管理人员、工人及其他人员(包括但不限于监理、跟踪审计、代建等)的办公、生活的需要。</w:t>
      </w:r>
      <w:r/>
    </w:p>
    <w:p>
      <w:pPr>
        <w:ind w:firstLine="480"/>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（3）临时设施所用建筑材料应符合本地区现行法律法规的环保、消防要求。</w:t>
      </w:r>
      <w:r/>
    </w:p>
    <w:p>
      <w:pPr>
        <w:ind w:firstLine="480"/>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（4）临时设施的办公区、生活区、施工场区要相对独立分区设置，并配备满足规范要求的消防器材。</w:t>
      </w:r>
      <w:r/>
    </w:p>
    <w:p>
      <w:pPr>
        <w:ind w:firstLine="480"/>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5）施工场区明显位置（如大门出入口）设置八牌一图：即工程概况牌、管理人员及监督电话牌、安全生产制度牌、文明施工制度牌、消防保卫制度牌、应急救援预案公示牌、重大危险源公示牌、安全无事故宣传牌、施工总平面布置图。</w:t>
      </w:r>
      <w:r/>
    </w:p>
    <w:p>
      <w:pPr>
        <w:ind w:firstLine="480"/>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（6）承包人进场前须提供临时设施建设规划设计平面图，须经监理人、发包人的认可，承包人未按照要求建设的，不予支付费用。</w:t>
      </w:r>
      <w:r/>
    </w:p>
    <w:p>
      <w:pPr>
        <w:ind w:firstLine="480"/>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8、承包人应在办理完现场确认后5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p>
    <w:p>
      <w:pPr>
        <w:ind w:firstLine="480"/>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9、签证的办理执行发包方《工程签证管理办法》（承包人进场后由发包人提供）。</w:t>
      </w:r>
      <w:r/>
    </w:p>
    <w:p>
      <w:pPr>
        <w:ind w:firstLine="480"/>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10、审计单位审计结束，承包人、发包人确认审计结果，有异议的必须在5个工作日内提出，否则视同认可。</w:t>
      </w:r>
      <w:r/>
    </w:p>
    <w:p>
      <w:pPr>
        <w:ind w:firstLine="480"/>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11、设计变更、现场签证、新增减工程等变更均须经设计院、监理工程师和发包人代表签字认可并加盖公章，跟踪审计单位审核确认。否则不作为结算调整依据。承包人根据发包人书面确认的变更文件予以变更。变更文件中须明确原做法、变更后做法及工艺、材料名称、规格、品牌、尺寸等，标注要清晰。</w:t>
      </w:r>
      <w:r/>
    </w:p>
    <w:p>
      <w:pPr>
        <w:ind w:firstLine="482"/>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12、服务外包人员。对服务外包单位人员要严格管理，不得以外包为由，推脱单位的主体责任。对长期派驻人员，使用单位应参照内部人员实施管理;临时派驻人员参照来访人员管理，使用单位应根据服务项目预先设定时间、路线、区域，督促做好个人安全防护，有条件的应设置专门工作区域并控制人员接触范围。</w:t>
      </w:r>
      <w:r/>
    </w:p>
    <w:p>
      <w:pPr>
        <w:ind w:firstLine="480"/>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13、施工过程中的排污、环保、市容、城建、城管、广告、规划、国土、水利、消防、治安、人口、渣土、交通、交警、公安、绿化、市政养护管理、施工许可等相关手续的办理以及对沿线企业、居民和行人的施工期间的影响等，均由承包人负责处理并承担费用，需发包人配合的，发包人提供必要的配合。</w:t>
      </w:r>
      <w:r/>
    </w:p>
    <w:p>
      <w:pPr>
        <w:ind w:firstLine="480"/>
        <w:spacing w:line="400" w:lineRule="exact"/>
        <w:rPr>
          <w:rFonts w:ascii="宋体" w:hAnsi="宋体" w:cs="宋体"/>
          <w:b/>
          <w:bCs/>
          <w:color w:val="auto"/>
          <w:highlight w:val="none"/>
          <w:u w:val="single"/>
        </w:rPr>
      </w:pPr>
      <w:r>
        <w:rPr>
          <w:rFonts w:hint="eastAsia" w:ascii="宋体" w:hAnsi="宋体" w:cs="宋体"/>
          <w:b/>
          <w:bCs/>
          <w:color w:val="auto"/>
          <w:highlight w:val="none"/>
          <w:u w:val="single"/>
        </w:rPr>
        <w:t xml:space="preserve">14、供应商须购买本项目的雇主责任险或提供全部施工人员社保（工伤保险）证明。</w:t>
      </w:r>
      <w:r/>
    </w:p>
    <w:p>
      <w:pPr>
        <w:ind w:firstLine="420"/>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15、承包人须提供《甲控材料设备投标产品承诺书》，承诺使用招标人提供的品牌或厂家，并在合同履行过程中进行选择。  </w:t>
      </w:r>
      <w:r/>
    </w:p>
    <w:p>
      <w:pPr>
        <w:ind w:firstLine="420"/>
        <w:spacing w:line="400" w:lineRule="exact"/>
        <w:rPr>
          <w:rFonts w:ascii="宋体" w:hAnsi="宋体" w:cs="宋体"/>
          <w:color w:val="auto"/>
          <w:highlight w:val="none"/>
          <w:u w:val="single"/>
        </w:rPr>
      </w:pPr>
      <w:r>
        <w:rPr>
          <w:rFonts w:hint="eastAsia" w:ascii="宋体" w:hAnsi="宋体" w:cs="宋体"/>
          <w:color w:val="auto"/>
          <w:highlight w:val="none"/>
          <w:u w:val="single"/>
        </w:rPr>
        <w:t xml:space="preserve">16、招标人的品牌指定并不排除施工单位的验收责任，即施工单位应对材料、设备进场质量把关并确保不因材料、设备的问题影响到工程验收。 </w:t>
      </w:r>
      <w:r/>
    </w:p>
    <w:p>
      <w:pPr>
        <w:spacing w:line="400" w:lineRule="exact"/>
        <w:rPr>
          <w:rFonts w:ascii="宋体" w:hAnsi="宋体" w:cs="宋体"/>
          <w:color w:val="auto"/>
          <w:highlight w:val="none"/>
          <w:u w:val="single"/>
        </w:rPr>
      </w:pPr>
      <w:r>
        <w:rPr>
          <w:rFonts w:ascii="宋体" w:hAnsi="宋体" w:cs="宋体"/>
          <w:color w:val="auto"/>
          <w:highlight w:val="none"/>
          <w:u w:val="single"/>
        </w:rPr>
      </w:r>
      <w:r/>
    </w:p>
    <w:p>
      <w:pPr>
        <w:spacing w:line="400" w:lineRule="exact"/>
        <w:rPr>
          <w:rFonts w:ascii="宋体" w:hAnsi="宋体" w:cs="宋体"/>
          <w:color w:val="auto"/>
          <w:highlight w:val="none"/>
        </w:rPr>
      </w:pPr>
      <w:r>
        <w:rPr>
          <w:rFonts w:hint="eastAsia" w:ascii="宋体" w:hAnsi="宋体" w:cs="宋体"/>
          <w:color w:val="auto"/>
          <w:highlight w:val="none"/>
        </w:rPr>
        <w:t xml:space="preserve">附件1：工程质量保修书</w:t>
      </w:r>
      <w:r/>
    </w:p>
    <w:p>
      <w:pPr>
        <w:pStyle w:val="1014"/>
        <w:ind w:left="0"/>
        <w:spacing w:line="400" w:lineRule="exact"/>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highlight w:val="none"/>
        </w:rPr>
      </w:pPr>
      <w:r>
        <w:rPr>
          <w:rFonts w:hint="eastAsia" w:ascii="宋体" w:hAnsi="宋体" w:cs="宋体"/>
          <w:color w:val="auto"/>
          <w:highlight w:val="none"/>
        </w:rPr>
        <w:t xml:space="preserve">附件2：不拖欠农民工工资承诺书</w:t>
      </w:r>
      <w:r/>
    </w:p>
    <w:p>
      <w:pPr>
        <w:spacing w:line="400" w:lineRule="exact"/>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highlight w:val="none"/>
        </w:rPr>
      </w:pPr>
      <w:r>
        <w:rPr>
          <w:rFonts w:hint="eastAsia" w:ascii="宋体" w:hAnsi="宋体" w:cs="宋体"/>
          <w:color w:val="auto"/>
          <w:highlight w:val="none"/>
        </w:rPr>
        <w:t xml:space="preserve">附件3：甲控品牌材料一览表</w:t>
      </w:r>
      <w:r/>
    </w:p>
    <w:p>
      <w:pPr>
        <w:spacing w:line="400" w:lineRule="exact"/>
        <w:rPr>
          <w:rFonts w:ascii="宋体" w:hAnsi="宋体" w:cs="宋体"/>
          <w:color w:val="auto"/>
          <w:highlight w:val="none"/>
        </w:rPr>
        <w:sectPr>
          <w:footerReference w:type="default" r:id="rId17"/>
          <w:footerReference w:type="first" r:id="rId18"/>
          <w:footnotePr/>
          <w:endnotePr/>
          <w:type w:val="nextPage"/>
          <w:pgSz w:w="11906" w:h="16838" w:orient="portrait"/>
          <w:pgMar w:top="1418" w:right="1100" w:bottom="1418" w:left="1077" w:header="851" w:footer="992" w:gutter="0"/>
          <w:cols w:num="1" w:sep="0" w:space="720" w:equalWidth="1"/>
          <w:docGrid w:linePitch="360"/>
          <w:titlePg/>
        </w:sectPr>
      </w:pPr>
      <w:r>
        <w:rPr>
          <w:rFonts w:ascii="宋体" w:hAnsi="宋体" w:cs="宋体"/>
          <w:color w:val="auto"/>
          <w:highlight w:val="none"/>
        </w:rPr>
      </w:r>
      <w:r/>
    </w:p>
    <w:p>
      <w:pPr>
        <w:jc w:val="left"/>
        <w:spacing w:line="400" w:lineRule="exact"/>
        <w:rPr>
          <w:rFonts w:ascii="宋体" w:hAnsi="宋体" w:cs="宋体"/>
          <w:color w:val="auto"/>
          <w:highlight w:val="none"/>
        </w:rPr>
      </w:pPr>
      <w:r>
        <w:rPr>
          <w:rFonts w:hint="eastAsia" w:ascii="宋体" w:hAnsi="宋体" w:cs="宋体"/>
          <w:color w:val="auto"/>
          <w:highlight w:val="none"/>
        </w:rPr>
        <w:t xml:space="preserve">附件1：</w:t>
      </w:r>
      <w:r/>
    </w:p>
    <w:p>
      <w:pPr>
        <w:jc w:val="center"/>
        <w:spacing w:line="480" w:lineRule="exact"/>
        <w:rPr>
          <w:rFonts w:ascii="方正小标宋_GBK" w:hAnsi="方正小标宋_GBK" w:eastAsia="方正小标宋_GBK" w:cs="方正小标宋_GBK"/>
          <w:color w:val="auto"/>
          <w:sz w:val="44"/>
          <w:szCs w:val="44"/>
          <w:highlight w:val="none"/>
        </w:rPr>
      </w:pPr>
      <w:r>
        <w:rPr>
          <w:rFonts w:hint="eastAsia" w:ascii="方正小标宋_GBK" w:hAnsi="方正小标宋_GBK" w:eastAsia="方正小标宋_GBK" w:cs="方正小标宋_GBK"/>
          <w:color w:val="auto"/>
          <w:sz w:val="44"/>
          <w:szCs w:val="44"/>
          <w:highlight w:val="none"/>
        </w:rPr>
        <w:t xml:space="preserve">工程质量保修书</w:t>
      </w:r>
      <w:r/>
    </w:p>
    <w:p>
      <w:pPr>
        <w:pStyle w:val="1022"/>
        <w:spacing w:line="400" w:lineRule="exact"/>
        <w:rPr>
          <w:color w:val="auto"/>
          <w:sz w:val="21"/>
          <w:szCs w:val="21"/>
          <w:highlight w:val="none"/>
        </w:rPr>
      </w:pPr>
      <w:r>
        <w:rPr>
          <w:color w:val="auto"/>
          <w:sz w:val="21"/>
          <w:szCs w:val="21"/>
          <w:highlight w:val="none"/>
        </w:rPr>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发包人（全称）：</w:t>
      </w:r>
      <w:r>
        <w:rPr>
          <w:rFonts w:hint="eastAsia" w:ascii="宋体" w:hAnsi="宋体" w:cs="宋体"/>
          <w:color w:val="auto"/>
          <w:highlight w:val="none"/>
          <w:lang w:eastAsia="zh-CN"/>
        </w:rPr>
        <w:t xml:space="preserve">江苏省徐州监狱</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承包人（全称）：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发包人和承包人根据《中华人民共和国建筑法》和《建设工程质量管理条例》，经协商一致就</w:t>
      </w:r>
      <w:r>
        <w:rPr>
          <w:rFonts w:hint="eastAsia" w:ascii="宋体" w:hAnsi="宋体" w:cs="宋体"/>
          <w:color w:val="auto"/>
          <w:highlight w:val="none"/>
          <w:u w:val="single"/>
          <w:lang w:eastAsia="zh-CN"/>
        </w:rPr>
        <w:t xml:space="preserve">会见楼1、2层维修改造项目土建装饰工程</w:t>
      </w:r>
      <w:r>
        <w:rPr>
          <w:rFonts w:hint="eastAsia" w:ascii="宋体" w:hAnsi="宋体" w:cs="宋体"/>
          <w:color w:val="auto"/>
          <w:highlight w:val="none"/>
        </w:rPr>
        <w:t xml:space="preserve">签订工程质量保修书。</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一、工程质量保修范围和内容</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承包人在质量保修期内，按照有关法律规定和合同约定，承担工程质量保修责任。</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质量保修范围包括地基基础工程、主体结构工程，屋面防水工程、有防水要求的卫生间、房间和外墙面的防渗漏，供热与供冷系统，电气管线、给排水管道、设备安装和智能化工程、，以及双方约定的其他项目。具体保修的内容，双方约定如下：承包人承包范围内的所有内容</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二、质量保修期</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质量保修期从工程实际竣工验收合格之日起两年。本工程的质量保修期为现行法律、法规和各项规章制度规定的期限。根据《建设工程质量管理条例》及有关规定，工程的质量保修期如下：</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 1．地基基础工程和主体结构工程为设计文件规定的工程合理使用年限；</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2．屋面防水工程、有防水要求的卫生间和外墙面的防渗漏为</w:t>
      </w:r>
      <w:r>
        <w:rPr>
          <w:rFonts w:hint="eastAsia" w:ascii="宋体" w:hAnsi="宋体" w:cs="宋体"/>
          <w:color w:val="auto"/>
          <w:highlight w:val="none"/>
          <w:u w:val="single"/>
        </w:rPr>
        <w:t xml:space="preserve"> 伍 </w:t>
      </w:r>
      <w:r>
        <w:rPr>
          <w:rFonts w:hint="eastAsia" w:ascii="宋体" w:hAnsi="宋体" w:cs="宋体"/>
          <w:color w:val="auto"/>
          <w:highlight w:val="none"/>
        </w:rPr>
        <w:t xml:space="preserve">年；</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   3．装修工程为 </w:t>
      </w:r>
      <w:r>
        <w:rPr>
          <w:rFonts w:hint="eastAsia" w:ascii="宋体" w:hAnsi="宋体" w:cs="宋体"/>
          <w:color w:val="auto"/>
          <w:highlight w:val="none"/>
          <w:u w:val="single"/>
        </w:rPr>
        <w:t xml:space="preserve">贰</w:t>
      </w:r>
      <w:r>
        <w:rPr>
          <w:rFonts w:hint="eastAsia" w:ascii="宋体" w:hAnsi="宋体" w:cs="宋体"/>
          <w:color w:val="auto"/>
          <w:highlight w:val="none"/>
        </w:rPr>
        <w:t xml:space="preserve"> 年；</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   4．电气管线、给排水管道、设备安装、装修工程为</w:t>
      </w:r>
      <w:r>
        <w:rPr>
          <w:rFonts w:hint="eastAsia" w:ascii="宋体" w:hAnsi="宋体" w:cs="宋体"/>
          <w:color w:val="auto"/>
          <w:highlight w:val="none"/>
          <w:u w:val="single"/>
        </w:rPr>
        <w:t xml:space="preserve"> 贰</w:t>
      </w:r>
      <w:r>
        <w:rPr>
          <w:rFonts w:hint="eastAsia" w:ascii="宋体" w:hAnsi="宋体" w:cs="宋体"/>
          <w:color w:val="auto"/>
          <w:highlight w:val="none"/>
        </w:rPr>
        <w:t xml:space="preserve"> 年；</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   5．供热与供冷系统为 </w:t>
      </w:r>
      <w:r>
        <w:rPr>
          <w:rFonts w:hint="eastAsia" w:ascii="宋体" w:hAnsi="宋体" w:cs="宋体"/>
          <w:color w:val="auto"/>
          <w:highlight w:val="none"/>
          <w:u w:val="single"/>
        </w:rPr>
        <w:t xml:space="preserve"> 贰</w:t>
      </w:r>
      <w:r>
        <w:rPr>
          <w:rFonts w:hint="eastAsia" w:ascii="宋体" w:hAnsi="宋体" w:cs="宋体"/>
          <w:color w:val="auto"/>
          <w:highlight w:val="none"/>
        </w:rPr>
        <w:t xml:space="preserve">  个采暖期、供冷期；</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   6．给排水设施、道路等配套工程为 </w:t>
      </w:r>
      <w:r>
        <w:rPr>
          <w:rFonts w:hint="eastAsia" w:ascii="宋体" w:hAnsi="宋体" w:cs="宋体"/>
          <w:color w:val="auto"/>
          <w:highlight w:val="none"/>
          <w:u w:val="single"/>
        </w:rPr>
        <w:t xml:space="preserve"> 贰 </w:t>
      </w:r>
      <w:r>
        <w:rPr>
          <w:rFonts w:hint="eastAsia" w:ascii="宋体" w:hAnsi="宋体" w:cs="宋体"/>
          <w:color w:val="auto"/>
          <w:highlight w:val="none"/>
        </w:rPr>
        <w:t xml:space="preserve"> 年；</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   7、门窗工程为 </w:t>
      </w:r>
      <w:r>
        <w:rPr>
          <w:rFonts w:hint="eastAsia" w:ascii="宋体" w:hAnsi="宋体" w:cs="宋体"/>
          <w:color w:val="auto"/>
          <w:highlight w:val="none"/>
          <w:u w:val="single"/>
        </w:rPr>
        <w:t xml:space="preserve">贰 </w:t>
      </w:r>
      <w:r>
        <w:rPr>
          <w:rFonts w:hint="eastAsia" w:ascii="宋体" w:hAnsi="宋体" w:cs="宋体"/>
          <w:color w:val="auto"/>
          <w:highlight w:val="none"/>
        </w:rPr>
        <w:t xml:space="preserve">年</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   8、其他项目保修期限为  </w:t>
      </w:r>
      <w:r>
        <w:rPr>
          <w:rFonts w:hint="eastAsia" w:ascii="宋体" w:hAnsi="宋体" w:cs="宋体"/>
          <w:color w:val="auto"/>
          <w:highlight w:val="none"/>
          <w:u w:val="single"/>
        </w:rPr>
        <w:t xml:space="preserve">贰</w:t>
      </w:r>
      <w:r>
        <w:rPr>
          <w:rFonts w:hint="eastAsia" w:ascii="宋体" w:hAnsi="宋体" w:cs="宋体"/>
          <w:color w:val="auto"/>
          <w:highlight w:val="none"/>
        </w:rPr>
        <w:t xml:space="preserve"> 年。</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u w:val="single"/>
        </w:rPr>
        <w:t xml:space="preserve">质量保修期自工程办理交付使用之日起计算</w:t>
      </w:r>
      <w:r>
        <w:rPr>
          <w:rFonts w:hint="eastAsia" w:ascii="宋体" w:hAnsi="宋体" w:cs="宋体"/>
          <w:color w:val="auto"/>
          <w:highlight w:val="none"/>
        </w:rPr>
        <w:t xml:space="preserve">。</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三、缺陷责任期</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工程缺陷责任期为 </w:t>
      </w:r>
      <w:r>
        <w:rPr>
          <w:rFonts w:hint="eastAsia" w:ascii="宋体" w:hAnsi="宋体" w:cs="宋体"/>
          <w:color w:val="auto"/>
          <w:highlight w:val="none"/>
          <w:u w:val="single"/>
        </w:rPr>
        <w:t xml:space="preserve">24 个月</w:t>
      </w:r>
      <w:r>
        <w:rPr>
          <w:rFonts w:hint="eastAsia" w:ascii="宋体" w:hAnsi="宋体" w:cs="宋体"/>
          <w:color w:val="auto"/>
          <w:highlight w:val="none"/>
        </w:rPr>
        <w:t xml:space="preserve">，缺陷责任期自工程验收合格之日起计算。</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四、质量保修责任</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1．属于保修范围、内容的项目，承包人应当自接到保修通知之日起五日内到达现场核查情况，并予以保修。承包人不在约定期限内派人保修的，发包人有权委托他人修理，保修费用从未支付款项内扣除。</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4、在国家规定的工程合理使用期限内，承包人确保地基基础工程和主体结构的质量。因承包人原因致使工程在合理使用期限内造成人身和财产损害的，承包人应承担损害赔偿责任。</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5．质量保修完成后，由发包人组织验收。</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6.工程保修服务承诺</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1）建立回访制，进行定期、不定期回访，每年内工程回访不少于两次，认真听取建设单位意见，并形成回访记录。</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2）建立维修工程专班专人负责制，由公司工程部、技术部派人负责。</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3）在质保期内承包人做到：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A、免费提供所需的工作人员和材料进行维修。针对现场破坏程度，制定相关处理方案，得到业主同意后，对工程进行维护修复工作。</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B、负责对工程进行日常一般性的定期维修保养，同时提供日夜24小时应答的紧急维修服务。</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4）工程保修原则及质量回访计划</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A、工程保修原则</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eq \o\ac(</w:instrText>
      </w:r>
      <w:r>
        <w:rPr>
          <w:rFonts w:hint="eastAsia" w:ascii="宋体" w:hAnsi="宋体" w:cs="宋体"/>
          <w:color w:val="auto"/>
          <w:position w:val="-4"/>
          <w:sz w:val="31"/>
          <w:highlight w:val="none"/>
        </w:rPr>
        <w:instrText xml:space="preserve">○</w:instrText>
      </w:r>
      <w:r>
        <w:rPr>
          <w:rFonts w:hint="eastAsia" w:ascii="宋体" w:hAnsi="宋体" w:cs="宋体"/>
          <w:color w:val="auto"/>
          <w:highlight w:val="none"/>
        </w:rPr>
        <w:instrText xml:space="preserve">,1)</w:instrText>
      </w:r>
      <w:r>
        <w:rPr>
          <w:rFonts w:hint="eastAsia" w:ascii="宋体" w:hAnsi="宋体" w:cs="宋体"/>
          <w:color w:val="auto"/>
          <w:highlight w:val="none"/>
        </w:rPr>
        <w:fldChar w:fldCharType="end"/>
      </w:r>
      <w:r>
        <w:rPr>
          <w:rFonts w:hint="eastAsia" w:ascii="宋体" w:hAnsi="宋体" w:cs="宋体"/>
          <w:color w:val="auto"/>
          <w:highlight w:val="none"/>
        </w:rPr>
        <w:t xml:space="preserve">在保修期间，承包人将本着“向发包人负责，让用户满意”的态度，以有效的制度及措施，以优质迅速的维修质量维护承包人利益。</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eq \o\ac(</w:instrText>
      </w:r>
      <w:r>
        <w:rPr>
          <w:rFonts w:hint="eastAsia" w:ascii="宋体" w:hAnsi="宋体" w:cs="宋体"/>
          <w:color w:val="auto"/>
          <w:position w:val="-4"/>
          <w:sz w:val="31"/>
          <w:highlight w:val="none"/>
        </w:rPr>
        <w:instrText xml:space="preserve">○</w:instrText>
      </w:r>
      <w:r>
        <w:rPr>
          <w:rFonts w:hint="eastAsia" w:ascii="宋体" w:hAnsi="宋体" w:cs="宋体"/>
          <w:color w:val="auto"/>
          <w:highlight w:val="none"/>
        </w:rPr>
        <w:instrText xml:space="preserve">,2)</w:instrText>
      </w:r>
      <w:r>
        <w:rPr>
          <w:rFonts w:hint="eastAsia" w:ascii="宋体" w:hAnsi="宋体" w:cs="宋体"/>
          <w:color w:val="auto"/>
          <w:highlight w:val="none"/>
        </w:rPr>
        <w:fldChar w:fldCharType="end"/>
      </w:r>
      <w:r>
        <w:rPr>
          <w:rFonts w:hint="eastAsia" w:ascii="宋体" w:hAnsi="宋体" w:cs="宋体"/>
          <w:color w:val="auto"/>
          <w:highlight w:val="none"/>
        </w:rPr>
        <w:t xml:space="preserve">由承包人原因造成的任何损伤和损坏，承包人将对所有缺陷的进行无偿检修，并承担由此造成的发包人的损失。</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B、工程保修回访计划</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五、保修费用</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无。</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六、双方约定的其他工程质量保修事项：</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工程质量保修书由发包人、承包人在工程竣工验收前共同签署，作为施工合同附件，其有效期限至保修期满。</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发包人(公章)：                       承包人(公章)：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地  址：                             地  址：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法定代表人：                         法定代表人：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委托代理人：                         委托代理人：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电  话：                             电  话：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传  真：                             传  真：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开户银行：                           开户银行：                             </w:t>
      </w:r>
      <w:r/>
    </w:p>
    <w:p>
      <w:pPr>
        <w:ind w:firstLine="400"/>
        <w:jc w:val="left"/>
        <w:spacing w:line="400" w:lineRule="exact"/>
        <w:rPr>
          <w:rFonts w:ascii="宋体" w:hAnsi="宋体" w:cs="宋体"/>
          <w:color w:val="auto"/>
          <w:highlight w:val="none"/>
        </w:rPr>
      </w:pPr>
      <w:r>
        <w:rPr>
          <w:rFonts w:hint="eastAsia" w:ascii="宋体" w:hAnsi="宋体" w:cs="宋体"/>
          <w:color w:val="auto"/>
          <w:highlight w:val="none"/>
        </w:rPr>
        <w:t xml:space="preserve">邮政编码：                           邮政编码：        </w:t>
      </w:r>
      <w:r/>
    </w:p>
    <w:p>
      <w:pPr>
        <w:ind w:firstLine="400"/>
        <w:jc w:val="left"/>
        <w:spacing w:line="400" w:lineRule="exact"/>
        <w:rPr>
          <w:rFonts w:ascii="宋体" w:hAnsi="宋体" w:cs="宋体"/>
          <w:color w:val="auto"/>
          <w:highlight w:val="none"/>
        </w:rPr>
      </w:pPr>
      <w:r>
        <w:rPr>
          <w:rFonts w:ascii="宋体" w:hAnsi="宋体" w:cs="宋体"/>
          <w:color w:val="auto"/>
          <w:highlight w:val="none"/>
        </w:rPr>
      </w:r>
      <w:bookmarkEnd w:id="88"/>
      <w:r/>
      <w:bookmarkEnd w:id="89"/>
      <w:r/>
      <w:r/>
    </w:p>
    <w:p>
      <w:pPr>
        <w:pStyle w:val="1022"/>
        <w:ind w:left="0" w:firstLine="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400" w:lineRule="exact"/>
        <w:rPr>
          <w:rFonts w:ascii="宋体" w:hAnsi="宋体" w:cs="宋体"/>
          <w:color w:val="auto"/>
          <w:highlight w:val="none"/>
        </w:rPr>
      </w:pPr>
      <w:r>
        <w:rPr>
          <w:rFonts w:hint="eastAsia" w:ascii="宋体" w:hAnsi="宋体" w:cs="宋体"/>
          <w:color w:val="auto"/>
          <w:highlight w:val="none"/>
        </w:rPr>
        <w:t xml:space="preserve">附件2：   </w:t>
      </w:r>
      <w:r/>
    </w:p>
    <w:p>
      <w:pPr>
        <w:jc w:val="center"/>
        <w:spacing w:line="480" w:lineRule="exact"/>
        <w:rPr>
          <w:rFonts w:ascii="方正小标宋_GBK" w:hAnsi="方正小标宋_GBK" w:eastAsia="方正小标宋_GBK" w:cs="方正小标宋_GBK"/>
          <w:color w:val="auto"/>
          <w:sz w:val="44"/>
          <w:szCs w:val="44"/>
          <w:highlight w:val="none"/>
        </w:rPr>
      </w:pPr>
      <w:r>
        <w:rPr>
          <w:rFonts w:ascii="方正小标宋_GBK" w:hAnsi="方正小标宋_GBK" w:eastAsia="方正小标宋_GBK" w:cs="方正小标宋_GBK"/>
          <w:color w:val="auto"/>
          <w:sz w:val="44"/>
          <w:szCs w:val="44"/>
          <w:highlight w:val="none"/>
        </w:rPr>
      </w:r>
      <w:r/>
    </w:p>
    <w:p>
      <w:pPr>
        <w:jc w:val="center"/>
        <w:spacing w:line="480" w:lineRule="exact"/>
        <w:rPr>
          <w:rFonts w:ascii="方正小标宋_GBK" w:hAnsi="方正小标宋_GBK" w:eastAsia="方正小标宋_GBK" w:cs="方正小标宋_GBK"/>
          <w:color w:val="auto"/>
          <w:sz w:val="44"/>
          <w:szCs w:val="44"/>
          <w:highlight w:val="none"/>
        </w:rPr>
      </w:pPr>
      <w:r>
        <w:rPr>
          <w:rFonts w:hint="eastAsia" w:ascii="方正小标宋_GBK" w:hAnsi="方正小标宋_GBK" w:eastAsia="方正小标宋_GBK" w:cs="方正小标宋_GBK"/>
          <w:color w:val="auto"/>
          <w:sz w:val="44"/>
          <w:szCs w:val="44"/>
          <w:highlight w:val="none"/>
        </w:rPr>
        <w:t xml:space="preserve">不拖欠农民工工资承诺书</w:t>
      </w:r>
      <w:r/>
    </w:p>
    <w:p>
      <w:pPr>
        <w:ind w:firstLine="480"/>
        <w:spacing w:line="400" w:lineRule="exact"/>
        <w:rPr>
          <w:rFonts w:ascii="宋体" w:hAnsi="宋体" w:cs="宋体"/>
          <w:color w:val="auto"/>
          <w:highlight w:val="none"/>
        </w:rPr>
      </w:pPr>
      <w:r>
        <w:rPr>
          <w:rFonts w:ascii="宋体" w:hAnsi="宋体" w:cs="宋体"/>
          <w:color w:val="auto"/>
          <w:highlight w:val="none"/>
        </w:rPr>
      </w:r>
      <w:r/>
    </w:p>
    <w:p>
      <w:pPr>
        <w:ind w:firstLine="480"/>
        <w:spacing w:line="400" w:lineRule="exact"/>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lang w:eastAsia="zh-CN"/>
        </w:rPr>
        <w:t xml:space="preserve">江苏省徐州监狱</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80"/>
        <w:spacing w:line="400" w:lineRule="exact"/>
        <w:rPr>
          <w:rFonts w:ascii="宋体" w:hAnsi="宋体" w:cs="宋体"/>
          <w:color w:val="auto"/>
          <w:highlight w:val="none"/>
        </w:rPr>
      </w:pPr>
      <w:r>
        <w:rPr>
          <w:rFonts w:hint="eastAsia" w:ascii="宋体" w:hAnsi="宋体" w:cs="宋体"/>
          <w:color w:val="auto"/>
          <w:highlight w:val="none"/>
        </w:rPr>
        <w:t xml:space="preserve">  </w:t>
      </w:r>
      <w:r/>
    </w:p>
    <w:p>
      <w:pPr>
        <w:ind w:firstLine="480"/>
        <w:spacing w:line="400" w:lineRule="exact"/>
        <w:rPr>
          <w:rFonts w:ascii="宋体" w:hAnsi="宋体" w:cs="宋体"/>
          <w:color w:val="auto"/>
          <w:highlight w:val="none"/>
        </w:rPr>
      </w:pPr>
      <w:r>
        <w:rPr>
          <w:rFonts w:hint="eastAsia" w:ascii="宋体" w:hAnsi="宋体" w:cs="宋体"/>
          <w:color w:val="auto"/>
          <w:highlight w:val="none"/>
        </w:rPr>
        <w:t xml:space="preserve">如我公司成交</w:t>
      </w:r>
      <w:r>
        <w:rPr>
          <w:rFonts w:hint="eastAsia" w:ascii="宋体" w:hAnsi="宋体" w:cs="宋体"/>
          <w:color w:val="auto"/>
          <w:highlight w:val="none"/>
          <w:u w:val="single"/>
        </w:rPr>
        <w:t xml:space="preserve"> </w:t>
      </w:r>
      <w:r>
        <w:rPr>
          <w:rFonts w:hint="eastAsia" w:ascii="宋体" w:hAnsi="宋体" w:cs="宋体"/>
          <w:color w:val="auto"/>
          <w:highlight w:val="none"/>
          <w:u w:val="single"/>
          <w:lang w:eastAsia="zh-CN"/>
        </w:rPr>
        <w:t xml:space="preserve">会见楼1、2层维修改造项目土建装饰工程</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，在工程施工期间及竣工验收后，保证按时按期足额支付所有建筑工人及农民工工资，如有违反，将承担由此发生的和可能带来的一切后果和费用，采购人有权扣除相应的款项代为支付。</w:t>
      </w:r>
      <w:r/>
    </w:p>
    <w:p>
      <w:pPr>
        <w:ind w:firstLine="480"/>
        <w:spacing w:line="400" w:lineRule="exact"/>
        <w:rPr>
          <w:rFonts w:ascii="宋体" w:hAnsi="宋体" w:cs="宋体"/>
          <w:color w:val="auto"/>
          <w:highlight w:val="none"/>
        </w:rPr>
      </w:pPr>
      <w:r>
        <w:rPr>
          <w:rFonts w:hint="eastAsia" w:ascii="宋体" w:hAnsi="宋体" w:cs="宋体"/>
          <w:color w:val="auto"/>
          <w:highlight w:val="none"/>
        </w:rPr>
        <w:t xml:space="preserve">特此承诺 </w:t>
      </w:r>
      <w:r/>
    </w:p>
    <w:p>
      <w:pPr>
        <w:ind w:firstLine="480"/>
        <w:spacing w:line="400" w:lineRule="exact"/>
        <w:rPr>
          <w:rFonts w:ascii="宋体" w:hAnsi="宋体" w:cs="宋体"/>
          <w:color w:val="auto"/>
          <w:highlight w:val="none"/>
        </w:rPr>
      </w:pPr>
      <w:r>
        <w:rPr>
          <w:rFonts w:hint="eastAsia" w:ascii="宋体" w:hAnsi="宋体" w:cs="宋体"/>
          <w:color w:val="auto"/>
          <w:highlight w:val="none"/>
        </w:rPr>
        <w:t xml:space="preserve"> </w:t>
      </w:r>
      <w:r/>
    </w:p>
    <w:p>
      <w:pPr>
        <w:ind w:firstLine="480"/>
        <w:spacing w:line="400" w:lineRule="exact"/>
        <w:rPr>
          <w:rFonts w:ascii="宋体" w:hAnsi="宋体" w:cs="宋体"/>
          <w:color w:val="auto"/>
          <w:highlight w:val="none"/>
        </w:rPr>
      </w:pPr>
      <w:r>
        <w:rPr>
          <w:rFonts w:ascii="宋体" w:hAnsi="宋体" w:cs="宋体"/>
          <w:color w:val="auto"/>
          <w:highlight w:val="none"/>
        </w:rPr>
      </w:r>
      <w:r/>
    </w:p>
    <w:p>
      <w:pPr>
        <w:ind w:firstLine="480"/>
        <w:spacing w:line="400" w:lineRule="exact"/>
        <w:rPr>
          <w:rFonts w:ascii="宋体" w:hAnsi="宋体" w:cs="宋体"/>
          <w:color w:val="auto"/>
          <w:highlight w:val="none"/>
        </w:rPr>
      </w:pPr>
      <w:r>
        <w:rPr>
          <w:rFonts w:ascii="宋体" w:hAnsi="宋体" w:cs="宋体"/>
          <w:color w:val="auto"/>
          <w:highlight w:val="none"/>
        </w:rPr>
      </w:r>
      <w:r/>
    </w:p>
    <w:p>
      <w:pPr>
        <w:ind w:firstLine="480"/>
        <w:spacing w:line="400" w:lineRule="exact"/>
        <w:rPr>
          <w:rFonts w:ascii="宋体" w:hAnsi="宋体" w:cs="宋体"/>
          <w:color w:val="auto"/>
          <w:highlight w:val="none"/>
        </w:rPr>
      </w:pPr>
      <w:r>
        <w:rPr>
          <w:rFonts w:hint="eastAsia" w:ascii="宋体" w:hAnsi="宋体" w:cs="宋体"/>
          <w:color w:val="auto"/>
          <w:highlight w:val="none"/>
        </w:rPr>
        <w:t xml:space="preserve">                 </w:t>
      </w:r>
      <w:r/>
    </w:p>
    <w:p>
      <w:pPr>
        <w:ind w:firstLine="4200"/>
        <w:spacing w:line="400" w:lineRule="exact"/>
        <w:rPr>
          <w:rFonts w:ascii="宋体" w:hAnsi="宋体" w:cs="宋体"/>
          <w:color w:val="auto"/>
          <w:highlight w:val="none"/>
        </w:rPr>
      </w:pPr>
      <w:r>
        <w:rPr>
          <w:rFonts w:hint="eastAsia" w:ascii="宋体" w:hAnsi="宋体" w:cs="宋体"/>
          <w:color w:val="auto"/>
          <w:highlight w:val="none"/>
        </w:rPr>
        <w:t xml:space="preserve">供应商名称（签字盖章）：</w:t>
      </w:r>
      <w:r/>
    </w:p>
    <w:p>
      <w:pPr>
        <w:ind w:firstLine="480"/>
        <w:spacing w:line="400" w:lineRule="exact"/>
        <w:rPr>
          <w:rFonts w:ascii="宋体" w:hAnsi="宋体" w:cs="宋体"/>
          <w:color w:val="auto"/>
          <w:highlight w:val="none"/>
        </w:rPr>
      </w:pPr>
      <w:r>
        <w:rPr>
          <w:rFonts w:hint="eastAsia" w:ascii="宋体" w:hAnsi="宋体" w:cs="宋体"/>
          <w:color w:val="auto"/>
          <w:highlight w:val="none"/>
        </w:rPr>
        <w:t xml:space="preserve">                                    日期：</w:t>
      </w:r>
      <w:r/>
    </w:p>
    <w:p>
      <w:pPr>
        <w:spacing w:line="400" w:lineRule="exact"/>
        <w:rPr>
          <w:rFonts w:ascii="宋体" w:hAnsi="宋体" w:cs="宋体"/>
          <w:color w:val="auto"/>
          <w:highlight w:val="none"/>
        </w:rPr>
      </w:pPr>
      <w:r>
        <w:rPr>
          <w:rFonts w:hint="eastAsia" w:ascii="宋体" w:hAnsi="宋体" w:cs="宋体"/>
          <w:color w:val="auto"/>
          <w:sz w:val="24"/>
          <w:szCs w:val="24"/>
          <w:highlight w:val="none"/>
        </w:rPr>
        <w:br w:type="page" w:clear="all"/>
      </w:r>
      <w:r>
        <w:rPr>
          <w:rFonts w:hint="eastAsia" w:ascii="宋体" w:hAnsi="宋体" w:cs="宋体"/>
          <w:b/>
          <w:bCs/>
          <w:color w:val="auto"/>
          <w:highlight w:val="none"/>
        </w:rPr>
        <w:t xml:space="preserve">附件3：甲控材料一览表</w:t>
      </w:r>
      <w:r/>
    </w:p>
    <w:p>
      <w:pPr>
        <w:pStyle w:val="1022"/>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22"/>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bl>
      <w:tblPr>
        <w:tblStyle w:val="1013"/>
        <w:tblpPr w:horzAnchor="page" w:tblpX="1372" w:vertAnchor="page" w:tblpY="2225" w:leftFromText="180" w:topFromText="0" w:rightFromText="180" w:bottomFromText="0"/>
        <w:tblW w:w="9093" w:type="dxa"/>
        <w:tblInd w:w="0" w:type="dxa"/>
        <w:tblLayout w:type="fixed"/>
        <w:tblCellMar>
          <w:left w:w="15" w:type="dxa"/>
          <w:top w:w="15" w:type="dxa"/>
          <w:right w:w="15" w:type="dxa"/>
          <w:bottom w:w="15" w:type="dxa"/>
        </w:tblCellMar>
        <w:tblLook w:val="04A0" w:firstRow="1" w:lastRow="0" w:firstColumn="1" w:lastColumn="0" w:noHBand="0" w:noVBand="1"/>
      </w:tblPr>
      <w:tblGrid>
        <w:gridCol w:w="595"/>
        <w:gridCol w:w="3959"/>
        <w:gridCol w:w="4539"/>
      </w:tblGrid>
      <w:tr>
        <w:trPr>
          <w:trHeight w:val="372"/>
        </w:trPr>
        <w:tc>
          <w:tcPr>
            <w:gridSpan w:val="3"/>
            <w:tcBorders>
              <w:top w:val="single" w:color="000000" w:sz="4" w:space="0"/>
              <w:left w:val="single" w:color="000000" w:sz="4" w:space="0"/>
              <w:bottom w:val="single" w:color="auto" w:sz="4" w:space="0"/>
              <w:right w:val="single" w:color="000000" w:sz="4" w:space="0"/>
            </w:tcBorders>
            <w:tcW w:w="9093" w:type="dxa"/>
            <w:vAlign w:val="center"/>
            <w:textDirection w:val="lrTb"/>
            <w:noWrap w:val="false"/>
          </w:tcPr>
          <w:p>
            <w:pPr>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甲控品牌材料一览表</w:t>
            </w:r>
            <w:r/>
          </w:p>
        </w:tc>
      </w:tr>
      <w:tr>
        <w:trPr>
          <w:trHeight w:val="90"/>
        </w:trPr>
        <w:tc>
          <w:tcPr>
            <w:tcBorders>
              <w:top w:val="single" w:color="auto" w:sz="4" w:space="0"/>
              <w:left w:val="single" w:color="000000" w:sz="4" w:space="0"/>
              <w:bottom w:val="single" w:color="000000" w:sz="4" w:space="0"/>
              <w:right w:val="single" w:color="000000" w:sz="4" w:space="0"/>
            </w:tcBorders>
            <w:tcW w:w="595" w:type="dxa"/>
            <w:vAlign w:val="center"/>
            <w:textDirection w:val="lrTb"/>
            <w:noWrap w:val="false"/>
          </w:tcPr>
          <w:p>
            <w:pPr>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top w:val="single" w:color="auto" w:sz="4" w:space="0"/>
              <w:left w:val="single" w:color="000000" w:sz="4" w:space="0"/>
              <w:bottom w:val="single" w:color="000000" w:sz="4" w:space="0"/>
              <w:right w:val="single" w:color="000000" w:sz="4" w:space="0"/>
            </w:tcBorders>
            <w:tcW w:w="3959" w:type="dxa"/>
            <w:vAlign w:val="center"/>
            <w:textDirection w:val="lrTb"/>
            <w:noWrap w:val="false"/>
          </w:tcPr>
          <w:p>
            <w:pPr>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设备/材料名称</w:t>
            </w:r>
            <w:r/>
          </w:p>
        </w:tc>
        <w:tc>
          <w:tcPr>
            <w:tcBorders>
              <w:top w:val="single" w:color="auto" w:sz="4" w:space="0"/>
              <w:left w:val="single" w:color="000000" w:sz="4" w:space="0"/>
              <w:bottom w:val="single" w:color="000000" w:sz="4" w:space="0"/>
              <w:right w:val="single" w:color="000000" w:sz="4" w:space="0"/>
            </w:tcBorders>
            <w:tcW w:w="4539" w:type="dxa"/>
            <w:vAlign w:val="center"/>
            <w:textDirection w:val="lrTb"/>
            <w:noWrap w:val="false"/>
          </w:tcPr>
          <w:p>
            <w:pPr>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品牌或厂家</w:t>
            </w:r>
            <w:r/>
          </w:p>
        </w:tc>
      </w:tr>
      <w:tr>
        <w:trPr>
          <w:trHeight w:val="386"/>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left"/>
              <w:spacing w:line="400" w:lineRule="exact"/>
              <w:rPr>
                <w:rFonts w:ascii="宋体" w:hAnsi="宋体" w:cs="宋体"/>
                <w:color w:val="auto"/>
                <w:sz w:val="24"/>
                <w:highlight w:val="none"/>
              </w:rPr>
            </w:pPr>
            <w:r>
              <w:rPr>
                <w:rFonts w:hint="eastAsia"/>
                <w:color w:val="auto"/>
                <w:highlight w:val="none"/>
              </w:rPr>
              <w:t xml:space="preserve">墙地砖</w:t>
            </w:r>
            <w:r/>
          </w:p>
        </w:tc>
        <w:tc>
          <w:tcPr>
            <w:tcBorders>
              <w:top w:val="single" w:color="000000" w:sz="4" w:space="0"/>
              <w:left w:val="single" w:color="000000" w:sz="4" w:space="0"/>
              <w:bottom w:val="single" w:color="000000" w:sz="4" w:space="0"/>
              <w:right w:val="single" w:color="000000" w:sz="4" w:space="0"/>
            </w:tcBorders>
            <w:tcW w:w="4539" w:type="dxa"/>
            <w:vAlign w:val="center"/>
            <w:textDirection w:val="lrTb"/>
            <w:noWrap w:val="false"/>
          </w:tcPr>
          <w:p>
            <w:pPr>
              <w:jc w:val="left"/>
              <w:spacing w:line="400" w:lineRule="exact"/>
              <w:rPr>
                <w:rFonts w:ascii="宋体" w:hAnsi="宋体" w:cs="宋体"/>
                <w:color w:val="auto"/>
                <w:sz w:val="24"/>
                <w:highlight w:val="none"/>
              </w:rPr>
            </w:pPr>
            <w:r>
              <w:rPr>
                <w:rFonts w:hint="eastAsia"/>
                <w:color w:val="auto"/>
                <w:highlight w:val="none"/>
              </w:rPr>
              <w:t xml:space="preserve">东鹏、诺贝尔、冠军</w:t>
            </w:r>
            <w:r/>
          </w:p>
        </w:tc>
      </w:tr>
      <w:tr>
        <w:trPr>
          <w:trHeight w:val="249"/>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left"/>
              <w:spacing w:line="400" w:lineRule="exact"/>
              <w:rPr>
                <w:rFonts w:ascii="宋体" w:hAnsi="宋体" w:cs="宋体"/>
                <w:color w:val="auto"/>
                <w:sz w:val="24"/>
                <w:highlight w:val="none"/>
              </w:rPr>
            </w:pPr>
            <w:r>
              <w:rPr>
                <w:rFonts w:hint="eastAsia"/>
                <w:color w:val="auto"/>
                <w:highlight w:val="none"/>
              </w:rPr>
              <w:t xml:space="preserve">内墙乳胶漆、无机涂料</w:t>
            </w:r>
            <w:r/>
          </w:p>
        </w:tc>
        <w:tc>
          <w:tcPr>
            <w:tcBorders>
              <w:top w:val="single" w:color="000000" w:sz="4" w:space="0"/>
              <w:left w:val="single" w:color="000000" w:sz="4" w:space="0"/>
              <w:bottom w:val="single" w:color="000000" w:sz="4" w:space="0"/>
              <w:right w:val="single" w:color="000000" w:sz="4" w:space="0"/>
            </w:tcBorders>
            <w:tcW w:w="4539" w:type="dxa"/>
            <w:vAlign w:val="center"/>
            <w:textDirection w:val="lrTb"/>
            <w:noWrap w:val="false"/>
          </w:tcPr>
          <w:p>
            <w:pPr>
              <w:jc w:val="left"/>
              <w:spacing w:line="400" w:lineRule="exact"/>
              <w:rPr>
                <w:rFonts w:ascii="宋体" w:hAnsi="宋体" w:cs="宋体"/>
                <w:color w:val="auto"/>
                <w:sz w:val="24"/>
                <w:highlight w:val="none"/>
              </w:rPr>
            </w:pPr>
            <w:r>
              <w:rPr>
                <w:rFonts w:hint="eastAsia"/>
                <w:color w:val="auto"/>
                <w:highlight w:val="none"/>
              </w:rPr>
              <w:t xml:space="preserve">立邦、多乐仕、三棵树</w:t>
            </w:r>
            <w:r/>
          </w:p>
        </w:tc>
      </w:tr>
      <w:tr>
        <w:trPr>
          <w:trHeight w:val="247"/>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left"/>
              <w:spacing w:line="400" w:lineRule="exact"/>
              <w:rPr>
                <w:rFonts w:ascii="宋体" w:hAnsi="宋体" w:cs="宋体"/>
                <w:color w:val="auto"/>
                <w:sz w:val="24"/>
                <w:highlight w:val="none"/>
              </w:rPr>
            </w:pPr>
            <w:r>
              <w:rPr>
                <w:rFonts w:hint="eastAsia"/>
                <w:color w:val="auto"/>
                <w:highlight w:val="none"/>
              </w:rPr>
              <w:t xml:space="preserve">石膏板</w:t>
            </w:r>
            <w:r/>
          </w:p>
        </w:tc>
        <w:tc>
          <w:tcPr>
            <w:tcBorders>
              <w:top w:val="single" w:color="000000" w:sz="4" w:space="0"/>
              <w:left w:val="single" w:color="000000" w:sz="4" w:space="0"/>
              <w:bottom w:val="single" w:color="000000" w:sz="4" w:space="0"/>
              <w:right w:val="single" w:color="000000" w:sz="4" w:space="0"/>
            </w:tcBorders>
            <w:tcW w:w="4539" w:type="dxa"/>
            <w:vAlign w:val="center"/>
            <w:textDirection w:val="lrTb"/>
            <w:noWrap w:val="false"/>
          </w:tcPr>
          <w:p>
            <w:pPr>
              <w:jc w:val="left"/>
              <w:spacing w:line="400" w:lineRule="exact"/>
              <w:rPr>
                <w:rFonts w:ascii="宋体" w:hAnsi="宋体" w:cs="宋体"/>
                <w:color w:val="auto"/>
                <w:sz w:val="24"/>
                <w:highlight w:val="none"/>
              </w:rPr>
            </w:pPr>
            <w:r>
              <w:rPr>
                <w:rFonts w:hint="eastAsia"/>
                <w:color w:val="auto"/>
                <w:highlight w:val="none"/>
              </w:rPr>
              <w:t xml:space="preserve">泰山、龙牌、圣戈班、可耐福</w:t>
            </w:r>
            <w:r/>
          </w:p>
        </w:tc>
      </w:tr>
      <w:tr>
        <w:trPr>
          <w:trHeight w:val="247"/>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left"/>
              <w:spacing w:line="400" w:lineRule="exact"/>
              <w:rPr>
                <w:color w:val="auto"/>
                <w:highlight w:val="none"/>
              </w:rPr>
            </w:pPr>
            <w:r>
              <w:rPr>
                <w:rFonts w:hint="eastAsia"/>
                <w:color w:val="auto"/>
                <w:highlight w:val="none"/>
              </w:rPr>
              <w:t xml:space="preserve">木工板</w:t>
            </w:r>
            <w:r/>
          </w:p>
        </w:tc>
        <w:tc>
          <w:tcPr>
            <w:tcBorders>
              <w:top w:val="single" w:color="000000" w:sz="4" w:space="0"/>
              <w:left w:val="single" w:color="000000" w:sz="4" w:space="0"/>
              <w:bottom w:val="single" w:color="000000" w:sz="4" w:space="0"/>
              <w:right w:val="single" w:color="000000" w:sz="4" w:space="0"/>
            </w:tcBorders>
            <w:tcW w:w="4539" w:type="dxa"/>
            <w:vAlign w:val="center"/>
            <w:textDirection w:val="lrTb"/>
            <w:noWrap w:val="false"/>
          </w:tcPr>
          <w:p>
            <w:pPr>
              <w:jc w:val="left"/>
              <w:spacing w:line="400" w:lineRule="exact"/>
              <w:rPr>
                <w:color w:val="auto"/>
                <w:highlight w:val="none"/>
              </w:rPr>
            </w:pPr>
            <w:r>
              <w:rPr>
                <w:rFonts w:hint="eastAsia"/>
                <w:color w:val="auto"/>
                <w:highlight w:val="none"/>
              </w:rPr>
              <w:t xml:space="preserve">莫干山杉木、千年舟杉木、兔宝宝杉木</w:t>
            </w:r>
            <w:r/>
          </w:p>
        </w:tc>
      </w:tr>
      <w:tr>
        <w:trPr>
          <w:trHeight w:val="247"/>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left"/>
              <w:spacing w:line="400" w:lineRule="exact"/>
              <w:rPr>
                <w:color w:val="auto"/>
                <w:highlight w:val="none"/>
              </w:rPr>
            </w:pPr>
            <w:r>
              <w:rPr>
                <w:rFonts w:hint="eastAsia"/>
                <w:color w:val="auto"/>
                <w:highlight w:val="none"/>
              </w:rPr>
              <w:t xml:space="preserve">成品门</w:t>
            </w:r>
            <w:r/>
          </w:p>
        </w:tc>
        <w:tc>
          <w:tcPr>
            <w:tcBorders>
              <w:top w:val="single" w:color="000000" w:sz="4" w:space="0"/>
              <w:left w:val="single" w:color="000000" w:sz="4" w:space="0"/>
              <w:bottom w:val="single" w:color="000000" w:sz="4" w:space="0"/>
              <w:right w:val="single" w:color="000000" w:sz="4" w:space="0"/>
            </w:tcBorders>
            <w:tcW w:w="4539" w:type="dxa"/>
            <w:vAlign w:val="center"/>
            <w:textDirection w:val="lrTb"/>
            <w:noWrap w:val="false"/>
          </w:tcPr>
          <w:p>
            <w:pPr>
              <w:jc w:val="left"/>
              <w:spacing w:line="400" w:lineRule="exact"/>
              <w:rPr>
                <w:color w:val="auto"/>
                <w:highlight w:val="none"/>
              </w:rPr>
            </w:pPr>
            <w:r>
              <w:rPr>
                <w:rFonts w:hint="eastAsia"/>
                <w:color w:val="auto"/>
                <w:highlight w:val="none"/>
              </w:rPr>
              <w:t xml:space="preserve">盼盼、3D、美心</w:t>
            </w:r>
            <w:r/>
          </w:p>
        </w:tc>
      </w:tr>
      <w:tr>
        <w:trPr>
          <w:trHeight w:val="284"/>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left"/>
              <w:spacing w:line="400" w:lineRule="exact"/>
              <w:rPr>
                <w:rFonts w:ascii="宋体" w:hAnsi="宋体" w:cs="宋体"/>
                <w:color w:val="auto"/>
                <w:sz w:val="24"/>
                <w:highlight w:val="none"/>
              </w:rPr>
            </w:pPr>
            <w:r>
              <w:rPr>
                <w:rFonts w:hint="eastAsia"/>
                <w:color w:val="auto"/>
                <w:highlight w:val="none"/>
              </w:rPr>
              <w:t xml:space="preserve">开关插座</w:t>
            </w:r>
            <w:r/>
          </w:p>
        </w:tc>
        <w:tc>
          <w:tcPr>
            <w:tcBorders>
              <w:top w:val="single" w:color="000000" w:sz="4" w:space="0"/>
              <w:left w:val="single" w:color="000000" w:sz="4" w:space="0"/>
              <w:bottom w:val="single" w:color="000000" w:sz="4" w:space="0"/>
              <w:right w:val="single" w:color="000000" w:sz="4" w:space="0"/>
            </w:tcBorders>
            <w:tcW w:w="4539" w:type="dxa"/>
            <w:vAlign w:val="center"/>
            <w:textDirection w:val="lrTb"/>
            <w:noWrap w:val="false"/>
          </w:tcPr>
          <w:p>
            <w:pPr>
              <w:jc w:val="left"/>
              <w:spacing w:line="400" w:lineRule="exact"/>
              <w:rPr>
                <w:rFonts w:ascii="宋体" w:hAnsi="宋体" w:cs="宋体"/>
                <w:color w:val="auto"/>
                <w:sz w:val="24"/>
                <w:highlight w:val="none"/>
              </w:rPr>
            </w:pPr>
            <w:r>
              <w:rPr>
                <w:rFonts w:hint="eastAsia"/>
                <w:color w:val="auto"/>
                <w:highlight w:val="none"/>
              </w:rPr>
              <w:t xml:space="preserve">施耐德、西蒙、TCL、公牛</w:t>
            </w:r>
            <w:r/>
          </w:p>
        </w:tc>
      </w:tr>
      <w:tr>
        <w:trPr>
          <w:trHeight w:val="356"/>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left"/>
              <w:spacing w:line="400" w:lineRule="exact"/>
              <w:rPr>
                <w:rFonts w:ascii="宋体" w:hAnsi="宋体" w:cs="宋体"/>
                <w:color w:val="auto"/>
                <w:sz w:val="24"/>
                <w:highlight w:val="none"/>
              </w:rPr>
            </w:pPr>
            <w:r>
              <w:rPr>
                <w:rFonts w:hint="eastAsia"/>
                <w:color w:val="auto"/>
                <w:highlight w:val="none"/>
              </w:rPr>
              <w:t xml:space="preserve">灯具</w:t>
            </w:r>
            <w:r/>
          </w:p>
        </w:tc>
        <w:tc>
          <w:tcPr>
            <w:tcBorders>
              <w:top w:val="single" w:color="000000" w:sz="4" w:space="0"/>
              <w:left w:val="single" w:color="000000" w:sz="4" w:space="0"/>
              <w:bottom w:val="single" w:color="000000" w:sz="4" w:space="0"/>
              <w:right w:val="single" w:color="000000" w:sz="4" w:space="0"/>
            </w:tcBorders>
            <w:tcW w:w="4539" w:type="dxa"/>
            <w:vAlign w:val="center"/>
            <w:textDirection w:val="lrTb"/>
            <w:noWrap w:val="false"/>
          </w:tcPr>
          <w:p>
            <w:pPr>
              <w:jc w:val="left"/>
              <w:spacing w:line="400" w:lineRule="exact"/>
              <w:rPr>
                <w:rFonts w:ascii="宋体" w:hAnsi="宋体" w:cs="宋体"/>
                <w:color w:val="auto"/>
                <w:sz w:val="24"/>
                <w:highlight w:val="none"/>
              </w:rPr>
            </w:pPr>
            <w:r>
              <w:rPr>
                <w:rFonts w:hint="eastAsia"/>
                <w:color w:val="auto"/>
                <w:highlight w:val="none"/>
              </w:rPr>
              <w:t xml:space="preserve">雷士、佛山照明、飞利浦</w:t>
            </w:r>
            <w:r/>
          </w:p>
        </w:tc>
      </w:tr>
      <w:tr>
        <w:trPr>
          <w:trHeight w:val="313"/>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left"/>
              <w:spacing w:line="400" w:lineRule="exact"/>
              <w:rPr>
                <w:rFonts w:ascii="宋体" w:hAnsi="宋体" w:cs="宋体"/>
                <w:color w:val="auto"/>
                <w:sz w:val="24"/>
                <w:highlight w:val="none"/>
              </w:rPr>
            </w:pPr>
            <w:r>
              <w:rPr>
                <w:rFonts w:hint="eastAsia"/>
                <w:color w:val="auto"/>
                <w:highlight w:val="none"/>
              </w:rPr>
              <w:t xml:space="preserve">卫生洁具</w:t>
            </w:r>
            <w:r/>
          </w:p>
        </w:tc>
        <w:tc>
          <w:tcPr>
            <w:tcBorders>
              <w:top w:val="single" w:color="000000" w:sz="4" w:space="0"/>
              <w:left w:val="single" w:color="000000" w:sz="4" w:space="0"/>
              <w:bottom w:val="single" w:color="000000" w:sz="4" w:space="0"/>
              <w:right w:val="single" w:color="000000" w:sz="4" w:space="0"/>
            </w:tcBorders>
            <w:tcW w:w="4539" w:type="dxa"/>
            <w:vAlign w:val="center"/>
            <w:textDirection w:val="lrTb"/>
            <w:noWrap w:val="false"/>
          </w:tcPr>
          <w:p>
            <w:pPr>
              <w:jc w:val="left"/>
              <w:spacing w:line="400" w:lineRule="exact"/>
              <w:rPr>
                <w:rFonts w:ascii="宋体" w:hAnsi="宋体" w:cs="宋体"/>
                <w:color w:val="auto"/>
                <w:sz w:val="24"/>
                <w:highlight w:val="none"/>
              </w:rPr>
            </w:pPr>
            <w:r>
              <w:rPr>
                <w:rFonts w:hint="eastAsia"/>
                <w:color w:val="auto"/>
                <w:highlight w:val="none"/>
              </w:rPr>
              <w:t xml:space="preserve">九牧、惠达 、TOTO、箭牌</w:t>
            </w:r>
            <w:r/>
          </w:p>
        </w:tc>
      </w:tr>
      <w:tr>
        <w:trPr>
          <w:trHeight w:val="341"/>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left"/>
              <w:spacing w:line="400" w:lineRule="exact"/>
              <w:rPr>
                <w:rFonts w:ascii="宋体" w:hAnsi="宋体" w:cs="宋体"/>
                <w:color w:val="auto"/>
                <w:sz w:val="24"/>
                <w:highlight w:val="none"/>
              </w:rPr>
            </w:pPr>
            <w:r>
              <w:rPr>
                <w:rFonts w:hint="eastAsia"/>
                <w:color w:val="auto"/>
                <w:highlight w:val="none"/>
              </w:rPr>
              <w:t xml:space="preserve">电线电缆</w:t>
            </w:r>
            <w:r/>
          </w:p>
        </w:tc>
        <w:tc>
          <w:tcPr>
            <w:tcBorders>
              <w:top w:val="single" w:color="000000" w:sz="4" w:space="0"/>
              <w:left w:val="single" w:color="000000" w:sz="4" w:space="0"/>
              <w:bottom w:val="single" w:color="000000" w:sz="4" w:space="0"/>
              <w:right w:val="single" w:color="000000" w:sz="4" w:space="0"/>
            </w:tcBorders>
            <w:tcW w:w="4539" w:type="dxa"/>
            <w:vAlign w:val="center"/>
            <w:textDirection w:val="lrTb"/>
            <w:noWrap w:val="false"/>
          </w:tcPr>
          <w:p>
            <w:pPr>
              <w:jc w:val="left"/>
              <w:spacing w:line="400" w:lineRule="exact"/>
              <w:rPr>
                <w:rFonts w:ascii="宋体" w:hAnsi="宋体" w:cs="宋体"/>
                <w:color w:val="auto"/>
                <w:sz w:val="24"/>
                <w:highlight w:val="none"/>
              </w:rPr>
            </w:pPr>
            <w:r>
              <w:rPr>
                <w:rFonts w:hint="eastAsia"/>
                <w:color w:val="auto"/>
                <w:highlight w:val="none"/>
              </w:rPr>
              <w:t xml:space="preserve">远东、江南、上上</w:t>
            </w:r>
            <w:r/>
          </w:p>
        </w:tc>
      </w:tr>
      <w:tr>
        <w:trPr>
          <w:trHeight w:val="341"/>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left"/>
              <w:spacing w:line="400" w:lineRule="exact"/>
              <w:rPr>
                <w:color w:val="auto"/>
                <w:highlight w:val="none"/>
              </w:rPr>
            </w:pPr>
            <w:r>
              <w:rPr>
                <w:rFonts w:hint="eastAsia"/>
                <w:color w:val="auto"/>
                <w:highlight w:val="none"/>
              </w:rPr>
              <w:t xml:space="preserve">上下水管</w:t>
            </w:r>
            <w:r/>
          </w:p>
        </w:tc>
        <w:tc>
          <w:tcPr>
            <w:tcBorders>
              <w:top w:val="single" w:color="000000" w:sz="4" w:space="0"/>
              <w:left w:val="single" w:color="000000" w:sz="4" w:space="0"/>
              <w:bottom w:val="single" w:color="000000" w:sz="4" w:space="0"/>
              <w:right w:val="single" w:color="000000" w:sz="4" w:space="0"/>
            </w:tcBorders>
            <w:tcW w:w="4539" w:type="dxa"/>
            <w:vAlign w:val="center"/>
            <w:textDirection w:val="lrTb"/>
            <w:noWrap w:val="false"/>
          </w:tcPr>
          <w:p>
            <w:pPr>
              <w:jc w:val="left"/>
              <w:spacing w:line="400" w:lineRule="exact"/>
              <w:rPr>
                <w:color w:val="auto"/>
                <w:highlight w:val="none"/>
              </w:rPr>
            </w:pPr>
            <w:r>
              <w:rPr>
                <w:rFonts w:hint="eastAsia"/>
                <w:color w:val="auto"/>
                <w:highlight w:val="none"/>
              </w:rPr>
              <w:t xml:space="preserve">金牛、伟星、爱康保利</w:t>
            </w:r>
            <w:r/>
          </w:p>
        </w:tc>
      </w:tr>
      <w:tr>
        <w:trPr>
          <w:trHeight w:val="341"/>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left"/>
              <w:spacing w:line="400" w:lineRule="exact"/>
              <w:rPr>
                <w:color w:val="auto"/>
                <w:highlight w:val="none"/>
              </w:rPr>
            </w:pPr>
            <w:r>
              <w:rPr>
                <w:rFonts w:hint="eastAsia"/>
                <w:color w:val="auto"/>
                <w:highlight w:val="none"/>
              </w:rPr>
              <w:t xml:space="preserve">配电箱</w:t>
            </w:r>
            <w:r/>
          </w:p>
        </w:tc>
        <w:tc>
          <w:tcPr>
            <w:tcBorders>
              <w:top w:val="single" w:color="000000" w:sz="4" w:space="0"/>
              <w:left w:val="single" w:color="000000" w:sz="4" w:space="0"/>
              <w:bottom w:val="single" w:color="000000" w:sz="4" w:space="0"/>
              <w:right w:val="single" w:color="000000" w:sz="4" w:space="0"/>
            </w:tcBorders>
            <w:tcW w:w="4539" w:type="dxa"/>
            <w:vAlign w:val="center"/>
            <w:textDirection w:val="lrTb"/>
            <w:noWrap w:val="false"/>
          </w:tcPr>
          <w:p>
            <w:pPr>
              <w:jc w:val="left"/>
              <w:spacing w:line="400" w:lineRule="exact"/>
              <w:rPr>
                <w:color w:val="auto"/>
                <w:highlight w:val="none"/>
              </w:rPr>
            </w:pPr>
            <w:r>
              <w:rPr>
                <w:rFonts w:hint="eastAsia"/>
                <w:color w:val="auto"/>
                <w:highlight w:val="none"/>
              </w:rPr>
              <w:t xml:space="preserve">西门子、公牛、鸿雁</w:t>
            </w:r>
            <w:r/>
          </w:p>
        </w:tc>
      </w:tr>
      <w:tr>
        <w:trPr>
          <w:trHeight w:val="341"/>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rPr>
                <w:color w:val="auto"/>
                <w:sz w:val="24"/>
                <w:highlight w:val="none"/>
              </w:rPr>
            </w:pPr>
            <w:r>
              <w:rPr>
                <w:rFonts w:hint="eastAsia" w:ascii="宋体" w:hAnsi="宋体" w:cs="宋体"/>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left"/>
              <w:spacing w:line="400" w:lineRule="exact"/>
              <w:rPr>
                <w:color w:val="auto"/>
                <w:szCs w:val="22"/>
                <w:highlight w:val="none"/>
              </w:rPr>
            </w:pPr>
            <w:r>
              <w:rPr>
                <w:rFonts w:hint="eastAsia"/>
                <w:color w:val="auto"/>
                <w:szCs w:val="22"/>
                <w:highlight w:val="none"/>
              </w:rPr>
              <w:t xml:space="preserve">JDG管</w:t>
            </w:r>
            <w:r/>
          </w:p>
        </w:tc>
        <w:tc>
          <w:tcPr>
            <w:tcBorders>
              <w:top w:val="single" w:color="000000" w:sz="4" w:space="0"/>
              <w:left w:val="single" w:color="000000" w:sz="4" w:space="0"/>
              <w:bottom w:val="single" w:color="000000" w:sz="4" w:space="0"/>
              <w:right w:val="single" w:color="000000" w:sz="4" w:space="0"/>
            </w:tcBorders>
            <w:tcW w:w="4539" w:type="dxa"/>
            <w:vAlign w:val="center"/>
            <w:textDirection w:val="lrTb"/>
            <w:noWrap w:val="false"/>
          </w:tcPr>
          <w:p>
            <w:pPr>
              <w:jc w:val="left"/>
              <w:spacing w:line="400" w:lineRule="exact"/>
              <w:rPr>
                <w:color w:val="auto"/>
                <w:szCs w:val="22"/>
                <w:highlight w:val="none"/>
              </w:rPr>
            </w:pPr>
            <w:r>
              <w:rPr>
                <w:rFonts w:hint="eastAsia"/>
                <w:color w:val="auto"/>
                <w:szCs w:val="22"/>
                <w:highlight w:val="none"/>
              </w:rPr>
              <w:t xml:space="preserve">上海申捷、鹏正、廊坊盛宝</w:t>
            </w:r>
            <w:r/>
          </w:p>
        </w:tc>
      </w:tr>
      <w:tr>
        <w:trPr>
          <w:trHeight w:val="341"/>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left"/>
              <w:spacing w:line="400" w:lineRule="exact"/>
              <w:rPr>
                <w:color w:val="auto"/>
                <w:highlight w:val="none"/>
              </w:rPr>
            </w:pPr>
            <w:r>
              <w:rPr>
                <w:rFonts w:hint="eastAsia"/>
                <w:color w:val="auto"/>
                <w:highlight w:val="none"/>
              </w:rPr>
              <w:t xml:space="preserve">UPVC管</w:t>
            </w:r>
            <w:r/>
          </w:p>
        </w:tc>
        <w:tc>
          <w:tcPr>
            <w:tcBorders>
              <w:top w:val="single" w:color="000000" w:sz="4" w:space="0"/>
              <w:left w:val="single" w:color="000000" w:sz="4" w:space="0"/>
              <w:bottom w:val="single" w:color="000000" w:sz="4" w:space="0"/>
              <w:right w:val="single" w:color="000000" w:sz="4" w:space="0"/>
            </w:tcBorders>
            <w:tcW w:w="4539" w:type="dxa"/>
            <w:vAlign w:val="center"/>
            <w:textDirection w:val="lrTb"/>
            <w:noWrap w:val="false"/>
          </w:tcPr>
          <w:p>
            <w:pPr>
              <w:pStyle w:val="1014"/>
              <w:ind w:left="0"/>
              <w:rPr>
                <w:color w:val="auto"/>
                <w:highlight w:val="none"/>
              </w:rPr>
            </w:pPr>
            <w:r>
              <w:rPr>
                <w:rFonts w:hint="eastAsia"/>
                <w:color w:val="auto"/>
                <w:highlight w:val="none"/>
              </w:rPr>
              <w:t xml:space="preserve">联塑、公元、中财</w:t>
            </w:r>
            <w:r/>
          </w:p>
        </w:tc>
      </w:tr>
      <w:tr>
        <w:trPr>
          <w:trHeight w:val="341"/>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left"/>
              <w:spacing w:line="400" w:lineRule="exact"/>
              <w:rPr>
                <w:color w:val="auto"/>
                <w:highlight w:val="none"/>
              </w:rPr>
            </w:pPr>
            <w:r>
              <w:rPr>
                <w:rFonts w:hint="eastAsia"/>
                <w:color w:val="auto"/>
                <w:highlight w:val="none"/>
              </w:rPr>
              <w:t xml:space="preserve">空调</w:t>
            </w:r>
            <w:r/>
          </w:p>
        </w:tc>
        <w:tc>
          <w:tcPr>
            <w:tcBorders>
              <w:top w:val="single" w:color="000000" w:sz="4" w:space="0"/>
              <w:left w:val="single" w:color="000000" w:sz="4" w:space="0"/>
              <w:bottom w:val="single" w:color="000000" w:sz="4" w:space="0"/>
              <w:right w:val="single" w:color="000000" w:sz="4" w:space="0"/>
            </w:tcBorders>
            <w:tcW w:w="4539" w:type="dxa"/>
            <w:vAlign w:val="center"/>
            <w:textDirection w:val="lrTb"/>
            <w:noWrap w:val="false"/>
          </w:tcPr>
          <w:p>
            <w:pPr>
              <w:pStyle w:val="1014"/>
              <w:ind w:left="0"/>
              <w:rPr>
                <w:color w:val="auto"/>
                <w:highlight w:val="none"/>
              </w:rPr>
            </w:pPr>
            <w:r>
              <w:rPr>
                <w:rFonts w:hint="eastAsia"/>
                <w:color w:val="auto"/>
                <w:highlight w:val="none"/>
              </w:rPr>
              <w:t xml:space="preserve">美的、海尔、格力</w:t>
            </w:r>
            <w:r/>
          </w:p>
        </w:tc>
      </w:tr>
    </w:tbl>
    <w:p>
      <w:pPr>
        <w:spacing w:line="360" w:lineRule="auto"/>
        <w:rPr>
          <w:rFonts w:ascii="宋体" w:hAnsi="宋体" w:cs="宋体"/>
          <w:bCs/>
          <w:color w:val="auto"/>
          <w:highlight w:val="none"/>
        </w:rPr>
      </w:pPr>
      <w:r>
        <w:rPr>
          <w:rFonts w:hint="eastAsia" w:ascii="宋体" w:hAnsi="宋体" w:cs="宋体"/>
          <w:bCs/>
          <w:color w:val="auto"/>
          <w:highlight w:val="none"/>
        </w:rPr>
        <w:t xml:space="preserve">备注：</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（1）所有甲控材料的品牌、型号、规格等内容，必须经发包人认可后方可进场使用，同时按要求留存样品。</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（2）承包人所用甲控材料须通过发包方认可的采购渠道购买。</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（3）甲控材料进场时需向发包方及监理提供厂家发货单、物流单、检测报告、合格证等资料。</w:t>
      </w:r>
      <w:r/>
    </w:p>
    <w:p>
      <w:pPr>
        <w:ind w:firstLine="420"/>
        <w:spacing w:line="360" w:lineRule="auto"/>
        <w:rPr>
          <w:rFonts w:cs="Calibri"/>
          <w:b/>
          <w:color w:val="auto"/>
          <w:highlight w:val="none"/>
          <w:u w:val="single"/>
        </w:rPr>
      </w:pPr>
      <w:r>
        <w:rPr>
          <w:rFonts w:hint="eastAsia" w:ascii="宋体" w:hAnsi="宋体" w:cs="宋体"/>
          <w:bCs/>
          <w:color w:val="auto"/>
          <w:highlight w:val="none"/>
        </w:rPr>
        <w:t xml:space="preserve">（4）发包人对甲控材料以上资料检验通过后，承包人方可将甲控材料用于施工。未经验收通过擅自施工的，承包人应向发包人支付甲控材料总价款10 %的违约金，同时承包人应对未能检验通过的材料应予以无条件更换，并提供上述资料供发包人检验，因此产生的一切损失和费用由承包人承担，工期不予顺延。</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（5）承包人选用及使用的材料除品牌及生产厂家为发包人指定外，执行标准应全部按国标执行（如材料无相应国标，可参考相应国标，无参考国标再执行企标）。</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（6）承包人选用上述品牌以外的材料的，应经发包人书面同意。未经发包人书面同意，选择上述品牌以外的材料的，承包人应无条件更换并承担因此产生的一切费用。</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（7）发包人有权根据工程实际情况，调整甲控材料品牌。</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（8）甲控材料品牌表中未列出的材料，必须采用国产一线品牌，承包人须报发包人认可后采购进场。材料进场前向发包人提供材料购货合同，如从授权经销商处购买的材料则还须提供生产厂家的授权资料。</w:t>
      </w:r>
      <w:bookmarkEnd w:id="85"/>
      <w:r/>
      <w:bookmarkEnd w:id="86"/>
      <w:r/>
      <w:bookmarkEnd w:id="87"/>
      <w:r/>
      <w:r/>
    </w:p>
    <w:p>
      <w:pPr>
        <w:rPr>
          <w:rFonts w:ascii="Calibri" w:hAnsi="Calibri" w:eastAsia="宋体" w:cs="Times New Roman"/>
          <w:sz w:val="21"/>
          <w:szCs w:val="21"/>
          <w:lang w:val="en-US" w:eastAsia="zh-CN" w:bidi="ar-SA"/>
        </w:rPr>
      </w:pPr>
      <w:r>
        <w:rPr>
          <w:rFonts w:ascii="Calibri" w:hAnsi="Calibri" w:eastAsia="宋体" w:cs="Times New Roman"/>
          <w:sz w:val="21"/>
          <w:szCs w:val="21"/>
          <w:lang w:val="en-US" w:eastAsia="zh-CN" w:bidi="ar-SA"/>
        </w:rPr>
      </w:r>
      <w:r/>
    </w:p>
    <w:p>
      <w:pPr>
        <w:rPr>
          <w:lang w:val="en-US" w:eastAsia="zh-CN"/>
        </w:rPr>
      </w:pPr>
      <w:r>
        <w:rPr>
          <w:lang w:val="en-US" w:eastAsia="zh-CN"/>
        </w:rPr>
      </w:r>
      <w:r/>
    </w:p>
    <w:p>
      <w:pPr>
        <w:rPr>
          <w:lang w:val="en-US" w:eastAsia="zh-CN"/>
        </w:rPr>
      </w:pPr>
      <w:r>
        <w:rPr>
          <w:lang w:val="en-US" w:eastAsia="zh-CN"/>
        </w:rPr>
      </w:r>
      <w:r/>
    </w:p>
    <w:p>
      <w:pPr>
        <w:rPr>
          <w:lang w:val="en-US" w:eastAsia="zh-CN"/>
        </w:rPr>
      </w:pPr>
      <w:r/>
      <w:bookmarkStart w:id="557" w:name="_GoBack"/>
      <w:r/>
      <w:bookmarkEnd w:id="557"/>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jc w:val="left"/>
        <w:tabs>
          <w:tab w:val="left" w:pos="6589" w:leader="none"/>
        </w:tabs>
        <w:rPr>
          <w:lang w:val="en-US" w:eastAsia="zh-CN"/>
        </w:rPr>
      </w:pPr>
      <w:r>
        <w:rPr>
          <w:rFonts w:hint="eastAsia"/>
          <w:lang w:val="en-US" w:eastAsia="zh-CN"/>
        </w:rPr>
        <w:tab/>
      </w:r>
      <w:r/>
    </w:p>
    <w:sectPr>
      <w:headerReference w:type="default" r:id="rId12"/>
      <w:footerReference w:type="default" r:id="rId19"/>
      <w:footerReference w:type="first" r:id="rId20"/>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隶书">
    <w:panose1 w:val="02010509060101010101"/>
  </w:font>
  <w:font w:name="Wingdings">
    <w:panose1 w:val="05000000000000000000"/>
  </w:font>
  <w:font w:name="楷体_GB2312">
    <w:panose1 w:val="02010609060101010101"/>
  </w:font>
  <w:font w:name="Symbol">
    <w:panose1 w:val="05050102010706020507"/>
  </w:font>
  <w:font w:name="新宋体">
    <w:panose1 w:val="02010609030101010101"/>
  </w:font>
  <w:font w:name="方正仿宋简体">
    <w:panose1 w:val="020B0503020202020204"/>
  </w:font>
  <w:font w:name="Calibri Light">
    <w:panose1 w:val="020F0302020204030204"/>
  </w:font>
  <w:font w:name="仿宋">
    <w:panose1 w:val="02010609060101010101"/>
  </w:font>
  <w:font w:name="等线 Light">
    <w:panose1 w:val="02010600030101010101"/>
  </w:font>
  <w:font w:name="文鼎粗黑">
    <w:panose1 w:val="020B0503020202020204"/>
  </w:font>
  <w:font w:name="Cambria">
    <w:panose1 w:val="02040503050406030204"/>
  </w:font>
  <w:font w:name="Courier New">
    <w:panose1 w:val="02070309020205020404"/>
  </w:font>
  <w:font w:name="黑体">
    <w:panose1 w:val="02010609060101010101"/>
  </w:font>
  <w:font w:name="仿宋_GB2312">
    <w:panose1 w:val="02010609060101010101"/>
  </w:font>
  <w:font w:name="长城仿宋">
    <w:panose1 w:val="020B0503020202020204"/>
  </w:font>
  <w:font w:name="Microsoft New Tai Lue">
    <w:panose1 w:val="020B0502040204020203"/>
  </w:font>
  <w:font w:name="Arial">
    <w:panose1 w:val="020B0604020202020204"/>
  </w:font>
  <w:font w:name="Calibri">
    <w:panose1 w:val="020F0502020204030204"/>
  </w:font>
  <w:font w:name="宋体">
    <w:panose1 w:val="02010600030101010101"/>
  </w:font>
  <w:font w:name="Times New Roman">
    <w:panose1 w:val="02020603050405020304"/>
  </w:font>
  <w:font w:name="??">
    <w:panose1 w:val="020B05030202020202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29"/>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9"/>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29"/>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9"/>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tabs>
        <w:tab w:val="center" w:pos="4153" w:leader="none"/>
        <w:tab w:val="right" w:pos="8306" w:leader="none"/>
      </w:tabs>
      <w:rPr>
        <w:rStyle w:val="1299"/>
      </w:rPr>
      <w:framePr w:wrap="around" w:vAnchor="text" w:hAnchor="margin" w:xAlign="right" w:y="1"/>
    </w:pPr>
    <w:r>
      <w:fldChar w:fldCharType="begin"/>
    </w:r>
    <w:r>
      <w:rPr>
        <w:rStyle w:val="1299"/>
      </w:rPr>
      <w:instrText xml:space="preserve">PAGE  </w:instrText>
    </w:r>
    <w:r>
      <w:fldChar w:fldCharType="separate"/>
    </w:r>
    <w:r>
      <w:rPr>
        <w:rStyle w:val="1299"/>
      </w:rPr>
      <w:t xml:space="preserve">19</w:t>
    </w:r>
    <w:r>
      <w:fldChar w:fldCharType="end"/>
    </w:r>
    <w:r/>
  </w:p>
  <w:p>
    <w:pPr>
      <w:pStyle w:val="1287"/>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29"/>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9"/>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829310" cy="147955"/>
              <wp:effectExtent l="0" t="0" r="0" b="0"/>
              <wp:wrapNone/>
              <wp:docPr id="8" name="文本框 2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829310" cy="147955"/>
                      </a:xfrm>
                      <a:prstGeom prst="rect">
                        <a:avLst/>
                      </a:prstGeom>
                      <a:noFill/>
                      <a:ln>
                        <a:noFill/>
                      </a:ln>
                      <a:effectLst/>
                    </wps:spPr>
                    <wps:txbx>
                      <w:txbxContent>
                        <w:p>
                          <w:pPr>
                            <w:pStyle w:val="1029"/>
                            <w:tabs>
                              <w:tab w:val="center" w:pos="4153" w:leader="none"/>
                              <w:tab w:val="clear" w:pos="7143" w:leader="none"/>
                              <w:tab w:val="right" w:pos="8306" w:leader="none"/>
                              <w:tab w:val="clear" w:pos="14287"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83</w:t>
                          </w:r>
                          <w:r>
                            <w:fldChar w:fldCharType="end"/>
                          </w:r>
                          <w:r>
                            <w:rPr>
                              <w:rFonts w:hint="eastAsia"/>
                            </w:rPr>
                            <w:t xml:space="preserve"> 页</w:t>
                          </w:r>
                          <w:r/>
                        </w:p>
                      </w:txbxContent>
                    </wps:txbx>
                    <wps:bodyPr rot="0" vert="horz" wrap="none" lIns="0" tIns="0" rIns="0" bIns="0" anchor="t" anchorCtr="0" upright="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65.3pt;height:11.6pt;mso-wrap-distance-left:9.0pt;mso-wrap-distance-top:0.0pt;mso-wrap-distance-right:9.0pt;mso-wrap-distance-bottom:0.0pt;v-text-anchor:top;visibility:visible;" filled="f" stroked="f">
              <v:textbox inset="0,0,0,0">
                <w:txbxContent>
                  <w:p>
                    <w:pPr>
                      <w:pStyle w:val="1029"/>
                      <w:tabs>
                        <w:tab w:val="center" w:pos="4153" w:leader="none"/>
                        <w:tab w:val="clear" w:pos="7143" w:leader="none"/>
                        <w:tab w:val="right" w:pos="8306" w:leader="none"/>
                        <w:tab w:val="clear" w:pos="14287"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83</w:t>
                    </w:r>
                    <w:r>
                      <w:fldChar w:fldCharType="end"/>
                    </w:r>
                    <w:r>
                      <w:rPr>
                        <w:rFonts w:hint="eastAsia"/>
                      </w:rP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right"/>
      <w:tabs>
        <w:tab w:val="right" w:pos="4153" w:leader="none"/>
        <w:tab w:val="left" w:pos="8306" w:leader="underscore"/>
      </w:tabs>
      <w:rPr>
        <w:rStyle w:val="1303"/>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29"/>
                          </w:pPr>
                          <w:r>
                            <w:fldChar w:fldCharType="begin"/>
                          </w:r>
                          <w:r>
                            <w:instrText xml:space="preserve"> PAGE  \* MERGEFORMAT </w:instrText>
                          </w:r>
                          <w:r>
                            <w:fldChar w:fldCharType="separate"/>
                          </w:r>
                          <w:r>
                            <w:t xml:space="preserve">62</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9"/>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p>
    <w:pPr>
      <w:pStyle w:val="1055"/>
      <w:rPr>
        <w:rStyle w:val="1303"/>
        <w:rFonts w:ascii="隶书" w:eastAsia="隶书"/>
        <w:b/>
        <w:i/>
        <w:sz w:val="18"/>
      </w:rPr>
    </w:pPr>
    <w:r>
      <w:rPr>
        <w:rFonts w:ascii="隶书" w:eastAsia="隶书"/>
        <w:b/>
        <w:i/>
        <w:sz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29"/>
                          </w:pPr>
                          <w:r>
                            <w:fldChar w:fldCharType="begin"/>
                          </w:r>
                          <w:r>
                            <w:instrText xml:space="preserve"> PAGE  \* MERGEFORMAT </w:instrText>
                          </w:r>
                          <w:r>
                            <w:fldChar w:fldCharType="separate"/>
                          </w:r>
                          <w:r>
                            <w:t xml:space="preserve">37</w:t>
                          </w:r>
                          <w:r>
                            <w:fldChar w:fldCharType="end"/>
                          </w:r>
                          <w:r/>
                        </w:p>
                      </w:txbxContent>
                    </wps:txbx>
                    <wps:bodyPr wrap="none" lIns="0" tIns="0" rIns="0" bIns="0" upright="1">
                      <a:spAutoFit/>
                    </wps:bodyPr>
                  </wps:wsp>
                </a:graphicData>
              </a:graphic>
            </wp:anchor>
          </w:drawing>
        </mc:Choice>
        <mc:Fallback>
          <w:pict>
            <v:shape id="shape 9" o:spid="_x0000_s9"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9"/>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rPr>
        <w:rFonts w:eastAsia="隶书"/>
        <w:u w:val="single"/>
      </w:rPr>
      <w:pBdr>
        <w:bottom w:val="single" w:color="auto" w:sz="4" w:space="0"/>
      </w:pBdr>
    </w:pPr>
    <w:r>
      <mc:AlternateContent>
        <mc:Choice Requires="wpg">
          <w:drawing>
            <wp:inline xmlns:wp="http://schemas.openxmlformats.org/drawingml/2006/wordprocessingDrawing" distT="0" distB="0" distL="0" distR="0">
              <wp:extent cx="214630" cy="184150"/>
              <wp:effectExtent l="0" t="0" r="1397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214630" cy="18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9pt;height:14.5pt;mso-wrap-distance-left:0.0pt;mso-wrap-distance-top:0.0pt;mso-wrap-distance-right:0.0pt;mso-wrap-distance-bottom:0.0pt;" stroked="f">
              <v:path textboxrect="0,0,0,0"/>
              <v:imagedata r:id="rId1" o:title=""/>
            </v:shape>
          </w:pict>
        </mc:Fallback>
      </mc:AlternateContent>
    </w:r>
    <w:r>
      <w:rPr>
        <w:rFonts w:hint="eastAsia" w:ascii="隶书" w:hAnsi="仿宋" w:eastAsia="隶书" w:cs="仿宋"/>
        <w:iCs/>
      </w:rPr>
      <w:t xml:space="preserve">江苏科建编制  </w:t>
    </w:r>
    <w:r>
      <w:rPr>
        <w:rFonts w:hint="eastAsia" w:ascii="隶书" w:hAnsi="仿宋" w:eastAsia="隶书" w:cs="仿宋"/>
        <w:iCs/>
        <w:lang w:val="en-US" w:eastAsia="zh-CN"/>
      </w:rPr>
      <w:t xml:space="preserve">      </w:t>
    </w:r>
    <w:r>
      <w:rPr>
        <w:rFonts w:hint="eastAsia" w:ascii="隶书" w:hAnsi="仿宋" w:eastAsia="隶书" w:cs="仿宋"/>
        <w:iCs/>
      </w:rPr>
      <w:t xml:space="preserve"> </w:t>
    </w:r>
    <w:r>
      <w:rPr>
        <w:rFonts w:hint="eastAsia" w:ascii="隶书" w:hAnsi="仿宋" w:eastAsia="隶书" w:cs="仿宋"/>
        <w:iCs/>
        <w:lang w:eastAsia="zh-CN"/>
      </w:rPr>
      <w:t xml:space="preserve">会见楼1、2层维修改造项目土建装饰工程</w:t>
    </w:r>
    <w:r>
      <w:rPr>
        <w:rFonts w:hint="eastAsia" w:ascii="隶书" w:hAnsi="仿宋" w:eastAsia="隶书" w:cs="仿宋"/>
        <w:iCs/>
        <w:lang w:val="en-US" w:eastAsia="zh-CN"/>
      </w:rPr>
      <w:t xml:space="preserve">             </w:t>
    </w:r>
    <w:r>
      <w:rPr>
        <w:rFonts w:hint="eastAsia" w:ascii="隶书" w:hAnsi="仿宋" w:eastAsia="隶书" w:cs="仿宋"/>
        <w:iCs/>
      </w:rPr>
      <w:t xml:space="preserve">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Bdr>
        <w:bottom w:val="single" w:color="auto" w:sz="4" w:space="0"/>
      </w:pBdr>
    </w:pPr>
    <w:r>
      <w:rPr>
        <w:rFonts w:hint="eastAsia"/>
      </w:rPr>
      <w:t xml:space="preserve">   </w:t>
    </w:r>
    <w:r>
      <mc:AlternateContent>
        <mc:Choice Requires="wpg">
          <w:drawing>
            <wp:inline xmlns:wp="http://schemas.openxmlformats.org/drawingml/2006/wordprocessingDrawing" distT="0" distB="0" distL="0" distR="0">
              <wp:extent cx="214630" cy="184150"/>
              <wp:effectExtent l="0" t="0" r="13970" b="635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
                      <a:stretch/>
                    </pic:blipFill>
                    <pic:spPr bwMode="auto">
                      <a:xfrm>
                        <a:off x="0" y="0"/>
                        <a:ext cx="214630" cy="18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9pt;height:14.5pt;mso-wrap-distance-left:0.0pt;mso-wrap-distance-top:0.0pt;mso-wrap-distance-right:0.0pt;mso-wrap-distance-bottom:0.0pt;" stroked="f">
              <v:path textboxrect="0,0,0,0"/>
              <v:imagedata r:id="rId1" o:title=""/>
            </v:shape>
          </w:pict>
        </mc:Fallback>
      </mc:AlternateContent>
    </w:r>
    <w:r>
      <w:rPr>
        <w:rFonts w:hint="eastAsia" w:ascii="隶书" w:hAnsi="仿宋" w:eastAsia="隶书" w:cs="仿宋"/>
        <w:iCs/>
      </w:rPr>
      <w:t xml:space="preserve">江苏科建编制     </w:t>
    </w:r>
    <w:r>
      <w:rPr>
        <w:rFonts w:hint="eastAsia" w:ascii="隶书" w:hAnsi="仿宋" w:eastAsia="隶书" w:cs="仿宋"/>
        <w:iCs/>
        <w:lang w:eastAsia="zh-CN"/>
      </w:rPr>
      <w:t xml:space="preserve">会见楼1、2层维修改造项目土建装饰工程</w:t>
    </w:r>
    <w:r>
      <w:rPr>
        <w:rFonts w:hint="eastAsia" w:ascii="隶书" w:hAnsi="仿宋" w:eastAsia="隶书" w:cs="仿宋"/>
        <w:iCs/>
        <w:lang w:val="en-US" w:eastAsia="zh-CN"/>
      </w:rPr>
      <w:t xml:space="preserve">    </w:t>
    </w:r>
    <w:r>
      <w:rPr>
        <w:rFonts w:hint="eastAsia" w:ascii="隶书" w:hAnsi="仿宋" w:eastAsia="隶书" w:cs="仿宋"/>
        <w:iCs/>
      </w:rPr>
      <w:t xml:space="preserve">   竞争性磋商文件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Fonts w:eastAsia="隶书"/>
        <w:u w:val="single"/>
      </w:rPr>
      <w:pBdr>
        <w:bottom w:val="single" w:color="auto" w:sz="4" w:space="0"/>
      </w:pBdr>
    </w:pPr>
    <w:r>
      <w:rPr>
        <w:rFonts w:hint="eastAsia"/>
      </w:rPr>
      <w:t xml:space="preserve">   </w:t>
    </w:r>
    <w:r>
      <mc:AlternateContent>
        <mc:Choice Requires="wpg">
          <w:drawing>
            <wp:inline xmlns:wp="http://schemas.openxmlformats.org/drawingml/2006/wordprocessingDrawing" distT="0" distB="0" distL="0" distR="0">
              <wp:extent cx="214630" cy="184150"/>
              <wp:effectExtent l="0" t="0" r="13970" b="635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
                      <a:stretch/>
                    </pic:blipFill>
                    <pic:spPr bwMode="auto">
                      <a:xfrm>
                        <a:off x="0" y="0"/>
                        <a:ext cx="214630" cy="18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9pt;height:14.5pt;mso-wrap-distance-left:0.0pt;mso-wrap-distance-top:0.0pt;mso-wrap-distance-right:0.0pt;mso-wrap-distance-bottom:0.0pt;" stroked="f">
              <v:path textboxrect="0,0,0,0"/>
              <v:imagedata r:id="rId1" o:title=""/>
            </v:shape>
          </w:pict>
        </mc:Fallback>
      </mc:AlternateContent>
    </w:r>
    <w:r>
      <w:rPr>
        <w:rFonts w:hint="eastAsia" w:ascii="隶书" w:hAnsi="仿宋" w:eastAsia="隶书" w:cs="仿宋"/>
        <w:iCs/>
      </w:rPr>
      <w:t xml:space="preserve">江苏科建编制     </w:t>
    </w:r>
    <w:r>
      <w:rPr>
        <w:rFonts w:hint="eastAsia" w:ascii="隶书" w:hAnsi="仿宋" w:eastAsia="隶书" w:cs="仿宋"/>
        <w:iCs/>
        <w:lang w:val="en-US" w:eastAsia="zh-CN"/>
      </w:rPr>
      <w:t xml:space="preserve">     </w:t>
    </w:r>
    <w:r>
      <w:rPr>
        <w:rFonts w:hint="eastAsia" w:ascii="隶书" w:hAnsi="仿宋" w:eastAsia="隶书" w:cs="仿宋"/>
        <w:iCs/>
        <w:lang w:eastAsia="zh-CN"/>
      </w:rPr>
      <w:t xml:space="preserve">会见楼1、2层维修改造项目土建装饰工程</w:t>
    </w:r>
    <w:r>
      <w:rPr>
        <w:rFonts w:hint="eastAsia" w:ascii="隶书" w:hAnsi="仿宋" w:eastAsia="隶书" w:cs="仿宋"/>
        <w:iCs/>
        <w:lang w:val="en-US" w:eastAsia="zh-CN"/>
      </w:rPr>
      <w:t xml:space="preserve">    </w:t>
    </w:r>
    <w:r>
      <w:rPr>
        <w:rFonts w:hint="eastAsia" w:ascii="隶书" w:hAnsi="仿宋" w:eastAsia="隶书" w:cs="仿宋"/>
        <w:iCs/>
      </w:rPr>
      <w:t xml:space="preserve">   竞争性磋商文件  </w:t>
    </w:r>
    <w:r/>
  </w:p>
  <w:p>
    <w:pPr>
      <w:pStyle w:val="1289"/>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Fonts w:eastAsia="隶书"/>
        <w:u w:val="single"/>
      </w:rPr>
      <w:pBdr>
        <w:bottom w:val="single" w:color="auto" w:sz="4" w:space="0"/>
      </w:pBdr>
    </w:pPr>
    <w:r>
      <w:rPr>
        <w:rFonts w:hint="eastAsia"/>
      </w:rPr>
      <w:t xml:space="preserve">   </w:t>
    </w:r>
    <w:r>
      <mc:AlternateContent>
        <mc:Choice Requires="wpg">
          <w:drawing>
            <wp:inline xmlns:wp="http://schemas.openxmlformats.org/drawingml/2006/wordprocessingDrawing" distT="0" distB="0" distL="0" distR="0">
              <wp:extent cx="214630" cy="184150"/>
              <wp:effectExtent l="0" t="0" r="13970" b="635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pic:cNvPicPr>
                      <pic:nvPr/>
                    </pic:nvPicPr>
                    <pic:blipFill>
                      <a:blip r:embed="rId1"/>
                      <a:stretch/>
                    </pic:blipFill>
                    <pic:spPr bwMode="auto">
                      <a:xfrm>
                        <a:off x="0" y="0"/>
                        <a:ext cx="214630" cy="18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9pt;height:14.5pt;mso-wrap-distance-left:0.0pt;mso-wrap-distance-top:0.0pt;mso-wrap-distance-right:0.0pt;mso-wrap-distance-bottom:0.0pt;" stroked="f">
              <v:path textboxrect="0,0,0,0"/>
              <v:imagedata r:id="rId1" o:title=""/>
            </v:shape>
          </w:pict>
        </mc:Fallback>
      </mc:AlternateContent>
    </w:r>
    <w:r>
      <w:rPr>
        <w:rFonts w:hint="eastAsia" w:ascii="隶书" w:hAnsi="仿宋" w:eastAsia="隶书" w:cs="仿宋"/>
        <w:iCs/>
      </w:rPr>
      <w:t xml:space="preserve">江苏科建编制    </w:t>
    </w:r>
    <w:r>
      <w:rPr>
        <w:rFonts w:hint="eastAsia" w:ascii="隶书" w:hAnsi="仿宋" w:eastAsia="隶书" w:cs="仿宋"/>
        <w:iCs/>
        <w:lang w:val="en-US" w:eastAsia="zh-CN"/>
      </w:rPr>
      <w:t xml:space="preserve">   </w:t>
    </w:r>
    <w:r>
      <w:rPr>
        <w:rFonts w:hint="eastAsia" w:ascii="隶书" w:hAnsi="仿宋" w:eastAsia="隶书" w:cs="仿宋"/>
        <w:iCs/>
      </w:rPr>
      <w:t xml:space="preserve"> </w:t>
    </w:r>
    <w:r>
      <w:rPr>
        <w:rFonts w:hint="eastAsia" w:ascii="隶书" w:hAnsi="仿宋" w:eastAsia="隶书" w:cs="仿宋"/>
        <w:iCs/>
        <w:lang w:eastAsia="zh-CN"/>
      </w:rPr>
      <w:t xml:space="preserve">会见楼1、2层维修改造项目土建装饰工程</w:t>
    </w:r>
    <w:r>
      <w:rPr>
        <w:rFonts w:hint="eastAsia" w:ascii="隶书" w:hAnsi="仿宋" w:eastAsia="隶书" w:cs="仿宋"/>
        <w:iCs/>
        <w:lang w:val="en-US" w:eastAsia="zh-CN"/>
      </w:rPr>
      <w:t xml:space="preserve">    </w:t>
    </w:r>
    <w:r>
      <w:rPr>
        <w:rFonts w:hint="eastAsia" w:ascii="隶书" w:hAnsi="仿宋" w:eastAsia="隶书" w:cs="仿宋"/>
        <w:iCs/>
      </w:rPr>
      <w:t xml:space="preserve">   竞争性磋商文件 </w:t>
    </w:r>
    <w:r>
      <w:rPr>
        <w:rFonts w:hint="eastAsia" w:ascii="隶书" w:hAnsi="仿宋" w:eastAsia="隶书" w:cs="仿宋"/>
        <w:iCs/>
        <w:u w:val="single"/>
      </w:rPr>
      <w:t xml:space="preserve"> </w:t>
    </w:r>
    <w:r/>
  </w:p>
  <w:p>
    <w:pPr>
      <w:pStyle w:val="1055"/>
      <w:rPr>
        <w:rStyle w:val="1303"/>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0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06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1">
    <w:name w:val="TOC Heading"/>
    <w:uiPriority w:val="39"/>
    <w:unhideWhenUsed/>
  </w:style>
  <w:style w:type="paragraph" w:styleId="1002" w:default="1">
    <w:name w:val="Normal"/>
    <w:next w:val="1014"/>
    <w:uiPriority w:val="0"/>
    <w:qFormat/>
    <w:pPr>
      <w:jc w:val="both"/>
    </w:pPr>
    <w:rPr>
      <w:rFonts w:ascii="Calibri" w:hAnsi="Calibri" w:eastAsia="宋体" w:cs="Times New Roman"/>
      <w:sz w:val="21"/>
      <w:szCs w:val="21"/>
      <w:lang w:val="en-US" w:eastAsia="zh-CN" w:bidi="ar-SA"/>
    </w:rPr>
  </w:style>
  <w:style w:type="paragraph" w:styleId="1003">
    <w:name w:val="Heading 1"/>
    <w:basedOn w:val="1002"/>
    <w:next w:val="1002"/>
    <w:link w:val="1144"/>
    <w:uiPriority w:val="9"/>
    <w:qFormat/>
    <w:pPr>
      <w:keepLines/>
      <w:keepNext/>
      <w:spacing w:before="480" w:after="200"/>
      <w:outlineLvl w:val="0"/>
    </w:pPr>
    <w:rPr>
      <w:rFonts w:ascii="Arial" w:hAnsi="Arial" w:eastAsia="Arial" w:cs="Arial"/>
      <w:sz w:val="40"/>
      <w:szCs w:val="40"/>
    </w:rPr>
  </w:style>
  <w:style w:type="paragraph" w:styleId="1004">
    <w:name w:val="Heading 2"/>
    <w:basedOn w:val="1002"/>
    <w:next w:val="1002"/>
    <w:link w:val="1145"/>
    <w:uiPriority w:val="9"/>
    <w:unhideWhenUsed/>
    <w:qFormat/>
    <w:pPr>
      <w:keepLines/>
      <w:keepNext/>
      <w:spacing w:before="360" w:after="200"/>
      <w:outlineLvl w:val="1"/>
    </w:pPr>
    <w:rPr>
      <w:rFonts w:ascii="Arial" w:hAnsi="Arial" w:eastAsia="Arial" w:cs="Arial"/>
      <w:sz w:val="34"/>
    </w:rPr>
  </w:style>
  <w:style w:type="paragraph" w:styleId="1005">
    <w:name w:val="Heading 3"/>
    <w:basedOn w:val="1002"/>
    <w:next w:val="1002"/>
    <w:link w:val="1146"/>
    <w:uiPriority w:val="9"/>
    <w:unhideWhenUsed/>
    <w:qFormat/>
    <w:pPr>
      <w:keepLines/>
      <w:keepNext/>
      <w:spacing w:before="320" w:after="200"/>
      <w:outlineLvl w:val="2"/>
    </w:pPr>
    <w:rPr>
      <w:rFonts w:ascii="Arial" w:hAnsi="Arial" w:eastAsia="Arial" w:cs="Arial"/>
      <w:sz w:val="30"/>
      <w:szCs w:val="30"/>
    </w:rPr>
  </w:style>
  <w:style w:type="paragraph" w:styleId="1006">
    <w:name w:val="Heading 4"/>
    <w:basedOn w:val="1002"/>
    <w:next w:val="1002"/>
    <w:link w:val="1147"/>
    <w:uiPriority w:val="9"/>
    <w:unhideWhenUsed/>
    <w:qFormat/>
    <w:pPr>
      <w:keepLines/>
      <w:keepNext/>
      <w:spacing w:before="320" w:after="200"/>
      <w:outlineLvl w:val="3"/>
    </w:pPr>
    <w:rPr>
      <w:rFonts w:ascii="Arial" w:hAnsi="Arial" w:eastAsia="Arial" w:cs="Arial"/>
      <w:b/>
      <w:bCs/>
      <w:sz w:val="26"/>
      <w:szCs w:val="26"/>
    </w:rPr>
  </w:style>
  <w:style w:type="paragraph" w:styleId="1007">
    <w:name w:val="Heading 5"/>
    <w:basedOn w:val="1002"/>
    <w:next w:val="1002"/>
    <w:link w:val="1148"/>
    <w:uiPriority w:val="9"/>
    <w:unhideWhenUsed/>
    <w:qFormat/>
    <w:pPr>
      <w:keepLines/>
      <w:keepNext/>
      <w:spacing w:before="320" w:after="200"/>
      <w:outlineLvl w:val="4"/>
    </w:pPr>
    <w:rPr>
      <w:rFonts w:ascii="Arial" w:hAnsi="Arial" w:eastAsia="Arial" w:cs="Arial"/>
      <w:b/>
      <w:bCs/>
      <w:sz w:val="24"/>
      <w:szCs w:val="24"/>
    </w:rPr>
  </w:style>
  <w:style w:type="paragraph" w:styleId="1008">
    <w:name w:val="Heading 6"/>
    <w:basedOn w:val="1002"/>
    <w:next w:val="1002"/>
    <w:link w:val="1149"/>
    <w:uiPriority w:val="9"/>
    <w:unhideWhenUsed/>
    <w:qFormat/>
    <w:pPr>
      <w:keepLines/>
      <w:keepNext/>
      <w:spacing w:before="320" w:after="200"/>
      <w:outlineLvl w:val="5"/>
    </w:pPr>
    <w:rPr>
      <w:rFonts w:ascii="Arial" w:hAnsi="Arial" w:eastAsia="Arial" w:cs="Arial"/>
      <w:b/>
      <w:bCs/>
      <w:sz w:val="22"/>
      <w:szCs w:val="22"/>
    </w:rPr>
  </w:style>
  <w:style w:type="paragraph" w:styleId="1009">
    <w:name w:val="Heading 7"/>
    <w:basedOn w:val="1002"/>
    <w:next w:val="1002"/>
    <w:link w:val="1150"/>
    <w:uiPriority w:val="9"/>
    <w:unhideWhenUsed/>
    <w:qFormat/>
    <w:pPr>
      <w:keepLines/>
      <w:keepNext/>
      <w:spacing w:before="320" w:after="200"/>
      <w:outlineLvl w:val="6"/>
    </w:pPr>
    <w:rPr>
      <w:rFonts w:ascii="Arial" w:hAnsi="Arial" w:eastAsia="Arial" w:cs="Arial"/>
      <w:b/>
      <w:bCs/>
      <w:i/>
      <w:iCs/>
      <w:sz w:val="22"/>
      <w:szCs w:val="22"/>
    </w:rPr>
  </w:style>
  <w:style w:type="paragraph" w:styleId="1010">
    <w:name w:val="Heading 8"/>
    <w:basedOn w:val="1002"/>
    <w:next w:val="1002"/>
    <w:link w:val="1151"/>
    <w:uiPriority w:val="9"/>
    <w:unhideWhenUsed/>
    <w:qFormat/>
    <w:pPr>
      <w:keepLines/>
      <w:keepNext/>
      <w:spacing w:before="320" w:after="200"/>
      <w:outlineLvl w:val="7"/>
    </w:pPr>
    <w:rPr>
      <w:rFonts w:ascii="Arial" w:hAnsi="Arial" w:eastAsia="Arial" w:cs="Arial"/>
      <w:i/>
      <w:iCs/>
      <w:sz w:val="22"/>
      <w:szCs w:val="22"/>
    </w:rPr>
  </w:style>
  <w:style w:type="paragraph" w:styleId="1011">
    <w:name w:val="Heading 9"/>
    <w:basedOn w:val="1002"/>
    <w:next w:val="1002"/>
    <w:link w:val="1152"/>
    <w:uiPriority w:val="9"/>
    <w:unhideWhenUsed/>
    <w:qFormat/>
    <w:pPr>
      <w:keepLines/>
      <w:keepNext/>
      <w:spacing w:before="320" w:after="200"/>
      <w:outlineLvl w:val="8"/>
    </w:pPr>
    <w:rPr>
      <w:rFonts w:ascii="Arial" w:hAnsi="Arial" w:eastAsia="Arial" w:cs="Arial"/>
      <w:i/>
      <w:iCs/>
    </w:rPr>
  </w:style>
  <w:style w:type="character" w:styleId="1012" w:default="1">
    <w:name w:val="Default Paragraph Font"/>
    <w:uiPriority w:val="1"/>
    <w:semiHidden/>
    <w:unhideWhenUsed/>
    <w:qFormat/>
  </w:style>
  <w:style w:type="table" w:styleId="1013" w:default="1">
    <w:name w:val="Normal Table"/>
    <w:uiPriority w:val="99"/>
    <w:semiHidden/>
    <w:unhideWhenUsed/>
    <w:qFormat/>
    <w:tblPr>
      <w:tblCellMar>
        <w:left w:w="108" w:type="dxa"/>
        <w:top w:w="0" w:type="dxa"/>
        <w:right w:w="108" w:type="dxa"/>
        <w:bottom w:w="0" w:type="dxa"/>
      </w:tblCellMar>
    </w:tblPr>
  </w:style>
  <w:style w:type="paragraph" w:styleId="1014">
    <w:name w:val="toc 2"/>
    <w:basedOn w:val="1002"/>
    <w:next w:val="1002"/>
    <w:uiPriority w:val="39"/>
    <w:unhideWhenUsed/>
    <w:qFormat/>
    <w:pPr>
      <w:ind w:left="283"/>
      <w:spacing w:after="57"/>
    </w:pPr>
  </w:style>
  <w:style w:type="paragraph" w:styleId="1015">
    <w:name w:val="toc 7"/>
    <w:basedOn w:val="1002"/>
    <w:next w:val="1002"/>
    <w:uiPriority w:val="39"/>
    <w:unhideWhenUsed/>
    <w:qFormat/>
    <w:pPr>
      <w:ind w:left="1701"/>
      <w:spacing w:after="57"/>
    </w:pPr>
  </w:style>
  <w:style w:type="paragraph" w:styleId="1016">
    <w:name w:val="Normal Indent"/>
    <w:basedOn w:val="1002"/>
    <w:uiPriority w:val="0"/>
    <w:qFormat/>
    <w:pPr>
      <w:ind w:firstLine="420"/>
      <w:jc w:val="left"/>
    </w:pPr>
    <w:rPr>
      <w:rFonts w:eastAsia="??"/>
      <w:sz w:val="24"/>
    </w:rPr>
  </w:style>
  <w:style w:type="paragraph" w:styleId="1017">
    <w:name w:val="Caption"/>
    <w:basedOn w:val="1002"/>
    <w:next w:val="1002"/>
    <w:uiPriority w:val="35"/>
    <w:semiHidden/>
    <w:unhideWhenUsed/>
    <w:qFormat/>
    <w:pPr>
      <w:spacing w:line="276" w:lineRule="auto"/>
    </w:pPr>
    <w:rPr>
      <w:b/>
      <w:bCs/>
      <w:color w:val="4f81bd"/>
      <w:sz w:val="18"/>
      <w:szCs w:val="18"/>
    </w:rPr>
  </w:style>
  <w:style w:type="paragraph" w:styleId="1018">
    <w:name w:val="Document Map"/>
    <w:basedOn w:val="1002"/>
    <w:uiPriority w:val="0"/>
    <w:qFormat/>
    <w:rPr>
      <w:rFonts w:ascii="宋体"/>
      <w:sz w:val="18"/>
      <w:szCs w:val="18"/>
    </w:rPr>
  </w:style>
  <w:style w:type="paragraph" w:styleId="1019">
    <w:name w:val="annotation text"/>
    <w:basedOn w:val="1002"/>
    <w:link w:val="1405"/>
    <w:uiPriority w:val="99"/>
    <w:semiHidden/>
    <w:unhideWhenUsed/>
    <w:qFormat/>
    <w:pPr>
      <w:jc w:val="left"/>
    </w:pPr>
  </w:style>
  <w:style w:type="paragraph" w:styleId="1020">
    <w:name w:val="Body Text"/>
    <w:basedOn w:val="1002"/>
    <w:link w:val="1407"/>
    <w:uiPriority w:val="0"/>
    <w:qFormat/>
    <w:pPr>
      <w:jc w:val="left"/>
      <w:spacing w:after="120"/>
    </w:pPr>
    <w:rPr>
      <w:rFonts w:ascii="Times New Roman" w:hAnsi="Times New Roman"/>
      <w:sz w:val="20"/>
      <w:szCs w:val="20"/>
    </w:rPr>
  </w:style>
  <w:style w:type="paragraph" w:styleId="1021">
    <w:name w:val="Body Text Indent"/>
    <w:basedOn w:val="1002"/>
    <w:link w:val="1410"/>
    <w:uiPriority w:val="0"/>
    <w:qFormat/>
    <w:pPr>
      <w:ind w:left="420"/>
      <w:spacing w:after="120"/>
    </w:pPr>
  </w:style>
  <w:style w:type="paragraph" w:styleId="1022">
    <w:name w:val="Block Text"/>
    <w:basedOn w:val="1002"/>
    <w:uiPriority w:val="0"/>
    <w:qFormat/>
    <w:pPr>
      <w:ind w:left="256" w:right="6" w:firstLine="624"/>
    </w:pPr>
    <w:rPr>
      <w:rFonts w:eastAsia="仿宋_GB2312"/>
      <w:sz w:val="28"/>
      <w:szCs w:val="20"/>
    </w:rPr>
  </w:style>
  <w:style w:type="paragraph" w:styleId="1023">
    <w:name w:val="toc 5"/>
    <w:basedOn w:val="1002"/>
    <w:next w:val="1002"/>
    <w:uiPriority w:val="39"/>
    <w:unhideWhenUsed/>
    <w:qFormat/>
    <w:pPr>
      <w:ind w:left="1134"/>
      <w:spacing w:after="57"/>
    </w:pPr>
  </w:style>
  <w:style w:type="paragraph" w:styleId="1024">
    <w:name w:val="toc 3"/>
    <w:basedOn w:val="1002"/>
    <w:next w:val="1002"/>
    <w:uiPriority w:val="39"/>
    <w:unhideWhenUsed/>
    <w:qFormat/>
    <w:pPr>
      <w:ind w:left="567"/>
      <w:spacing w:after="57"/>
    </w:pPr>
  </w:style>
  <w:style w:type="paragraph" w:styleId="1025">
    <w:name w:val="Plain Text"/>
    <w:basedOn w:val="1002"/>
    <w:uiPriority w:val="0"/>
    <w:qFormat/>
    <w:rPr>
      <w:rFonts w:ascii="宋体" w:hAnsi="Courier New"/>
    </w:rPr>
  </w:style>
  <w:style w:type="paragraph" w:styleId="1026">
    <w:name w:val="toc 8"/>
    <w:basedOn w:val="1002"/>
    <w:next w:val="1002"/>
    <w:uiPriority w:val="39"/>
    <w:unhideWhenUsed/>
    <w:qFormat/>
    <w:pPr>
      <w:ind w:left="1984"/>
      <w:spacing w:after="57"/>
    </w:pPr>
  </w:style>
  <w:style w:type="paragraph" w:styleId="1027">
    <w:name w:val="endnote text"/>
    <w:basedOn w:val="1002"/>
    <w:link w:val="1270"/>
    <w:uiPriority w:val="99"/>
    <w:semiHidden/>
    <w:unhideWhenUsed/>
    <w:qFormat/>
    <w:rPr>
      <w:sz w:val="20"/>
    </w:rPr>
  </w:style>
  <w:style w:type="paragraph" w:styleId="1028">
    <w:name w:val="Balloon Text"/>
    <w:basedOn w:val="1002"/>
    <w:link w:val="1408"/>
    <w:uiPriority w:val="99"/>
    <w:semiHidden/>
    <w:unhideWhenUsed/>
    <w:qFormat/>
    <w:rPr>
      <w:sz w:val="18"/>
      <w:szCs w:val="18"/>
    </w:rPr>
  </w:style>
  <w:style w:type="paragraph" w:styleId="1029">
    <w:name w:val="Footer"/>
    <w:basedOn w:val="1002"/>
    <w:link w:val="1162"/>
    <w:uiPriority w:val="99"/>
    <w:unhideWhenUsed/>
    <w:qFormat/>
    <w:pPr>
      <w:tabs>
        <w:tab w:val="center" w:pos="7143" w:leader="none"/>
        <w:tab w:val="right" w:pos="14287" w:leader="none"/>
      </w:tabs>
    </w:pPr>
  </w:style>
  <w:style w:type="paragraph" w:styleId="1030">
    <w:name w:val="envelope return"/>
    <w:basedOn w:val="1002"/>
    <w:uiPriority w:val="0"/>
    <w:qFormat/>
    <w:rPr>
      <w:rFonts w:ascii="Arial" w:hAnsi="Arial"/>
    </w:rPr>
  </w:style>
  <w:style w:type="paragraph" w:styleId="1031">
    <w:name w:val="Header"/>
    <w:basedOn w:val="1002"/>
    <w:link w:val="1160"/>
    <w:uiPriority w:val="99"/>
    <w:unhideWhenUsed/>
    <w:qFormat/>
    <w:pPr>
      <w:tabs>
        <w:tab w:val="center" w:pos="7143" w:leader="none"/>
        <w:tab w:val="right" w:pos="14287" w:leader="none"/>
      </w:tabs>
    </w:pPr>
  </w:style>
  <w:style w:type="paragraph" w:styleId="1032">
    <w:name w:val="toc 1"/>
    <w:basedOn w:val="1002"/>
    <w:next w:val="1002"/>
    <w:uiPriority w:val="39"/>
    <w:unhideWhenUsed/>
    <w:qFormat/>
    <w:pPr>
      <w:spacing w:after="57"/>
    </w:pPr>
  </w:style>
  <w:style w:type="paragraph" w:styleId="1033">
    <w:name w:val="toc 4"/>
    <w:basedOn w:val="1002"/>
    <w:next w:val="1002"/>
    <w:uiPriority w:val="39"/>
    <w:unhideWhenUsed/>
    <w:qFormat/>
    <w:pPr>
      <w:ind w:left="850"/>
      <w:spacing w:after="57"/>
    </w:pPr>
  </w:style>
  <w:style w:type="paragraph" w:styleId="1034">
    <w:name w:val="Subtitle"/>
    <w:basedOn w:val="1002"/>
    <w:next w:val="1002"/>
    <w:link w:val="1155"/>
    <w:uiPriority w:val="11"/>
    <w:qFormat/>
    <w:pPr>
      <w:spacing w:before="200" w:after="200"/>
    </w:pPr>
    <w:rPr>
      <w:sz w:val="24"/>
      <w:szCs w:val="24"/>
    </w:rPr>
  </w:style>
  <w:style w:type="paragraph" w:styleId="1035">
    <w:name w:val="footnote text"/>
    <w:basedOn w:val="1002"/>
    <w:link w:val="1269"/>
    <w:uiPriority w:val="99"/>
    <w:semiHidden/>
    <w:unhideWhenUsed/>
    <w:qFormat/>
    <w:pPr>
      <w:spacing w:after="40"/>
    </w:pPr>
    <w:rPr>
      <w:sz w:val="18"/>
    </w:rPr>
  </w:style>
  <w:style w:type="paragraph" w:styleId="1036">
    <w:name w:val="toc 6"/>
    <w:basedOn w:val="1002"/>
    <w:next w:val="1002"/>
    <w:uiPriority w:val="39"/>
    <w:unhideWhenUsed/>
    <w:qFormat/>
    <w:pPr>
      <w:ind w:left="1417"/>
      <w:spacing w:after="57"/>
    </w:pPr>
  </w:style>
  <w:style w:type="paragraph" w:styleId="1037">
    <w:name w:val="table of figures"/>
    <w:basedOn w:val="1002"/>
    <w:next w:val="1002"/>
    <w:uiPriority w:val="99"/>
    <w:unhideWhenUsed/>
    <w:qFormat/>
  </w:style>
  <w:style w:type="paragraph" w:styleId="1038">
    <w:name w:val="toc 9"/>
    <w:basedOn w:val="1002"/>
    <w:next w:val="1002"/>
    <w:uiPriority w:val="39"/>
    <w:unhideWhenUsed/>
    <w:qFormat/>
    <w:pPr>
      <w:ind w:left="2268"/>
      <w:spacing w:after="57"/>
    </w:pPr>
  </w:style>
  <w:style w:type="paragraph" w:styleId="1039">
    <w:name w:val="Normal (Web)"/>
    <w:basedOn w:val="1002"/>
    <w:uiPriority w:val="99"/>
    <w:semiHidden/>
    <w:unhideWhenUsed/>
    <w:qFormat/>
    <w:rPr>
      <w:rFonts w:ascii="Times New Roman" w:hAnsi="Times New Roman"/>
      <w:sz w:val="24"/>
      <w:szCs w:val="24"/>
    </w:rPr>
  </w:style>
  <w:style w:type="paragraph" w:styleId="1040">
    <w:name w:val="Title"/>
    <w:basedOn w:val="1002"/>
    <w:next w:val="1002"/>
    <w:link w:val="1154"/>
    <w:uiPriority w:val="10"/>
    <w:qFormat/>
    <w:pPr>
      <w:contextualSpacing/>
      <w:spacing w:before="300" w:after="200"/>
    </w:pPr>
    <w:rPr>
      <w:sz w:val="48"/>
      <w:szCs w:val="48"/>
    </w:rPr>
  </w:style>
  <w:style w:type="paragraph" w:styleId="1041">
    <w:name w:val="annotation subject"/>
    <w:basedOn w:val="1019"/>
    <w:next w:val="1019"/>
    <w:link w:val="1404"/>
    <w:uiPriority w:val="0"/>
    <w:qFormat/>
    <w:rPr>
      <w:rFonts w:ascii="Times New Roman" w:hAnsi="Times New Roman"/>
      <w:b/>
      <w:bCs/>
      <w:sz w:val="24"/>
      <w:szCs w:val="24"/>
    </w:rPr>
  </w:style>
  <w:style w:type="paragraph" w:styleId="1042">
    <w:name w:val="Body Text First Indent"/>
    <w:basedOn w:val="1020"/>
    <w:uiPriority w:val="0"/>
    <w:unhideWhenUsed/>
    <w:qFormat/>
    <w:pPr>
      <w:ind w:firstLine="420"/>
    </w:pPr>
  </w:style>
  <w:style w:type="paragraph" w:styleId="1043">
    <w:name w:val="Body Text First Indent 2"/>
    <w:basedOn w:val="1021"/>
    <w:next w:val="1002"/>
    <w:uiPriority w:val="0"/>
    <w:qFormat/>
    <w:pPr>
      <w:ind w:firstLine="420"/>
      <w:spacing w:line="360" w:lineRule="auto"/>
    </w:pPr>
    <w:rPr>
      <w:color w:val="000000"/>
    </w:rPr>
  </w:style>
  <w:style w:type="table" w:styleId="104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45">
    <w:name w:val="Strong"/>
    <w:basedOn w:val="1012"/>
    <w:uiPriority w:val="22"/>
    <w:qFormat/>
    <w:rPr>
      <w:b/>
    </w:rPr>
  </w:style>
  <w:style w:type="character" w:styleId="1046">
    <w:name w:val="endnote reference"/>
    <w:uiPriority w:val="99"/>
    <w:semiHidden/>
    <w:unhideWhenUsed/>
    <w:qFormat/>
    <w:rPr>
      <w:vertAlign w:val="superscript"/>
    </w:rPr>
  </w:style>
  <w:style w:type="character" w:styleId="1047">
    <w:name w:val="page number"/>
    <w:basedOn w:val="1012"/>
    <w:uiPriority w:val="0"/>
    <w:qFormat/>
  </w:style>
  <w:style w:type="character" w:styleId="1048">
    <w:name w:val="FollowedHyperlink"/>
    <w:basedOn w:val="1012"/>
    <w:uiPriority w:val="99"/>
    <w:semiHidden/>
    <w:unhideWhenUsed/>
    <w:qFormat/>
    <w:rPr>
      <w:color w:val="800080"/>
      <w:u w:val="single"/>
    </w:rPr>
  </w:style>
  <w:style w:type="character" w:styleId="1049">
    <w:name w:val="Emphasis"/>
    <w:basedOn w:val="1012"/>
    <w:uiPriority w:val="20"/>
    <w:qFormat/>
    <w:rPr>
      <w:i/>
    </w:rPr>
  </w:style>
  <w:style w:type="character" w:styleId="1050">
    <w:name w:val="Hyperlink"/>
    <w:uiPriority w:val="99"/>
    <w:unhideWhenUsed/>
    <w:qFormat/>
    <w:rPr>
      <w:color w:val="0000ff"/>
      <w:u w:val="single"/>
    </w:rPr>
  </w:style>
  <w:style w:type="character" w:styleId="1051">
    <w:name w:val="annotation reference"/>
    <w:basedOn w:val="1012"/>
    <w:uiPriority w:val="99"/>
    <w:semiHidden/>
    <w:unhideWhenUsed/>
    <w:qFormat/>
    <w:rPr>
      <w:sz w:val="21"/>
      <w:szCs w:val="21"/>
    </w:rPr>
  </w:style>
  <w:style w:type="character" w:styleId="1052">
    <w:name w:val="footnote reference"/>
    <w:uiPriority w:val="99"/>
    <w:unhideWhenUsed/>
    <w:qFormat/>
    <w:rPr>
      <w:vertAlign w:val="superscript"/>
    </w:rPr>
  </w:style>
  <w:style w:type="paragraph" w:styleId="1053" w:customStyle="1">
    <w:name w:val="索引 41"/>
    <w:basedOn w:val="1054"/>
    <w:next w:val="1002"/>
    <w:uiPriority w:val="0"/>
    <w:unhideWhenUsed/>
    <w:qFormat/>
    <w:pPr>
      <w:ind w:left="600"/>
      <w:jc w:val="both"/>
    </w:pPr>
    <w:rPr>
      <w:rFonts w:ascii="Calibri"/>
      <w:sz w:val="22"/>
    </w:rPr>
  </w:style>
  <w:style w:type="paragraph" w:styleId="1054" w:customStyle="1">
    <w:name w:val="正文1"/>
    <w:basedOn w:val="1055"/>
    <w:next w:val="1056"/>
    <w:link w:val="1303"/>
    <w:uiPriority w:val="0"/>
    <w:qFormat/>
    <w:pPr>
      <w:jc w:val="left"/>
      <w:spacing w:line="360" w:lineRule="atLeast"/>
    </w:pPr>
    <w:rPr>
      <w:rFonts w:ascii="宋体"/>
      <w:sz w:val="24"/>
    </w:rPr>
  </w:style>
  <w:style w:type="paragraph" w:styleId="1055" w:customStyle="1">
    <w:name w:val="正文11"/>
    <w:next w:val="1002"/>
    <w:link w:val="1386"/>
    <w:uiPriority w:val="0"/>
    <w:qFormat/>
    <w:pPr>
      <w:jc w:val="both"/>
    </w:pPr>
    <w:rPr>
      <w:rFonts w:ascii="Times New Roman" w:hAnsi="Times New Roman" w:eastAsia="宋体" w:cs="Times New Roman"/>
      <w:lang w:val="en-US" w:eastAsia="zh-CN" w:bidi="ar-SA"/>
    </w:rPr>
  </w:style>
  <w:style w:type="paragraph" w:styleId="1056" w:customStyle="1">
    <w:name w:val="目录 11"/>
    <w:basedOn w:val="1057"/>
    <w:next w:val="1060"/>
    <w:uiPriority w:val="0"/>
    <w:qFormat/>
  </w:style>
  <w:style w:type="paragraph" w:styleId="1057" w:customStyle="1">
    <w:name w:val="正文112"/>
    <w:next w:val="1058"/>
    <w:uiPriority w:val="0"/>
    <w:qFormat/>
    <w:pPr>
      <w:jc w:val="both"/>
      <w:widowControl w:val="off"/>
    </w:pPr>
    <w:rPr>
      <w:rFonts w:ascii="Times New Roman" w:hAnsi="Times New Roman" w:eastAsia="宋体" w:cs="Times New Roman"/>
      <w:sz w:val="21"/>
      <w:szCs w:val="24"/>
      <w:lang w:val="en-US" w:eastAsia="zh-CN" w:bidi="ar-SA"/>
    </w:rPr>
  </w:style>
  <w:style w:type="paragraph" w:styleId="1058" w:customStyle="1">
    <w:name w:val="正文首行缩进1"/>
    <w:basedOn w:val="1059"/>
    <w:next w:val="1065"/>
    <w:link w:val="1296"/>
    <w:uiPriority w:val="0"/>
    <w:qFormat/>
    <w:pPr>
      <w:ind w:firstLine="420"/>
    </w:pPr>
  </w:style>
  <w:style w:type="paragraph" w:styleId="1059" w:customStyle="1">
    <w:name w:val="正文文本11"/>
    <w:basedOn w:val="1060"/>
    <w:next w:val="1062"/>
    <w:link w:val="1282"/>
    <w:uiPriority w:val="0"/>
    <w:qFormat/>
    <w:pPr>
      <w:spacing w:after="120"/>
    </w:pPr>
  </w:style>
  <w:style w:type="paragraph" w:styleId="1060" w:customStyle="1">
    <w:name w:val="正文12"/>
    <w:next w:val="1061"/>
    <w:uiPriority w:val="0"/>
    <w:qFormat/>
    <w:pPr>
      <w:jc w:val="both"/>
      <w:widowControl w:val="off"/>
    </w:pPr>
    <w:rPr>
      <w:rFonts w:ascii="Calibri" w:hAnsi="Calibri" w:eastAsia="Calibri" w:cs="Times New Roman"/>
      <w:sz w:val="21"/>
      <w:szCs w:val="24"/>
      <w:lang w:val="en-US" w:eastAsia="zh-CN" w:bidi="ar-SA"/>
    </w:rPr>
  </w:style>
  <w:style w:type="paragraph" w:styleId="1061" w:customStyle="1">
    <w:name w:val="标题 21"/>
    <w:basedOn w:val="1062"/>
    <w:next w:val="1060"/>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62" w:customStyle="1">
    <w:name w:val="正文111"/>
    <w:next w:val="1063"/>
    <w:uiPriority w:val="0"/>
    <w:qFormat/>
    <w:pPr>
      <w:jc w:val="both"/>
      <w:widowControl w:val="off"/>
    </w:pPr>
    <w:rPr>
      <w:rFonts w:ascii="Calibri" w:hAnsi="Calibri" w:eastAsia="宋体" w:cs="Calibri"/>
      <w:color w:val="000000"/>
      <w:sz w:val="22"/>
      <w:szCs w:val="22"/>
      <w:lang w:val="en-US" w:eastAsia="zh-CN" w:bidi="ar-SA"/>
    </w:rPr>
  </w:style>
  <w:style w:type="paragraph" w:styleId="1063" w:customStyle="1">
    <w:name w:val="正文文本缩进1"/>
    <w:basedOn w:val="1054"/>
    <w:next w:val="1064"/>
    <w:uiPriority w:val="0"/>
    <w:qFormat/>
    <w:pPr>
      <w:ind w:left="420"/>
      <w:spacing w:after="120"/>
    </w:pPr>
  </w:style>
  <w:style w:type="paragraph" w:styleId="1064" w:customStyle="1">
    <w:name w:val="寄信人地址1"/>
    <w:basedOn w:val="1055"/>
    <w:uiPriority w:val="0"/>
    <w:qFormat/>
    <w:rPr>
      <w:rFonts w:ascii="Arial" w:hAnsi="Arial"/>
    </w:rPr>
  </w:style>
  <w:style w:type="paragraph" w:styleId="1065" w:customStyle="1">
    <w:name w:val="正文首行缩进 211"/>
    <w:basedOn w:val="1066"/>
    <w:next w:val="1057"/>
    <w:uiPriority w:val="99"/>
    <w:qFormat/>
    <w:pPr>
      <w:ind w:left="0" w:firstLine="420"/>
      <w:spacing w:after="0" w:line="360" w:lineRule="auto"/>
    </w:pPr>
    <w:rPr>
      <w:rFonts w:ascii="宋体" w:hAnsi="宋体"/>
    </w:rPr>
  </w:style>
  <w:style w:type="paragraph" w:styleId="1066" w:customStyle="1">
    <w:name w:val="正文文本缩进11"/>
    <w:basedOn w:val="1060"/>
    <w:next w:val="1057"/>
    <w:uiPriority w:val="0"/>
    <w:qFormat/>
    <w:pPr>
      <w:ind w:left="420"/>
      <w:spacing w:after="120"/>
    </w:pPr>
  </w:style>
  <w:style w:type="paragraph" w:styleId="1067" w:customStyle="1">
    <w:name w:val="文本块1"/>
    <w:basedOn w:val="1062"/>
    <w:next w:val="1068"/>
    <w:uiPriority w:val="0"/>
    <w:qFormat/>
    <w:pPr>
      <w:ind w:left="256" w:right="6" w:firstLine="624"/>
    </w:pPr>
    <w:rPr>
      <w:rFonts w:eastAsia="仿宋_GB2312"/>
      <w:sz w:val="28"/>
    </w:rPr>
  </w:style>
  <w:style w:type="paragraph" w:styleId="1068" w:customStyle="1">
    <w:name w:val="标题 41"/>
    <w:basedOn w:val="1060"/>
    <w:next w:val="1055"/>
    <w:uiPriority w:val="0"/>
    <w:qFormat/>
    <w:pPr>
      <w:keepLines/>
      <w:keepNext/>
      <w:spacing w:line="360" w:lineRule="auto"/>
      <w:outlineLvl w:val="3"/>
    </w:pPr>
    <w:rPr>
      <w:rFonts w:ascii="Arial" w:hAnsi="Arial"/>
      <w:b/>
      <w:bCs/>
      <w:szCs w:val="28"/>
    </w:rPr>
  </w:style>
  <w:style w:type="paragraph" w:styleId="1069" w:customStyle="1">
    <w:name w:val="一级条标题"/>
    <w:basedOn w:val="1070"/>
    <w:next w:val="10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0" w:customStyle="1">
    <w:name w:val="章标题"/>
    <w:next w:val="100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71" w:customStyle="1">
    <w:name w:val="段"/>
    <w:basedOn w:val="1072"/>
    <w:next w:val="1002"/>
    <w:uiPriority w:val="0"/>
    <w:qFormat/>
    <w:pPr>
      <w:ind w:firstLine="200"/>
    </w:pPr>
  </w:style>
  <w:style w:type="paragraph" w:styleId="1072" w:customStyle="1">
    <w:name w:val="正文13"/>
    <w:next w:val="1058"/>
    <w:uiPriority w:val="0"/>
    <w:qFormat/>
    <w:pPr>
      <w:jc w:val="both"/>
      <w:widowControl w:val="off"/>
    </w:pPr>
    <w:rPr>
      <w:rFonts w:ascii="Times New Roman" w:hAnsi="Times New Roman" w:eastAsia="宋体" w:cs="Times New Roman"/>
      <w:sz w:val="21"/>
      <w:szCs w:val="24"/>
      <w:lang w:val="en-US" w:eastAsia="zh-CN" w:bidi="ar-SA"/>
    </w:rPr>
  </w:style>
  <w:style w:type="paragraph" w:styleId="1073" w:customStyle="1">
    <w:name w:val="正文文本1"/>
    <w:basedOn w:val="1074"/>
    <w:uiPriority w:val="0"/>
    <w:qFormat/>
    <w:rPr>
      <w:rFonts w:eastAsia="黑体"/>
      <w:b/>
      <w:bCs/>
      <w:spacing w:val="20"/>
      <w:sz w:val="56"/>
    </w:rPr>
  </w:style>
  <w:style w:type="paragraph" w:styleId="1074" w:customStyle="1">
    <w:name w:val="正文1111"/>
    <w:next w:val="1075"/>
    <w:uiPriority w:val="0"/>
    <w:qFormat/>
    <w:pPr>
      <w:jc w:val="both"/>
      <w:widowControl w:val="off"/>
    </w:pPr>
    <w:rPr>
      <w:rFonts w:ascii="Times New Roman" w:hAnsi="Times New Roman" w:eastAsia="宋体" w:cs="Times New Roman"/>
      <w:sz w:val="21"/>
      <w:szCs w:val="24"/>
      <w:lang w:val="en-US" w:eastAsia="zh-CN" w:bidi="ar-SA"/>
    </w:rPr>
  </w:style>
  <w:style w:type="paragraph" w:styleId="1075" w:customStyle="1">
    <w:name w:val="文本块11"/>
    <w:basedOn w:val="1076"/>
    <w:uiPriority w:val="0"/>
    <w:qFormat/>
    <w:pPr>
      <w:ind w:left="256" w:right="6" w:firstLine="624"/>
    </w:pPr>
    <w:rPr>
      <w:rFonts w:ascii="Arial" w:hAnsi="Arial" w:eastAsia="仿宋"/>
      <w:sz w:val="28"/>
    </w:rPr>
  </w:style>
  <w:style w:type="paragraph" w:styleId="1076" w:customStyle="1">
    <w:name w:val="正文121"/>
    <w:next w:val="1075"/>
    <w:uiPriority w:val="0"/>
    <w:qFormat/>
    <w:pPr>
      <w:jc w:val="both"/>
      <w:widowControl w:val="off"/>
    </w:pPr>
    <w:rPr>
      <w:rFonts w:ascii="Times New Roman" w:hAnsi="Times New Roman" w:eastAsia="宋体" w:cs="Times New Roman"/>
      <w:sz w:val="21"/>
      <w:szCs w:val="24"/>
      <w:lang w:val="en-US" w:eastAsia="zh-CN" w:bidi="ar-SA"/>
    </w:rPr>
  </w:style>
  <w:style w:type="paragraph" w:styleId="1077" w:customStyle="1">
    <w:name w:val="无间隔1"/>
    <w:uiPriority w:val="0"/>
    <w:qFormat/>
    <w:rPr>
      <w:rFonts w:ascii="Times New Roman" w:hAnsi="Times New Roman" w:eastAsia="宋体" w:cs="Times New Roman"/>
      <w:sz w:val="22"/>
      <w:szCs w:val="22"/>
      <w:lang w:val="en-US" w:eastAsia="en-US" w:bidi="ar-SA"/>
    </w:rPr>
  </w:style>
  <w:style w:type="paragraph" w:styleId="1078" w:customStyle="1">
    <w:name w:val="寄信人地址11"/>
    <w:basedOn w:val="1002"/>
    <w:uiPriority w:val="0"/>
    <w:qFormat/>
    <w:rPr>
      <w:rFonts w:ascii="Arial" w:hAnsi="Arial"/>
    </w:rPr>
  </w:style>
  <w:style w:type="paragraph" w:styleId="1079" w:customStyle="1">
    <w:name w:val="脚注文本1"/>
    <w:basedOn w:val="1054"/>
    <w:next w:val="1080"/>
    <w:uiPriority w:val="0"/>
    <w:qFormat/>
    <w:rPr>
      <w:rFonts w:eastAsia="Times New Roman"/>
      <w:sz w:val="18"/>
      <w:szCs w:val="18"/>
    </w:rPr>
  </w:style>
  <w:style w:type="paragraph" w:styleId="1080" w:customStyle="1">
    <w:name w:val="索引 51"/>
    <w:basedOn w:val="1054"/>
    <w:next w:val="1054"/>
    <w:uiPriority w:val="0"/>
    <w:qFormat/>
    <w:pPr>
      <w:ind w:left="798"/>
    </w:pPr>
    <w:rPr>
      <w:rFonts w:ascii="Calibri" w:hAnsi="Calibri"/>
    </w:rPr>
  </w:style>
  <w:style w:type="paragraph" w:styleId="1081" w:customStyle="1">
    <w:name w:val="文本块12"/>
    <w:basedOn w:val="1002"/>
    <w:uiPriority w:val="6"/>
    <w:qFormat/>
    <w:pPr>
      <w:ind w:left="256" w:right="6" w:firstLine="624"/>
    </w:pPr>
    <w:rPr>
      <w:rFonts w:ascii="Times New Roman" w:hAnsi="Times New Roman" w:eastAsia="仿宋"/>
      <w:sz w:val="28"/>
      <w:szCs w:val="20"/>
    </w:rPr>
  </w:style>
  <w:style w:type="paragraph" w:styleId="1082" w:customStyle="1">
    <w:name w:val="正文文本111"/>
    <w:basedOn w:val="1060"/>
    <w:next w:val="1060"/>
    <w:uiPriority w:val="0"/>
    <w:qFormat/>
  </w:style>
  <w:style w:type="paragraph" w:styleId="1083" w:customStyle="1">
    <w:name w:val="正文首行缩进11"/>
    <w:basedOn w:val="1059"/>
    <w:next w:val="1065"/>
    <w:uiPriority w:val="0"/>
    <w:qFormat/>
    <w:pPr>
      <w:ind w:firstLine="420"/>
    </w:pPr>
    <w:rPr>
      <w:rFonts w:ascii="仿宋_GB2312" w:eastAsia="仿宋_GB2312"/>
      <w:sz w:val="30"/>
      <w:szCs w:val="30"/>
    </w:rPr>
  </w:style>
  <w:style w:type="paragraph" w:styleId="1084" w:customStyle="1">
    <w:name w:val="正文首行缩进 21"/>
    <w:basedOn w:val="1063"/>
    <w:next w:val="1062"/>
    <w:uiPriority w:val="0"/>
    <w:qFormat/>
    <w:pPr>
      <w:ind w:firstLine="420"/>
    </w:pPr>
    <w:rPr>
      <w:rFonts w:ascii="仿宋_GB2312" w:eastAsia="仿宋_GB2312"/>
      <w:color w:val="ff6600"/>
      <w:sz w:val="21"/>
    </w:rPr>
  </w:style>
  <w:style w:type="paragraph" w:styleId="1085" w:customStyle="1">
    <w:name w:val="目录 111"/>
    <w:basedOn w:val="1072"/>
    <w:next w:val="1060"/>
    <w:uiPriority w:val="0"/>
    <w:qFormat/>
    <w:pPr>
      <w:spacing w:after="57"/>
    </w:pPr>
  </w:style>
  <w:style w:type="table" w:styleId="1086" w:customStyle="1">
    <w:name w:val="Plain Table 1"/>
    <w:basedOn w:val="10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7" w:customStyle="1">
    <w:name w:val="Plain Table 2"/>
    <w:basedOn w:val="10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8" w:customStyle="1">
    <w:name w:val="Plain Table 3"/>
    <w:basedOn w:val="10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9" w:customStyle="1">
    <w:name w:val="Plain Table 4"/>
    <w:basedOn w:val="10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0" w:customStyle="1">
    <w:name w:val="Plain Table 5"/>
    <w:basedOn w:val="10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1" w:customStyle="1">
    <w:name w:val="Grid Table 1 Light"/>
    <w:basedOn w:val="10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2" w:customStyle="1">
    <w:name w:val="Grid Table 2"/>
    <w:basedOn w:val="10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3" w:customStyle="1">
    <w:name w:val="Grid Table 3"/>
    <w:basedOn w:val="10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Grid Table 4"/>
    <w:basedOn w:val="10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5" w:customStyle="1">
    <w:name w:val="Grid Table 5 Dark"/>
    <w:basedOn w:val="10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6" w:customStyle="1">
    <w:name w:val="Grid Table 6 Colorful"/>
    <w:basedOn w:val="10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7" w:customStyle="1">
    <w:name w:val="Grid Table 7 Colorful"/>
    <w:basedOn w:val="10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8" w:customStyle="1">
    <w:name w:val="List Table 1 Light"/>
    <w:basedOn w:val="101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9" w:customStyle="1">
    <w:name w:val="List Table 2"/>
    <w:basedOn w:val="10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0" w:customStyle="1">
    <w:name w:val="List Table 3"/>
    <w:basedOn w:val="10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1" w:customStyle="1">
    <w:name w:val="List Table 4"/>
    <w:basedOn w:val="10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2" w:customStyle="1">
    <w:name w:val="List Table 5 Dark"/>
    <w:basedOn w:val="10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6 Colorful"/>
    <w:basedOn w:val="101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4" w:customStyle="1">
    <w:name w:val="List Table 7 Colorful"/>
    <w:basedOn w:val="101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05" w:customStyle="1">
    <w:name w:val="TOC 标题1"/>
    <w:uiPriority w:val="39"/>
    <w:unhideWhenUsed/>
    <w:qFormat/>
    <w:rPr>
      <w:rFonts w:ascii="Times New Roman" w:hAnsi="Times New Roman" w:eastAsia="宋体" w:cs="Times New Roman"/>
      <w:lang w:val="en-US" w:eastAsia="zh-CN" w:bidi="ar-SA"/>
    </w:rPr>
  </w:style>
  <w:style w:type="paragraph" w:styleId="1106" w:customStyle="1">
    <w:name w:val="Default"/>
    <w:uiPriority w:val="0"/>
    <w:qFormat/>
    <w:pPr>
      <w:widowControl w:val="off"/>
    </w:pPr>
    <w:rPr>
      <w:rFonts w:ascii="宋体" w:hAnsi="宋体" w:eastAsia="Malgun Gothic" w:cs="Times New Roman"/>
      <w:color w:val="000000"/>
      <w:sz w:val="24"/>
      <w:szCs w:val="24"/>
      <w:lang w:val="en-US" w:eastAsia="zh-CN" w:bidi="ar-SA"/>
    </w:rPr>
  </w:style>
  <w:style w:type="character" w:styleId="1107" w:customStyle="1">
    <w:name w:val="Heading 1 Char"/>
    <w:uiPriority w:val="9"/>
    <w:qFormat/>
    <w:rPr>
      <w:rFonts w:ascii="Arial" w:hAnsi="Arial" w:eastAsia="Arial" w:cs="Arial"/>
      <w:sz w:val="40"/>
      <w:szCs w:val="40"/>
    </w:rPr>
  </w:style>
  <w:style w:type="character" w:styleId="1108" w:customStyle="1">
    <w:name w:val="Heading 2 Char"/>
    <w:uiPriority w:val="9"/>
    <w:qFormat/>
    <w:rPr>
      <w:rFonts w:ascii="Arial" w:hAnsi="Arial" w:eastAsia="Arial" w:cs="Arial"/>
      <w:sz w:val="34"/>
    </w:rPr>
  </w:style>
  <w:style w:type="character" w:styleId="1109" w:customStyle="1">
    <w:name w:val="Heading 3 Char"/>
    <w:uiPriority w:val="9"/>
    <w:qFormat/>
    <w:rPr>
      <w:rFonts w:ascii="Arial" w:hAnsi="Arial" w:eastAsia="Arial" w:cs="Arial"/>
      <w:sz w:val="30"/>
      <w:szCs w:val="30"/>
    </w:rPr>
  </w:style>
  <w:style w:type="character" w:styleId="1110" w:customStyle="1">
    <w:name w:val="Heading 4 Char"/>
    <w:uiPriority w:val="9"/>
    <w:qFormat/>
    <w:rPr>
      <w:rFonts w:ascii="Arial" w:hAnsi="Arial" w:eastAsia="Arial" w:cs="Arial"/>
      <w:b/>
      <w:bCs/>
      <w:sz w:val="26"/>
      <w:szCs w:val="26"/>
    </w:rPr>
  </w:style>
  <w:style w:type="character" w:styleId="1111" w:customStyle="1">
    <w:name w:val="Heading 5 Char"/>
    <w:uiPriority w:val="9"/>
    <w:qFormat/>
    <w:rPr>
      <w:rFonts w:ascii="Arial" w:hAnsi="Arial" w:eastAsia="Arial" w:cs="Arial"/>
      <w:b/>
      <w:bCs/>
      <w:sz w:val="24"/>
      <w:szCs w:val="24"/>
    </w:rPr>
  </w:style>
  <w:style w:type="character" w:styleId="1112" w:customStyle="1">
    <w:name w:val="Heading 6 Char"/>
    <w:uiPriority w:val="9"/>
    <w:qFormat/>
    <w:rPr>
      <w:rFonts w:ascii="Arial" w:hAnsi="Arial" w:eastAsia="Arial" w:cs="Arial"/>
      <w:b/>
      <w:bCs/>
      <w:sz w:val="22"/>
      <w:szCs w:val="22"/>
    </w:rPr>
  </w:style>
  <w:style w:type="character" w:styleId="1113" w:customStyle="1">
    <w:name w:val="Heading 7 Char"/>
    <w:uiPriority w:val="9"/>
    <w:qFormat/>
    <w:rPr>
      <w:rFonts w:ascii="Arial" w:hAnsi="Arial" w:eastAsia="Arial" w:cs="Arial"/>
      <w:b/>
      <w:bCs/>
      <w:i/>
      <w:iCs/>
      <w:sz w:val="22"/>
      <w:szCs w:val="22"/>
    </w:rPr>
  </w:style>
  <w:style w:type="character" w:styleId="1114" w:customStyle="1">
    <w:name w:val="Heading 8 Char"/>
    <w:uiPriority w:val="9"/>
    <w:qFormat/>
    <w:rPr>
      <w:rFonts w:ascii="Arial" w:hAnsi="Arial" w:eastAsia="Arial" w:cs="Arial"/>
      <w:i/>
      <w:iCs/>
      <w:sz w:val="22"/>
      <w:szCs w:val="22"/>
    </w:rPr>
  </w:style>
  <w:style w:type="character" w:styleId="1115" w:customStyle="1">
    <w:name w:val="Heading 9 Char"/>
    <w:uiPriority w:val="9"/>
    <w:qFormat/>
    <w:rPr>
      <w:rFonts w:ascii="Arial" w:hAnsi="Arial" w:eastAsia="Arial" w:cs="Arial"/>
      <w:i/>
      <w:iCs/>
      <w:sz w:val="21"/>
      <w:szCs w:val="21"/>
    </w:rPr>
  </w:style>
  <w:style w:type="character" w:styleId="1116" w:customStyle="1">
    <w:name w:val="Title Char"/>
    <w:uiPriority w:val="10"/>
    <w:qFormat/>
    <w:rPr>
      <w:sz w:val="48"/>
      <w:szCs w:val="48"/>
    </w:rPr>
  </w:style>
  <w:style w:type="character" w:styleId="1117" w:customStyle="1">
    <w:name w:val="Subtitle Char"/>
    <w:uiPriority w:val="11"/>
    <w:qFormat/>
    <w:rPr>
      <w:sz w:val="24"/>
      <w:szCs w:val="24"/>
    </w:rPr>
  </w:style>
  <w:style w:type="character" w:styleId="1118" w:customStyle="1">
    <w:name w:val="Quote Char"/>
    <w:uiPriority w:val="29"/>
    <w:qFormat/>
    <w:rPr>
      <w:i/>
    </w:rPr>
  </w:style>
  <w:style w:type="character" w:styleId="1119" w:customStyle="1">
    <w:name w:val="Intense Quote Char"/>
    <w:uiPriority w:val="30"/>
    <w:qFormat/>
    <w:rPr>
      <w:i/>
    </w:rPr>
  </w:style>
  <w:style w:type="character" w:styleId="1120" w:customStyle="1">
    <w:name w:val="Header Char"/>
    <w:basedOn w:val="1012"/>
    <w:uiPriority w:val="99"/>
    <w:qFormat/>
  </w:style>
  <w:style w:type="character" w:styleId="1121" w:customStyle="1">
    <w:name w:val="Caption Char"/>
    <w:uiPriority w:val="99"/>
    <w:qFormat/>
  </w:style>
  <w:style w:type="table" w:styleId="1122" w:customStyle="1">
    <w:name w:val="无格式表格 11"/>
    <w:basedOn w:val="101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3" w:customStyle="1">
    <w:name w:val="无格式表格 21"/>
    <w:basedOn w:val="101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4" w:customStyle="1">
    <w:name w:val="无格式表格 31"/>
    <w:basedOn w:val="101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5" w:customStyle="1">
    <w:name w:val="无格式表格 41"/>
    <w:basedOn w:val="101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6" w:customStyle="1">
    <w:name w:val="无格式表格 51"/>
    <w:basedOn w:val="101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7" w:customStyle="1">
    <w:name w:val="网格表 1 浅色1"/>
    <w:basedOn w:val="101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28" w:customStyle="1">
    <w:name w:val="网格表 21"/>
    <w:basedOn w:val="101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29" w:customStyle="1">
    <w:name w:val="网格表 31"/>
    <w:basedOn w:val="101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0" w:customStyle="1">
    <w:name w:val="网格表 41"/>
    <w:basedOn w:val="101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31" w:customStyle="1">
    <w:name w:val="网格表 5 深色1"/>
    <w:basedOn w:val="101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32" w:customStyle="1">
    <w:name w:val="网格表 6 彩色1"/>
    <w:basedOn w:val="101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33" w:customStyle="1">
    <w:name w:val="网格表 7 彩色1"/>
    <w:basedOn w:val="1013"/>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34" w:customStyle="1">
    <w:name w:val="清单表 1 浅色1"/>
    <w:basedOn w:val="1013"/>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35" w:customStyle="1">
    <w:name w:val="清单表 21"/>
    <w:basedOn w:val="1013"/>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36" w:customStyle="1">
    <w:name w:val="清单表 31"/>
    <w:basedOn w:val="1013"/>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37" w:customStyle="1">
    <w:name w:val="清单表 41"/>
    <w:basedOn w:val="101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38" w:customStyle="1">
    <w:name w:val="清单表 5 深色1"/>
    <w:basedOn w:val="1013"/>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39" w:customStyle="1">
    <w:name w:val="清单表 6 彩色1"/>
    <w:basedOn w:val="1013"/>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40" w:customStyle="1">
    <w:name w:val="清单表 7 彩色1"/>
    <w:basedOn w:val="1013"/>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1141" w:customStyle="1">
    <w:name w:val="Footnote Text Char"/>
    <w:uiPriority w:val="99"/>
    <w:qFormat/>
    <w:rPr>
      <w:sz w:val="18"/>
    </w:rPr>
  </w:style>
  <w:style w:type="character" w:styleId="1142" w:customStyle="1">
    <w:name w:val="Endnote Text Char"/>
    <w:uiPriority w:val="99"/>
    <w:qFormat/>
    <w:rPr>
      <w:sz w:val="20"/>
    </w:rPr>
  </w:style>
  <w:style w:type="paragraph" w:styleId="1143" w:customStyle="1">
    <w:name w:val="TOC 标题111"/>
    <w:uiPriority w:val="39"/>
    <w:unhideWhenUsed/>
    <w:qFormat/>
    <w:rPr>
      <w:rFonts w:ascii="Times New Roman" w:hAnsi="Times New Roman" w:eastAsia="宋体" w:cs="Times New Roman"/>
      <w:lang w:val="en-US" w:eastAsia="zh-CN" w:bidi="ar-SA"/>
    </w:rPr>
  </w:style>
  <w:style w:type="character" w:styleId="1144" w:customStyle="1">
    <w:name w:val="标题 1 Char1"/>
    <w:link w:val="1003"/>
    <w:uiPriority w:val="9"/>
    <w:qFormat/>
    <w:rPr>
      <w:rFonts w:ascii="Arial" w:hAnsi="Arial" w:eastAsia="Arial" w:cs="Arial"/>
      <w:sz w:val="40"/>
      <w:szCs w:val="40"/>
    </w:rPr>
  </w:style>
  <w:style w:type="character" w:styleId="1145" w:customStyle="1">
    <w:name w:val="标题 2 Char1"/>
    <w:link w:val="1004"/>
    <w:uiPriority w:val="9"/>
    <w:qFormat/>
    <w:rPr>
      <w:rFonts w:ascii="Arial" w:hAnsi="Arial" w:eastAsia="Arial" w:cs="Arial"/>
      <w:sz w:val="34"/>
    </w:rPr>
  </w:style>
  <w:style w:type="character" w:styleId="1146" w:customStyle="1">
    <w:name w:val="标题 3 Char"/>
    <w:link w:val="1005"/>
    <w:uiPriority w:val="9"/>
    <w:qFormat/>
    <w:rPr>
      <w:rFonts w:ascii="Arial" w:hAnsi="Arial" w:eastAsia="Arial" w:cs="Arial"/>
      <w:sz w:val="30"/>
      <w:szCs w:val="30"/>
    </w:rPr>
  </w:style>
  <w:style w:type="character" w:styleId="1147" w:customStyle="1">
    <w:name w:val="标题 4 Char"/>
    <w:link w:val="1006"/>
    <w:uiPriority w:val="9"/>
    <w:qFormat/>
    <w:rPr>
      <w:rFonts w:ascii="Arial" w:hAnsi="Arial" w:eastAsia="Arial" w:cs="Arial"/>
      <w:b/>
      <w:bCs/>
      <w:sz w:val="26"/>
      <w:szCs w:val="26"/>
    </w:rPr>
  </w:style>
  <w:style w:type="character" w:styleId="1148" w:customStyle="1">
    <w:name w:val="标题 5 Char"/>
    <w:link w:val="1007"/>
    <w:uiPriority w:val="9"/>
    <w:qFormat/>
    <w:rPr>
      <w:rFonts w:ascii="Arial" w:hAnsi="Arial" w:eastAsia="Arial" w:cs="Arial"/>
      <w:b/>
      <w:bCs/>
      <w:sz w:val="24"/>
      <w:szCs w:val="24"/>
    </w:rPr>
  </w:style>
  <w:style w:type="character" w:styleId="1149" w:customStyle="1">
    <w:name w:val="标题 6 Char"/>
    <w:link w:val="1008"/>
    <w:uiPriority w:val="9"/>
    <w:qFormat/>
    <w:rPr>
      <w:rFonts w:ascii="Arial" w:hAnsi="Arial" w:eastAsia="Arial" w:cs="Arial"/>
      <w:b/>
      <w:bCs/>
      <w:sz w:val="22"/>
      <w:szCs w:val="22"/>
    </w:rPr>
  </w:style>
  <w:style w:type="character" w:styleId="1150" w:customStyle="1">
    <w:name w:val="标题 7 Char"/>
    <w:link w:val="1009"/>
    <w:uiPriority w:val="9"/>
    <w:qFormat/>
    <w:rPr>
      <w:rFonts w:ascii="Arial" w:hAnsi="Arial" w:eastAsia="Arial" w:cs="Arial"/>
      <w:b/>
      <w:bCs/>
      <w:i/>
      <w:iCs/>
      <w:sz w:val="22"/>
      <w:szCs w:val="22"/>
    </w:rPr>
  </w:style>
  <w:style w:type="character" w:styleId="1151" w:customStyle="1">
    <w:name w:val="标题 8 Char"/>
    <w:link w:val="1010"/>
    <w:uiPriority w:val="9"/>
    <w:qFormat/>
    <w:rPr>
      <w:rFonts w:ascii="Arial" w:hAnsi="Arial" w:eastAsia="Arial" w:cs="Arial"/>
      <w:i/>
      <w:iCs/>
      <w:sz w:val="22"/>
      <w:szCs w:val="22"/>
    </w:rPr>
  </w:style>
  <w:style w:type="character" w:styleId="1152" w:customStyle="1">
    <w:name w:val="标题 9 Char"/>
    <w:link w:val="1011"/>
    <w:uiPriority w:val="9"/>
    <w:qFormat/>
    <w:rPr>
      <w:rFonts w:ascii="Arial" w:hAnsi="Arial" w:eastAsia="Arial" w:cs="Arial"/>
      <w:i/>
      <w:iCs/>
      <w:sz w:val="21"/>
      <w:szCs w:val="21"/>
    </w:rPr>
  </w:style>
  <w:style w:type="paragraph" w:styleId="1153">
    <w:name w:val="No Spacing"/>
    <w:uiPriority w:val="1"/>
    <w:qFormat/>
    <w:rPr>
      <w:rFonts w:ascii="Times New Roman" w:hAnsi="Times New Roman" w:eastAsia="宋体" w:cs="Times New Roman"/>
      <w:lang w:val="en-US" w:eastAsia="zh-CN" w:bidi="ar-SA"/>
    </w:rPr>
  </w:style>
  <w:style w:type="character" w:styleId="1154" w:customStyle="1">
    <w:name w:val="标题 Char"/>
    <w:link w:val="1040"/>
    <w:uiPriority w:val="10"/>
    <w:qFormat/>
    <w:rPr>
      <w:sz w:val="48"/>
      <w:szCs w:val="48"/>
    </w:rPr>
  </w:style>
  <w:style w:type="character" w:styleId="1155" w:customStyle="1">
    <w:name w:val="副标题 Char"/>
    <w:link w:val="1034"/>
    <w:uiPriority w:val="11"/>
    <w:qFormat/>
    <w:rPr>
      <w:sz w:val="24"/>
      <w:szCs w:val="24"/>
    </w:rPr>
  </w:style>
  <w:style w:type="paragraph" w:styleId="1156">
    <w:name w:val="Quote"/>
    <w:basedOn w:val="1002"/>
    <w:next w:val="1002"/>
    <w:link w:val="1157"/>
    <w:uiPriority w:val="29"/>
    <w:qFormat/>
    <w:pPr>
      <w:ind w:left="720" w:right="720"/>
    </w:pPr>
    <w:rPr>
      <w:i/>
    </w:rPr>
  </w:style>
  <w:style w:type="character" w:styleId="1157" w:customStyle="1">
    <w:name w:val="引用 Char"/>
    <w:link w:val="1156"/>
    <w:uiPriority w:val="29"/>
    <w:qFormat/>
    <w:rPr>
      <w:i/>
    </w:rPr>
  </w:style>
  <w:style w:type="paragraph" w:styleId="1158">
    <w:name w:val="Intense Quote"/>
    <w:basedOn w:val="1002"/>
    <w:next w:val="1002"/>
    <w:link w:val="11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9" w:customStyle="1">
    <w:name w:val="明显引用 Char"/>
    <w:link w:val="1158"/>
    <w:uiPriority w:val="30"/>
    <w:qFormat/>
    <w:rPr>
      <w:i/>
    </w:rPr>
  </w:style>
  <w:style w:type="character" w:styleId="1160" w:customStyle="1">
    <w:name w:val="页眉 Char1"/>
    <w:link w:val="1031"/>
    <w:uiPriority w:val="99"/>
    <w:qFormat/>
  </w:style>
  <w:style w:type="character" w:styleId="1161" w:customStyle="1">
    <w:name w:val="Footer Char"/>
    <w:uiPriority w:val="99"/>
    <w:qFormat/>
  </w:style>
  <w:style w:type="character" w:styleId="1162" w:customStyle="1">
    <w:name w:val="页脚 Char1"/>
    <w:link w:val="1029"/>
    <w:uiPriority w:val="99"/>
    <w:qFormat/>
  </w:style>
  <w:style w:type="table" w:styleId="116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6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6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6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6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6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6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7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7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7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7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7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7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7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7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7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7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8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8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8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8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8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8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8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8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8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9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9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9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9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9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9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9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9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9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9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0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0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0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0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0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0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06" w:customStyle="1">
    <w:name w:val="List Table 1 Light - Accent 1"/>
    <w:uiPriority w:val="99"/>
    <w:qFormat/>
    <w:tblPr>
      <w:tblCellMar>
        <w:left w:w="0" w:type="dxa"/>
        <w:top w:w="0" w:type="dxa"/>
        <w:right w:w="0" w:type="dxa"/>
        <w:bottom w:w="0" w:type="dxa"/>
      </w:tblCellMar>
    </w:tblPr>
  </w:style>
  <w:style w:type="table" w:styleId="1207" w:customStyle="1">
    <w:name w:val="List Table 1 Light - Accent 2"/>
    <w:uiPriority w:val="99"/>
    <w:qFormat/>
    <w:tblPr>
      <w:tblCellMar>
        <w:left w:w="0" w:type="dxa"/>
        <w:top w:w="0" w:type="dxa"/>
        <w:right w:w="0" w:type="dxa"/>
        <w:bottom w:w="0" w:type="dxa"/>
      </w:tblCellMar>
    </w:tblPr>
  </w:style>
  <w:style w:type="table" w:styleId="1208" w:customStyle="1">
    <w:name w:val="List Table 1 Light - Accent 3"/>
    <w:uiPriority w:val="99"/>
    <w:qFormat/>
    <w:tblPr>
      <w:tblCellMar>
        <w:left w:w="0" w:type="dxa"/>
        <w:top w:w="0" w:type="dxa"/>
        <w:right w:w="0" w:type="dxa"/>
        <w:bottom w:w="0" w:type="dxa"/>
      </w:tblCellMar>
    </w:tblPr>
  </w:style>
  <w:style w:type="table" w:styleId="1209" w:customStyle="1">
    <w:name w:val="List Table 1 Light - Accent 4"/>
    <w:uiPriority w:val="99"/>
    <w:qFormat/>
    <w:tblPr>
      <w:tblCellMar>
        <w:left w:w="0" w:type="dxa"/>
        <w:top w:w="0" w:type="dxa"/>
        <w:right w:w="0" w:type="dxa"/>
        <w:bottom w:w="0" w:type="dxa"/>
      </w:tblCellMar>
    </w:tblPr>
  </w:style>
  <w:style w:type="table" w:styleId="1210" w:customStyle="1">
    <w:name w:val="List Table 1 Light - Accent 5"/>
    <w:uiPriority w:val="99"/>
    <w:qFormat/>
    <w:tblPr>
      <w:tblCellMar>
        <w:left w:w="0" w:type="dxa"/>
        <w:top w:w="0" w:type="dxa"/>
        <w:right w:w="0" w:type="dxa"/>
        <w:bottom w:w="0" w:type="dxa"/>
      </w:tblCellMar>
    </w:tblPr>
  </w:style>
  <w:style w:type="table" w:styleId="1211" w:customStyle="1">
    <w:name w:val="List Table 1 Light - Accent 6"/>
    <w:uiPriority w:val="99"/>
    <w:qFormat/>
    <w:tblPr>
      <w:tblCellMar>
        <w:left w:w="0" w:type="dxa"/>
        <w:top w:w="0" w:type="dxa"/>
        <w:right w:w="0" w:type="dxa"/>
        <w:bottom w:w="0" w:type="dxa"/>
      </w:tblCellMar>
    </w:tblPr>
  </w:style>
  <w:style w:type="table" w:styleId="121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1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1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1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1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1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1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1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2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2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2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2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2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2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2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2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2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2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3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3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3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3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3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3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3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3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3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3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4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4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4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24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24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24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24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24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248" w:customStyle="1">
    <w:name w:val="Lined - Accent"/>
    <w:uiPriority w:val="99"/>
    <w:qFormat/>
    <w:rPr>
      <w:color w:val="404040"/>
    </w:rPr>
    <w:tblPr>
      <w:tblCellMar>
        <w:left w:w="0" w:type="dxa"/>
        <w:top w:w="0" w:type="dxa"/>
        <w:right w:w="0" w:type="dxa"/>
        <w:bottom w:w="0" w:type="dxa"/>
      </w:tblCellMar>
    </w:tblPr>
  </w:style>
  <w:style w:type="table" w:styleId="1249" w:customStyle="1">
    <w:name w:val="Lined - Accent 1"/>
    <w:uiPriority w:val="99"/>
    <w:qFormat/>
    <w:rPr>
      <w:color w:val="404040"/>
    </w:rPr>
    <w:tblPr>
      <w:tblCellMar>
        <w:left w:w="0" w:type="dxa"/>
        <w:top w:w="0" w:type="dxa"/>
        <w:right w:w="0" w:type="dxa"/>
        <w:bottom w:w="0" w:type="dxa"/>
      </w:tblCellMar>
    </w:tblPr>
  </w:style>
  <w:style w:type="table" w:styleId="1250" w:customStyle="1">
    <w:name w:val="Lined - Accent 2"/>
    <w:uiPriority w:val="99"/>
    <w:qFormat/>
    <w:rPr>
      <w:color w:val="404040"/>
    </w:rPr>
    <w:tblPr>
      <w:tblCellMar>
        <w:left w:w="0" w:type="dxa"/>
        <w:top w:w="0" w:type="dxa"/>
        <w:right w:w="0" w:type="dxa"/>
        <w:bottom w:w="0" w:type="dxa"/>
      </w:tblCellMar>
    </w:tblPr>
  </w:style>
  <w:style w:type="table" w:styleId="1251" w:customStyle="1">
    <w:name w:val="Lined - Accent 3"/>
    <w:uiPriority w:val="99"/>
    <w:qFormat/>
    <w:rPr>
      <w:color w:val="404040"/>
    </w:rPr>
    <w:tblPr>
      <w:tblCellMar>
        <w:left w:w="0" w:type="dxa"/>
        <w:top w:w="0" w:type="dxa"/>
        <w:right w:w="0" w:type="dxa"/>
        <w:bottom w:w="0" w:type="dxa"/>
      </w:tblCellMar>
    </w:tblPr>
  </w:style>
  <w:style w:type="table" w:styleId="1252" w:customStyle="1">
    <w:name w:val="Lined - Accent 4"/>
    <w:uiPriority w:val="99"/>
    <w:qFormat/>
    <w:rPr>
      <w:color w:val="404040"/>
    </w:rPr>
    <w:tblPr>
      <w:tblCellMar>
        <w:left w:w="0" w:type="dxa"/>
        <w:top w:w="0" w:type="dxa"/>
        <w:right w:w="0" w:type="dxa"/>
        <w:bottom w:w="0" w:type="dxa"/>
      </w:tblCellMar>
    </w:tblPr>
  </w:style>
  <w:style w:type="table" w:styleId="1253" w:customStyle="1">
    <w:name w:val="Lined - Accent 5"/>
    <w:uiPriority w:val="99"/>
    <w:qFormat/>
    <w:rPr>
      <w:color w:val="404040"/>
    </w:rPr>
    <w:tblPr>
      <w:tblCellMar>
        <w:left w:w="0" w:type="dxa"/>
        <w:top w:w="0" w:type="dxa"/>
        <w:right w:w="0" w:type="dxa"/>
        <w:bottom w:w="0" w:type="dxa"/>
      </w:tblCellMar>
    </w:tblPr>
  </w:style>
  <w:style w:type="table" w:styleId="1254" w:customStyle="1">
    <w:name w:val="Lined - Accent 6"/>
    <w:uiPriority w:val="99"/>
    <w:qFormat/>
    <w:rPr>
      <w:color w:val="404040"/>
    </w:rPr>
    <w:tblPr>
      <w:tblCellMar>
        <w:left w:w="0" w:type="dxa"/>
        <w:top w:w="0" w:type="dxa"/>
        <w:right w:w="0" w:type="dxa"/>
        <w:bottom w:w="0" w:type="dxa"/>
      </w:tblCellMar>
    </w:tblPr>
  </w:style>
  <w:style w:type="table" w:styleId="125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56"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5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5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5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6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6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6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6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6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6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6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6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6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69" w:customStyle="1">
    <w:name w:val="脚注文本 Char"/>
    <w:link w:val="1035"/>
    <w:uiPriority w:val="99"/>
    <w:qFormat/>
    <w:rPr>
      <w:sz w:val="18"/>
    </w:rPr>
  </w:style>
  <w:style w:type="character" w:styleId="1270" w:customStyle="1">
    <w:name w:val="尾注文本 Char"/>
    <w:link w:val="1027"/>
    <w:uiPriority w:val="99"/>
    <w:qFormat/>
    <w:rPr>
      <w:sz w:val="20"/>
    </w:rPr>
  </w:style>
  <w:style w:type="paragraph" w:styleId="1271" w:customStyle="1">
    <w:name w:val="TOC 标题11"/>
    <w:uiPriority w:val="39"/>
    <w:unhideWhenUsed/>
    <w:qFormat/>
    <w:rPr>
      <w:rFonts w:ascii="Times New Roman" w:hAnsi="Times New Roman" w:eastAsia="宋体" w:cs="Times New Roman"/>
      <w:lang w:val="en-US" w:eastAsia="zh-CN" w:bidi="ar-SA"/>
    </w:rPr>
  </w:style>
  <w:style w:type="paragraph" w:styleId="1272" w:customStyle="1">
    <w:name w:val="标题 11"/>
    <w:basedOn w:val="1055"/>
    <w:next w:val="1055"/>
    <w:link w:val="1277"/>
    <w:uiPriority w:val="0"/>
    <w:qFormat/>
    <w:pPr>
      <w:keepLines/>
      <w:keepNext/>
      <w:spacing w:before="340" w:after="330" w:line="578" w:lineRule="auto"/>
      <w:outlineLvl w:val="0"/>
    </w:pPr>
    <w:rPr>
      <w:b/>
      <w:bCs/>
      <w:sz w:val="44"/>
      <w:szCs w:val="44"/>
    </w:rPr>
  </w:style>
  <w:style w:type="paragraph" w:styleId="1273" w:customStyle="1">
    <w:name w:val="标题 211"/>
    <w:basedOn w:val="1055"/>
    <w:next w:val="1055"/>
    <w:link w:val="1278"/>
    <w:uiPriority w:val="0"/>
    <w:qFormat/>
    <w:pPr>
      <w:keepLines/>
      <w:keepNext/>
      <w:spacing w:before="260" w:after="260" w:line="416" w:lineRule="auto"/>
      <w:outlineLvl w:val="1"/>
    </w:pPr>
    <w:rPr>
      <w:rFonts w:ascii="Calibri Light" w:hAnsi="Calibri Light"/>
      <w:b/>
      <w:bCs/>
      <w:sz w:val="32"/>
      <w:szCs w:val="32"/>
    </w:rPr>
  </w:style>
  <w:style w:type="paragraph" w:styleId="1274" w:customStyle="1">
    <w:name w:val="标题 31"/>
    <w:basedOn w:val="1055"/>
    <w:next w:val="1055"/>
    <w:uiPriority w:val="0"/>
    <w:qFormat/>
    <w:pPr>
      <w:keepLines/>
      <w:keepNext/>
      <w:spacing w:line="360" w:lineRule="auto"/>
      <w:outlineLvl w:val="2"/>
    </w:pPr>
    <w:rPr>
      <w:rFonts w:eastAsia="黑体"/>
      <w:b/>
      <w:bCs/>
      <w:sz w:val="21"/>
      <w:szCs w:val="32"/>
    </w:rPr>
  </w:style>
  <w:style w:type="character" w:styleId="1275" w:customStyle="1">
    <w:name w:val="默认段落字体1"/>
    <w:uiPriority w:val="0"/>
    <w:qFormat/>
  </w:style>
  <w:style w:type="table" w:styleId="1276" w:customStyle="1">
    <w:name w:val="普通表格1"/>
    <w:uiPriority w:val="0"/>
    <w:qFormat/>
    <w:tblPr>
      <w:tblCellMar>
        <w:left w:w="0" w:type="dxa"/>
        <w:top w:w="0" w:type="dxa"/>
        <w:right w:w="0" w:type="dxa"/>
        <w:bottom w:w="0" w:type="dxa"/>
      </w:tblCellMar>
    </w:tblPr>
  </w:style>
  <w:style w:type="character" w:styleId="1277" w:customStyle="1">
    <w:name w:val="标题 1 Char"/>
    <w:link w:val="1272"/>
    <w:uiPriority w:val="0"/>
    <w:qFormat/>
    <w:rPr>
      <w:b/>
      <w:bCs/>
      <w:sz w:val="44"/>
      <w:szCs w:val="44"/>
    </w:rPr>
  </w:style>
  <w:style w:type="character" w:styleId="1278" w:customStyle="1">
    <w:name w:val="标题 2 Char"/>
    <w:link w:val="1273"/>
    <w:uiPriority w:val="0"/>
    <w:qFormat/>
    <w:rPr>
      <w:rFonts w:ascii="Calibri Light" w:hAnsi="Calibri Light" w:eastAsia="宋体"/>
      <w:b/>
      <w:bCs/>
      <w:sz w:val="32"/>
      <w:szCs w:val="32"/>
    </w:rPr>
  </w:style>
  <w:style w:type="paragraph" w:styleId="1279" w:customStyle="1">
    <w:name w:val="正文缩进1"/>
    <w:basedOn w:val="1055"/>
    <w:uiPriority w:val="0"/>
    <w:qFormat/>
    <w:pPr>
      <w:ind w:firstLine="420"/>
    </w:pPr>
    <w:rPr>
      <w:sz w:val="21"/>
      <w:szCs w:val="21"/>
    </w:rPr>
  </w:style>
  <w:style w:type="paragraph" w:styleId="1280" w:customStyle="1">
    <w:name w:val="批注文字1"/>
    <w:basedOn w:val="1055"/>
    <w:link w:val="1281"/>
    <w:uiPriority w:val="0"/>
    <w:semiHidden/>
    <w:qFormat/>
    <w:pPr>
      <w:jc w:val="left"/>
    </w:pPr>
    <w:rPr>
      <w:sz w:val="21"/>
    </w:rPr>
  </w:style>
  <w:style w:type="character" w:styleId="1281" w:customStyle="1">
    <w:name w:val="批注文字 Char"/>
    <w:link w:val="1280"/>
    <w:uiPriority w:val="0"/>
    <w:semiHidden/>
    <w:qFormat/>
    <w:rPr>
      <w:sz w:val="21"/>
    </w:rPr>
  </w:style>
  <w:style w:type="character" w:styleId="1282" w:customStyle="1">
    <w:name w:val="正文文本 Char"/>
    <w:link w:val="1059"/>
    <w:uiPriority w:val="0"/>
    <w:qFormat/>
  </w:style>
  <w:style w:type="paragraph" w:styleId="1283" w:customStyle="1">
    <w:name w:val="日期1"/>
    <w:basedOn w:val="1055"/>
    <w:next w:val="1055"/>
    <w:link w:val="1284"/>
    <w:uiPriority w:val="0"/>
    <w:qFormat/>
    <w:pPr>
      <w:ind w:left="100"/>
    </w:pPr>
  </w:style>
  <w:style w:type="character" w:styleId="1284" w:customStyle="1">
    <w:name w:val="日期 Char"/>
    <w:link w:val="1283"/>
    <w:uiPriority w:val="0"/>
    <w:semiHidden/>
    <w:qFormat/>
    <w:rPr>
      <w:sz w:val="20"/>
    </w:rPr>
  </w:style>
  <w:style w:type="paragraph" w:styleId="1285" w:customStyle="1">
    <w:name w:val="批注框文本1"/>
    <w:basedOn w:val="1055"/>
    <w:link w:val="1286"/>
    <w:uiPriority w:val="0"/>
    <w:qFormat/>
    <w:rPr>
      <w:sz w:val="18"/>
      <w:szCs w:val="18"/>
    </w:rPr>
  </w:style>
  <w:style w:type="character" w:styleId="1286" w:customStyle="1">
    <w:name w:val="批注框文本 Char"/>
    <w:link w:val="1285"/>
    <w:uiPriority w:val="0"/>
    <w:semiHidden/>
    <w:qFormat/>
    <w:rPr>
      <w:sz w:val="18"/>
      <w:szCs w:val="18"/>
    </w:rPr>
  </w:style>
  <w:style w:type="paragraph" w:styleId="1287" w:customStyle="1">
    <w:name w:val="页脚1"/>
    <w:basedOn w:val="1055"/>
    <w:link w:val="1288"/>
    <w:uiPriority w:val="0"/>
    <w:qFormat/>
    <w:pPr>
      <w:jc w:val="left"/>
      <w:tabs>
        <w:tab w:val="right" w:pos="4153" w:leader="none"/>
        <w:tab w:val="left" w:pos="8306" w:leader="underscore"/>
      </w:tabs>
    </w:pPr>
    <w:rPr>
      <w:sz w:val="18"/>
    </w:rPr>
  </w:style>
  <w:style w:type="character" w:styleId="1288" w:customStyle="1">
    <w:name w:val="页脚 Char"/>
    <w:link w:val="1287"/>
    <w:uiPriority w:val="0"/>
    <w:qFormat/>
    <w:rPr>
      <w:sz w:val="18"/>
    </w:rPr>
  </w:style>
  <w:style w:type="paragraph" w:styleId="1289" w:customStyle="1">
    <w:name w:val="页眉1"/>
    <w:basedOn w:val="1055"/>
    <w:link w:val="1290"/>
    <w:uiPriority w:val="0"/>
    <w:qFormat/>
    <w:pPr>
      <w:jc w:val="center"/>
      <w:tabs>
        <w:tab w:val="right" w:pos="4153" w:leader="none"/>
        <w:tab w:val="left" w:pos="8306" w:leader="underscore"/>
      </w:tabs>
      <w:pBdr>
        <w:bottom w:val="single" w:color="000000" w:sz="6" w:space="1"/>
      </w:pBdr>
    </w:pPr>
    <w:rPr>
      <w:sz w:val="18"/>
      <w:szCs w:val="18"/>
    </w:rPr>
  </w:style>
  <w:style w:type="character" w:styleId="1290" w:customStyle="1">
    <w:name w:val="页眉 Char"/>
    <w:link w:val="1289"/>
    <w:uiPriority w:val="0"/>
    <w:qFormat/>
    <w:rPr>
      <w:sz w:val="18"/>
      <w:szCs w:val="18"/>
    </w:rPr>
  </w:style>
  <w:style w:type="paragraph" w:styleId="1291" w:customStyle="1">
    <w:name w:val="副标题1"/>
    <w:basedOn w:val="1055"/>
    <w:next w:val="1055"/>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292" w:customStyle="1">
    <w:name w:val="目录 21"/>
    <w:basedOn w:val="1055"/>
    <w:next w:val="1055"/>
    <w:uiPriority w:val="0"/>
    <w:qFormat/>
    <w:pPr>
      <w:ind w:left="420"/>
    </w:pPr>
  </w:style>
  <w:style w:type="paragraph" w:styleId="1293" w:customStyle="1">
    <w:name w:val="普通(网站)1"/>
    <w:basedOn w:val="1055"/>
    <w:uiPriority w:val="0"/>
    <w:qFormat/>
    <w:pPr>
      <w:jc w:val="left"/>
      <w:spacing w:before="100" w:beforeAutospacing="1" w:after="100" w:afterAutospacing="1"/>
    </w:pPr>
    <w:rPr>
      <w:rFonts w:ascii="宋体" w:hAnsi="宋体"/>
      <w:sz w:val="24"/>
      <w:szCs w:val="24"/>
    </w:rPr>
  </w:style>
  <w:style w:type="paragraph" w:styleId="1294" w:customStyle="1">
    <w:name w:val="批注主题1"/>
    <w:basedOn w:val="1280"/>
    <w:next w:val="1280"/>
    <w:link w:val="1295"/>
    <w:uiPriority w:val="0"/>
    <w:qFormat/>
    <w:rPr>
      <w:b/>
      <w:bCs/>
    </w:rPr>
  </w:style>
  <w:style w:type="character" w:styleId="1295" w:customStyle="1">
    <w:name w:val="批注主题 Char"/>
    <w:link w:val="1294"/>
    <w:uiPriority w:val="0"/>
    <w:semiHidden/>
    <w:qFormat/>
    <w:rPr>
      <w:b/>
      <w:bCs/>
      <w:sz w:val="21"/>
    </w:rPr>
  </w:style>
  <w:style w:type="character" w:styleId="1296" w:customStyle="1">
    <w:name w:val="正文首行缩进 Char"/>
    <w:link w:val="1058"/>
    <w:uiPriority w:val="0"/>
    <w:qFormat/>
    <w:rPr>
      <w:sz w:val="21"/>
    </w:rPr>
  </w:style>
  <w:style w:type="table" w:styleId="1297" w:customStyle="1">
    <w:name w:val="网格型1"/>
    <w:basedOn w:val="1276"/>
    <w:uiPriority w:val="0"/>
    <w:qFormat/>
    <w:pPr>
      <w:jc w:val="both"/>
      <w:widowControl w:val="off"/>
    </w:pPr>
    <w:tblPr/>
  </w:style>
  <w:style w:type="character" w:styleId="1298" w:customStyle="1">
    <w:name w:val="要点1"/>
    <w:uiPriority w:val="0"/>
    <w:qFormat/>
    <w:rPr>
      <w:b/>
      <w:sz w:val="21"/>
    </w:rPr>
  </w:style>
  <w:style w:type="character" w:styleId="1299" w:customStyle="1">
    <w:name w:val="页码1"/>
    <w:basedOn w:val="1275"/>
    <w:uiPriority w:val="0"/>
    <w:qFormat/>
    <w:rPr>
      <w:rFonts w:hint="default" w:ascii="Calibri" w:hAnsi="Calibri" w:eastAsia="宋体" w:cs="Times New Roman"/>
      <w:sz w:val="21"/>
      <w:szCs w:val="21"/>
      <w:lang w:val="en-US" w:eastAsia="zh-CN" w:bidi="ar-SA"/>
    </w:rPr>
  </w:style>
  <w:style w:type="character" w:styleId="1300" w:customStyle="1">
    <w:name w:val="强调1"/>
    <w:uiPriority w:val="0"/>
    <w:qFormat/>
    <w:rPr>
      <w:i/>
      <w:sz w:val="20"/>
    </w:rPr>
  </w:style>
  <w:style w:type="character" w:styleId="1301" w:customStyle="1">
    <w:name w:val="超链接1"/>
    <w:uiPriority w:val="0"/>
    <w:qFormat/>
    <w:rPr>
      <w:color w:val="0000ff"/>
      <w:sz w:val="20"/>
      <w:u w:val="single"/>
    </w:rPr>
  </w:style>
  <w:style w:type="character" w:styleId="1302" w:customStyle="1">
    <w:name w:val="批注引用1"/>
    <w:uiPriority w:val="0"/>
    <w:qFormat/>
    <w:rPr>
      <w:sz w:val="21"/>
      <w:szCs w:val="21"/>
    </w:rPr>
  </w:style>
  <w:style w:type="character" w:styleId="1303" w:customStyle="1">
    <w:name w:val="NormalCharacter"/>
    <w:link w:val="1054"/>
    <w:uiPriority w:val="0"/>
    <w:semiHidden/>
    <w:qFormat/>
    <w:rPr>
      <w:rFonts w:ascii="宋体"/>
      <w:sz w:val="24"/>
    </w:rPr>
  </w:style>
  <w:style w:type="character" w:styleId="1304" w:customStyle="1">
    <w:name w:val="UserStyle_19"/>
    <w:uiPriority w:val="0"/>
    <w:qFormat/>
    <w:rPr>
      <w:b/>
      <w:sz w:val="20"/>
    </w:rPr>
  </w:style>
  <w:style w:type="character" w:styleId="1305" w:customStyle="1">
    <w:name w:val="263"/>
    <w:uiPriority w:val="0"/>
    <w:qFormat/>
    <w:rPr>
      <w:b/>
      <w:color w:val="c0504d"/>
      <w:sz w:val="20"/>
      <w:u w:val="single"/>
    </w:rPr>
  </w:style>
  <w:style w:type="character" w:styleId="1306" w:customStyle="1">
    <w:name w:val="UserStyle_47"/>
    <w:uiPriority w:val="0"/>
    <w:qFormat/>
    <w:rPr>
      <w:sz w:val="20"/>
    </w:rPr>
  </w:style>
  <w:style w:type="character" w:styleId="1307" w:customStyle="1">
    <w:name w:val="UserStyle_43"/>
    <w:uiPriority w:val="0"/>
    <w:qFormat/>
    <w:rPr>
      <w:sz w:val="20"/>
    </w:rPr>
  </w:style>
  <w:style w:type="character" w:styleId="1308" w:customStyle="1">
    <w:name w:val="UserStyle_37"/>
    <w:uiPriority w:val="0"/>
    <w:qFormat/>
    <w:rPr>
      <w:b/>
      <w:sz w:val="20"/>
    </w:rPr>
  </w:style>
  <w:style w:type="character" w:styleId="1309" w:customStyle="1">
    <w:name w:val="UserStyle_70"/>
    <w:uiPriority w:val="0"/>
    <w:qFormat/>
    <w:rPr>
      <w:sz w:val="20"/>
    </w:rPr>
  </w:style>
  <w:style w:type="character" w:styleId="1310" w:customStyle="1">
    <w:name w:val="UserStyle_55"/>
    <w:uiPriority w:val="0"/>
    <w:qFormat/>
    <w:rPr>
      <w:sz w:val="20"/>
    </w:rPr>
  </w:style>
  <w:style w:type="character" w:styleId="1311" w:customStyle="1">
    <w:name w:val="UserStyle_0"/>
    <w:link w:val="1312"/>
    <w:uiPriority w:val="0"/>
    <w:semiHidden/>
    <w:qFormat/>
    <w:rPr>
      <w:rFonts w:ascii="Courier New" w:hAnsi="Courier New"/>
      <w:sz w:val="20"/>
    </w:rPr>
  </w:style>
  <w:style w:type="paragraph" w:styleId="1312" w:customStyle="1">
    <w:name w:val="HtmlPre"/>
    <w:basedOn w:val="1055"/>
    <w:link w:val="1311"/>
    <w:uiPriority w:val="0"/>
    <w:qFormat/>
    <w:rPr>
      <w:rFonts w:ascii="Courier New" w:hAnsi="Courier New"/>
    </w:rPr>
  </w:style>
  <w:style w:type="character" w:styleId="1313" w:customStyle="1">
    <w:name w:val="UserStyle_18"/>
    <w:uiPriority w:val="0"/>
    <w:semiHidden/>
    <w:qFormat/>
    <w:rPr>
      <w:sz w:val="20"/>
    </w:rPr>
  </w:style>
  <w:style w:type="character" w:styleId="1314" w:customStyle="1">
    <w:name w:val="UserStyle_56"/>
    <w:uiPriority w:val="0"/>
    <w:qFormat/>
    <w:rPr>
      <w:sz w:val="20"/>
    </w:rPr>
  </w:style>
  <w:style w:type="character" w:styleId="1315" w:customStyle="1">
    <w:name w:val="262"/>
    <w:uiPriority w:val="0"/>
    <w:qFormat/>
    <w:rPr>
      <w:color w:val="c0504d"/>
      <w:sz w:val="20"/>
      <w:u w:val="single"/>
    </w:rPr>
  </w:style>
  <w:style w:type="character" w:styleId="1316" w:customStyle="1">
    <w:name w:val="UserStyle_46"/>
    <w:uiPriority w:val="0"/>
    <w:qFormat/>
    <w:rPr>
      <w:sz w:val="20"/>
    </w:rPr>
  </w:style>
  <w:style w:type="character" w:styleId="1317" w:customStyle="1">
    <w:name w:val="UserStyle_74"/>
    <w:uiPriority w:val="0"/>
    <w:qFormat/>
    <w:rPr>
      <w:b/>
      <w:sz w:val="20"/>
    </w:rPr>
  </w:style>
  <w:style w:type="character" w:styleId="1318" w:customStyle="1">
    <w:name w:val="UserStyle_71"/>
    <w:uiPriority w:val="0"/>
    <w:qFormat/>
    <w:rPr>
      <w:sz w:val="20"/>
    </w:rPr>
  </w:style>
  <w:style w:type="character" w:styleId="1319" w:customStyle="1">
    <w:name w:val="UserStyle_72"/>
    <w:uiPriority w:val="0"/>
    <w:qFormat/>
    <w:rPr>
      <w:sz w:val="20"/>
    </w:rPr>
  </w:style>
  <w:style w:type="character" w:styleId="1320" w:customStyle="1">
    <w:name w:val="UserStyle_7"/>
    <w:uiPriority w:val="0"/>
    <w:qFormat/>
    <w:rPr>
      <w:i/>
      <w:sz w:val="20"/>
    </w:rPr>
  </w:style>
  <w:style w:type="character" w:styleId="1321" w:customStyle="1">
    <w:name w:val="UserStyle_68"/>
    <w:uiPriority w:val="0"/>
    <w:qFormat/>
    <w:rPr>
      <w:sz w:val="20"/>
    </w:rPr>
  </w:style>
  <w:style w:type="character" w:styleId="1322" w:customStyle="1">
    <w:name w:val="UserStyle_25"/>
    <w:uiPriority w:val="0"/>
    <w:qFormat/>
    <w:rPr>
      <w:sz w:val="20"/>
    </w:rPr>
  </w:style>
  <w:style w:type="character" w:styleId="1323" w:customStyle="1">
    <w:name w:val="UserStyle_66"/>
    <w:uiPriority w:val="0"/>
    <w:qFormat/>
    <w:rPr>
      <w:sz w:val="20"/>
    </w:rPr>
  </w:style>
  <w:style w:type="character" w:styleId="1324" w:customStyle="1">
    <w:name w:val="UserStyle_38"/>
    <w:uiPriority w:val="0"/>
    <w:qFormat/>
    <w:rPr>
      <w:sz w:val="20"/>
    </w:rPr>
  </w:style>
  <w:style w:type="character" w:styleId="1325" w:customStyle="1">
    <w:name w:val="UserStyle_17"/>
    <w:uiPriority w:val="0"/>
    <w:qFormat/>
    <w:rPr>
      <w:sz w:val="20"/>
    </w:rPr>
  </w:style>
  <w:style w:type="character" w:styleId="1326" w:customStyle="1">
    <w:name w:val="UserStyle_33"/>
    <w:uiPriority w:val="0"/>
    <w:qFormat/>
    <w:rPr>
      <w:sz w:val="20"/>
    </w:rPr>
  </w:style>
  <w:style w:type="character" w:styleId="1327" w:customStyle="1">
    <w:name w:val="UserStyle_45"/>
    <w:uiPriority w:val="0"/>
    <w:qFormat/>
    <w:rPr>
      <w:b/>
      <w:sz w:val="20"/>
    </w:rPr>
  </w:style>
  <w:style w:type="character" w:styleId="1328" w:customStyle="1">
    <w:name w:val="UserStyle_57"/>
    <w:uiPriority w:val="0"/>
    <w:qFormat/>
    <w:rPr>
      <w:sz w:val="20"/>
    </w:rPr>
  </w:style>
  <w:style w:type="character" w:styleId="1329" w:customStyle="1">
    <w:name w:val="UserStyle_63"/>
    <w:uiPriority w:val="0"/>
    <w:qFormat/>
    <w:rPr>
      <w:sz w:val="20"/>
    </w:rPr>
  </w:style>
  <w:style w:type="character" w:styleId="1330" w:customStyle="1">
    <w:name w:val="UserStyle_75"/>
    <w:uiPriority w:val="0"/>
    <w:qFormat/>
    <w:rPr>
      <w:sz w:val="20"/>
    </w:rPr>
  </w:style>
  <w:style w:type="character" w:styleId="1331" w:customStyle="1">
    <w:name w:val="UserStyle_23"/>
    <w:uiPriority w:val="0"/>
    <w:qFormat/>
    <w:rPr>
      <w:color w:val="000000"/>
      <w:sz w:val="20"/>
    </w:rPr>
  </w:style>
  <w:style w:type="character" w:styleId="1332" w:customStyle="1">
    <w:name w:val="UserStyle_65"/>
    <w:uiPriority w:val="0"/>
    <w:qFormat/>
    <w:rPr>
      <w:sz w:val="20"/>
    </w:rPr>
  </w:style>
  <w:style w:type="character" w:styleId="1333" w:customStyle="1">
    <w:name w:val="UserStyle_24"/>
    <w:uiPriority w:val="0"/>
    <w:qFormat/>
    <w:rPr>
      <w:sz w:val="20"/>
    </w:rPr>
  </w:style>
  <w:style w:type="character" w:styleId="1334" w:customStyle="1">
    <w:name w:val="UserStyle_50"/>
    <w:uiPriority w:val="0"/>
    <w:qFormat/>
    <w:rPr>
      <w:sz w:val="20"/>
    </w:rPr>
  </w:style>
  <w:style w:type="character" w:styleId="1335" w:customStyle="1">
    <w:name w:val="UserStyle_44"/>
    <w:uiPriority w:val="0"/>
    <w:qFormat/>
    <w:rPr>
      <w:b/>
      <w:sz w:val="20"/>
    </w:rPr>
  </w:style>
  <w:style w:type="character" w:styleId="1336" w:customStyle="1">
    <w:name w:val="UserStyle_51"/>
    <w:uiPriority w:val="0"/>
    <w:qFormat/>
    <w:rPr>
      <w:sz w:val="20"/>
    </w:rPr>
  </w:style>
  <w:style w:type="character" w:styleId="1337" w:customStyle="1">
    <w:name w:val="UserStyle_4"/>
    <w:uiPriority w:val="0"/>
    <w:qFormat/>
    <w:rPr>
      <w:sz w:val="20"/>
    </w:rPr>
  </w:style>
  <w:style w:type="character" w:styleId="1338" w:customStyle="1">
    <w:name w:val="UserStyle_52"/>
    <w:uiPriority w:val="0"/>
    <w:semiHidden/>
    <w:qFormat/>
    <w:rPr>
      <w:sz w:val="20"/>
    </w:rPr>
  </w:style>
  <w:style w:type="character" w:styleId="1339" w:customStyle="1">
    <w:name w:val="UserStyle_3"/>
    <w:uiPriority w:val="0"/>
    <w:qFormat/>
    <w:rPr>
      <w:sz w:val="20"/>
    </w:rPr>
  </w:style>
  <w:style w:type="character" w:styleId="1340" w:customStyle="1">
    <w:name w:val="UserStyle_67"/>
    <w:uiPriority w:val="0"/>
    <w:qFormat/>
    <w:rPr>
      <w:b/>
      <w:sz w:val="20"/>
    </w:rPr>
  </w:style>
  <w:style w:type="character" w:styleId="1341" w:customStyle="1">
    <w:name w:val="UserStyle_61"/>
    <w:uiPriority w:val="0"/>
    <w:qFormat/>
    <w:rPr>
      <w:b/>
      <w:sz w:val="20"/>
    </w:rPr>
  </w:style>
  <w:style w:type="character" w:styleId="1342" w:customStyle="1">
    <w:name w:val="UserStyle_36"/>
    <w:uiPriority w:val="0"/>
    <w:qFormat/>
    <w:rPr>
      <w:b/>
      <w:sz w:val="20"/>
    </w:rPr>
  </w:style>
  <w:style w:type="character" w:styleId="1343" w:customStyle="1">
    <w:name w:val="260"/>
    <w:uiPriority w:val="0"/>
    <w:qFormat/>
    <w:rPr>
      <w:i/>
      <w:color w:val="000000"/>
      <w:sz w:val="21"/>
    </w:rPr>
  </w:style>
  <w:style w:type="character" w:styleId="1344" w:customStyle="1">
    <w:name w:val="PageNumber"/>
    <w:uiPriority w:val="0"/>
    <w:qFormat/>
    <w:rPr>
      <w:sz w:val="20"/>
    </w:rPr>
  </w:style>
  <w:style w:type="character" w:styleId="1345" w:customStyle="1">
    <w:name w:val="UserStyle_1"/>
    <w:uiPriority w:val="0"/>
    <w:qFormat/>
    <w:rPr>
      <w:sz w:val="20"/>
    </w:rPr>
  </w:style>
  <w:style w:type="character" w:styleId="1346" w:customStyle="1">
    <w:name w:val="UserStyle_64"/>
    <w:uiPriority w:val="0"/>
    <w:qFormat/>
    <w:rPr>
      <w:sz w:val="20"/>
    </w:rPr>
  </w:style>
  <w:style w:type="character" w:styleId="1347" w:customStyle="1">
    <w:name w:val="UserStyle_21"/>
    <w:uiPriority w:val="0"/>
    <w:qFormat/>
    <w:rPr>
      <w:sz w:val="20"/>
    </w:rPr>
  </w:style>
  <w:style w:type="character" w:styleId="1348" w:customStyle="1">
    <w:name w:val="UserStyle_9"/>
    <w:uiPriority w:val="0"/>
    <w:qFormat/>
    <w:rPr>
      <w:sz w:val="20"/>
    </w:rPr>
  </w:style>
  <w:style w:type="character" w:styleId="1349" w:customStyle="1">
    <w:name w:val="UserStyle_40"/>
    <w:uiPriority w:val="0"/>
    <w:qFormat/>
    <w:rPr>
      <w:b/>
      <w:sz w:val="20"/>
    </w:rPr>
  </w:style>
  <w:style w:type="character" w:styleId="1350" w:customStyle="1">
    <w:name w:val="UserStyle_73"/>
    <w:uiPriority w:val="0"/>
    <w:qFormat/>
    <w:rPr>
      <w:sz w:val="20"/>
    </w:rPr>
  </w:style>
  <w:style w:type="character" w:styleId="1351" w:customStyle="1">
    <w:name w:val="UserStyle_30"/>
    <w:uiPriority w:val="0"/>
    <w:qFormat/>
    <w:rPr>
      <w:sz w:val="20"/>
    </w:rPr>
  </w:style>
  <w:style w:type="character" w:styleId="1352" w:customStyle="1">
    <w:name w:val="UserStyle_69"/>
    <w:uiPriority w:val="0"/>
    <w:qFormat/>
    <w:rPr>
      <w:b/>
      <w:sz w:val="20"/>
    </w:rPr>
  </w:style>
  <w:style w:type="character" w:styleId="1353" w:customStyle="1">
    <w:name w:val="UserStyle_13"/>
    <w:uiPriority w:val="0"/>
    <w:qFormat/>
    <w:rPr>
      <w:b/>
      <w:sz w:val="20"/>
    </w:rPr>
  </w:style>
  <w:style w:type="character" w:styleId="1354" w:customStyle="1">
    <w:name w:val="UserStyle_14"/>
    <w:uiPriority w:val="0"/>
    <w:semiHidden/>
    <w:qFormat/>
    <w:rPr>
      <w:sz w:val="20"/>
    </w:rPr>
  </w:style>
  <w:style w:type="character" w:styleId="1355" w:customStyle="1">
    <w:name w:val="UserStyle_22"/>
    <w:uiPriority w:val="0"/>
    <w:qFormat/>
    <w:rPr>
      <w:color w:val="0000ff"/>
      <w:sz w:val="20"/>
      <w:u w:val="single"/>
    </w:rPr>
  </w:style>
  <w:style w:type="character" w:styleId="1356" w:customStyle="1">
    <w:name w:val="UserStyle_8"/>
    <w:uiPriority w:val="0"/>
    <w:qFormat/>
    <w:rPr>
      <w:sz w:val="20"/>
    </w:rPr>
  </w:style>
  <w:style w:type="character" w:styleId="1357" w:customStyle="1">
    <w:name w:val="UserStyle_6"/>
    <w:uiPriority w:val="0"/>
    <w:qFormat/>
    <w:rPr>
      <w:b/>
      <w:sz w:val="20"/>
    </w:rPr>
  </w:style>
  <w:style w:type="character" w:styleId="1358" w:customStyle="1">
    <w:name w:val="UserStyle_62"/>
    <w:uiPriority w:val="0"/>
    <w:qFormat/>
    <w:rPr>
      <w:color w:val="ffff00"/>
      <w:sz w:val="20"/>
    </w:rPr>
  </w:style>
  <w:style w:type="character" w:styleId="1359" w:customStyle="1">
    <w:name w:val="UserStyle_48"/>
    <w:uiPriority w:val="0"/>
    <w:qFormat/>
    <w:rPr>
      <w:sz w:val="20"/>
    </w:rPr>
  </w:style>
  <w:style w:type="character" w:styleId="1360" w:customStyle="1">
    <w:name w:val="UserStyle_15"/>
    <w:uiPriority w:val="0"/>
    <w:qFormat/>
    <w:rPr>
      <w:b/>
      <w:sz w:val="20"/>
    </w:rPr>
  </w:style>
  <w:style w:type="character" w:styleId="1361" w:customStyle="1">
    <w:name w:val="UserStyle_49"/>
    <w:uiPriority w:val="0"/>
    <w:qFormat/>
    <w:rPr>
      <w:sz w:val="20"/>
    </w:rPr>
  </w:style>
  <w:style w:type="character" w:styleId="1362" w:customStyle="1">
    <w:name w:val="UserStyle_11"/>
    <w:uiPriority w:val="0"/>
    <w:qFormat/>
    <w:rPr>
      <w:sz w:val="20"/>
    </w:rPr>
  </w:style>
  <w:style w:type="character" w:styleId="1363" w:customStyle="1">
    <w:name w:val="UserStyle_34"/>
    <w:uiPriority w:val="0"/>
    <w:qFormat/>
    <w:rPr>
      <w:b/>
      <w:sz w:val="20"/>
    </w:rPr>
  </w:style>
  <w:style w:type="character" w:styleId="1364" w:customStyle="1">
    <w:name w:val="UserStyle_29"/>
    <w:uiPriority w:val="0"/>
    <w:qFormat/>
    <w:rPr>
      <w:sz w:val="20"/>
    </w:rPr>
  </w:style>
  <w:style w:type="character" w:styleId="1365" w:customStyle="1">
    <w:name w:val="UserStyle_42"/>
    <w:uiPriority w:val="0"/>
    <w:qFormat/>
    <w:rPr>
      <w:sz w:val="20"/>
    </w:rPr>
  </w:style>
  <w:style w:type="character" w:styleId="1366" w:customStyle="1">
    <w:name w:val="UserStyle_39"/>
    <w:uiPriority w:val="0"/>
    <w:qFormat/>
    <w:rPr>
      <w:sz w:val="20"/>
    </w:rPr>
  </w:style>
  <w:style w:type="character" w:styleId="1367" w:customStyle="1">
    <w:name w:val="UserStyle_35"/>
    <w:uiPriority w:val="0"/>
    <w:qFormat/>
    <w:rPr>
      <w:sz w:val="20"/>
    </w:rPr>
  </w:style>
  <w:style w:type="character" w:styleId="1368" w:customStyle="1">
    <w:name w:val="UserStyle_5"/>
    <w:uiPriority w:val="0"/>
    <w:qFormat/>
    <w:rPr>
      <w:sz w:val="20"/>
    </w:rPr>
  </w:style>
  <w:style w:type="character" w:styleId="1369" w:customStyle="1">
    <w:name w:val="UserStyle_26"/>
    <w:uiPriority w:val="0"/>
    <w:qFormat/>
    <w:rPr>
      <w:sz w:val="20"/>
    </w:rPr>
  </w:style>
  <w:style w:type="character" w:styleId="1370" w:customStyle="1">
    <w:name w:val="264"/>
    <w:uiPriority w:val="0"/>
    <w:qFormat/>
    <w:rPr>
      <w:b/>
      <w:i/>
      <w:sz w:val="21"/>
    </w:rPr>
  </w:style>
  <w:style w:type="character" w:styleId="1371" w:customStyle="1">
    <w:name w:val="UserStyle_76"/>
    <w:uiPriority w:val="0"/>
    <w:qFormat/>
    <w:rPr>
      <w:b/>
      <w:sz w:val="20"/>
    </w:rPr>
  </w:style>
  <w:style w:type="character" w:styleId="1372" w:customStyle="1">
    <w:name w:val="UserStyle_10"/>
    <w:uiPriority w:val="0"/>
    <w:qFormat/>
    <w:rPr>
      <w:b/>
      <w:sz w:val="20"/>
    </w:rPr>
  </w:style>
  <w:style w:type="character" w:styleId="1373" w:customStyle="1">
    <w:name w:val="UserStyle_32"/>
    <w:uiPriority w:val="0"/>
    <w:qFormat/>
    <w:rPr>
      <w:i/>
      <w:sz w:val="20"/>
    </w:rPr>
  </w:style>
  <w:style w:type="character" w:styleId="1374" w:customStyle="1">
    <w:name w:val="UserStyle_53"/>
    <w:uiPriority w:val="0"/>
    <w:qFormat/>
    <w:rPr>
      <w:sz w:val="20"/>
    </w:rPr>
  </w:style>
  <w:style w:type="character" w:styleId="1375" w:customStyle="1">
    <w:name w:val="UserStyle_2"/>
    <w:uiPriority w:val="0"/>
    <w:qFormat/>
    <w:rPr>
      <w:sz w:val="20"/>
    </w:rPr>
  </w:style>
  <w:style w:type="character" w:styleId="1376" w:customStyle="1">
    <w:name w:val="UserStyle_58"/>
    <w:uiPriority w:val="0"/>
    <w:qFormat/>
    <w:rPr>
      <w:sz w:val="20"/>
    </w:rPr>
  </w:style>
  <w:style w:type="character" w:styleId="1377" w:customStyle="1">
    <w:name w:val="UserStyle_60"/>
    <w:uiPriority w:val="0"/>
    <w:qFormat/>
    <w:rPr>
      <w:sz w:val="20"/>
    </w:rPr>
  </w:style>
  <w:style w:type="character" w:styleId="1378" w:customStyle="1">
    <w:name w:val="UserStyle_54"/>
    <w:uiPriority w:val="0"/>
    <w:qFormat/>
    <w:rPr>
      <w:b/>
      <w:sz w:val="20"/>
    </w:rPr>
  </w:style>
  <w:style w:type="character" w:styleId="1379" w:customStyle="1">
    <w:name w:val="UserStyle_16"/>
    <w:uiPriority w:val="0"/>
    <w:qFormat/>
    <w:rPr>
      <w:sz w:val="20"/>
    </w:rPr>
  </w:style>
  <w:style w:type="character" w:styleId="1380" w:customStyle="1">
    <w:name w:val="UserStyle_59"/>
    <w:uiPriority w:val="0"/>
    <w:qFormat/>
    <w:rPr>
      <w:b/>
      <w:sz w:val="20"/>
    </w:rPr>
  </w:style>
  <w:style w:type="character" w:styleId="1381" w:customStyle="1">
    <w:name w:val="UserStyle_20"/>
    <w:uiPriority w:val="0"/>
    <w:semiHidden/>
    <w:qFormat/>
    <w:rPr>
      <w:sz w:val="20"/>
    </w:rPr>
  </w:style>
  <w:style w:type="character" w:styleId="1382" w:customStyle="1">
    <w:name w:val="UserStyle_31"/>
    <w:uiPriority w:val="0"/>
    <w:qFormat/>
    <w:rPr>
      <w:b/>
      <w:sz w:val="20"/>
    </w:rPr>
  </w:style>
  <w:style w:type="character" w:styleId="1383" w:customStyle="1">
    <w:name w:val="AnnotationReference"/>
    <w:uiPriority w:val="0"/>
    <w:qFormat/>
    <w:rPr>
      <w:sz w:val="20"/>
    </w:rPr>
  </w:style>
  <w:style w:type="character" w:styleId="1384" w:customStyle="1">
    <w:name w:val="UserStyle_12"/>
    <w:uiPriority w:val="0"/>
    <w:qFormat/>
    <w:rPr>
      <w:sz w:val="20"/>
    </w:rPr>
  </w:style>
  <w:style w:type="character" w:styleId="1385" w:customStyle="1">
    <w:name w:val="261"/>
    <w:uiPriority w:val="0"/>
    <w:qFormat/>
    <w:rPr>
      <w:i/>
      <w:color w:val="000000"/>
      <w:sz w:val="21"/>
    </w:rPr>
  </w:style>
  <w:style w:type="character" w:styleId="1386" w:customStyle="1">
    <w:name w:val="UserStyle_41"/>
    <w:link w:val="1055"/>
    <w:uiPriority w:val="0"/>
    <w:qFormat/>
    <w:rPr>
      <w:sz w:val="20"/>
    </w:rPr>
  </w:style>
  <w:style w:type="paragraph" w:styleId="1387">
    <w:name w:val="List Paragraph"/>
    <w:basedOn w:val="1002"/>
    <w:uiPriority w:val="0"/>
    <w:qFormat/>
    <w:pPr>
      <w:ind w:left="533" w:firstLine="600"/>
      <w:jc w:val="left"/>
      <w:spacing w:before="136"/>
      <w:widowControl w:val="off"/>
    </w:pPr>
    <w:rPr>
      <w:rFonts w:ascii="仿宋" w:hAnsi="仿宋" w:eastAsia="仿宋"/>
      <w:sz w:val="22"/>
      <w:szCs w:val="22"/>
    </w:rPr>
  </w:style>
  <w:style w:type="paragraph" w:styleId="1388" w:customStyle="1">
    <w:name w:val="179"/>
    <w:basedOn w:val="1055"/>
    <w:uiPriority w:val="0"/>
    <w:qFormat/>
    <w:pPr>
      <w:ind w:firstLine="420"/>
    </w:pPr>
    <w:rPr>
      <w:sz w:val="21"/>
      <w:szCs w:val="22"/>
    </w:rPr>
  </w:style>
  <w:style w:type="paragraph" w:styleId="1389" w:customStyle="1">
    <w:name w:val="列出段落1"/>
    <w:basedOn w:val="1055"/>
    <w:uiPriority w:val="0"/>
    <w:qFormat/>
    <w:pPr>
      <w:ind w:firstLine="420"/>
      <w:widowControl w:val="off"/>
    </w:pPr>
    <w:rPr>
      <w:sz w:val="21"/>
      <w:szCs w:val="24"/>
    </w:rPr>
  </w:style>
  <w:style w:type="paragraph" w:styleId="1390" w:customStyle="1">
    <w:name w:val="正文 A A"/>
    <w:uiPriority w:val="0"/>
    <w:qFormat/>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391" w:customStyle="1">
    <w:name w:val="UserStyle_77"/>
    <w:basedOn w:val="1055"/>
    <w:uiPriority w:val="0"/>
    <w:qFormat/>
    <w:pPr>
      <w:ind w:firstLine="420"/>
      <w:spacing w:line="520" w:lineRule="exact"/>
    </w:pPr>
    <w:rPr>
      <w:color w:val="000000"/>
      <w:sz w:val="24"/>
      <w:szCs w:val="24"/>
    </w:rPr>
  </w:style>
  <w:style w:type="paragraph" w:styleId="1392"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393" w:customStyle="1">
    <w:name w:val="HtmlNormal"/>
    <w:basedOn w:val="1055"/>
    <w:uiPriority w:val="0"/>
    <w:qFormat/>
    <w:rPr>
      <w:sz w:val="24"/>
      <w:szCs w:val="24"/>
    </w:rPr>
  </w:style>
  <w:style w:type="paragraph" w:styleId="1394" w:customStyle="1">
    <w:name w:val="Table Paragraph"/>
    <w:basedOn w:val="1055"/>
    <w:uiPriority w:val="0"/>
    <w:qFormat/>
    <w:pPr>
      <w:jc w:val="left"/>
      <w:widowControl w:val="off"/>
    </w:pPr>
    <w:rPr>
      <w:rFonts w:ascii="仿宋" w:hAnsi="仿宋" w:eastAsia="仿宋"/>
      <w:sz w:val="22"/>
      <w:szCs w:val="22"/>
    </w:rPr>
  </w:style>
  <w:style w:type="paragraph" w:styleId="1395" w:customStyle="1">
    <w:name w:val="BlockQuote"/>
    <w:basedOn w:val="1055"/>
    <w:uiPriority w:val="0"/>
    <w:qFormat/>
    <w:pPr>
      <w:ind w:left="256" w:right="6" w:firstLine="624"/>
    </w:pPr>
    <w:rPr>
      <w:rFonts w:eastAsia="仿宋_GB2312"/>
      <w:sz w:val="28"/>
    </w:rPr>
  </w:style>
  <w:style w:type="table" w:styleId="1396" w:customStyle="1">
    <w:name w:val="TableNormal"/>
    <w:uiPriority w:val="0"/>
    <w:semiHidden/>
    <w:qFormat/>
    <w:tblPr>
      <w:tblCellMar>
        <w:left w:w="0" w:type="dxa"/>
        <w:top w:w="0" w:type="dxa"/>
        <w:right w:w="0" w:type="dxa"/>
        <w:bottom w:w="0" w:type="dxa"/>
      </w:tblCellMar>
    </w:tblPr>
  </w:style>
  <w:style w:type="paragraph" w:styleId="1397" w:customStyle="1">
    <w:name w:val="TOC 标题2"/>
    <w:basedOn w:val="1272"/>
    <w:next w:val="1055"/>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398"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399" w:customStyle="1">
    <w:name w:val="小标题 1"/>
    <w:basedOn w:val="1055"/>
    <w:uiPriority w:val="0"/>
    <w:qFormat/>
    <w:pPr>
      <w:spacing w:line="360" w:lineRule="atLeast"/>
      <w:widowControl w:val="off"/>
    </w:pPr>
    <w:rPr>
      <w:rFonts w:ascii="文鼎粗黑" w:eastAsia="文鼎粗黑"/>
      <w:sz w:val="22"/>
    </w:rPr>
  </w:style>
  <w:style w:type="paragraph" w:styleId="1400" w:customStyle="1">
    <w:name w:val="文档正文"/>
    <w:basedOn w:val="1055"/>
    <w:uiPriority w:val="0"/>
    <w:qFormat/>
    <w:pPr>
      <w:ind w:firstLine="567"/>
      <w:spacing w:line="312" w:lineRule="atLeast"/>
      <w:widowControl w:val="off"/>
    </w:pPr>
    <w:rPr>
      <w:rFonts w:ascii="长城仿宋" w:eastAsia="长城仿宋"/>
      <w:sz w:val="28"/>
    </w:rPr>
  </w:style>
  <w:style w:type="paragraph" w:styleId="1401" w:customStyle="1">
    <w:name w:val="[Normal]"/>
    <w:uiPriority w:val="0"/>
    <w:qFormat/>
    <w:rPr>
      <w:rFonts w:ascii="方正仿宋简体" w:hAnsi="方正仿宋简体" w:eastAsia="方正仿宋简体" w:cs="Times New Roman"/>
      <w:sz w:val="24"/>
      <w:szCs w:val="22"/>
      <w:lang w:val="zh-CN" w:eastAsia="zh-CN" w:bidi="ar-SA"/>
    </w:rPr>
  </w:style>
  <w:style w:type="paragraph" w:styleId="1402" w:customStyle="1">
    <w:name w:val="Body text|1"/>
    <w:basedOn w:val="1055"/>
    <w:uiPriority w:val="0"/>
    <w:qFormat/>
    <w:pPr>
      <w:ind w:firstLine="360"/>
      <w:spacing w:line="425" w:lineRule="auto"/>
      <w:widowControl w:val="off"/>
    </w:pPr>
    <w:rPr>
      <w:rFonts w:ascii="宋体" w:hAnsi="宋体"/>
      <w:sz w:val="18"/>
      <w:szCs w:val="18"/>
      <w:lang w:val="zh-TW" w:eastAsia="zh-TW" w:bidi="zh-TW"/>
    </w:rPr>
  </w:style>
  <w:style w:type="character" w:styleId="1403" w:customStyle="1">
    <w:name w:val="未处理的提及1"/>
    <w:uiPriority w:val="99"/>
    <w:semiHidden/>
    <w:unhideWhenUsed/>
    <w:qFormat/>
    <w:rPr>
      <w:color w:val="605e5c"/>
      <w:shd w:val="clear" w:color="auto" w:fill="e1dfdd"/>
    </w:rPr>
  </w:style>
  <w:style w:type="character" w:styleId="1404" w:customStyle="1">
    <w:name w:val="批注主题 Char1"/>
    <w:link w:val="1041"/>
    <w:uiPriority w:val="0"/>
    <w:qFormat/>
    <w:rPr>
      <w:b/>
      <w:bCs/>
      <w:sz w:val="21"/>
      <w:szCs w:val="24"/>
    </w:rPr>
  </w:style>
  <w:style w:type="character" w:styleId="1405" w:customStyle="1">
    <w:name w:val="批注文字 Char1"/>
    <w:link w:val="1019"/>
    <w:uiPriority w:val="99"/>
    <w:semiHidden/>
    <w:qFormat/>
    <w:rPr>
      <w:rFonts w:ascii="Calibri" w:hAnsi="Calibri"/>
      <w:sz w:val="21"/>
      <w:szCs w:val="21"/>
    </w:rPr>
  </w:style>
  <w:style w:type="character" w:styleId="1406" w:customStyle="1">
    <w:name w:val="批注主题 字符1"/>
    <w:uiPriority w:val="99"/>
    <w:semiHidden/>
    <w:qFormat/>
    <w:rPr>
      <w:rFonts w:ascii="Calibri" w:hAnsi="Calibri"/>
      <w:b/>
      <w:bCs/>
      <w:sz w:val="21"/>
      <w:szCs w:val="21"/>
    </w:rPr>
  </w:style>
  <w:style w:type="character" w:styleId="1407" w:customStyle="1">
    <w:name w:val="正文文本 Char1"/>
    <w:basedOn w:val="1012"/>
    <w:link w:val="1020"/>
    <w:uiPriority w:val="0"/>
    <w:qFormat/>
  </w:style>
  <w:style w:type="character" w:styleId="1408" w:customStyle="1">
    <w:name w:val="批注框文本 Char1"/>
    <w:link w:val="1028"/>
    <w:uiPriority w:val="99"/>
    <w:semiHidden/>
    <w:qFormat/>
    <w:rPr>
      <w:rFonts w:ascii="Calibri" w:hAnsi="Calibri"/>
      <w:sz w:val="18"/>
      <w:szCs w:val="18"/>
    </w:rPr>
  </w:style>
  <w:style w:type="paragraph" w:styleId="1409" w:customStyle="1">
    <w:name w:val="标题 212"/>
    <w:basedOn w:val="1054"/>
    <w:next w:val="1054"/>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410" w:customStyle="1">
    <w:name w:val="正文文本缩进 Char"/>
    <w:link w:val="1021"/>
    <w:uiPriority w:val="0"/>
    <w:qFormat/>
    <w:rPr>
      <w:rFonts w:ascii="Calibri" w:hAnsi="Calibri"/>
      <w:sz w:val="21"/>
      <w:szCs w:val="21"/>
    </w:rPr>
  </w:style>
  <w:style w:type="table" w:styleId="1411"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412"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13"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14"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415" w:customStyle="1">
    <w:name w:val="无格式表格 311"/>
    <w:uiPriority w:val="99"/>
    <w:qFormat/>
    <w:tblPr>
      <w:tblCellMar>
        <w:left w:w="0" w:type="dxa"/>
        <w:top w:w="0" w:type="dxa"/>
        <w:right w:w="0" w:type="dxa"/>
        <w:bottom w:w="0" w:type="dxa"/>
      </w:tblCellMar>
    </w:tblPr>
  </w:style>
  <w:style w:type="table" w:styleId="1416" w:customStyle="1">
    <w:name w:val="无格式表格 411"/>
    <w:uiPriority w:val="99"/>
    <w:qFormat/>
    <w:tblPr>
      <w:tblCellMar>
        <w:left w:w="0" w:type="dxa"/>
        <w:top w:w="0" w:type="dxa"/>
        <w:right w:w="0" w:type="dxa"/>
        <w:bottom w:w="0" w:type="dxa"/>
      </w:tblCellMar>
    </w:tblPr>
  </w:style>
  <w:style w:type="table" w:styleId="1417" w:customStyle="1">
    <w:name w:val="无格式表格 511"/>
    <w:uiPriority w:val="99"/>
    <w:qFormat/>
    <w:tblPr>
      <w:tblCellMar>
        <w:left w:w="0" w:type="dxa"/>
        <w:top w:w="0" w:type="dxa"/>
        <w:right w:w="0" w:type="dxa"/>
        <w:bottom w:w="0" w:type="dxa"/>
      </w:tblCellMar>
    </w:tblPr>
  </w:style>
  <w:style w:type="table" w:styleId="1418"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419"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20"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21"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22"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23"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24"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25"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26"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27"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28"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29"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30"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31"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32"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33"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34"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35"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36"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37"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38"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39"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440"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441"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442"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443"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444"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45"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46"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47"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48"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49"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0"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1"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2"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3"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54"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55"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56"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57"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58"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59"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60"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61"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62"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63"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64"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65"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66"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67" w:customStyle="1">
    <w:name w:val="清单表 1 浅色11"/>
    <w:uiPriority w:val="99"/>
    <w:qFormat/>
    <w:tblPr>
      <w:tblCellMar>
        <w:left w:w="0" w:type="dxa"/>
        <w:top w:w="0" w:type="dxa"/>
        <w:right w:w="0" w:type="dxa"/>
        <w:bottom w:w="0" w:type="dxa"/>
      </w:tblCellMar>
    </w:tblPr>
  </w:style>
  <w:style w:type="table" w:styleId="1468" w:customStyle="1">
    <w:name w:val="List Table 1 Light - Accent 11"/>
    <w:uiPriority w:val="99"/>
    <w:qFormat/>
    <w:tblPr>
      <w:tblCellMar>
        <w:left w:w="0" w:type="dxa"/>
        <w:top w:w="0" w:type="dxa"/>
        <w:right w:w="0" w:type="dxa"/>
        <w:bottom w:w="0" w:type="dxa"/>
      </w:tblCellMar>
    </w:tblPr>
  </w:style>
  <w:style w:type="table" w:styleId="1469" w:customStyle="1">
    <w:name w:val="List Table 1 Light - Accent 21"/>
    <w:uiPriority w:val="99"/>
    <w:qFormat/>
    <w:tblPr>
      <w:tblCellMar>
        <w:left w:w="0" w:type="dxa"/>
        <w:top w:w="0" w:type="dxa"/>
        <w:right w:w="0" w:type="dxa"/>
        <w:bottom w:w="0" w:type="dxa"/>
      </w:tblCellMar>
    </w:tblPr>
  </w:style>
  <w:style w:type="table" w:styleId="1470" w:customStyle="1">
    <w:name w:val="List Table 1 Light - Accent 31"/>
    <w:uiPriority w:val="99"/>
    <w:qFormat/>
    <w:tblPr>
      <w:tblCellMar>
        <w:left w:w="0" w:type="dxa"/>
        <w:top w:w="0" w:type="dxa"/>
        <w:right w:w="0" w:type="dxa"/>
        <w:bottom w:w="0" w:type="dxa"/>
      </w:tblCellMar>
    </w:tblPr>
  </w:style>
  <w:style w:type="table" w:styleId="1471" w:customStyle="1">
    <w:name w:val="List Table 1 Light - Accent 41"/>
    <w:uiPriority w:val="99"/>
    <w:qFormat/>
    <w:tblPr>
      <w:tblCellMar>
        <w:left w:w="0" w:type="dxa"/>
        <w:top w:w="0" w:type="dxa"/>
        <w:right w:w="0" w:type="dxa"/>
        <w:bottom w:w="0" w:type="dxa"/>
      </w:tblCellMar>
    </w:tblPr>
  </w:style>
  <w:style w:type="table" w:styleId="1472" w:customStyle="1">
    <w:name w:val="List Table 1 Light - Accent 51"/>
    <w:uiPriority w:val="99"/>
    <w:qFormat/>
    <w:tblPr>
      <w:tblCellMar>
        <w:left w:w="0" w:type="dxa"/>
        <w:top w:w="0" w:type="dxa"/>
        <w:right w:w="0" w:type="dxa"/>
        <w:bottom w:w="0" w:type="dxa"/>
      </w:tblCellMar>
    </w:tblPr>
  </w:style>
  <w:style w:type="table" w:styleId="1473" w:customStyle="1">
    <w:name w:val="List Table 1 Light - Accent 61"/>
    <w:uiPriority w:val="99"/>
    <w:qFormat/>
    <w:tblPr>
      <w:tblCellMar>
        <w:left w:w="0" w:type="dxa"/>
        <w:top w:w="0" w:type="dxa"/>
        <w:right w:w="0" w:type="dxa"/>
        <w:bottom w:w="0" w:type="dxa"/>
      </w:tblCellMar>
    </w:tblPr>
  </w:style>
  <w:style w:type="table" w:styleId="1474"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475"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476"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477"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478"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479"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480"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481"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482"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483"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484"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485"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86"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87"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88"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89"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90"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491"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492"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493"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494"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495"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96"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497"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498"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499"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500"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501"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502"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503"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504"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505"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506"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507"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508"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509"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510"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511"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512"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513"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514"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515"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516" w:customStyle="1">
    <w:name w:val="Lined - Accent 11"/>
    <w:uiPriority w:val="99"/>
    <w:qFormat/>
    <w:rPr>
      <w:color w:val="404040"/>
    </w:rPr>
    <w:tblPr>
      <w:tblCellMar>
        <w:left w:w="0" w:type="dxa"/>
        <w:top w:w="0" w:type="dxa"/>
        <w:right w:w="0" w:type="dxa"/>
        <w:bottom w:w="0" w:type="dxa"/>
      </w:tblCellMar>
    </w:tblPr>
  </w:style>
  <w:style w:type="table" w:styleId="1517" w:customStyle="1">
    <w:name w:val="Lined - Accent 21"/>
    <w:uiPriority w:val="99"/>
    <w:qFormat/>
    <w:rPr>
      <w:color w:val="404040"/>
    </w:rPr>
    <w:tblPr>
      <w:tblCellMar>
        <w:left w:w="0" w:type="dxa"/>
        <w:top w:w="0" w:type="dxa"/>
        <w:right w:w="0" w:type="dxa"/>
        <w:bottom w:w="0" w:type="dxa"/>
      </w:tblCellMar>
    </w:tblPr>
  </w:style>
  <w:style w:type="table" w:styleId="1518" w:customStyle="1">
    <w:name w:val="Lined - Accent 31"/>
    <w:uiPriority w:val="99"/>
    <w:qFormat/>
    <w:rPr>
      <w:color w:val="404040"/>
    </w:rPr>
    <w:tblPr>
      <w:tblCellMar>
        <w:left w:w="0" w:type="dxa"/>
        <w:top w:w="0" w:type="dxa"/>
        <w:right w:w="0" w:type="dxa"/>
        <w:bottom w:w="0" w:type="dxa"/>
      </w:tblCellMar>
    </w:tblPr>
  </w:style>
  <w:style w:type="table" w:styleId="1519" w:customStyle="1">
    <w:name w:val="Lined - Accent 41"/>
    <w:uiPriority w:val="99"/>
    <w:qFormat/>
    <w:rPr>
      <w:color w:val="404040"/>
    </w:rPr>
    <w:tblPr>
      <w:tblCellMar>
        <w:left w:w="0" w:type="dxa"/>
        <w:top w:w="0" w:type="dxa"/>
        <w:right w:w="0" w:type="dxa"/>
        <w:bottom w:w="0" w:type="dxa"/>
      </w:tblCellMar>
    </w:tblPr>
  </w:style>
  <w:style w:type="table" w:styleId="1520" w:customStyle="1">
    <w:name w:val="Lined - Accent 51"/>
    <w:uiPriority w:val="99"/>
    <w:qFormat/>
    <w:rPr>
      <w:color w:val="404040"/>
    </w:rPr>
    <w:tblPr>
      <w:tblCellMar>
        <w:left w:w="0" w:type="dxa"/>
        <w:top w:w="0" w:type="dxa"/>
        <w:right w:w="0" w:type="dxa"/>
        <w:bottom w:w="0" w:type="dxa"/>
      </w:tblCellMar>
    </w:tblPr>
  </w:style>
  <w:style w:type="table" w:styleId="1521" w:customStyle="1">
    <w:name w:val="Lined - Accent 61"/>
    <w:uiPriority w:val="99"/>
    <w:qFormat/>
    <w:rPr>
      <w:color w:val="404040"/>
    </w:rPr>
    <w:tblPr>
      <w:tblCellMar>
        <w:left w:w="0" w:type="dxa"/>
        <w:top w:w="0" w:type="dxa"/>
        <w:right w:w="0" w:type="dxa"/>
        <w:bottom w:w="0" w:type="dxa"/>
      </w:tblCellMar>
    </w:tblPr>
  </w:style>
  <w:style w:type="table" w:styleId="1522"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523"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524"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525"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526"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527"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528"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529"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530"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531"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532"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533"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534"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535" w:customStyle="1">
    <w:name w:val="普通表格11"/>
    <w:uiPriority w:val="0"/>
    <w:qFormat/>
    <w:tblPr>
      <w:tblCellMar>
        <w:left w:w="0" w:type="dxa"/>
        <w:top w:w="0" w:type="dxa"/>
        <w:right w:w="0" w:type="dxa"/>
        <w:bottom w:w="0" w:type="dxa"/>
      </w:tblCellMar>
    </w:tblPr>
  </w:style>
  <w:style w:type="table" w:styleId="1536" w:customStyle="1">
    <w:name w:val="网格型11"/>
    <w:basedOn w:val="1276"/>
    <w:uiPriority w:val="0"/>
    <w:qFormat/>
    <w:pPr>
      <w:jc w:val="both"/>
      <w:widowControl w:val="off"/>
    </w:pPr>
    <w:tblPr/>
  </w:style>
  <w:style w:type="paragraph" w:styleId="1537" w:customStyle="1">
    <w:name w:val="列出段落2"/>
    <w:basedOn w:val="1055"/>
    <w:uiPriority w:val="0"/>
    <w:qFormat/>
    <w:pPr>
      <w:ind w:firstLine="420"/>
      <w:widowControl w:val="off"/>
    </w:pPr>
    <w:rPr>
      <w:sz w:val="21"/>
      <w:szCs w:val="24"/>
    </w:rPr>
  </w:style>
  <w:style w:type="table" w:styleId="1538" w:customStyle="1">
    <w:name w:val="TableNormal1"/>
    <w:uiPriority w:val="0"/>
    <w:semiHidden/>
    <w:qFormat/>
    <w:tblPr>
      <w:tblCellMar>
        <w:left w:w="0" w:type="dxa"/>
        <w:top w:w="0" w:type="dxa"/>
        <w:right w:w="0" w:type="dxa"/>
        <w:bottom w:w="0" w:type="dxa"/>
      </w:tblCellMar>
    </w:tblPr>
  </w:style>
  <w:style w:type="paragraph" w:styleId="1539" w:customStyle="1">
    <w:name w:val="_Style 9"/>
    <w:basedOn w:val="1003"/>
    <w:next w:val="1002"/>
    <w:uiPriority w:val="0"/>
    <w:qFormat/>
    <w:pPr>
      <w:spacing w:before="340" w:after="330" w:line="576" w:lineRule="auto"/>
      <w:outlineLvl w:val="9"/>
    </w:pPr>
    <w:rPr>
      <w:rFonts w:ascii="Calibri" w:hAnsi="Calibri"/>
      <w:sz w:val="44"/>
    </w:rPr>
  </w:style>
  <w:style w:type="paragraph" w:styleId="1540" w:customStyle="1">
    <w:name w:val="WPSOffice手动目录 1"/>
    <w:uiPriority w:val="0"/>
    <w:qFormat/>
    <w:rPr>
      <w:rFonts w:ascii="Times New Roman" w:hAnsi="Times New Roman" w:eastAsia="宋体" w:cs="Times New Roman"/>
      <w:lang w:val="en-US" w:eastAsia="zh-CN" w:bidi="ar-SA"/>
    </w:rPr>
  </w:style>
  <w:style w:type="paragraph" w:styleId="1541" w:customStyle="1">
    <w:name w:val="WPSOffice手动目录 2"/>
    <w:uiPriority w:val="0"/>
    <w:qFormat/>
    <w:pPr>
      <w:ind w:left="200"/>
    </w:pPr>
    <w:rPr>
      <w:rFonts w:ascii="Times New Roman" w:hAnsi="Times New Roman" w:eastAsia="宋体" w:cs="Times New Roman"/>
      <w:lang w:val="en-US" w:eastAsia="zh-CN" w:bidi="ar-SA"/>
    </w:rPr>
  </w:style>
  <w:style w:type="paragraph" w:styleId="1542" w:customStyle="1">
    <w:name w:val="Fließtext"/>
    <w:uiPriority w:val="0"/>
    <w:qFormat/>
    <w:pPr>
      <w:jc w:val="both"/>
      <w:widowControl w:val="off"/>
    </w:pPr>
    <w:rPr>
      <w:rFonts w:ascii="Times New Roman" w:hAnsi="Times New Roman" w:eastAsia="宋体" w:cs="Times New Roman"/>
      <w:sz w:val="21"/>
      <w:lang w:val="en-US" w:eastAsia="zh-CN" w:bidi="ar-SA"/>
    </w:rPr>
  </w:style>
  <w:style w:type="paragraph" w:styleId="1543" w:customStyle="1">
    <w:name w:val="彩色列表 - 强调文字颜色 11"/>
    <w:basedOn w:val="1002"/>
    <w:uiPriority w:val="34"/>
    <w:qFormat/>
    <w:pPr>
      <w:ind w:firstLine="420"/>
    </w:pPr>
    <w:rPr>
      <w:szCs w:val="22"/>
    </w:rPr>
  </w:style>
  <w:style w:type="paragraph" w:styleId="1544" w:customStyle="1">
    <w:name w:val="标题 111"/>
    <w:basedOn w:val="1055"/>
    <w:next w:val="1055"/>
    <w:uiPriority w:val="0"/>
    <w:qFormat/>
    <w:pPr>
      <w:jc w:val="center"/>
      <w:keepLines/>
      <w:keepNext/>
      <w:spacing w:line="578" w:lineRule="auto"/>
      <w:outlineLvl w:val="0"/>
    </w:pPr>
    <w:rPr>
      <w:rFonts w:eastAsia="新宋体"/>
      <w:b/>
      <w:bCs/>
      <w:sz w:val="30"/>
      <w:szCs w:val="44"/>
    </w:rPr>
  </w:style>
  <w:style w:type="paragraph" w:styleId="1545" w:customStyle="1">
    <w:name w:val="_Style 11"/>
    <w:uiPriority w:val="1"/>
    <w:qFormat/>
    <w:pPr>
      <w:jc w:val="both"/>
      <w:widowControl w:val="off"/>
    </w:pPr>
    <w:rPr>
      <w:rFonts w:ascii="宋体" w:hAnsi="宋体" w:eastAsia="宋体" w:cs="宋体"/>
      <w:sz w:val="21"/>
      <w:szCs w:val="22"/>
      <w:lang w:val="en-US" w:eastAsia="zh-CN" w:bidi="ar-SA"/>
    </w:rPr>
  </w:style>
  <w:style w:type="paragraph" w:styleId="1546" w:customStyle="1">
    <w:name w:val="文本块111"/>
    <w:basedOn w:val="1002"/>
    <w:uiPriority w:val="0"/>
    <w:qFormat/>
    <w:pPr>
      <w:ind w:left="256" w:right="6" w:firstLine="624"/>
    </w:pPr>
    <w:rPr>
      <w:rFonts w:eastAsia="仿宋_GB2312"/>
      <w:sz w:val="28"/>
      <w:szCs w:val="20"/>
    </w:rPr>
  </w:style>
  <w:style w:type="character" w:styleId="1547" w:customStyle="1">
    <w:name w:val="NormalCharacter1"/>
    <w:uiPriority w:val="0"/>
    <w:qFormat/>
    <w:rPr>
      <w:lang w:val="en-US" w:eastAsia="zh-CN" w:bidi="ar-SA"/>
    </w:rPr>
  </w:style>
  <w:style w:type="table" w:styleId="1548" w:customStyle="1">
    <w:name w:val="网格型111"/>
    <w:uiPriority w:val="0"/>
    <w:qFormat/>
    <w:tblPr>
      <w:tblCellMar>
        <w:left w:w="0" w:type="dxa"/>
        <w:top w:w="0" w:type="dxa"/>
        <w:right w:w="0" w:type="dxa"/>
        <w:bottom w:w="0" w:type="dxa"/>
      </w:tblCellMar>
    </w:tblPr>
  </w:style>
  <w:style w:type="paragraph" w:styleId="1549" w:customStyle="1">
    <w:name w:val="正文_0_0"/>
    <w:uiPriority w:val="99"/>
    <w:unhideWhenUsed/>
    <w:qFormat/>
    <w:rPr>
      <w:rFonts w:ascii="Calibri" w:hAnsi="Calibri" w:eastAsia="宋体" w:cs="Times New Roman"/>
      <w:sz w:val="21"/>
      <w:lang w:val="en-US" w:eastAsia="zh-CN" w:bidi="ar-SA"/>
    </w:rPr>
  </w:style>
  <w:style w:type="paragraph" w:styleId="1550" w:customStyle="1">
    <w:name w:val="纯文本1"/>
    <w:basedOn w:val="1060"/>
    <w:uiPriority w:val="0"/>
    <w:qFormat/>
    <w:rPr>
      <w:rFonts w:ascii="宋体" w:hAnsi="Courier New"/>
      <w:sz w:val="20"/>
      <w:szCs w:val="20"/>
    </w:rPr>
  </w:style>
  <w:style w:type="paragraph" w:styleId="1551" w:customStyle="1">
    <w:name w:val="脚注文本12"/>
    <w:basedOn w:val="1002"/>
    <w:next w:val="1552"/>
    <w:uiPriority w:val="99"/>
    <w:unhideWhenUsed/>
    <w:qFormat/>
    <w:pPr>
      <w:spacing w:after="40"/>
    </w:pPr>
    <w:rPr>
      <w:sz w:val="18"/>
    </w:rPr>
  </w:style>
  <w:style w:type="paragraph" w:styleId="1552" w:customStyle="1">
    <w:name w:val="索引 512"/>
    <w:basedOn w:val="1002"/>
    <w:next w:val="1002"/>
    <w:uiPriority w:val="0"/>
    <w:qFormat/>
    <w:pPr>
      <w:ind w:left="798"/>
    </w:pPr>
    <w:rPr>
      <w:rFonts w:eastAsia="Times New Roman"/>
      <w:szCs w:val="24"/>
    </w:rPr>
  </w:style>
  <w:style w:type="paragraph" w:styleId="1553" w:customStyle="1">
    <w:name w:val="普通(网站)11"/>
    <w:basedOn w:val="1002"/>
    <w:uiPriority w:val="0"/>
    <w:qFormat/>
    <w:pPr>
      <w:jc w:val="left"/>
      <w:spacing w:before="100" w:beforeAutospacing="1" w:after="100" w:afterAutospacing="1"/>
    </w:pPr>
    <w:rPr>
      <w:rFonts w:ascii="宋体" w:hAnsi="宋体"/>
      <w:sz w:val="24"/>
    </w:rPr>
  </w:style>
  <w:style w:type="paragraph" w:styleId="1554" w:customStyle="1">
    <w:name w:val="正文文本 21"/>
    <w:basedOn w:val="1002"/>
    <w:uiPriority w:val="0"/>
    <w:qFormat/>
    <w:pPr>
      <w:jc w:val="center"/>
    </w:pPr>
    <w:rPr>
      <w:rFonts w:ascii="楷体_GB2312" w:eastAsia="楷体_GB2312"/>
      <w:sz w:val="28"/>
      <w:szCs w:val="28"/>
    </w:rPr>
  </w:style>
  <w:style w:type="paragraph" w:styleId="1555" w:customStyle="1">
    <w:name w:val="HtmlNormal1"/>
    <w:basedOn w:val="1002"/>
    <w:uiPriority w:val="0"/>
    <w:qFormat/>
    <w:pPr>
      <w:jc w:val="left"/>
      <w:spacing w:before="100" w:beforeAutospacing="1" w:after="100" w:afterAutospacing="1"/>
    </w:pPr>
    <w:rPr>
      <w:rFonts w:ascii="宋体" w:hAnsi="宋体"/>
      <w:sz w:val="24"/>
    </w:rPr>
  </w:style>
  <w:style w:type="character" w:styleId="1556" w:customStyle="1">
    <w:name w:val="NormalCharacter11"/>
    <w:uiPriority w:val="0"/>
    <w:semiHidden/>
    <w:qFormat/>
    <w:rPr>
      <w:rFonts w:ascii="Times New Roman" w:hAnsi="Times New Roman" w:eastAsia="宋体" w:cs="Times New Roman"/>
      <w:sz w:val="21"/>
      <w:szCs w:val="24"/>
    </w:rPr>
  </w:style>
  <w:style w:type="paragraph" w:styleId="1557" w:customStyle="1">
    <w:name w:val="标题 2112"/>
    <w:basedOn w:val="1002"/>
    <w:next w:val="1002"/>
    <w:uiPriority w:val="9"/>
    <w:unhideWhenUsed/>
    <w:qFormat/>
    <w:pPr>
      <w:keepLines/>
      <w:keepNext/>
      <w:spacing w:before="360" w:after="200"/>
      <w:outlineLvl w:val="1"/>
    </w:pPr>
    <w:rPr>
      <w:rFonts w:ascii="Arial" w:hAnsi="Arial" w:eastAsia="Arial" w:cs="Arial"/>
      <w:sz w:val="34"/>
    </w:rPr>
  </w:style>
  <w:style w:type="paragraph" w:styleId="1558" w:customStyle="1">
    <w:name w:val="正文_5"/>
    <w:uiPriority w:val="99"/>
    <w:qFormat/>
    <w:pPr>
      <w:jc w:val="both"/>
      <w:widowControl w:val="off"/>
    </w:pPr>
    <w:rPr>
      <w:rFonts w:ascii="Times New Roman" w:hAnsi="Times New Roman" w:eastAsia="宋体" w:cs="Times New Roman"/>
      <w:sz w:val="21"/>
      <w:szCs w:val="24"/>
      <w:lang w:val="en-US" w:eastAsia="zh-CN" w:bidi="ar-SA"/>
    </w:rPr>
  </w:style>
  <w:style w:type="paragraph" w:styleId="1559" w:customStyle="1">
    <w:name w:val="标题1"/>
    <w:basedOn w:val="1002"/>
    <w:next w:val="1002"/>
    <w:uiPriority w:val="0"/>
    <w:qFormat/>
    <w:pPr>
      <w:jc w:val="center"/>
      <w:spacing w:before="240" w:after="60"/>
      <w:outlineLvl w:val="0"/>
    </w:pPr>
    <w:rPr>
      <w:rFonts w:ascii="等线 Light" w:hAnsi="等线 Light"/>
      <w:b/>
      <w:bCs/>
      <w:sz w:val="32"/>
      <w:szCs w:val="32"/>
      <w:lang w:eastAsia="en-US"/>
    </w:rPr>
  </w:style>
  <w:style w:type="paragraph" w:styleId="1560" w:customStyle="1">
    <w:name w:val="样式 正文缩进正文（首行缩进两字） + 宋体 行距: 1.5 倍行距"/>
    <w:basedOn w:val="1016"/>
    <w:uiPriority w:val="0"/>
    <w:qFormat/>
    <w:pPr>
      <w:ind w:firstLine="482"/>
      <w:spacing w:line="300" w:lineRule="auto"/>
    </w:pPr>
    <w:rPr>
      <w:rFonts w:ascii="宋体" w:hAnsi="宋体" w:eastAsia="仿宋_GB2312"/>
      <w:szCs w:val="22"/>
    </w:rPr>
  </w:style>
  <w:style w:type="numbering" w:styleId="15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 Id="rId25" Type="http://schemas.openxmlformats.org/officeDocument/2006/relationships/image" Target="media/image2.jpg"/><Relationship Id="rId2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夏海燕</cp:lastModifiedBy>
  <cp:revision>71</cp:revision>
  <dcterms:created xsi:type="dcterms:W3CDTF">2022-12-08T06:37:00Z</dcterms:created>
  <dcterms:modified xsi:type="dcterms:W3CDTF">2026-05-07T07:41:32Z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A6234D5A7FE74DD8B9FD1CC72BCDF641_13</vt:lpwstr>
  </property>
  <property fmtid="{D5CDD505-2E9C-101B-9397-08002B2CF9AE}" pid="4" name="KSOTemplateDocerSaveRecord">
    <vt:lpwstr>eyJoZGlkIjoiNGE3NTRiNjhkNzA3NzAwMzE5Mjk4NWQ4ZGU1MjM4NDEiLCJ1c2VySWQiOiI0ODkyMzMxMDQifQ==</vt:lpwstr>
  </property>
</Properties>
</file>