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96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96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项目名称：江苏省人民医院“靶向</w:t>
      </w:r>
      <w:r>
        <w:rPr>
          <w:rFonts w:ascii="Arial" w:hAnsi="Arial" w:eastAsia="Arial" w:cs="Arial"/>
          <w:b/>
          <w:color w:val="000000"/>
          <w:sz w:val="32"/>
        </w:rPr>
        <w:t xml:space="preserve">CD19/CD20</w:t>
      </w:r>
      <w:r>
        <w:rPr>
          <w:rFonts w:ascii="SimSun" w:hAnsi="SimSun" w:eastAsia="SimSun" w:cs="SimSun"/>
          <w:b/>
          <w:color w:val="000000"/>
          <w:sz w:val="32"/>
        </w:rPr>
        <w:t xml:space="preserve">双靶点的通用型</w:t>
      </w:r>
      <w:r>
        <w:rPr>
          <w:rFonts w:ascii="Arial" w:hAnsi="Arial" w:eastAsia="Arial" w:cs="Arial"/>
          <w:b/>
          <w:color w:val="000000"/>
          <w:sz w:val="32"/>
        </w:rPr>
        <w:t xml:space="preserve">CART</w:t>
      </w:r>
      <w:r>
        <w:rPr>
          <w:rFonts w:ascii="SimSun" w:hAnsi="SimSun" w:eastAsia="SimSun" w:cs="SimSun"/>
          <w:b/>
          <w:color w:val="000000"/>
          <w:sz w:val="32"/>
        </w:rPr>
        <w:t xml:space="preserve">细胞制剂在治疗复发</w:t>
      </w:r>
      <w:r>
        <w:rPr>
          <w:rFonts w:ascii="Arial" w:hAnsi="Arial" w:eastAsia="Arial" w:cs="Arial"/>
          <w:b/>
          <w:color w:val="000000"/>
          <w:sz w:val="32"/>
        </w:rPr>
        <w:t xml:space="preserve">/</w:t>
      </w:r>
      <w:r>
        <w:rPr>
          <w:rFonts w:ascii="SimSun" w:hAnsi="SimSun" w:eastAsia="SimSun" w:cs="SimSun"/>
          <w:b/>
          <w:color w:val="000000"/>
          <w:sz w:val="32"/>
        </w:rPr>
        <w:t xml:space="preserve">难治</w:t>
      </w:r>
      <w:r>
        <w:rPr>
          <w:rFonts w:ascii="Arial" w:hAnsi="Arial" w:eastAsia="Arial" w:cs="Arial"/>
          <w:b/>
          <w:color w:val="000000"/>
          <w:sz w:val="32"/>
        </w:rPr>
        <w:t xml:space="preserve">B</w:t>
      </w:r>
      <w:r>
        <w:rPr>
          <w:rFonts w:ascii="SimSun" w:hAnsi="SimSun" w:eastAsia="SimSun" w:cs="SimSun"/>
          <w:b/>
          <w:color w:val="000000"/>
          <w:sz w:val="32"/>
        </w:rPr>
        <w:t xml:space="preserve">细胞非霍奇金巴瘤中的研究及应用”多组学检测与分析服务项目</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（标包</w:t>
      </w:r>
      <w:r>
        <w:rPr>
          <w:rFonts w:ascii="Arial" w:hAnsi="Arial" w:eastAsia="Arial" w:cs="Arial"/>
          <w:b/>
          <w:color w:val="000000"/>
          <w:sz w:val="32"/>
        </w:rPr>
        <w:t xml:space="preserve">2</w:t>
      </w:r>
      <w:r>
        <w:rPr>
          <w:rFonts w:ascii="SimSun" w:hAnsi="SimSun" w:eastAsia="SimSun" w:cs="SimSun"/>
          <w:b/>
          <w:color w:val="000000"/>
          <w:sz w:val="32"/>
        </w:rPr>
        <w:t xml:space="preserve">）代谢组和蛋白组检测与分析服务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采购编号：</w:t>
      </w:r>
      <w:r>
        <w:rPr>
          <w:rFonts w:ascii="Arial" w:hAnsi="Arial" w:eastAsia="Arial" w:cs="Arial"/>
          <w:b/>
          <w:color w:val="000000"/>
          <w:sz w:val="32"/>
        </w:rPr>
        <w:t xml:space="preserve">JSZC-320000-JCEC-G2026-0146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代理机构编号：</w:t>
      </w:r>
      <w:r>
        <w:rPr>
          <w:rFonts w:ascii="Arial" w:hAnsi="Arial" w:eastAsia="Arial" w:cs="Arial"/>
          <w:b/>
          <w:color w:val="000000"/>
          <w:sz w:val="32"/>
        </w:rPr>
        <w:t xml:space="preserve">ZJ06602653ZC01106/2         </w:t>
      </w:r>
      <w:r/>
    </w:p>
    <w:p>
      <w:pPr>
        <w:ind w:left="2811" w:right="0" w:hanging="2811"/>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采购人：江苏省人民医院</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采购代理机构：江苏省设备成套股份有限公司</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w:t>
      </w:r>
      <w:r>
        <w:rPr>
          <w:rFonts w:ascii="Arial" w:hAnsi="Arial" w:eastAsia="Arial" w:cs="Arial"/>
          <w:b/>
          <w:color w:val="000000"/>
          <w:sz w:val="32"/>
        </w:rPr>
        <w:t xml:space="preserve">2026</w:t>
      </w:r>
      <w:r>
        <w:rPr>
          <w:rFonts w:ascii="SimSun" w:hAnsi="SimSun" w:eastAsia="SimSun" w:cs="SimSun"/>
          <w:b/>
          <w:color w:val="000000"/>
          <w:sz w:val="32"/>
        </w:rPr>
        <w:t xml:space="preserve">年</w:t>
      </w:r>
      <w:r>
        <w:rPr>
          <w:rFonts w:ascii="Arial" w:hAnsi="Arial" w:eastAsia="Arial" w:cs="Arial"/>
          <w:b/>
          <w:color w:val="000000"/>
          <w:sz w:val="32"/>
        </w:rPr>
        <w:t xml:space="preserve">5</w:t>
      </w:r>
      <w:r>
        <w:rPr>
          <w:rFonts w:ascii="SimSun" w:hAnsi="SimSun" w:eastAsia="SimSun" w:cs="SimSun"/>
          <w:b/>
          <w:color w:val="000000"/>
          <w:sz w:val="32"/>
        </w:rPr>
        <w:t xml:space="preserve">月</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4"/>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投标邀请……………………………………2 </w:t>
      </w:r>
      <w:r/>
    </w:p>
    <w:p>
      <w:pPr>
        <w:numPr>
          <w:ilvl w:val="0"/>
          <w:numId w:val="4"/>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投标人须知…………………………………5  </w:t>
      </w:r>
      <w:r/>
    </w:p>
    <w:p>
      <w:pPr>
        <w:numPr>
          <w:ilvl w:val="0"/>
          <w:numId w:val="4"/>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合同文本……………………………………15</w:t>
      </w:r>
      <w:r/>
    </w:p>
    <w:p>
      <w:pPr>
        <w:numPr>
          <w:ilvl w:val="0"/>
          <w:numId w:val="4"/>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采购需求……………………………………25</w:t>
      </w:r>
      <w:r/>
    </w:p>
    <w:p>
      <w:pPr>
        <w:numPr>
          <w:ilvl w:val="0"/>
          <w:numId w:val="4"/>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评标方法与评标标准………………………40</w:t>
      </w:r>
      <w:r/>
    </w:p>
    <w:p>
      <w:pPr>
        <w:numPr>
          <w:ilvl w:val="0"/>
          <w:numId w:val="4"/>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投标文件格式………………………………43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第一章投标邀请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江苏省人民医院的委托，江苏省设备成套股份有限公司就江苏省人民医院“靶向CD19/CD20双靶点的通用型CART细胞制剂在治疗复发/难治B细胞非霍奇金巴瘤中的研究及应用”多组学检测与分析服务项目（JSZC-320000-JCEC-G2026-0146）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江苏省人民医院“靶向CD19/CD20双靶点的通用型CART细胞制剂在治疗复发/难治B细胞非霍奇金巴瘤中的研究及应用”多组学检测与分析服务项目</w:t>
      </w:r>
      <w:r>
        <w:rPr>
          <w:rFonts w:ascii="SimSun" w:hAnsi="SimSun" w:eastAsia="SimSun" w:cs="SimSun"/>
          <w:color w:val="000000"/>
          <w:sz w:val="24"/>
        </w:rPr>
        <w:t xml:space="preserve">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2026年6月12日9点30分（</w:t>
      </w:r>
      <w:r>
        <w:rPr>
          <w:rFonts w:ascii="SimSun" w:hAnsi="SimSun" w:eastAsia="SimSun" w:cs="SimSun"/>
          <w:color w:val="000000"/>
          <w:sz w:val="24"/>
        </w:rPr>
        <w:t xml:space="preserve">北京时间）前递交投标文件。</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1.采购编号：JSZC-320000-JCEC-G2026-0146</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2.项目名称：江苏省人民医院“靶向CD19/CD20双靶点的通用型CART细胞制剂在治疗复发/难治B细胞非霍奇金巴瘤中的研究及应用”多组学检测与分析服务项目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67"/>
        <w:gridCol w:w="2568"/>
        <w:gridCol w:w="1467"/>
        <w:gridCol w:w="4952"/>
      </w:tblGrid>
      <w:tr>
        <w:trPr>
          <w:trHeight w:val="4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种类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代谢组和蛋白组检测与分析服务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代谢组检测与分析服务30万元；蛋白组检测与分析服务30万元</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67"/>
        <w:gridCol w:w="2568"/>
        <w:gridCol w:w="1467"/>
        <w:gridCol w:w="4952"/>
      </w:tblGrid>
      <w:tr>
        <w:trPr>
          <w:trHeight w:val="4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种类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代谢组和蛋白组检测与分析服务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代谢组检测与分析服务30万元；蛋白组检测与分析服务30万元</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注：本项目分为包1、包2两个包。其中，包1已于2026年5月19日完成采购程序并确定成交供应商，本次公开招标仅针对包2进行采购。</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为满足科研需要，供应商需提供以下检测与配套分析服务：1.代谢组学服务：提供基于质谱平台的代谢物检测、质控与统计/通路分析。2.蛋白组学服务：提供基于质谱平台的蛋白定量检测、质控与差异/通路分析。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6.合同履行期限：壹年。</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2024或2025年度的财务状况报告（成立不满一年无需提供）；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具体详见第三章评标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3.联合体投标</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8"/>
        <w:gridCol w:w="2968"/>
        <w:gridCol w:w="319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是否接受联合体投标（是/否）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61"/>
        <w:gridCol w:w="789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9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3"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（1）单位负责人为同一人或者存在直接控股、管理关系的不同供应商，不得同时参加本项目同一包的投标。（提供声明或承诺书）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（2）拒绝列入失信被执行人、重大税收违法失信主体名单、政府采购严重违法失信行为记录名单及其他不符合《中华人民共和国政府采购法》第二十二条规定条件的供应商参与政府采购活动。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重大违法记录是指报价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r>
    </w:tbl>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2.方式：在“江苏政府采购网”自行免费下载招标文件。</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1.2026年6月12日09点30分</w:t>
      </w:r>
      <w:r>
        <w:rPr>
          <w:rFonts w:ascii="SimSun" w:hAnsi="SimSun" w:eastAsia="SimSun" w:cs="SimSun"/>
          <w:color w:val="000000"/>
          <w:sz w:val="24"/>
        </w:rPr>
        <w:t xml:space="preserve">（北京时间）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本项目在江苏政府采购网发布公告。</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江苏省人民医院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南京市鼓楼区广州路300号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张老师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025-68307322</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2.招标代理机构信息</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江苏省设备成套股份有限公司</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　南京市鼓楼区清江南路18号鼓楼创新广场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伦振波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025-83300811 </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ascii="Times New Roman" w:hAnsi="Times New Roman" w:eastAsia="Times New Roman" w:cs="Times New Roman"/>
          <w:color w:val="000000"/>
          <w:sz w:val="21"/>
        </w:rPr>
        <w:t xml:space="preserve">http://www.ccgp-jiangsu.gov.cn/jiangsu/zlxz/ee/ee3a4bc5a3454aa2b0d9312230633ce9.html</w:t>
      </w:r>
      <w:r>
        <w:rPr>
          <w:rFonts w:ascii="SimSun" w:hAnsi="SimSun" w:eastAsia="SimSun" w:cs="SimSun"/>
          <w:color w:val="000000"/>
          <w:sz w:val="21"/>
        </w:rPr>
        <w:t xml:space="preserve">。</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eastAsia="Times New Roman" w:cs="Times New Roman"/>
          <w:color w:val="000000"/>
          <w:sz w:val="21"/>
        </w:rPr>
        <w:t xml:space="preserve">www.jszwfw.gov.cn</w:t>
      </w:r>
      <w:r>
        <w:rPr>
          <w:rFonts w:ascii="SimSun" w:hAnsi="SimSun" w:eastAsia="SimSun" w:cs="SimSun"/>
          <w:color w:val="000000"/>
          <w:sz w:val="24"/>
        </w:rPr>
        <w:t xml:space="preserve">），“一企来办”专栏下“政府采购”模块详细了解关于CA办理、标书制作、开标投标指引等事宜。</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如果“江苏政府采购网”</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www.ccgp-jiangsu.gov.cn</w:t>
      </w:r>
      <w:r>
        <w:rPr>
          <w:rFonts w:ascii="SimSun" w:hAnsi="SimSun" w:eastAsia="SimSun" w:cs="SimSun"/>
          <w:color w:val="000000"/>
          <w:sz w:val="21"/>
        </w:rPr>
        <w:t xml:space="preserve">）</w:t>
      </w:r>
      <w:r>
        <w:rPr>
          <w:rFonts w:ascii="SimSun" w:hAnsi="SimSun" w:eastAsia="SimSun" w:cs="SimSun"/>
          <w:color w:val="000000"/>
          <w:sz w:val="24"/>
        </w:rPr>
        <w:t xml:space="preserve">信息与“江苏政务服务网”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www.jszwfw.gov.cn</w:t>
      </w:r>
      <w:r>
        <w:rPr>
          <w:rFonts w:ascii="SimSun" w:hAnsi="SimSun" w:eastAsia="SimSun" w:cs="SimSun"/>
          <w:color w:val="000000"/>
          <w:sz w:val="21"/>
        </w:rPr>
        <w:t xml:space="preserve">）</w:t>
      </w:r>
      <w:r>
        <w:rPr>
          <w:rFonts w:ascii="SimSun" w:hAnsi="SimSun" w:eastAsia="SimSun" w:cs="SimSun"/>
          <w:color w:val="000000"/>
          <w:sz w:val="24"/>
        </w:rPr>
        <w:t xml:space="preserve">，“一企来办”专栏下“政府采购”模块中信息不一致，以“江苏政府采购网”信息为准。</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有关本次招标的事项若存在变动或修改，敬请及时关注江苏省设备成套股份有限公司在“江苏政府采购网”发布的更正公告。</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本次招标不收取投标保证金。</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29"/>
        <w:jc w:val="both"/>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第二章投标人须知</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、招标方式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满足本文件实质性要求的规定。</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3</w:t>
      </w:r>
      <w:r>
        <w:rPr>
          <w:rFonts w:ascii="SimHei" w:hAnsi="SimHei" w:eastAsia="SimHei" w:cs="SimHei"/>
          <w:b/>
          <w:color w:val="000000"/>
          <w:sz w:val="28"/>
        </w:rPr>
        <w:t xml:space="preserve">、适用法律和标准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在本项目政府采购活动过程中，如果所执行的标准有更新的，按照最新标准执行。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、投标费用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投标人应自行承担所有与参加投标有关的费用，无论投标过程中的做法和结果如何，江苏省设备成套股份有限公司（以下简称成套公司）在任何情况下均无义务和责任承担这些费用。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成套公司和招标人不收取标书工本费，但中标人须向招标代理机构支付中标服务费。本次招标，中标人按《采购代理服务收费管理暂行办法》（国家发展计划委员会计价格[2002]1980号）收费标准的48%计算，向招标代理机构支付采购服务费，含投标报价中。</w:t>
      </w:r>
      <w:r/>
    </w:p>
    <w:p>
      <w:pPr>
        <w:ind w:left="0" w:right="0" w:firstLine="60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321"/>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、招标文件构成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请仔细检查招标文件是否齐全，如有缺漏请立即与成套公司联系解决。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、招标文件的修改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在投标截止时间前，成套公司可以对招标文件进行修改。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成套公司有权按照法定的要求推迟投标截止日期和开标日期。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招标文件的修改将在江苏政府采购网公布，补充文件将作为招标文件的组成部分，并对投标人具有约束力。</w:t>
      </w:r>
      <w:r/>
    </w:p>
    <w:p>
      <w:pPr>
        <w:ind w:left="0" w:right="0" w:firstLine="482"/>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、投标文件的语言及度量衡单位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投标人提交的投标文件以及投标人与成套公司就有关投标的所有来往通知、函件和文件均应使用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除技术性能另有规定外，投标文件所使用的度量衡单位，均须采用国家法定计量单位。</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、投标文件构成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投标人编写的投标文件应包括资格证明文件、实质性要求响应及偏离表、投标分项报价表、技术要求响应及偏离表、商务要求响应及偏离表、其他证明文件、投标函、开标一览表等部分。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如标书制作工具中格式和内容与“江苏政府采购网”发布的招标文件不一致，请以“江苏政府采购网”发布的招标文件为准。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10.1 投标人应按照法律、法规、规章和规范性文件以及招标文件要求提交证明文件，证明其及投标标的符合招标文件规定。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10.2招标文件对证明文件无明确形式要求的，证明文件可以以文字资料、图纸和数据等形式提交。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、投标分项报价表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投标人按照招标文件规定格式填报投标分项报价表。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11.2投标货币。投标文件中的单价和总价无特殊规定的采用人民币报价，以元为单位标注。招标文件中另有规定的按规定执行。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投标人需按照招标文件要求，在投标文件中提供与技术要求和商务要求相关的证明材料。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、投标函和开标一览表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、投标有效期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投标有效期为开标之日后</w:t>
      </w:r>
      <w:r>
        <w:rPr>
          <w:rFonts w:ascii="SimSun" w:hAnsi="SimSun" w:eastAsia="SimSun" w:cs="SimSun"/>
          <w:b/>
          <w:color w:val="000000"/>
          <w:sz w:val="24"/>
          <w:u w:val="single"/>
        </w:rPr>
        <w:t xml:space="preserve">九十（</w:t>
      </w:r>
      <w:r>
        <w:rPr>
          <w:rFonts w:ascii="FangSong" w:hAnsi="FangSong" w:eastAsia="FangSong" w:cs="FangSong"/>
          <w:b/>
          <w:color w:val="000000"/>
          <w:sz w:val="24"/>
          <w:u w:val="single"/>
        </w:rPr>
        <w:t xml:space="preserve">90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、投标有效期的延长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在特殊情况下，成套公司于原投标有效期满之前，可向投标人提出延长投标有效期的要求。这种要求与答复均应采用书面形式。投标人可以拒绝成套公司的这一要求而放弃投标。同意延长投标有效期的投标人既不能要求也不允许修改其投标文件，同时受投标有效期约束的所有权利与义务均延长至新的有效期。</w:t>
      </w:r>
      <w:r/>
    </w:p>
    <w:p>
      <w:pPr>
        <w:ind w:left="0" w:right="0" w:firstLine="482"/>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、投标文件的递交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电子投标文件的递交</w:t>
      </w:r>
      <w:r/>
    </w:p>
    <w:p>
      <w:pPr>
        <w:ind w:left="479" w:right="0" w:firstLine="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rPr>
          <w:rFonts w:ascii="SimHei" w:hAnsi="SimHei" w:eastAsia="SimHei" w:cs="SimHei"/>
          <w:color w:val="000000"/>
          <w:sz w:val="28"/>
        </w:rPr>
        <w:t xml:space="preserve">17、投标截止时间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成套公司可以按照规定，通过修改招标文件酌情延长投标截止时间，在此情况下，投标人的所有权利和义务以及投标人受制的截止时间均应以延长后新的截止时间为准。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、投标文件的拒收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18.1成套公司拒绝接收在其规定的投标截止时间后上传的任何投标文件。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、投标文件的撤回和修改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投标文件的撤回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电子投标文件的撤回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投标文件的修改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在投标截止时间至招标文件中规定的投标有效期满之间的这段时间内，投标人不得撤回其投标。</w:t>
      </w:r>
      <w:r/>
    </w:p>
    <w:p>
      <w:pPr>
        <w:ind w:left="0" w:right="0" w:firstLine="482"/>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、开标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成套公司将在招标公告中规定的时间和地点组织公开开标。投标人应当按照《操作手册》规定，参加开标活动和在苏采云系统规定的时间内对投标文件进行解密。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20.2开标仪式由成套公司组织。苏采云系统将自动对项目进行开标，并宣布各投标人名称和投标价格。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、评标委员会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21.1</w:t>
      </w:r>
      <w:r>
        <w:rPr>
          <w:rFonts w:ascii="SimSun" w:hAnsi="SimSun" w:eastAsia="SimSun" w:cs="SimSun"/>
          <w:b/>
          <w:color w:val="000000"/>
          <w:sz w:val="24"/>
        </w:rPr>
        <w:t xml:space="preserve"> </w:t>
      </w:r>
      <w:r>
        <w:rPr>
          <w:rFonts w:ascii="SimSun" w:hAnsi="SimSun" w:eastAsia="SimSun" w:cs="SimSun"/>
          <w:color w:val="000000"/>
          <w:sz w:val="24"/>
        </w:rPr>
        <w:t xml:space="preserve">开标后，成套公司将立即组织评标委员会进行评标。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21.2 评标委员会由采购人代表和有关技术、经济等方面的专家组成，且人员构成符合政府采购有关规定。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21.3评标委员会独立工作，负责评审所有投标文件并确定中标侯选人。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22、评标过程的保密与公正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22.1凡是与审查、澄清、评价和比较投标的有关资料以及授标建议等，采购人、评委、成套公司均不得向投标人或与评标无关的其他人员透露。</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成套公司和评标委员会不向未中标的投标人解释未中标原因，也不公布评标过程中的相关细节。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采用综合评分法的项目，未中标的投标人可于中标结果公告期限届满之日起通过苏采云系统查看自己的评审得分及排序情况。</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23</w:t>
      </w:r>
      <w:r>
        <w:rPr>
          <w:rFonts w:ascii="SimHei" w:hAnsi="SimHei" w:eastAsia="SimHei" w:cs="SimHei"/>
          <w:color w:val="000000"/>
          <w:sz w:val="28"/>
        </w:rPr>
        <w:t xml:space="preserve">、投标文件的澄清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23.1评标期间，评标委员会对投标文件中含义不明确、同类问题表述不一致或者有明显文字和计算错误的内容 ，有权要求投标人作出必要的澄清、说明或者补正。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23.3 接到评标委员会澄清、说明和补正要求的投标人如未按规定做出澄清、说明和补正，其风险由投标人自行承担。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24</w:t>
      </w:r>
      <w:r>
        <w:rPr>
          <w:rFonts w:ascii="SimHei" w:hAnsi="SimHei" w:eastAsia="SimHei" w:cs="SimHei"/>
          <w:color w:val="000000"/>
          <w:sz w:val="28"/>
        </w:rPr>
        <w:t xml:space="preserve">、对投标文件的初审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24.1投标文件初审分为资格审查和符合性审查。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资格审查：依据法律法规和招标文件的规定，由采购人对投标文件中的资格证明文件进行审查。资格审查的结论，采购人以书面形式向评标委员会进行反馈。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符合性审查：依据招标文件的规定，由评标委员会从投标文件的有效性、完整性和对招标文件的响应程度进行审查，以确定是否对招标文件的实质性要求作出响应。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未通过资格审查或符合性审查的投标人，成套公司将在苏采云系统中告知未通过资格审查或符合性审查的原因，评标结束后，成套公司将不再告知未通过资格审查和符合性审查的原因。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成套公司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24.3如果投标文件实质上没有响应招标文件的要求，评标委员会将予以拒绝，投标人不得通过修改或撤销不合要求的偏离或保留而使其投标成为实质性响应的投标。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24.4评标委员会将对确定为实质性响应的投标进行进一步审核，确定其是否有计算上或累加上的算术错误，修正错误的原则如下：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24.6投标人在开、评标全过程中应保持通讯畅通，及时登录苏采云系统查阅、答复相关信息，并安排专人与成套公司及评标委员会联系。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 异常低价投标审查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24.7.1 评标过程中出现下列情形之一的，评标委员会应当启动异常低价投标审查程序：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（1）投标报价低于全部通过符合性审查供应商投标报价平均值50%的，即投标报价&lt;全部通过符合性审查供应商投标报价平均值×50%；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（2）投标报价低于通过符合性审查的次低报价供应商投标报价50%的，即投标报价&lt;通过符合性审查的次低报价供应商投标报价×50%；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（3）投标报价低于采购项目最高限价45%的，即投标报价&lt;采购项目最高限价×45%；</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（4）评标委员会基于专业判断，认为供应商报价过低，有可能影响产品质量或者不能诚信履约的其他情形。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、无效投标条款和废标条款</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25.1无效投标条款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投标人未按照招标文件要求上传电子投标文件的。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25.1.4投标人不具备招标文件中规定资格要求的。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25.1.5投标人的报价超过了采购预算或最高限价的。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25.1.6未通过符合性审查的。</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25.1.7不符合招标文件中规定的实质性要求的</w:t>
      </w:r>
      <w:r>
        <w:rPr>
          <w:rFonts w:ascii="SimSun" w:hAnsi="SimSun" w:eastAsia="SimSun" w:cs="SimSun"/>
          <w:b/>
          <w:color w:val="000000"/>
          <w:sz w:val="24"/>
        </w:rPr>
        <w:t xml:space="preserve">（本招标文件中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为实质性要求）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25.1.8 投标人被 “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25.1.9 投标文件含有采购人不能接受的附加条件的。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25.1.10评标委员会按照本招标文件规定对投标人进行异常低价投标审查后，认为投标人不能证明其报价合理性的。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25.1.11 投标文件未按照招标文件要求加盖CA电子公章的。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25.1.12 投标人所提供的服务不符合招标文件中所列国家强制性标准的。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25.1.13其他法律、法规及本招标文件规定的属无效投标的情形。</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25.2废标条款</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25.2.1符合专业条件的供应商或者对招标文件作实质响应的供应商不足三家的。25.2.2出现影响采购公正的违法、违规行为的。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25.2.3因重大变故，采购任务取消的。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25.2.4评标委员会认定招标文件存在歧义、重大缺陷导致评审工作无法进行。</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25.2.5 因苏采云系统故障原因造成开标不成功的。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26、确定中标单位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采购人应根据评标委员会推荐的中标候选人确定中标供应商。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成套公司将在“江苏政府采购网”发布中标公告，公告期限为1个工作日。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26.4.1提供虚假材料谋取中标的。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26.4.2向采购人、成套公司行贿或者提供其他不正当利益的。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26.4.3属于本文件规定的无效条件，但在评标过程中又未被评标委员会发现的。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26.4.4与采购人或者其他供应商恶意串通的。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26.4.5采取不正当手段诋毁、排挤其他供应商的。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有下列情形之一的，视为投标人串通投标，投标无效：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26.5.1不同投标人的投标文件由同一单位或者个人编制。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26.5.2不同投标人委托同一单位或者个人办理投标事宜。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26.5.4不同投标人的投标文件异常一致或者投标报价呈规律性差异。</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27、质疑处理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供应商认为采购文件、采购过程和采购结果使自己的权益受到损害的，可以在知道或应知其权益受到损害之日起七个工作日内，以书面形式根据下述27.4条款的规定向成套公司或采购人提出质疑。上述应知其权益受到损害之日，是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27.2.2对采购过程提出质疑的，为各采购程序环节结束之日；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供应商应当在法定质疑期内一次性提出针对同一采购程序环节的质疑。供应商如在法定期限内对同一采购程序环节提出多次质疑的，成套公司、采购人将只对供应商第一次质疑作出答复。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供应商（含潜在供应商）对采购方式、采购需求、供应商资格条件及审查结果、评标方法与评标标准、合同文本的询问、质疑请向采购人提出，由采购人负责答复。供应商对除上述事项以外其他事项的询问、质疑请向成套公司提出，由成套公司负责答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成套公司质疑接收地址：南京市鼓楼区清江南路18号鼓楼创新广场D座1004室，联系人：伦工，联系电话：13705178114；邮箱：Lunzb@jcec.cn。</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以下情形的质疑不予受理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 超出政府采购法定期限的质疑。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未参加投标活动的供应商或在投标活动中自身权益未受到损害的供应商所提出的质疑。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27.5.4供应商组成联合体参加投标，联合体中任何一方或多方未按要求签字、盖章、加盖公章的质疑。</w:t>
      </w:r>
      <w:r/>
    </w:p>
    <w:p>
      <w:pPr>
        <w:ind w:left="0" w:right="0" w:firstLine="46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27.6  供应商提出书面质疑必须有理、有据，不得捏造事实、提供虚假材料进行恶意质疑。否则，一经查实，成套公司有权依据政府采购的有关规定，报请政府采购监管部门对该供应商进行相应的行政处罚和记录该供应商的失信信息。</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28、中标通知书</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成套公司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29、签订合同</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w:t>
      </w:r>
      <w:r>
        <w:rPr>
          <w:rFonts w:ascii="SimSun" w:hAnsi="SimSun" w:eastAsia="SimSun" w:cs="SimSun"/>
          <w:b/>
          <w:color w:val="000000"/>
          <w:sz w:val="24"/>
        </w:rPr>
        <w:t xml:space="preserve"> </w:t>
      </w:r>
      <w:r>
        <w:rPr>
          <w:rFonts w:ascii="SimSun" w:hAnsi="SimSun" w:eastAsia="SimSun" w:cs="SimSun"/>
          <w:color w:val="000000"/>
          <w:sz w:val="24"/>
        </w:rPr>
        <w:t xml:space="preserve">招标文件、中标供应商的投标文件及招标过程中有关澄清、承诺文件均应作为合同附件。</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30、服务（包含与服务相关的货物）的追加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31、政府采购履约资金扶持政策</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  合同文本</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合同编号</w:t>
      </w:r>
      <w:r>
        <w:rPr>
          <w:rFonts w:ascii="SimSun" w:hAnsi="SimSun" w:eastAsia="SimSun" w:cs="SimSun"/>
          <w:color w:val="000000"/>
          <w:sz w:val="21"/>
        </w:rPr>
        <w:t xml:space="preserve"> </w:t>
      </w:r>
      <w:r>
        <w:rPr>
          <w:rFonts w:ascii="SimSun" w:hAnsi="SimSun" w:eastAsia="SimSun" w:cs="SimSun"/>
          <w:b/>
          <w:color w:val="000000"/>
          <w:sz w:val="21"/>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委托第三方检测协议</w:t>
      </w:r>
      <w:r/>
    </w:p>
    <w:p>
      <w:pPr>
        <w:ind w:left="3650" w:right="0" w:firstLine="6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(参考模板)</w:t>
      </w:r>
      <w:r/>
    </w:p>
    <w:p>
      <w:pPr>
        <w:ind w:left="0" w:right="0" w:firstLine="0"/>
        <w:jc w:val="both"/>
        <w:spacing w:before="0" w:after="0" w:line="85" w:lineRule="atLeast"/>
        <w:tabs>
          <w:tab w:val="left" w:pos="3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甲方：江苏省人民医院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通讯地址： </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 方 ： </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通讯地址： </w:t>
      </w:r>
      <w:r>
        <w:rPr>
          <w:rFonts w:ascii="SimSun" w:hAnsi="SimSun" w:eastAsia="SimSun" w:cs="SimSun"/>
          <w:color w:val="000000"/>
          <w:sz w:val="21"/>
          <w:u w:val="single"/>
        </w:rPr>
        <w:t xml:space="preserve">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鉴于乙方具备提供 </w:t>
      </w:r>
      <w:r>
        <w:rPr>
          <w:rFonts w:ascii="SimSun" w:hAnsi="SimSun" w:eastAsia="SimSun" w:cs="SimSun"/>
          <w:color w:val="000000"/>
          <w:sz w:val="21"/>
          <w:u w:val="single"/>
        </w:rPr>
        <w:t xml:space="preserve">   外包</w:t>
      </w:r>
      <w:r>
        <w:rPr>
          <w:rFonts w:ascii="SimSun" w:hAnsi="SimSun" w:eastAsia="SimSun" w:cs="SimSun"/>
          <w:color w:val="000000"/>
          <w:sz w:val="21"/>
        </w:rPr>
        <w:t xml:space="preserve"> 检测技术服务的资格、技术条件和能力，甲、乙双方经友好协商，在真实、充分地表达各自意愿的基础上，就乙方为甲方提供检测服务等相关事宜达成一致，以资共同遵守。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一、委托内容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甲、乙双方经友好协商，乙方向甲方提供以下检测服务：</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8"/>
        <w:gridCol w:w="5562"/>
        <w:gridCol w:w="2944"/>
      </w:tblGrid>
      <w:tr>
        <w:trPr>
          <w:trHeight w:val="21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562" w:type="dxa"/>
            <w:vAlign w:val="center"/>
            <w:textDirection w:val="lrTb"/>
            <w:noWrap w:val="false"/>
          </w:tcPr>
          <w:p>
            <w:pPr>
              <w:ind w:left="141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944" w:type="dxa"/>
            <w:vAlign w:val="center"/>
            <w:textDirection w:val="lrTb"/>
            <w:noWrap w:val="false"/>
          </w:tcPr>
          <w:p>
            <w:pPr>
              <w:ind w:left="81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服务期限</w:t>
            </w:r>
            <w:r/>
          </w:p>
        </w:tc>
      </w:tr>
      <w:tr>
        <w:trPr>
          <w:trHeight w:val="2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44" w:type="dxa"/>
            <w:vAlign w:val="center"/>
            <w:textDirection w:val="lrTb"/>
            <w:noWrap w:val="false"/>
          </w:tcPr>
          <w:p>
            <w:pPr>
              <w:ind w:left="5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自合同签订之日起壹年</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二、双方权利与义务</w:t>
      </w:r>
      <w:r/>
    </w:p>
    <w:p>
      <w:pPr>
        <w:ind w:left="0" w:right="0" w:firstLine="63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(一)甲方权利和义务</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1.样本采集和前期处理：甲方负责样本采集并保证样本的合法性、合格性。</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2.样本递送：甲方负责向乙方提供样本及每份样本的样本信息，并确保样本与受检者信息一致。甲方根据双方约定的方式（乙方到甲方指定地点上门接收）将上述资料递送至乙方，同时提供签字确认的交接单。</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3.报告接收：甲方应及时接收乙方所发放的检测报告单，电子版本由乙方上传网站供甲方查阅，纸张版本由乙方快递寄送给甲方。</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4.样本重采：不符合检测要求需要重新采样的，甲方需根据乙方的反馈信息及时与受检者沟通并安排重新采样，重新采样检测乙方不收取费用。</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5.检测收费：合同签订之日起，根据每月实际服务发生数量乘以投标单价向供应商支付相应费用。</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6.甲方对乙方有监管权利，对乙方实验室以及提供的检测服务内容、 质量进行定期或不定期质控监督。</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(二)乙方权利和义务</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1.资料提供：乙方负责提供标本递送所需的相应文本和材料。</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样本接收：乙方安排专人负责接收甲方递送的样本，并将签字确认后的交接单交还甲方。乙方接收到样本后核对样本信息；若发现信息不一致、样本破损或外观异常等现象，则该样本视为不合格样本，乙方应与甲方现场确认样品是否合格、送检信息或重采样本等。</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3.样本检测：乙方负责在接收到合格的样本后，安排样本的检测。所有经过检测后的剩余样本，均由乙方按相关法规负责处理或长期保管，并保证不提供给甲方之外的第三人，包括：</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(1)乙方严格按照相关标准开展本合同委托检测工作，不得转包、分包，保证工作全过程的科学性、准确性、可追溯性，并严格保 障受检者个人隐私及数据安全，所涉及检测内容及结果不外泄；</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(2)乙方检测时使用的设备必须在检定合格有效期内，环境符合标准检测要求；</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(3)乙方对标本的全程管理符合检测需求和生物安全的要求；</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(4)乙方保证检验过程中的质量控制；</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(5)乙方保证对甲方送检的合格样本按照甲方申请的检测方法进行检测并对检测结果的质量承担责任；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(6)乙方对经过检测后的剩余样本按《医疗机构临床实验室管理办法》负责处理或长期保管，并保证不提供给甲方之外的第三人，检测报告应保存至合同终止后五年。</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(7)乙方必须按照甲方委托书要求内容进行测试，出具检测报告。报告内容必须真实、准确，保证与所测试的数据一致；</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须按照项目采购清单要求规定的时间内出具准确可靠的纸质和电子检测报告，加急样本在检测实验室收到样本后加急处理优先出具检测报告，乙方对出具的检测报告负全部责任。若由于样本自身或其他原因而导致的无法出具检测报告的情况，乙方须第一时间通知采购单位。</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检验结果的信息化，乙方应根据甲方的需求具体落实并承担因此而发生的费用；检测结果报告中的内容及格式符合相关实验室管理规范要求，支持网上查询检测报告（PC端、APP均可查询）；提供完整的数据对接方案，报告数据可对接甲方医院系统，能实现无纸化传输检测结果。</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(10)乙方专业的技术人员负责向甲方解释各项检测方法、质控标准、结果；</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(11)配合甲方不定期对样本运输、检测流程、检验结果及检验质量的监督检查；</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(12)项目检测要求（详见招标文件第四章项目需求中“项目检测要求”）。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报告发放：乙方应根据约定的各检测项目的检测周期将检测报告单以纸质报告和电子报告两种形式发给甲方，乙方自收到标本后，按照不同的检测项目所需周期完成相关检测，加急样本在检测实验室收到样本后加急处理优先出具检测报告。若由于样本自身或其他原因而导致的无法出具检测报告的情况，乙方需在30分钟内通知甲方。若出现检测项目危急值或双方约定的其他异常结果报告，乙方应出检测结果报告后的30分钟内电话通知甲方，并及时出具相应的纸质和电子报告。</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三、受检样本的交接</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(一)交接时间：乙方应在甲方通知后</w:t>
      </w:r>
      <w:r>
        <w:rPr>
          <w:rFonts w:ascii="SimSun" w:hAnsi="SimSun" w:eastAsia="SimSun" w:cs="SimSun"/>
          <w:color w:val="000000"/>
          <w:sz w:val="21"/>
          <w:u w:val="single"/>
        </w:rPr>
        <w:t xml:space="preserve">24</w:t>
      </w:r>
      <w:r>
        <w:rPr>
          <w:rFonts w:ascii="SimSun" w:hAnsi="SimSun" w:eastAsia="SimSun" w:cs="SimSun"/>
          <w:color w:val="000000"/>
          <w:sz w:val="21"/>
        </w:rPr>
        <w:t xml:space="preserve"> 小时内到指定地点接收甲方递送的样本和资料。</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(二)交接地点： </w:t>
      </w:r>
      <w:r>
        <w:rPr>
          <w:rFonts w:ascii="SimSun" w:hAnsi="SimSun" w:eastAsia="SimSun" w:cs="SimSun"/>
          <w:color w:val="000000"/>
          <w:sz w:val="21"/>
          <w:u w:val="single"/>
        </w:rPr>
        <w:t xml:space="preserve">  甲方指定地点。 </w:t>
      </w:r>
      <w:r>
        <w:rPr>
          <w:rFonts w:ascii="SimSun" w:hAnsi="SimSun" w:eastAsia="SimSun" w:cs="SimSun"/>
          <w:color w:val="000000"/>
          <w:sz w:val="21"/>
        </w:rPr>
        <w:t xml:space="preserve">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(三)交接时甲方应保证包装符合运输和保存的要求；乙方接收或者在甲方通知后24小时，视为乙方已接收。</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(四)乙方应当在交接时应对样本及以下资料进行核对：</w:t>
      </w:r>
      <w:r>
        <w:rPr>
          <w:rFonts w:ascii="SimSun" w:hAnsi="SimSun" w:eastAsia="SimSun" w:cs="SimSun"/>
          <w:color w:val="ff0000"/>
          <w:sz w:val="21"/>
        </w:rPr>
        <w:t xml:space="preserve">《</w:t>
      </w:r>
      <w:r>
        <w:rPr>
          <w:rFonts w:ascii="SimSun" w:hAnsi="SimSun" w:eastAsia="SimSun" w:cs="SimSun"/>
          <w:color w:val="000000"/>
          <w:sz w:val="21"/>
        </w:rPr>
        <w:t xml:space="preserve">代谢组和蛋白组检测与分析服务</w:t>
      </w:r>
      <w:r>
        <w:rPr>
          <w:rFonts w:ascii="SimSun" w:hAnsi="SimSun" w:eastAsia="SimSun" w:cs="SimSun"/>
          <w:color w:val="ff0000"/>
          <w:sz w:val="21"/>
        </w:rPr>
        <w:t xml:space="preserve">》</w:t>
      </w:r>
      <w:r>
        <w:rPr>
          <w:rFonts w:ascii="SimSun" w:hAnsi="SimSun" w:eastAsia="SimSun" w:cs="SimSun"/>
          <w:color w:val="000000"/>
          <w:sz w:val="21"/>
        </w:rPr>
        <w:t xml:space="preserve">送检样本交接单</w:t>
      </w:r>
      <w:r>
        <w:rPr>
          <w:rFonts w:ascii="SimSun" w:hAnsi="SimSun" w:eastAsia="SimSun" w:cs="SimSun"/>
          <w:color w:val="000000"/>
          <w:sz w:val="21"/>
          <w:u w:val="single"/>
        </w:rPr>
        <w:t xml:space="preserve">(均以乙方提供的最新版为准)</w:t>
      </w: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(五）受检样本由乙方根据项目方案要求，使用专用标本箱。全程采用冷藏或冷链运输，运输温度维持在2-8℃保存不超过72h。</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四、费用结算</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(一)结算规则：乙方每</w:t>
      </w:r>
      <w:r>
        <w:rPr>
          <w:rFonts w:ascii="SimSun" w:hAnsi="SimSun" w:eastAsia="SimSun" w:cs="SimSun"/>
          <w:color w:val="000000"/>
          <w:sz w:val="21"/>
          <w:u w:val="single"/>
        </w:rPr>
        <w:t xml:space="preserve">月</w:t>
      </w:r>
      <w:r>
        <w:rPr>
          <w:rFonts w:ascii="SimSun" w:hAnsi="SimSun" w:eastAsia="SimSun" w:cs="SimSun"/>
          <w:color w:val="000000"/>
          <w:sz w:val="21"/>
        </w:rPr>
        <w:t xml:space="preserve">(周期)以甲方《代谢组和蛋白组检测与分析服务》项目的含有乙方签收信息的样本交接单中的数量作为统计业务量的依据，乙方将统计量同时发送至甲方。双方核对无误后，甲方在收到乙方开具的相应税务发票后</w:t>
      </w:r>
      <w:r>
        <w:rPr>
          <w:rFonts w:ascii="SimSun" w:hAnsi="SimSun" w:eastAsia="SimSun" w:cs="SimSun"/>
          <w:color w:val="000000"/>
          <w:sz w:val="21"/>
          <w:u w:val="single"/>
        </w:rPr>
        <w:t xml:space="preserve"> 30 </w:t>
      </w:r>
      <w:r>
        <w:rPr>
          <w:rFonts w:ascii="SimSun" w:hAnsi="SimSun" w:eastAsia="SimSun" w:cs="SimSun"/>
          <w:color w:val="000000"/>
          <w:sz w:val="21"/>
        </w:rPr>
        <w:t xml:space="preserve">工作日内，按“业务量×结算价格”向乙方结算该周期内的检测费用。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(二)乙方收款信息：</w:t>
      </w:r>
      <w:r/>
    </w:p>
    <w:p>
      <w:pPr>
        <w:ind w:left="54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户名：</w:t>
      </w:r>
      <w:r>
        <w:rPr>
          <w:rFonts w:ascii="SimSun" w:hAnsi="SimSun" w:eastAsia="SimSun" w:cs="SimSun"/>
          <w:color w:val="000000"/>
          <w:sz w:val="21"/>
          <w:u w:val="single"/>
        </w:rPr>
        <w:t xml:space="preserve">                                      </w:t>
      </w:r>
      <w:r>
        <w:rPr>
          <w:rFonts w:ascii="SimSun" w:hAnsi="SimSun" w:eastAsia="SimSun" w:cs="SimSun"/>
          <w:color w:val="000000"/>
          <w:sz w:val="21"/>
        </w:rPr>
        <w:t xml:space="preserve"> </w:t>
        <w:tab/>
        <w:tab/>
        <w:t xml:space="preserve"> </w:t>
      </w:r>
      <w:r/>
    </w:p>
    <w:p>
      <w:pPr>
        <w:ind w:left="54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税号：</w:t>
      </w:r>
      <w:r>
        <w:rPr>
          <w:rFonts w:ascii="SimSun" w:hAnsi="SimSun" w:eastAsia="SimSun" w:cs="SimSun"/>
          <w:color w:val="000000"/>
          <w:sz w:val="21"/>
          <w:u w:val="single"/>
        </w:rPr>
        <w:t xml:space="preserve">                                      </w:t>
      </w:r>
      <w:r>
        <w:rPr>
          <w:rFonts w:ascii="SimSun" w:hAnsi="SimSun" w:eastAsia="SimSun" w:cs="SimSun"/>
          <w:color w:val="000000"/>
          <w:sz w:val="21"/>
        </w:rPr>
        <w:t xml:space="preserve">     </w:t>
        <w:tab/>
        <w:tab/>
        <w:t xml:space="preserve"> </w:t>
      </w:r>
      <w:r/>
    </w:p>
    <w:p>
      <w:pPr>
        <w:ind w:left="54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rPr>
          <w:rFonts w:ascii="SimSun" w:hAnsi="SimSun" w:eastAsia="SimSun" w:cs="SimSun"/>
          <w:color w:val="000000"/>
          <w:sz w:val="21"/>
          <w:u w:val="single"/>
        </w:rPr>
        <w:t xml:space="preserve">                                    </w:t>
      </w:r>
      <w:r>
        <w:rPr>
          <w:rFonts w:ascii="SimSun" w:hAnsi="SimSun" w:eastAsia="SimSun" w:cs="SimSun"/>
          <w:color w:val="000000"/>
          <w:sz w:val="21"/>
        </w:rPr>
        <w:tab/>
        <w:t xml:space="preserve"> </w:t>
      </w:r>
      <w:r/>
    </w:p>
    <w:p>
      <w:pPr>
        <w:ind w:left="54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 </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54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(三)禁止现金交易，甲方将款项打入上述账号，即视为完成付款。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五、保密义务</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(二)乙方只能向因职责所需而需要了解上述保密资料的工作人员透露保密资料，且该工作人员经双方协商授权确定，并应与授权的工作人员签订《保密合同》以防止未经授权向第三人披露。</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(三)乙方保证对受检者所有信息保密，除非该信息已经由受检者主动公开。</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(四)除征得甲方事先书面同意外，乙方不得将检测信息用于科研、宣传。</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(五)本协议规定的保密义务不因本协议的终止、中止而失效，除非相关资料依法成为公开信息。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六、违约责任</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(一)延期责任</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1.如因乙方原因(包括实验室内样本丢失、检测、出具报告等环节)不能按时提供检测结果导致的出具检测报告延误，由乙方按 </w:t>
      </w:r>
      <w:r>
        <w:rPr>
          <w:rFonts w:ascii="SimSun" w:hAnsi="SimSun" w:eastAsia="SimSun" w:cs="SimSun"/>
          <w:color w:val="000000"/>
          <w:sz w:val="21"/>
          <w:u w:val="single"/>
        </w:rPr>
        <w:t xml:space="preserve"> 800 </w:t>
      </w:r>
      <w:r>
        <w:rPr>
          <w:rFonts w:ascii="SimSun" w:hAnsi="SimSun" w:eastAsia="SimSun" w:cs="SimSun"/>
          <w:color w:val="000000"/>
          <w:sz w:val="21"/>
        </w:rPr>
        <w:t xml:space="preserve">元/份承担违约责任。</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不可抗力导致项目延误或协议不能继续履行时，双方均不承担责任。受到不可抗力影响的一方应当及时书面通知另一方，并出具证明材料。不可抗力包括地震、洪水、战争、军事行动、法律或政府政策等相关因素。</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(二)违反保密义务</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如有违反本协议第五条保密义务的任何规定，则违约方须及时采取措施防止守约方损失扩大，赔偿守约方相关损失并支付1万元作为违约金。因违反保密条款引发侵权责任诉讼或赔偿事项的由违约方承担侵权法律责任。</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(三)禁止转包、分包</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乙方应亲自履行合同义务，不得将检测项目转包、分包给第三方进行检测。因违反该条款引发侵权责任诉讼或赔偿事项的由违约方承担侵权法律责任。</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(四)检测不准确、不真实的责任承担</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如乙方出具的检测报告不准确或不真实，导致甲方对外承担包括但不限于民事赔偿、行政处罚等责任，应由乙方承担甲方经济损失等全部责任，并按最终经济损失的5%向甲方支付违约金。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七、协议履行</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甲方指定</w:t>
      </w:r>
      <w:r>
        <w:rPr>
          <w:rFonts w:ascii="SimSun" w:hAnsi="SimSun" w:eastAsia="SimSun" w:cs="SimSun"/>
          <w:color w:val="000000"/>
          <w:sz w:val="21"/>
          <w:u w:val="single"/>
        </w:rPr>
        <w:t xml:space="preserve">(科室、职务、姓名、联系电话、电子邮箱等</w:t>
      </w:r>
      <w:r>
        <w:rPr>
          <w:rFonts w:ascii="SimSun" w:hAnsi="SimSun" w:eastAsia="SimSun" w:cs="SimSun"/>
          <w:color w:val="000000"/>
          <w:sz w:val="21"/>
        </w:rPr>
        <w:t xml:space="preserve">)为甲方项目联系人。</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乙方指定</w:t>
      </w:r>
      <w:r>
        <w:rPr>
          <w:rFonts w:ascii="SimSun" w:hAnsi="SimSun" w:eastAsia="SimSun" w:cs="SimSun"/>
          <w:color w:val="000000"/>
          <w:sz w:val="21"/>
          <w:u w:val="single"/>
        </w:rPr>
        <w:t xml:space="preserve">             </w:t>
      </w:r>
      <w:r>
        <w:rPr>
          <w:rFonts w:ascii="SimSun" w:hAnsi="SimSun" w:eastAsia="SimSun" w:cs="SimSun"/>
          <w:color w:val="000000"/>
          <w:sz w:val="21"/>
        </w:rPr>
        <w:t xml:space="preserve">为乙方项目联系人。</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一方变更项目联系人的，应当及时并以书面形式通知对方。未及时通知并影响本协议履行或造成损失的，未及时通知一方应承担相应的责任。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八、协议终止</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如乙方在检测过程中出现以下情形，甲方有权终止合作：</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1.因包括但不限于操作不规范或不符合技术规范等原因，导致检测结果不准确。</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2.未能按照合同约定的时间和质量要求完成检测，不能及时提供检测结果，不可抗力除外。</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3.实验室不诚信，出现欺诈行为，包括但不限于篡改室内质控数据、受检者检验数据等。</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4.实验室管理不善，出现生物安全隐患。</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5.泄露受检者信息造成不良后果或者泄露信息达到1人次。</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6.发生其他违反有关法律法规规定的情形。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九、廉洁条款</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为进一步加强医疗卫生行风建设，规范医疗卫生机构购销行为，有效防范商业贿赂行为，营造公平交易、诚实守信的购销环境，特约定以下廉洁条款，以资合同各方共同遵守：</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1.合同各方按照《中华人民共和国民法典》及廉洁条款约定履行。</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严禁接受乙方以任何名义、形式给予的回扣，不得将接受捐赠资助与采购挂钩。甲方工作人员不得参加乙方安排并支付费用的营业性娱乐场所的娱乐活动，不得以任何形式向乙方索要现金、有价证券、支付凭 证和贵重礼品等。被迫接受乙方给予的钱物，应予退还，无法退还的，有责任如实向纪检监察部门反映情况。</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3.甲方严禁利用任何途径和方式，为乙方统计医师个人及临床科室有关产品用量信息，或为乙方统计提供便利。</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4.乙方不得以回扣、宴请等方式影响甲方工作人员采购或使用产品的选择权，不得在学术活动中提供旅游、超标准支付食宿费用。</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5.乙方指定销售代表必须在工作时间到甲方指定地点联系商谈，不得到住院部、门诊部、医技科室等推销，不得借故到甲方相关领导、部门负责人及相关工作人员非办公场所访谈并提供任何好处费等。</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6.乙方如违反本廉洁条款，一经发现，甲方有权终止本合同，并向上级主管部门报告。如乙方被列入商业贿赂不良记录，则严格按照国家相关规定处理。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7.本廉洁条款在合同履行过程中，合同各方均需严格遵守。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十、争议解决与文件送达</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(一)双方因履行本合同发生争议，应首先通过友好协商解决；协商不成时，可以提交南京市鼓楼区人民法院诉讼解决。</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十一、其他</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(一)本协议经双方签字盖章后生效，合作期限自    年    月  日始至      年    月   日止，合作期限为壹年。</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(二)本协议一式陆份，甲乙双方各持叁份，具有同等法律效力。未尽事宜，另行签订补充协议，补充协议与本协议不一致的，以补充协议为准。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(以下无正文)</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                      乙方(盖章)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法定代表人(授权委托人)：          法定代表人(授权委托人)：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经办人：经办人：</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签订日期：签订日期：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一、项目概况</w:t>
      </w:r>
      <w:r/>
    </w:p>
    <w:p>
      <w:pPr>
        <w:ind w:left="0" w:right="0" w:firstLine="420"/>
        <w:jc w:val="both"/>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项目编号：JSZC-320000-JCEC-G2026-0146；代理机构编号：ZJ06602653ZC01106/2</w:t>
      </w:r>
      <w:r/>
    </w:p>
    <w:p>
      <w:pPr>
        <w:ind w:left="0" w:right="0" w:firstLine="420"/>
        <w:jc w:val="both"/>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项目名称：江苏省人民医院“靶向CD19/CD20双靶点的通用型CART细胞制剂在治疗复发/难治B细胞非霍奇金巴瘤中的研究及应用”多组学检测与分析服务项目</w:t>
      </w:r>
      <w:r/>
    </w:p>
    <w:p>
      <w:pPr>
        <w:ind w:left="0" w:right="0" w:firstLine="420"/>
        <w:jc w:val="both"/>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采购方式：公开招标</w:t>
      </w:r>
      <w:r/>
    </w:p>
    <w:p>
      <w:pPr>
        <w:ind w:left="0" w:right="0" w:firstLine="420"/>
        <w:jc w:val="both"/>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采购需求：为满足科研需要，供应商需提供以下检测与配套分析服务：</w:t>
      </w:r>
      <w:r/>
    </w:p>
    <w:p>
      <w:pPr>
        <w:ind w:left="0" w:right="0" w:firstLine="420"/>
        <w:jc w:val="both"/>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1.代谢组学服务：提供基于质谱平台的代谢物检测、质控与统计/通路分析。</w:t>
      </w:r>
      <w:r/>
    </w:p>
    <w:p>
      <w:pPr>
        <w:ind w:left="0" w:right="0" w:firstLine="420"/>
        <w:jc w:val="both"/>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2.蛋白组学服务：提供基于质谱平台的蛋白定量检测、质控与差异/通路分析。</w:t>
      </w:r>
      <w:r/>
    </w:p>
    <w:p>
      <w:pPr>
        <w:ind w:left="0" w:right="0" w:firstLine="420"/>
        <w:jc w:val="both"/>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预算金额（最高限价）：代谢组和蛋白组检测与分析服务（代谢组检测与分析服务30万元；蛋白组检测与分析服务30万元）</w:t>
      </w:r>
      <w:r/>
    </w:p>
    <w:p>
      <w:pPr>
        <w:pStyle w:val="642"/>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二、项目要求（标注“▲”为重要参数，负偏离扣分）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B包：提供500例代谢组和400例蛋白组（血清/血浆/组织/细胞等样本）检测、质控、统计与通路分析（具体以采购方送样类型为准，</w:t>
      </w:r>
      <w:r>
        <w:rPr>
          <w:rFonts w:ascii="SimSun" w:hAnsi="SimSun" w:eastAsia="SimSun" w:cs="SimSun"/>
          <w:b/>
          <w:color w:val="000000"/>
          <w:sz w:val="21"/>
        </w:rPr>
        <w:t xml:space="preserve">最高限价60万元）</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z w:val="21"/>
        </w:rPr>
        <w:t xml:space="preserve">1.</w:t>
      </w:r>
      <w:r>
        <w:rPr>
          <w:rFonts w:ascii="SimSun" w:hAnsi="SimSun" w:eastAsia="SimSun" w:cs="SimSun"/>
          <w:color w:val="000000"/>
          <w:sz w:val="21"/>
        </w:rPr>
        <w:t xml:space="preserve">供应商具备超高分辨液相色谱-串联质谱联用仪（如 Thermo Scientific Orbitrap Astral 或 Bruker timsTOF HT）用于蛋白组学检测及超高效液相色谱串联四极杆-静电场轨道阱高分辨质谱用于代谢组学检测。（提供证明材料加盖投标人单位公章）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▲2.针对人、动物组织（如肝脏/大脑）或细胞样本，单样本蛋白鉴定数需 ≥ 7000 个；血浆/血清样本（去高丰度后）鉴定数 ≥ 1000 个。针对代谢组，实验室有自建的标准品数据库，数量不少于6000种本地标准品图谱库，每例样品分别采用电喷雾电离（ESI）进行正离子和负离子模式检测。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▲3.需支持微量样本蛋白组学，在起始蛋白量 ≤ 10 μg 的情况下仍能维持稳定的鉴定深度。（提供证明材料或承诺书，承诺书格式自拟）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▲4.具备服务能力，能够及时响应需求，在临床取样当天完成样本前处理并反馈质控结果。（提供证明材料或承诺书，格式自拟）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▲5.供应商需有相关项目文章发表，不少于3篇相关文章作为支撑，提供完整论文复印件（含封面及证明供应商参与的论文页面内容标识页）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▲6.供应商参加2025年国家卫生健康委临床检验中心组织的高通量测序生物信息学分析相关室间质量评价且成绩合格。（提供相关证明材料加盖投标人单位公章）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▲7.供应商具备信息化管理系统，通过系统全程管理收样、送检和结果反馈等过程。（提供证明材料或承诺书，承诺书格式自拟）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8.分析服务要求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供应商具备完善的蛋白代谢数据分析能力，可出具分析报告。代谢组生信分析至少包含以下分析：差异分析、KEGG 通路注释；KEGG 通路富集分析；层次聚类分析、关联热图、预测模型构建分析等。提供深度数据分析。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具备将常规组学数据与空间组学（Spatial Multi-omics）结合分析的技术储备（如：空间表达验证能力），可提供组学联合深度分析。需提供自有空间组学平台证明材料。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代谢组质谱数据采用软件 XCMS软件进行数据提取、以及代谢物标准品数据库检索。分析软件为：SIMCA-P软件；进行主成分分析（PCA），偏最小二乘判别分析（PLS-DA），正交偏最小二乘判别分析(OPLS-DA)。采用t-test或One-way ANOVA 对代谢物进行显著性分析，并筛选合适的归一化方法。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 交付时间：每例样本标准分析报告在送样后30个工作日内反馈。（提供承诺书，格式自拟）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三、商务要求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1.服务时间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服务期：壹年。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2.报价方式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报价为全包费用报价，报价应是本招标文件所包含确定的全部工作内容及本招标文件未说明但完成该项目必须包含的所有全包费用的价格体现。供应商的任何错漏、优惠、竞争性报价不得作为减轻责任、减少服务、增加收费、降低质量的理由。在项目验收过程中，如发现有漏项、缺件，卖方应无条件、无偿补齐，所发生的一切费用，视为已包含在卖方的最终投标报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（2）本合同执行期间合同单价不变。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（3）响应报价以人民币万元或元为单位报价，可分包报价（1/2包）并汇总至总价，不得超过对应分项最高限价与总最高限价。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（1）本合同项下所有款项均以人民币支付。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（2）至合同签订之日起，每月根据实际服务发生数量乘以投标单价向供应商支付相应费用，费用在收到供应商开具的相应税务发票后30工作日内支付。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（3）据实结算。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4.税费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本项目执行中相关的一切税费均由成交供应商负担。</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四、其他要求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本项目的其余要求见“第五章 合同主要条款及格式”。</w:t>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Hei" w:hAnsi="SimHei" w:eastAsia="SimHei" w:cs="SimHei"/>
          <w:b/>
          <w:color w:val="000000"/>
          <w:sz w:val="44"/>
        </w:rPr>
        <w:t xml:space="preserve">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39"/>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8"/>
        <w:gridCol w:w="1610"/>
        <w:gridCol w:w="504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选取中标候选人数量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满足招标文件全部实质性要求，且按照评审因素的量化指标评审得分最高的投标人为中标候选人。</w:t>
            </w:r>
            <w:r/>
          </w:p>
        </w:tc>
      </w:tr>
    </w:tbl>
    <w:p>
      <w:pPr>
        <w:ind w:left="0" w:right="0" w:firstLine="44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（1）本项目对小型和微型企业提供的服务给予</w:t>
      </w:r>
      <w:r>
        <w:rPr>
          <w:rFonts w:ascii="SimSun" w:hAnsi="SimSun" w:eastAsia="SimSun" w:cs="SimSun"/>
          <w:color w:val="000000"/>
          <w:sz w:val="24"/>
          <w:u w:val="single"/>
        </w:rPr>
        <w:t xml:space="preserve">10%</w:t>
      </w:r>
      <w:r>
        <w:rPr>
          <w:rFonts w:ascii="SimSun" w:hAnsi="SimSun" w:eastAsia="SimSun" w:cs="SimSun"/>
          <w:color w:val="000000"/>
          <w:sz w:val="24"/>
        </w:rPr>
        <w:t xml:space="preserve">的扣除价格，用扣除后的价格参与评审。</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（2）供应商需按照采购文件的要求提供相应的《中小微企业声明函》。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12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12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12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4%</w:t>
      </w:r>
      <w:r>
        <w:rPr>
          <w:rFonts w:ascii="SimSun" w:hAnsi="SimSun" w:eastAsia="SimSun" w:cs="SimSun"/>
          <w:color w:val="000000"/>
          <w:sz w:val="24"/>
        </w:rPr>
        <w:t xml:space="preserve">的价格扣除，用扣除后的价格参与评审。</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10%</w:t>
      </w:r>
      <w:r>
        <w:rPr>
          <w:rFonts w:ascii="SimSun" w:hAnsi="SimSun" w:eastAsia="SimSun" w:cs="SimSun"/>
          <w:color w:val="000000"/>
          <w:sz w:val="24"/>
        </w:rPr>
        <w:t xml:space="preserve">价格扣除，用扣除后的价格参与评审。</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本项目采用综合评分法确定中标候选人。评标委员会将按下列评分办法和标准进行评分，总分值为100分。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（一）价格分（15分）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采用低价优先法计算，即满足招标文件要求且报价最低的供应商报价为评标基准价，其价格分为满分15分，其它投标人的价格分统一按照以下公式计算：投标报价得分=(评标基准价/该投标人的投标报价)×15分。（分值保留小数点后2位）</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（二）技术响应情况（27分）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响应情况27分，具体由评标委员会根据供应商的响应文件中《分项报价表》、《技术条款偏离表》等有关资料打分。其中：满足采购文件技术参数要求的得27分；标注“▲”的为重要技术参数，有一项负偏离的扣3分，非“▲”为一般参数，有一项负偏离的扣1分，27分扣完为止，所有对标“▲”技术内容的响应均应提供支撑资料，否则视为未实质性响应。</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（三）项目技术方案（35分）</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对本项目须完成的工作目标和工作任务理解进行描述，要求详细阐述系统建设方案：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3.1项目需求分析（7分）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供应商结合项目基本情况，提供符合实际、准确客观、深刻透彻的需求分析：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分析内容详尽、有针对性，可操作性的得7分；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分析内容基本满足要求、内容深度不够的得4分；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分析内容简单，缺乏针对性的得1分；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未提供或内容不满足要求的不得分。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3.2项目实施方案（7分）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根据供应商提供的项目总体实施方案的完整性、合理性、科学性进行评审：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服务方案详尽，主旨明确、切实可行的得7分；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服务方案简单，基本满足本项目要求的得4分；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服务方案简单，稍有欠缺的得1分；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未提供方案或方案不满足要求的不得分。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3.3项目进度计划（7分）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根据供应商提供的满足本项目要求的进度计划进行评审：</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方案完善、详尽、切实可行的得7分；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方案基本完整，满足要求得4分；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方案简单，不完善或存在缺陷的得1分；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未提供方案或方案不满足要求的不得分。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3.4保密制度（7分）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根据供应商提供的保密制度、保密措施进行评审：</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方案措施完善、有力，有针对性切实可行的得7分；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方案基本完整，基本满足要求得4分；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方案简单，不完善或存在缺陷的得1分；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未提供方案或方案不满足要求的不得分。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3.5质量管理措施（7分）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根据供应商提供的质量管理和控制方案进行评审：</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方案完善、详尽、切实可行的得7分；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方案基本完善满足要求得4分；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方案简单，不完善或存在缺陷的得1分；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未提供方案或方案不满足要求的不得分。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（四）同类项目业绩（9分）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2023年1月1日（以合同签订时间为准）以来承担过类似服务项目，每个得3分，最多得9分。提供以下材料复印件（应清晰可识别且加盖供应商公章，否则不予认可），缺一不得分：①合同；②与合同对应的发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（五）服务方企业资质（9分）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备有效期内的ISO9001质量管理体系认证证书，医学检验实验室资质，生物安全实验室备案证书（实验室等级：BSL-2或以上)，每一个得3分，最多得9分。（提供证书复印件并加盖公章，应清晰可识别，否则不予认可）</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（六）服务团队（5分）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拟派项目团队成员中具有同类项目经验（提供证明或加盖供应商公章的承诺函，否则“服务团队（5分）”项不得分），同时：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（1）最高职称是高级职称的得3分，是中级职称的得2分，是初级职称的得1分。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（2）最高学位是博士学位的得2分，是硕士学位的得1分。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（提供以下材料并加盖公章：①证书复印件；②近6个月社保缴纳证明或劳动合同。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 购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投标文件的组成</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一、基本目录</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1.开标一览表（格式见附件1）</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2.投标分项报价表（格式见附件2）</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3.技术要求响应及偏离表（格式见附件3）</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4.商务要求响应及偏离表（格式见附件4）</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二、资格审查内容</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2.2024或2025年度的财务状况报告（投标人成立不满一年无需提供）</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3.依法缴纳税收和社会保障资金的相关材料（提供提交投标文件截止时间前一年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内至少一个月依法缴纳税收及缴纳社会保障资金的证明材料。投标人依法享受缓缴、免缴税收、社会保障资金的提供证明材料。）</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4.具备履行合同所必需的设备和专业技术能力的书面声明（格式见附件5）</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 3 年内在经营活动中没有重大违法记录的书面声明（格式见附件6）</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6.特定资格要求的证明文件（（1）单位负责人为同一人或者存在直接控股、管理关系的不同供应商，不得同时参加本项目同一包的投标。（提供声明或承诺书）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（2）拒绝列入失信被执行人、重大税收违法失信主体名单、政府采购严重违法失信行为记录名单及其他不符合《中华人民共和国政府采购法》第二十二条规定条件的供应商参与政府采购活动。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重大违法记录是指报价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信用中国”网站（www.creditchina.gov.cn）查询，无被列入失信被执行人、重大税收违法失信主体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8.法人授权书（格式见附件7）</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9.投标函（格式见附件8）</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10.中小微企业声明函（如果本项目专门面向中小微型企业采购，则必须提供。格式见附件9）</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11.残疾人福利性单位声明函（如果本项目专门面向中小微型企业采购，供应商为残疾人福利性单位并由本单位提供服务。格式见附件10）</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12.联合体协议（如果本项目接受联合体参加投标，投标人是联合体的，则必须提供。格式见附件11）</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总备注：上述“资格审查内容”中1-5条、8、9条投标人必须在投标文件中提</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供相关材料，否则作无效投标处理；6、10、11、12条如招标文件要求必须提供相关材料而未提供的，作无效投标处理。</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三、符合性审查内容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投标人必须对招标文件（含技术要求和商务要求）中</w:t>
      </w:r>
      <w:r>
        <w:rPr>
          <w:rFonts w:ascii="SimSun" w:hAnsi="SimSun" w:eastAsia="SimSun" w:cs="SimSun"/>
          <w:b/>
          <w:i/>
          <w:color w:val="000000"/>
          <w:sz w:val="24"/>
          <w:u w:val="single"/>
        </w:rPr>
        <w:t xml:space="preserve">斜体且有下划线部分</w:t>
      </w:r>
      <w:r>
        <w:rPr>
          <w:rFonts w:ascii="SimSun" w:hAnsi="SimSun" w:eastAsia="SimSun" w:cs="SimSun"/>
          <w:color w:val="000000"/>
          <w:sz w:val="24"/>
        </w:rPr>
        <w:t xml:space="preserve">实质性要求逐条做出响应，并按照招标文件要求提供证明材料，否则作无效投标处理。（格式见附件12）</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四、价格扣除证明文件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1.中小微企业声明函（格式见附件9）</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2.残疾人福利性单位声明函（格式见附件10）</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 开标一览表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采购包号：</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 投标分项报价表（采购包号：**）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1.“投标分项报价表”中“投标总报价”数额应当与“开标一览表”中“投标总报价”数额一致。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 技术要求响应及偏离表（采购包号：**）</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附件3-1  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1.投标人需对招标文件技术要求中非实质性要求（</w:t>
      </w:r>
      <w:r>
        <w:rPr>
          <w:rFonts w:ascii="SimSun" w:hAnsi="SimSun" w:eastAsia="SimSun" w:cs="SimSun"/>
          <w:b/>
          <w:color w:val="000000"/>
          <w:sz w:val="24"/>
        </w:rPr>
        <w:t xml:space="preserve">未加</w:t>
      </w:r>
      <w:r>
        <w:rPr>
          <w:rFonts w:ascii="SimSun" w:hAnsi="SimSun" w:eastAsia="SimSun" w:cs="SimSun"/>
          <w:b/>
          <w:i/>
          <w:color w:val="000000"/>
          <w:sz w:val="24"/>
          <w:u w:val="single"/>
        </w:rPr>
        <w:t xml:space="preserve">斜体下划线</w:t>
      </w:r>
      <w:r>
        <w:rPr>
          <w:rFonts w:ascii="SimSun" w:hAnsi="SimSun" w:eastAsia="SimSun" w:cs="SimSun"/>
          <w:b/>
          <w:color w:val="000000"/>
          <w:sz w:val="24"/>
        </w:rPr>
        <w:t xml:space="preserve">部分</w:t>
      </w:r>
      <w:r>
        <w:rPr>
          <w:rFonts w:ascii="SimSun" w:hAnsi="SimSun" w:eastAsia="SimSun" w:cs="SimSun"/>
          <w:color w:val="000000"/>
          <w:sz w:val="24"/>
        </w:rPr>
        <w:t xml:space="preserve">）逐条做出明确响应。</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附件4 商务要求响应及偏离表（采购包号：**）</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附件4-1  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1.投标人需对招标文件商务要求中非实质性要求（</w:t>
      </w:r>
      <w:r>
        <w:rPr>
          <w:rFonts w:ascii="SimSun" w:hAnsi="SimSun" w:eastAsia="SimSun" w:cs="SimSun"/>
          <w:b/>
          <w:color w:val="000000"/>
          <w:sz w:val="24"/>
        </w:rPr>
        <w:t xml:space="preserve">未加</w:t>
      </w:r>
      <w:r>
        <w:rPr>
          <w:rFonts w:ascii="SimSun" w:hAnsi="SimSun" w:eastAsia="SimSun" w:cs="SimSun"/>
          <w:b/>
          <w:i/>
          <w:color w:val="000000"/>
          <w:sz w:val="24"/>
          <w:u w:val="single"/>
        </w:rPr>
        <w:t xml:space="preserve">斜体下划线</w:t>
      </w:r>
      <w:r>
        <w:rPr>
          <w:rFonts w:ascii="SimSun" w:hAnsi="SimSun" w:eastAsia="SimSun" w:cs="SimSun"/>
          <w:b/>
          <w:color w:val="000000"/>
          <w:sz w:val="24"/>
        </w:rPr>
        <w:t xml:space="preserve">部分</w:t>
      </w:r>
      <w:r>
        <w:rPr>
          <w:rFonts w:ascii="SimSun" w:hAnsi="SimSun" w:eastAsia="SimSun" w:cs="SimSun"/>
          <w:color w:val="000000"/>
          <w:sz w:val="24"/>
        </w:rPr>
        <w:t xml:space="preserve">）逐条做出明确响应。</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附件5 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 参加政府采购活动前 3 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                         法人授权书</w:t>
      </w:r>
      <w:r/>
    </w:p>
    <w:p>
      <w:pPr>
        <w:ind w:left="0" w:right="0" w:firstLine="48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（被授权人的姓名）为我方就采购编号为</w:t>
      </w:r>
      <w:r>
        <w:rPr>
          <w:rFonts w:ascii="Times New Roman" w:hAnsi="Times New Roman" w:eastAsia="Times New Roman" w:cs="Times New Roman"/>
          <w:color w:val="000000"/>
          <w:sz w:val="24"/>
        </w:rPr>
        <w:t xml:space="preserve">JSZC-320000-SCZX-G20**-****</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项目（项目名称）采购活动的合法代理人，以本单位名义全权处理一切与该项目采购有关的事务。</w:t>
      </w:r>
      <w:r/>
    </w:p>
    <w:p>
      <w:pPr>
        <w:ind w:left="0" w:right="0" w:firstLine="48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被授权人电子邮箱：</w:t>
      </w:r>
      <w:r>
        <w:rPr>
          <w:rFonts w:ascii="SimSun" w:hAnsi="SimSun" w:eastAsia="SimSun" w:cs="SimSun"/>
          <w:color w:val="000000"/>
          <w:sz w:val="24"/>
          <w:u w:val="single"/>
        </w:rPr>
        <w:t xml:space="preserve">            </w:t>
      </w:r>
      <w:r/>
    </w:p>
    <w:p>
      <w:pPr>
        <w:ind w:left="0" w:right="0" w:firstLine="120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                              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致：江苏省设备成套股份有限公司</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根据贵方采购编号为</w:t>
      </w:r>
      <w:r>
        <w:rPr>
          <w:rFonts w:ascii="Times New Roman" w:hAnsi="Times New Roman" w:eastAsia="Times New Roman" w:cs="Times New Roman"/>
          <w:color w:val="000000"/>
          <w:sz w:val="24"/>
        </w:rPr>
        <w:t xml:space="preserve">JSZC-320000-SCZX-G20**-****</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项目（项目名称）的招标文件，正式授权下述签字人______(姓名)代表我方______________（投标人的名称），全权处理本次项目投标的有关事宜。</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附件9 中小微企业声明函（服务类项目）（采购包号：**）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本公司（联合体）郑重声明，根据《政府采购促进中小企业发展管理办法》(财库〔2020〕46号)的规定，本公司（联合体）参加江苏省设备成套股份有限公司组织的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Times New Roman" w:hAnsi="Times New Roman" w:eastAsia="Times New Roman" w:cs="Times New Roman"/>
          <w:color w:val="000000"/>
          <w:sz w:val="24"/>
        </w:rPr>
        <w:t xml:space="preserve">JSZC-320000-SCZX-G20**-****</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项目（项目名称）（采购包号：**）的采购活动，服务全部由符合政策的中小微企业承接。相关企业（含联合体中的中小微企业、签订采购包意向协议的中小微企业）的具体情况如下：</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180" w:firstLine="36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日期：___年____月____日 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印发中小企业划型标准规定的通知》(工信部联企业〔2011〕300号)《国家统计局关于印发〈统计上大中小微型企业划分办法（2017）〉的通知》（国统字〔2017〕213号）的规定，自行勾选承接企业的企业规模类型。    </w:t>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附件10 残疾人福利性单位声明函（服务类项目）（采购包号：**）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141号）的规定，本单位为符合条件的残疾人福利性单位，且本单位参加___单位采购编号为</w:t>
      </w:r>
      <w:r>
        <w:rPr>
          <w:rFonts w:ascii="Times New Roman" w:hAnsi="Times New Roman" w:eastAsia="Times New Roman" w:cs="Times New Roman"/>
          <w:color w:val="000000"/>
          <w:sz w:val="24"/>
        </w:rPr>
        <w:t xml:space="preserve">JSZC-320000-SCZX-G20**-****</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项目（项目名称）（采购包号：**）采购活动由本单位提供服务。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59" w:firstLine="624"/>
        <w:jc w:val="center"/>
        <w:spacing w:before="0" w:after="0"/>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59" w:firstLine="480"/>
        <w:jc w:val="center"/>
        <w:spacing w:before="0" w:after="0"/>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highlight w:val="white"/>
        </w:rPr>
        <w:t xml:space="preserve">日期：___年____月____日   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附件11 联合体协议（参考格式）（采购包号：**）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自愿组成联合体，参加江苏省设备成套股份有限公司组织的采购编号为</w:t>
      </w:r>
      <w:r>
        <w:rPr>
          <w:rFonts w:ascii="Times New Roman" w:hAnsi="Times New Roman" w:eastAsia="Times New Roman" w:cs="Times New Roman"/>
          <w:color w:val="000000"/>
          <w:sz w:val="24"/>
        </w:rPr>
        <w:t xml:space="preserve">JSZC-320000-SCZX-G20**-****</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highlight w:val="white"/>
        </w:rPr>
        <w:t xml:space="preserve">日期：___年____月____日     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备注：本招标文件中要求加盖CA电子签章的地方，仅需加盖牵头单位的CA电子签章。</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附件12 实质性要求响应及偏离表（采购包号：**）</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609"/>
        <w:gridCol w:w="3317"/>
        <w:gridCol w:w="15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招标文件（含技术要求和商务要求）中的实质性要求</w:t>
            </w:r>
            <w:r>
              <w:rPr>
                <w:rFonts w:ascii="SimSun" w:hAnsi="SimSun" w:eastAsia="SimSun" w:cs="SimSun"/>
                <w:b/>
                <w:color w:val="000000"/>
                <w:sz w:val="24"/>
              </w:rPr>
              <w:t xml:space="preserve">（</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附件12-1 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1.投标人必须对招标文件（含技术要求和商务要求）中的实质性要求</w:t>
      </w:r>
      <w:r>
        <w:rPr>
          <w:rFonts w:ascii="SimSun" w:hAnsi="SimSun" w:eastAsia="SimSun" w:cs="SimSun"/>
          <w:b/>
          <w:color w:val="000000"/>
          <w:sz w:val="24"/>
        </w:rPr>
        <w:t xml:space="preserve">（</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w:t>
      </w:r>
      <w:r>
        <w:rPr>
          <w:rFonts w:ascii="SimSun" w:hAnsi="SimSun" w:eastAsia="SimSun" w:cs="SimSun"/>
          <w:color w:val="000000"/>
          <w:sz w:val="24"/>
        </w:rPr>
        <w:t xml:space="preserve">逐条做出明确响应，否则作无效投标处理。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3.质疑供应商若对项目的某一采购包进行质疑，质疑函中应列明具体采购包号。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link w:val="641"/>
    <w:uiPriority w:val="9"/>
    <w:qFormat/>
    <w:pPr>
      <w:keepLines/>
      <w:keepNext/>
      <w:spacing w:before="480" w:after="200"/>
      <w:outlineLvl w:val="0"/>
    </w:pPr>
    <w:rPr>
      <w:rFonts w:ascii="Arial" w:hAnsi="Arial" w:eastAsia="Arial" w:cs="Arial"/>
      <w:sz w:val="40"/>
      <w:szCs w:val="40"/>
    </w:rPr>
  </w:style>
  <w:style w:type="character" w:styleId="641">
    <w:name w:val="Heading 1 Char"/>
    <w:link w:val="640"/>
    <w:uiPriority w:val="9"/>
    <w:rPr>
      <w:rFonts w:ascii="Arial" w:hAnsi="Arial" w:eastAsia="Arial" w:cs="Arial"/>
      <w:sz w:val="40"/>
      <w:szCs w:val="40"/>
    </w:rPr>
  </w:style>
  <w:style w:type="paragraph" w:styleId="642">
    <w:name w:val="Heading 2"/>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link w:val="642"/>
    <w:uiPriority w:val="9"/>
    <w:rPr>
      <w:rFonts w:ascii="Arial" w:hAnsi="Arial" w:eastAsia="Arial" w:cs="Arial"/>
      <w:sz w:val="34"/>
    </w:rPr>
  </w:style>
  <w:style w:type="paragraph" w:styleId="644">
    <w:name w:val="Heading 3"/>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link w:val="644"/>
    <w:uiPriority w:val="9"/>
    <w:rPr>
      <w:rFonts w:ascii="Arial" w:hAnsi="Arial" w:eastAsia="Arial" w:cs="Arial"/>
      <w:sz w:val="30"/>
      <w:szCs w:val="30"/>
    </w:rPr>
  </w:style>
  <w:style w:type="paragraph" w:styleId="646">
    <w:name w:val="Heading 4"/>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link w:val="646"/>
    <w:uiPriority w:val="9"/>
    <w:rPr>
      <w:rFonts w:ascii="Arial" w:hAnsi="Arial" w:eastAsia="Arial" w:cs="Arial"/>
      <w:b/>
      <w:bCs/>
      <w:sz w:val="26"/>
      <w:szCs w:val="26"/>
    </w:rPr>
  </w:style>
  <w:style w:type="paragraph" w:styleId="648">
    <w:name w:val="Heading 5"/>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link w:val="648"/>
    <w:uiPriority w:val="9"/>
    <w:rPr>
      <w:rFonts w:ascii="Arial" w:hAnsi="Arial" w:eastAsia="Arial" w:cs="Arial"/>
      <w:b/>
      <w:bCs/>
      <w:sz w:val="24"/>
      <w:szCs w:val="24"/>
    </w:rPr>
  </w:style>
  <w:style w:type="paragraph" w:styleId="650">
    <w:name w:val="Heading 6"/>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link w:val="650"/>
    <w:uiPriority w:val="9"/>
    <w:rPr>
      <w:rFonts w:ascii="Arial" w:hAnsi="Arial" w:eastAsia="Arial" w:cs="Arial"/>
      <w:b/>
      <w:bCs/>
      <w:sz w:val="22"/>
      <w:szCs w:val="22"/>
    </w:rPr>
  </w:style>
  <w:style w:type="paragraph" w:styleId="652">
    <w:name w:val="Heading 7"/>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link w:val="652"/>
    <w:uiPriority w:val="9"/>
    <w:rPr>
      <w:rFonts w:ascii="Arial" w:hAnsi="Arial" w:eastAsia="Arial" w:cs="Arial"/>
      <w:b/>
      <w:bCs/>
      <w:i/>
      <w:iCs/>
      <w:sz w:val="22"/>
      <w:szCs w:val="22"/>
    </w:rPr>
  </w:style>
  <w:style w:type="paragraph" w:styleId="654">
    <w:name w:val="Heading 8"/>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link w:val="654"/>
    <w:uiPriority w:val="9"/>
    <w:rPr>
      <w:rFonts w:ascii="Arial" w:hAnsi="Arial" w:eastAsia="Arial" w:cs="Arial"/>
      <w:i/>
      <w:iCs/>
      <w:sz w:val="22"/>
      <w:szCs w:val="22"/>
    </w:rPr>
  </w:style>
  <w:style w:type="paragraph" w:styleId="656">
    <w:name w:val="Heading 9"/>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link w:val="656"/>
    <w:uiPriority w:val="9"/>
    <w:rPr>
      <w:rFonts w:ascii="Arial" w:hAnsi="Arial" w:eastAsia="Arial" w:cs="Arial"/>
      <w:i/>
      <w:iCs/>
      <w:sz w:val="21"/>
      <w:szCs w:val="21"/>
    </w:rPr>
  </w:style>
  <w:style w:type="paragraph" w:styleId="658">
    <w:name w:val="List Paragraph"/>
    <w:uiPriority w:val="34"/>
    <w:qFormat/>
    <w:pPr>
      <w:contextualSpacing/>
      <w:ind w:left="720"/>
    </w:pPr>
  </w:style>
  <w:style w:type="paragraph" w:styleId="659">
    <w:name w:val="No Spacing"/>
    <w:uiPriority w:val="1"/>
    <w:qFormat/>
    <w:pPr>
      <w:spacing w:before="0" w:after="0" w:line="240" w:lineRule="auto"/>
    </w:pPr>
  </w:style>
  <w:style w:type="paragraph" w:styleId="660">
    <w:name w:val="Title"/>
    <w:link w:val="661"/>
    <w:uiPriority w:val="10"/>
    <w:qFormat/>
    <w:pPr>
      <w:contextualSpacing/>
      <w:spacing w:before="300" w:after="200"/>
    </w:pPr>
    <w:rPr>
      <w:sz w:val="48"/>
      <w:szCs w:val="48"/>
    </w:rPr>
  </w:style>
  <w:style w:type="character" w:styleId="661">
    <w:name w:val="Title Char"/>
    <w:link w:val="660"/>
    <w:uiPriority w:val="10"/>
    <w:rPr>
      <w:sz w:val="48"/>
      <w:szCs w:val="48"/>
    </w:rPr>
  </w:style>
  <w:style w:type="paragraph" w:styleId="662">
    <w:name w:val="Subtitle"/>
    <w:link w:val="663"/>
    <w:uiPriority w:val="11"/>
    <w:qFormat/>
    <w:pPr>
      <w:spacing w:before="200" w:after="200"/>
    </w:pPr>
    <w:rPr>
      <w:sz w:val="24"/>
      <w:szCs w:val="24"/>
    </w:rPr>
  </w:style>
  <w:style w:type="character" w:styleId="663">
    <w:name w:val="Subtitle Char"/>
    <w:link w:val="662"/>
    <w:uiPriority w:val="11"/>
    <w:rPr>
      <w:sz w:val="24"/>
      <w:szCs w:val="24"/>
    </w:rPr>
  </w:style>
  <w:style w:type="paragraph" w:styleId="664">
    <w:name w:val="Quote"/>
    <w:link w:val="665"/>
    <w:uiPriority w:val="29"/>
    <w:qFormat/>
    <w:pPr>
      <w:ind w:left="720" w:right="720"/>
    </w:pPr>
    <w:rPr>
      <w:i/>
    </w:rPr>
  </w:style>
  <w:style w:type="character" w:styleId="665">
    <w:name w:val="Quote Char"/>
    <w:link w:val="664"/>
    <w:uiPriority w:val="29"/>
    <w:rPr>
      <w:i/>
    </w:rPr>
  </w:style>
  <w:style w:type="paragraph" w:styleId="666">
    <w:name w:val="Intense Quote"/>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link w:val="669"/>
    <w:uiPriority w:val="99"/>
    <w:unhideWhenUsed/>
    <w:pPr>
      <w:spacing w:after="0" w:line="240" w:lineRule="auto"/>
      <w:tabs>
        <w:tab w:val="center" w:pos="7143" w:leader="none"/>
        <w:tab w:val="right" w:pos="14287" w:leader="none"/>
      </w:tabs>
    </w:pPr>
  </w:style>
  <w:style w:type="character" w:styleId="669">
    <w:name w:val="Header Char"/>
    <w:link w:val="668"/>
    <w:uiPriority w:val="99"/>
  </w:style>
  <w:style w:type="paragraph" w:styleId="670">
    <w:name w:val="Footer"/>
    <w:link w:val="673"/>
    <w:uiPriority w:val="99"/>
    <w:unhideWhenUsed/>
    <w:pPr>
      <w:spacing w:after="0" w:line="240" w:lineRule="auto"/>
      <w:tabs>
        <w:tab w:val="center" w:pos="7143" w:leader="none"/>
        <w:tab w:val="right" w:pos="14287" w:leader="none"/>
      </w:tabs>
    </w:pPr>
  </w:style>
  <w:style w:type="character" w:styleId="671">
    <w:name w:val="Footer Char"/>
    <w:link w:val="670"/>
    <w:uiPriority w:val="99"/>
  </w:style>
  <w:style w:type="paragraph" w:styleId="672">
    <w:name w:val="Caption"/>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uiPriority w:val="99"/>
    <w:unhideWhenUsed/>
    <w:rPr>
      <w:vertAlign w:val="superscript"/>
    </w:rPr>
  </w:style>
  <w:style w:type="paragraph" w:styleId="804">
    <w:name w:val="endnote text"/>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uiPriority w:val="99"/>
    <w:semiHidden/>
    <w:unhideWhenUsed/>
    <w:rPr>
      <w:vertAlign w:val="superscript"/>
    </w:rPr>
  </w:style>
  <w:style w:type="paragraph" w:styleId="807">
    <w:name w:val="toc 1"/>
    <w:uiPriority w:val="39"/>
    <w:unhideWhenUsed/>
    <w:pPr>
      <w:ind w:left="0" w:right="0" w:firstLine="0"/>
      <w:spacing w:after="57"/>
    </w:pPr>
  </w:style>
  <w:style w:type="paragraph" w:styleId="808">
    <w:name w:val="toc 2"/>
    <w:uiPriority w:val="39"/>
    <w:unhideWhenUsed/>
    <w:pPr>
      <w:ind w:left="283" w:right="0" w:firstLine="0"/>
      <w:spacing w:after="57"/>
    </w:pPr>
  </w:style>
  <w:style w:type="paragraph" w:styleId="809">
    <w:name w:val="toc 3"/>
    <w:uiPriority w:val="39"/>
    <w:unhideWhenUsed/>
    <w:pPr>
      <w:ind w:left="567" w:right="0" w:firstLine="0"/>
      <w:spacing w:after="57"/>
    </w:pPr>
  </w:style>
  <w:style w:type="paragraph" w:styleId="810">
    <w:name w:val="toc 4"/>
    <w:uiPriority w:val="39"/>
    <w:unhideWhenUsed/>
    <w:pPr>
      <w:ind w:left="850" w:right="0" w:firstLine="0"/>
      <w:spacing w:after="57"/>
    </w:pPr>
  </w:style>
  <w:style w:type="paragraph" w:styleId="811">
    <w:name w:val="toc 5"/>
    <w:uiPriority w:val="39"/>
    <w:unhideWhenUsed/>
    <w:pPr>
      <w:ind w:left="1134" w:right="0" w:firstLine="0"/>
      <w:spacing w:after="57"/>
    </w:pPr>
  </w:style>
  <w:style w:type="paragraph" w:styleId="812">
    <w:name w:val="toc 6"/>
    <w:uiPriority w:val="39"/>
    <w:unhideWhenUsed/>
    <w:pPr>
      <w:ind w:left="1417" w:right="0" w:firstLine="0"/>
      <w:spacing w:after="57"/>
    </w:pPr>
  </w:style>
  <w:style w:type="paragraph" w:styleId="813">
    <w:name w:val="toc 7"/>
    <w:uiPriority w:val="39"/>
    <w:unhideWhenUsed/>
    <w:pPr>
      <w:ind w:left="1701" w:right="0" w:firstLine="0"/>
      <w:spacing w:after="57"/>
    </w:pPr>
  </w:style>
  <w:style w:type="paragraph" w:styleId="814">
    <w:name w:val="toc 8"/>
    <w:uiPriority w:val="39"/>
    <w:unhideWhenUsed/>
    <w:pPr>
      <w:ind w:left="1984" w:right="0" w:firstLine="0"/>
      <w:spacing w:after="57"/>
    </w:pPr>
  </w:style>
  <w:style w:type="paragraph" w:styleId="815">
    <w:name w:val="toc 9"/>
    <w:uiPriority w:val="39"/>
    <w:unhideWhenUsed/>
    <w:pPr>
      <w:ind w:left="2268" w:right="0" w:firstLine="0"/>
      <w:spacing w:after="57"/>
    </w:pPr>
  </w:style>
  <w:style w:type="paragraph" w:styleId="816">
    <w:name w:val="TOC Heading"/>
    <w:uiPriority w:val="39"/>
    <w:unhideWhenUsed/>
  </w:style>
  <w:style w:type="paragraph" w:styleId="817">
    <w:name w:val="table of figures"/>
    <w:uiPriority w:val="99"/>
    <w:unhideWhenUsed/>
    <w:pPr>
      <w:spacing w:after="0" w:afterAutospacing="0"/>
    </w:pPr>
  </w:style>
  <w:style w:type="character" w:styleId="818" w:default="1">
    <w:name w:val="Default Paragraph Font"/>
    <w:uiPriority w:val="1"/>
    <w:semiHidden/>
    <w:unhideWhenUsed/>
  </w:style>
  <w:style w:type="numbering" w:styleId="819" w:default="1">
    <w:name w:val="No List"/>
    <w:uiPriority w:val="99"/>
    <w:semiHidden/>
    <w:unhideWhenUsed/>
  </w:style>
  <w:style w:type="paragraph" w:styleId="820" w:default="1">
    <w:name w:val="Normal"/>
    <w:qFormat/>
  </w:style>
  <w:style w:type="table" w:styleId="8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程俊玥</cp:lastModifiedBy>
  <cp:revision>3</cp:revision>
  <dcterms:created xsi:type="dcterms:W3CDTF">2026-05-20T08:42:19Z</dcterms:created>
  <dcterms:modified xsi:type="dcterms:W3CDTF">2026-05-21T09:13:32Z</dcterms:modified>
</cp:coreProperties>
</file>