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jc w:val="center"/>
        <w:spacing w:line="36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rPr>
          <w:highlight w:val="none"/>
        </w:rPr>
      </w:r>
      <w:r/>
    </w:p>
    <w:p>
      <w:pPr>
        <w:pStyle w:val="734"/>
        <w:rPr>
          <w:rFonts w:hint="eastAsia"/>
          <w:color w:val="000000"/>
          <w:highlight w:val="none"/>
        </w:rPr>
      </w:pPr>
      <w:r>
        <w:rPr>
          <w:rFonts w:hint="eastAsia"/>
          <w:color w:val="000000"/>
          <w:highlight w:val="none"/>
        </w:rPr>
      </w:r>
      <w:r>
        <w:rPr>
          <w:highlight w:val="none"/>
        </w:rPr>
      </w:r>
      <w:r/>
    </w:p>
    <w:p>
      <w:pPr>
        <w:pStyle w:val="714"/>
        <w:jc w:val="center"/>
        <w:spacing w:line="360" w:lineRule="auto"/>
        <w:rPr>
          <w:rFonts w:hint="eastAsia" w:ascii="方正小标宋_GBK" w:hAnsi="方正小标宋_GBK" w:eastAsia="方正小标宋_GBK" w:cs="方正小标宋_GBK"/>
          <w:bCs/>
          <w:color w:val="000000"/>
          <w:spacing w:val="20"/>
          <w:sz w:val="52"/>
          <w:szCs w:val="52"/>
          <w:highlight w:val="none"/>
        </w:rPr>
      </w:pPr>
      <w:r>
        <w:rPr>
          <w:rFonts w:hint="eastAsia" w:ascii="黑体" w:hAnsi="华文中宋" w:eastAsia="黑体"/>
          <w:bCs/>
          <w:color w:val="000000"/>
          <w:spacing w:val="20"/>
          <w:sz w:val="72"/>
          <w:szCs w:val="72"/>
          <w:highlight w:val="none"/>
          <w:lang w:val="en-US" w:eastAsia="zh-CN"/>
        </w:rPr>
        <w:t xml:space="preserve"> </w:t>
      </w:r>
      <w:r>
        <w:rPr>
          <w:rFonts w:hint="eastAsia" w:ascii="方正小标宋_GBK" w:hAnsi="方正小标宋_GBK" w:eastAsia="方正小标宋_GBK" w:cs="方正小标宋_GBK"/>
          <w:bCs/>
          <w:color w:val="000000"/>
          <w:spacing w:val="20"/>
          <w:sz w:val="72"/>
          <w:szCs w:val="72"/>
          <w:highlight w:val="none"/>
          <w:lang w:val="en-US" w:eastAsia="zh-CN"/>
        </w:rPr>
        <w:t xml:space="preserve">询  价  文  件</w:t>
      </w:r>
      <w:r>
        <w:rPr>
          <w:highlight w:val="none"/>
        </w:rPr>
      </w:r>
      <w:r/>
    </w:p>
    <w:p>
      <w:pPr>
        <w:pStyle w:val="714"/>
        <w:jc w:val="center"/>
        <w:spacing w:line="360" w:lineRule="auto"/>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rPr>
          <w:highlight w:val="none"/>
        </w:rPr>
      </w:r>
      <w:r/>
    </w:p>
    <w:p>
      <w:pPr>
        <w:pStyle w:val="714"/>
        <w:jc w:val="left"/>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rPr>
          <w:highlight w:val="none"/>
        </w:rPr>
      </w:r>
      <w:r/>
    </w:p>
    <w:p>
      <w:pPr>
        <w:pStyle w:val="714"/>
        <w:ind w:firstLine="640"/>
        <w:jc w:val="both"/>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rPr>
          <w:highlight w:val="none"/>
        </w:rPr>
      </w:r>
      <w:r/>
    </w:p>
    <w:p>
      <w:pPr>
        <w:pStyle w:val="714"/>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t xml:space="preserve">项目名称：</w:t>
      </w:r>
      <w:r>
        <w:rPr>
          <w:rFonts w:hint="eastAsia" w:ascii="Arial" w:hAnsi="Arial" w:eastAsia="Arial" w:cs="Arial"/>
          <w:bCs/>
          <w:color w:val="000000"/>
          <w:sz w:val="32"/>
          <w:szCs w:val="32"/>
          <w:highlight w:val="none"/>
          <w:lang w:eastAsia="zh-CN"/>
        </w:rPr>
        <w:t xml:space="preserve">厨房设备采购项目</w:t>
      </w:r>
      <w:r>
        <w:rPr>
          <w:highlight w:val="none"/>
        </w:rPr>
      </w:r>
      <w:r/>
    </w:p>
    <w:p>
      <w:pPr>
        <w:pStyle w:val="714"/>
        <w:ind w:firstLine="640"/>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r>
      <w:r>
        <w:rPr>
          <w:highlight w:val="none"/>
        </w:rPr>
      </w:r>
      <w:r/>
    </w:p>
    <w:p>
      <w:pPr>
        <w:pStyle w:val="714"/>
        <w:jc w:val="both"/>
        <w:spacing w:line="360" w:lineRule="auto"/>
        <w:rPr>
          <w:rFonts w:hint="eastAsia" w:ascii="Arial" w:hAnsi="Arial" w:eastAsia="宋体" w:cs="Arial"/>
          <w:bCs/>
          <w:color w:val="000000"/>
          <w:sz w:val="30"/>
          <w:szCs w:val="30"/>
          <w:highlight w:val="none"/>
        </w:rPr>
      </w:pPr>
      <w:r>
        <w:rPr>
          <w:rFonts w:hint="eastAsia" w:ascii="Arial" w:hAnsi="Arial" w:eastAsia="Arial" w:cs="Arial"/>
          <w:bCs/>
          <w:color w:val="000000"/>
          <w:sz w:val="32"/>
          <w:szCs w:val="32"/>
          <w:highlight w:val="none"/>
        </w:rPr>
        <w:t xml:space="preserve">项目编号：</w:t>
      </w:r>
      <w:r>
        <w:rPr>
          <w:rFonts w:hint="eastAsia" w:ascii="Arial" w:hAnsi="Arial" w:eastAsia="宋体" w:cs="Arial"/>
          <w:bCs/>
          <w:color w:val="000000"/>
          <w:sz w:val="32"/>
          <w:szCs w:val="32"/>
          <w:highlight w:val="none"/>
          <w:lang w:eastAsia="zh-CN"/>
        </w:rPr>
        <w:t xml:space="preserve">JSZC-321200-HQGC-X2026-0019</w:t>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rPr>
          <w:highlight w:val="none"/>
        </w:rPr>
      </w:r>
      <w:r/>
    </w:p>
    <w:p>
      <w:pPr>
        <w:pStyle w:val="714"/>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rPr>
          <w:highlight w:val="none"/>
        </w:rPr>
      </w:r>
      <w:r/>
    </w:p>
    <w:p>
      <w:pPr>
        <w:pStyle w:val="714"/>
        <w:jc w:val="center"/>
        <w:spacing w:line="360" w:lineRule="auto"/>
        <w:rPr>
          <w:rFonts w:ascii="Arial" w:hAnsi="Arial" w:eastAsia="Arial" w:cs="Arial"/>
          <w:bCs/>
          <w:color w:val="000000"/>
          <w:sz w:val="32"/>
          <w:szCs w:val="32"/>
          <w:highlight w:val="none"/>
        </w:rPr>
      </w:pPr>
      <w:r>
        <w:rPr>
          <w:rFonts w:hint="eastAsia" w:ascii="Arial" w:hAnsi="Arial" w:eastAsia="Arial" w:cs="Arial"/>
          <w:bCs/>
          <w:color w:val="000000"/>
          <w:sz w:val="32"/>
          <w:szCs w:val="32"/>
          <w:highlight w:val="none"/>
          <w:lang w:val="en-US" w:eastAsia="zh-CN"/>
        </w:rPr>
        <w:t xml:space="preserve">采购人：泰州技师学院</w:t>
      </w:r>
      <w:r>
        <w:rPr>
          <w:highlight w:val="none"/>
        </w:rPr>
      </w:r>
      <w:r/>
    </w:p>
    <w:p>
      <w:pPr>
        <w:pStyle w:val="714"/>
        <w:jc w:val="center"/>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lang w:val="en-US" w:eastAsia="zh-CN"/>
        </w:rPr>
        <w:t xml:space="preserve">采购代理机构：</w:t>
      </w:r>
      <w:r>
        <w:rPr>
          <w:rFonts w:hint="eastAsia" w:ascii="Arial" w:hAnsi="Arial" w:eastAsia="Arial" w:cs="Arial"/>
          <w:bCs/>
          <w:color w:val="000000"/>
          <w:sz w:val="32"/>
          <w:szCs w:val="32"/>
          <w:highlight w:val="none"/>
          <w:lang w:eastAsia="zh-CN"/>
        </w:rPr>
        <w:t xml:space="preserve">江苏华强工程投资管理咨询有限公司</w:t>
      </w:r>
      <w:r>
        <w:rPr>
          <w:highlight w:val="none"/>
        </w:rPr>
      </w:r>
      <w:r/>
    </w:p>
    <w:p>
      <w:pPr>
        <w:pStyle w:val="714"/>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center"/>
        <w:spacing w:line="360" w:lineRule="auto"/>
        <w:rPr>
          <w:rFonts w:hint="eastAsia" w:ascii="Arial" w:hAnsi="Arial" w:eastAsia="Arial" w:cs="Arial"/>
          <w:bCs/>
          <w:color w:val="000000"/>
          <w:spacing w:val="20"/>
          <w:sz w:val="30"/>
          <w:szCs w:val="30"/>
          <w:highlight w:val="none"/>
        </w:rPr>
      </w:pPr>
      <w:r>
        <w:rPr>
          <w:rFonts w:hint="eastAsia" w:ascii="Arial" w:hAnsi="Arial" w:eastAsia="Arial" w:cs="Arial"/>
          <w:bCs/>
          <w:color w:val="000000"/>
          <w:spacing w:val="20"/>
          <w:sz w:val="30"/>
          <w:szCs w:val="30"/>
          <w:highlight w:val="none"/>
        </w:rPr>
        <w:t xml:space="preserve">202</w:t>
      </w:r>
      <w:r>
        <w:rPr>
          <w:rFonts w:hint="eastAsia" w:ascii="Arial" w:hAnsi="Arial" w:eastAsia="宋体" w:cs="Arial"/>
          <w:bCs/>
          <w:color w:val="000000"/>
          <w:spacing w:val="20"/>
          <w:sz w:val="30"/>
          <w:szCs w:val="30"/>
          <w:highlight w:val="none"/>
          <w:lang w:val="en-US" w:eastAsia="zh-CN"/>
        </w:rPr>
        <w:t xml:space="preserve">6</w:t>
      </w:r>
      <w:r>
        <w:rPr>
          <w:rFonts w:hint="eastAsia" w:ascii="Arial" w:hAnsi="Arial" w:eastAsia="Arial" w:cs="Arial"/>
          <w:bCs/>
          <w:color w:val="000000"/>
          <w:spacing w:val="20"/>
          <w:sz w:val="30"/>
          <w:szCs w:val="30"/>
          <w:highlight w:val="none"/>
        </w:rPr>
        <w:t xml:space="preserve">年</w:t>
      </w:r>
      <w:r>
        <w:rPr>
          <w:rFonts w:hint="eastAsia" w:ascii="Arial" w:hAnsi="Arial" w:cs="Arial"/>
          <w:bCs/>
          <w:color w:val="000000"/>
          <w:spacing w:val="20"/>
          <w:sz w:val="30"/>
          <w:szCs w:val="30"/>
          <w:highlight w:val="none"/>
          <w:lang w:val="en-US" w:eastAsia="zh-CN"/>
        </w:rPr>
        <w:t xml:space="preserve">5</w:t>
      </w:r>
      <w:r>
        <w:rPr>
          <w:rFonts w:hint="eastAsia" w:ascii="Arial" w:hAnsi="Arial" w:eastAsia="Arial" w:cs="Arial"/>
          <w:bCs/>
          <w:color w:val="000000"/>
          <w:spacing w:val="20"/>
          <w:sz w:val="30"/>
          <w:szCs w:val="30"/>
          <w:highlight w:val="none"/>
        </w:rPr>
        <w:t xml:space="preserve">月</w:t>
      </w:r>
      <w:r>
        <w:rPr>
          <w:highlight w:val="none"/>
        </w:rPr>
      </w:r>
      <w:r/>
    </w:p>
    <w:p>
      <w:pPr>
        <w:pStyle w:val="714"/>
        <w:jc w:val="center"/>
        <w:pageBreakBefore/>
        <w:spacing w:line="360" w:lineRule="auto"/>
        <w:rPr>
          <w:rFonts w:hint="eastAsia" w:ascii="Arial" w:hAnsi="Arial" w:eastAsia="Arial" w:cs="Arial"/>
          <w:b/>
          <w:bCs w:val="0"/>
          <w:color w:val="000000"/>
          <w:sz w:val="44"/>
          <w:szCs w:val="44"/>
          <w:highlight w:val="none"/>
        </w:rPr>
      </w:pPr>
      <w:r>
        <w:rPr>
          <w:rFonts w:hint="eastAsia" w:ascii="Arial" w:hAnsi="Arial" w:eastAsia="Arial" w:cs="Arial"/>
          <w:b/>
          <w:bCs w:val="0"/>
          <w:color w:val="000000"/>
          <w:sz w:val="44"/>
          <w:szCs w:val="44"/>
          <w:highlight w:val="none"/>
        </w:rPr>
        <w:t xml:space="preserve">目     录</w:t>
      </w:r>
      <w:r>
        <w:rPr>
          <w:highlight w:val="none"/>
        </w:rPr>
      </w:r>
      <w:r/>
    </w:p>
    <w:p>
      <w:pPr>
        <w:pStyle w:val="714"/>
        <w:keepLines w:val="0"/>
        <w:keepNext w:val="0"/>
        <w:pageBreakBefore w:val="0"/>
        <w:spacing w:line="920" w:lineRule="exact"/>
        <w:widowControl w:val="off"/>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rPr>
        <w:t xml:space="preserve"> </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第一章  </w:t>
      </w:r>
      <w:r>
        <w:rPr>
          <w:rFonts w:hint="eastAsia" w:ascii="Arial" w:hAnsi="Arial" w:eastAsia="Arial" w:cs="Arial"/>
          <w:color w:val="000000"/>
          <w:sz w:val="32"/>
          <w:szCs w:val="32"/>
          <w:highlight w:val="none"/>
        </w:rPr>
        <w:t xml:space="preserve">询价邀请……………………………………</w:t>
      </w:r>
      <w:r>
        <w:rPr>
          <w:rFonts w:hint="eastAsia" w:ascii="Arial" w:hAnsi="Arial" w:eastAsia="Arial" w:cs="Arial"/>
          <w:color w:val="000000"/>
          <w:sz w:val="32"/>
          <w:szCs w:val="32"/>
          <w:highlight w:val="none"/>
          <w:lang w:val="en-US" w:eastAsia="zh-CN"/>
        </w:rPr>
        <w:t xml:space="preserve">3</w:t>
      </w:r>
      <w:r>
        <w:rPr>
          <w:rFonts w:hint="eastAsia" w:ascii="Arial" w:hAnsi="Arial" w:eastAsia="Arial" w:cs="Arial"/>
          <w:color w:val="000000"/>
          <w:sz w:val="32"/>
          <w:szCs w:val="32"/>
          <w:highlight w:val="none"/>
        </w:rPr>
        <w:t xml:space="preserve"> </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第二章  </w:t>
      </w:r>
      <w:r>
        <w:rPr>
          <w:rFonts w:hint="eastAsia" w:ascii="Arial" w:hAnsi="Arial" w:eastAsia="Arial" w:cs="Arial"/>
          <w:color w:val="000000"/>
          <w:sz w:val="32"/>
          <w:szCs w:val="32"/>
          <w:highlight w:val="none"/>
        </w:rPr>
        <w:t xml:space="preserve">供应商须知…………………………………</w:t>
      </w:r>
      <w:r>
        <w:rPr>
          <w:rFonts w:hint="eastAsia" w:ascii="Arial" w:hAnsi="Arial" w:eastAsia="Arial" w:cs="Arial"/>
          <w:color w:val="000000"/>
          <w:sz w:val="32"/>
          <w:szCs w:val="32"/>
          <w:highlight w:val="none"/>
          <w:lang w:val="en-US" w:eastAsia="zh-CN"/>
        </w:rPr>
        <w:t xml:space="preserve">7</w:t>
      </w:r>
      <w:r>
        <w:rPr>
          <w:rFonts w:hint="eastAsia" w:ascii="Arial" w:hAnsi="Arial" w:eastAsia="Arial" w:cs="Arial"/>
          <w:color w:val="000000"/>
          <w:sz w:val="32"/>
          <w:szCs w:val="32"/>
          <w:highlight w:val="none"/>
        </w:rPr>
        <w:t xml:space="preserve">  </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第三章  </w:t>
      </w:r>
      <w:r>
        <w:rPr>
          <w:rFonts w:hint="eastAsia" w:ascii="Arial" w:hAnsi="Arial" w:eastAsia="Arial" w:cs="Arial"/>
          <w:color w:val="000000"/>
          <w:sz w:val="32"/>
          <w:szCs w:val="32"/>
          <w:highlight w:val="none"/>
        </w:rPr>
        <w:t xml:space="preserve">合同文本……………………………………</w:t>
      </w:r>
      <w:r>
        <w:rPr>
          <w:rFonts w:hint="eastAsia" w:ascii="Arial" w:hAnsi="Arial" w:eastAsia="宋体" w:cs="Arial"/>
          <w:color w:val="000000"/>
          <w:sz w:val="32"/>
          <w:szCs w:val="32"/>
          <w:highlight w:val="none"/>
          <w:lang w:val="en-US" w:eastAsia="zh-CN"/>
        </w:rPr>
        <w:t xml:space="preserve">2</w:t>
      </w:r>
      <w:r>
        <w:rPr>
          <w:rFonts w:hint="eastAsia" w:ascii="Arial" w:hAnsi="Arial" w:cs="Arial"/>
          <w:color w:val="000000"/>
          <w:sz w:val="32"/>
          <w:szCs w:val="32"/>
          <w:highlight w:val="none"/>
          <w:lang w:val="en-US" w:eastAsia="zh-CN"/>
        </w:rPr>
        <w:t xml:space="preserve">2</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第四章  </w:t>
      </w:r>
      <w:r>
        <w:rPr>
          <w:rFonts w:hint="eastAsia" w:ascii="Arial" w:hAnsi="Arial" w:eastAsia="Arial" w:cs="Arial"/>
          <w:color w:val="000000"/>
          <w:sz w:val="32"/>
          <w:szCs w:val="32"/>
          <w:highlight w:val="none"/>
        </w:rPr>
        <w:t xml:space="preserve">采购需求……………………………………</w:t>
      </w:r>
      <w:r>
        <w:rPr>
          <w:rFonts w:hint="eastAsia" w:ascii="Arial" w:hAnsi="Arial" w:eastAsia="Arial" w:cs="Arial"/>
          <w:color w:val="000000"/>
          <w:sz w:val="32"/>
          <w:szCs w:val="32"/>
          <w:highlight w:val="none"/>
          <w:lang w:val="en-US" w:eastAsia="zh-CN"/>
        </w:rPr>
        <w:t xml:space="preserve">2</w:t>
      </w:r>
      <w:r>
        <w:rPr>
          <w:rFonts w:hint="eastAsia" w:ascii="Arial" w:hAnsi="Arial" w:cs="Arial"/>
          <w:color w:val="000000"/>
          <w:sz w:val="32"/>
          <w:szCs w:val="32"/>
          <w:highlight w:val="none"/>
          <w:lang w:val="en-US" w:eastAsia="zh-CN"/>
        </w:rPr>
        <w:t xml:space="preserve">7</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第五章  </w:t>
      </w:r>
      <w:r>
        <w:rPr>
          <w:rFonts w:hint="eastAsia" w:ascii="Arial" w:hAnsi="Arial" w:eastAsia="Arial" w:cs="Arial"/>
          <w:color w:val="000000"/>
          <w:sz w:val="32"/>
          <w:szCs w:val="32"/>
          <w:highlight w:val="none"/>
        </w:rPr>
        <w:t xml:space="preserve">响应文件格式………………………………</w:t>
      </w:r>
      <w:r>
        <w:rPr>
          <w:rFonts w:hint="eastAsia" w:ascii="Arial" w:hAnsi="Arial" w:eastAsia="Arial" w:cs="Arial"/>
          <w:color w:val="000000"/>
          <w:sz w:val="32"/>
          <w:szCs w:val="32"/>
          <w:highlight w:val="none"/>
          <w:lang w:val="en-US" w:eastAsia="zh-CN"/>
        </w:rPr>
        <w:t xml:space="preserve">84</w:t>
      </w:r>
      <w:r>
        <w:rPr>
          <w:highlight w:val="none"/>
        </w:rPr>
      </w:r>
      <w:r/>
    </w:p>
    <w:p>
      <w:pPr>
        <w:pStyle w:val="715"/>
        <w:jc w:val="center"/>
        <w:pageBreakBefore/>
        <w:spacing w:line="360" w:lineRule="auto"/>
        <w:tabs>
          <w:tab w:val="left" w:pos="879" w:leader="none"/>
        </w:tabs>
        <w:rPr>
          <w:rFonts w:hint="eastAsia" w:ascii="黑体" w:hAnsi="黑体" w:eastAsia="黑体" w:cs="宋体"/>
          <w:b/>
          <w:bCs/>
          <w:color w:val="000000"/>
          <w:spacing w:val="0"/>
          <w:sz w:val="44"/>
          <w:szCs w:val="44"/>
          <w:highlight w:val="none"/>
        </w:rPr>
      </w:pPr>
      <w:r>
        <w:rPr>
          <w:rFonts w:hint="eastAsia" w:ascii="黑体" w:hAnsi="黑体" w:eastAsia="黑体" w:cs="宋体"/>
          <w:b/>
          <w:bCs/>
          <w:color w:val="000000"/>
          <w:spacing w:val="0"/>
          <w:sz w:val="44"/>
          <w:szCs w:val="44"/>
          <w:highlight w:val="none"/>
          <w:lang w:val="en-US" w:eastAsia="zh-CN" w:bidi="ar-SA"/>
        </w:rPr>
        <w:t xml:space="preserve">第一章</w:t>
      </w:r>
      <w:r>
        <w:rPr>
          <w:rFonts w:hint="eastAsia" w:ascii="黑体" w:hAnsi="黑体" w:cs="宋体"/>
          <w:b/>
          <w:bCs/>
          <w:color w:val="000000"/>
          <w:spacing w:val="0"/>
          <w:sz w:val="44"/>
          <w:szCs w:val="44"/>
          <w:highlight w:val="none"/>
          <w:lang w:val="en-US" w:eastAsia="zh-CN" w:bidi="ar-SA"/>
        </w:rPr>
        <w:t xml:space="preserve"> </w:t>
      </w:r>
      <w:r>
        <w:rPr>
          <w:rFonts w:hint="eastAsia" w:ascii="黑体" w:hAnsi="黑体" w:eastAsia="黑体" w:cs="宋体"/>
          <w:b/>
          <w:bCs/>
          <w:color w:val="000000"/>
          <w:spacing w:val="0"/>
          <w:sz w:val="44"/>
          <w:szCs w:val="44"/>
          <w:highlight w:val="none"/>
          <w:lang w:val="en-US" w:eastAsia="zh-CN" w:bidi="ar-SA"/>
        </w:rPr>
        <w:t xml:space="preserve">询价邀请</w:t>
      </w:r>
      <w:r>
        <w:rPr>
          <w:highlight w:val="none"/>
        </w:rPr>
      </w:r>
      <w:r/>
    </w:p>
    <w:p>
      <w:pPr>
        <w:pStyle w:val="714"/>
        <w:ind w:firstLine="480"/>
        <w:jc w:val="left"/>
        <w:spacing w:line="360" w:lineRule="auto"/>
        <w:shd w:val="clear" w:color="auto" w:fill="ffffff"/>
        <w:widowControl/>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泰州技师学院</w:t>
      </w:r>
      <w:r>
        <w:rPr>
          <w:rFonts w:hint="eastAsia"/>
          <w:color w:val="000000"/>
          <w:sz w:val="24"/>
          <w:szCs w:val="24"/>
          <w:highlight w:val="none"/>
          <w:u w:val="none"/>
          <w:lang w:eastAsia="zh-CN"/>
        </w:rPr>
        <w:t xml:space="preserve">的委托，江苏华强工程投资管理咨询有限公司就厨房设备采购项目（</w:t>
      </w:r>
      <w:r>
        <w:rPr>
          <w:rFonts w:hint="eastAsia" w:ascii="宋体" w:hAnsi="宋体" w:eastAsia="宋体" w:cs="宋体"/>
          <w:color w:val="000000"/>
          <w:sz w:val="21"/>
          <w:szCs w:val="21"/>
          <w:highlight w:val="none"/>
          <w:u w:val="none"/>
          <w:lang w:eastAsia="zh-CN"/>
        </w:rPr>
        <w:t xml:space="preserve">JSZC-321200-HQGC-X2026-0019</w:t>
      </w:r>
      <w:r>
        <w:rPr>
          <w:rFonts w:hint="eastAsia" w:ascii="宋体" w:hAnsi="宋体" w:eastAsia="宋体" w:cs="宋体"/>
          <w:color w:val="000000"/>
          <w:sz w:val="21"/>
          <w:szCs w:val="21"/>
          <w:highlight w:val="none"/>
          <w:u w:val="none"/>
          <w:lang w:val="en-US" w:eastAsia="zh-CN"/>
        </w:rPr>
        <w:t xml:space="preserve">）</w:t>
      </w:r>
      <w:r>
        <w:rPr>
          <w:rFonts w:hint="eastAsia"/>
          <w:color w:val="000000"/>
          <w:sz w:val="24"/>
          <w:szCs w:val="24"/>
          <w:highlight w:val="none"/>
          <w:u w:val="none"/>
          <w:lang w:eastAsia="zh-CN"/>
        </w:rPr>
        <w:t xml:space="preserve">进行询价采购，欢迎符合条件</w:t>
      </w:r>
      <w:r>
        <w:rPr>
          <w:rFonts w:hint="eastAsia" w:ascii="宋体" w:hAnsi="宋体" w:cs="宋体"/>
          <w:color w:val="000000"/>
          <w:sz w:val="24"/>
          <w:szCs w:val="24"/>
          <w:highlight w:val="none"/>
          <w:u w:val="none"/>
        </w:rPr>
        <w:t xml:space="preserve">的供应商参加询价活动。</w:t>
      </w:r>
      <w:r>
        <w:rPr>
          <w:highlight w:val="none"/>
        </w:rPr>
      </w:r>
      <w:r/>
    </w:p>
    <w:p>
      <w:pPr>
        <w:pStyle w:val="714"/>
        <w:ind w:firstLine="480"/>
        <w:jc w:val="left"/>
        <w:spacing w:line="360" w:lineRule="auto"/>
        <w:rPr>
          <w:rFonts w:ascii="宋体" w:hAnsi="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rPr>
        <w:t xml:space="preserve">项目概况</w:t>
      </w:r>
      <w:r>
        <w:rPr>
          <w:highlight w:val="none"/>
        </w:rPr>
      </w:r>
      <w:r/>
    </w:p>
    <w:p>
      <w:pPr>
        <w:pStyle w:val="714"/>
        <w:ind w:firstLine="480"/>
        <w:jc w:val="both"/>
        <w:spacing w:line="360" w:lineRule="auto"/>
        <w:rPr>
          <w:rFonts w:ascii="宋体" w:hAnsi="宋体" w:cs="宋体"/>
          <w:color w:val="000000"/>
          <w:sz w:val="24"/>
          <w:szCs w:val="24"/>
          <w:highlight w:val="none"/>
          <w:u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none"/>
          <w:lang w:eastAsia="zh-CN"/>
        </w:rPr>
        <w:t xml:space="preserve">厨房设备采购项目</w:t>
      </w:r>
      <w:r>
        <w:rPr>
          <w:rFonts w:ascii="宋体" w:hAnsi="宋体" w:cs="宋体"/>
          <w:color w:val="000000"/>
          <w:sz w:val="24"/>
          <w:szCs w:val="24"/>
          <w:highlight w:val="none"/>
          <w:u w:val="none"/>
        </w:rPr>
        <w:t xml:space="preserve"> </w:t>
      </w:r>
      <w:r>
        <w:rPr>
          <w:rFonts w:hint="eastAsia" w:ascii="宋体" w:hAnsi="宋体" w:cs="宋体"/>
          <w:color w:val="000000"/>
          <w:sz w:val="24"/>
          <w:szCs w:val="24"/>
          <w:highlight w:val="none"/>
          <w:u w:val="none"/>
        </w:rPr>
        <w:t xml:space="preserve">询价项目的潜在供应商可在“苏采云”政府采购一体化平台自行免费下载询价文件，并于</w:t>
      </w:r>
      <w:r>
        <w:rPr>
          <w:rFonts w:hint="eastAsia" w:ascii="宋体" w:hAnsi="宋体" w:cs="宋体"/>
          <w:color w:val="ff0000"/>
          <w:sz w:val="24"/>
          <w:szCs w:val="24"/>
          <w:highlight w:val="none"/>
          <w:u w:val="none"/>
        </w:rPr>
        <w:t xml:space="preserve">202</w:t>
      </w:r>
      <w:r>
        <w:rPr>
          <w:rFonts w:hint="eastAsia" w:ascii="宋体" w:hAnsi="宋体" w:cs="宋体"/>
          <w:color w:val="ff0000"/>
          <w:sz w:val="24"/>
          <w:szCs w:val="24"/>
          <w:highlight w:val="none"/>
          <w:u w:val="none"/>
          <w:lang w:val="en-US" w:eastAsia="zh-CN"/>
        </w:rPr>
        <w:t xml:space="preserve">6</w:t>
      </w:r>
      <w:r>
        <w:rPr>
          <w:rFonts w:hint="eastAsia" w:ascii="宋体" w:hAnsi="宋体" w:cs="宋体"/>
          <w:color w:val="ff0000"/>
          <w:sz w:val="24"/>
          <w:szCs w:val="24"/>
          <w:highlight w:val="none"/>
          <w:u w:val="none"/>
        </w:rPr>
        <w:t xml:space="preserve">年</w:t>
      </w:r>
      <w:r>
        <w:rPr>
          <w:rFonts w:hint="eastAsia" w:ascii="宋体" w:hAnsi="宋体" w:eastAsia="宋体" w:cs="宋体"/>
          <w:color w:val="ff0000"/>
          <w:sz w:val="24"/>
          <w:szCs w:val="24"/>
          <w:highlight w:val="none"/>
          <w:u w:val="none"/>
          <w:lang w:val="en-US" w:eastAsia="zh-CN"/>
        </w:rPr>
        <w:t xml:space="preserve">6</w:t>
      </w:r>
      <w:r>
        <w:rPr>
          <w:rFonts w:hint="eastAsia" w:ascii="宋体" w:hAnsi="宋体" w:cs="宋体"/>
          <w:color w:val="ff0000"/>
          <w:sz w:val="24"/>
          <w:szCs w:val="24"/>
          <w:highlight w:val="none"/>
          <w:u w:val="none"/>
        </w:rPr>
        <w:t xml:space="preserve">月</w:t>
      </w:r>
      <w:r>
        <w:rPr>
          <w:rFonts w:hint="eastAsia" w:ascii="宋体" w:hAnsi="宋体" w:cs="宋体"/>
          <w:color w:val="ff0000"/>
          <w:sz w:val="24"/>
          <w:szCs w:val="24"/>
          <w:highlight w:val="none"/>
          <w:u w:val="none"/>
          <w:lang w:val="en-US" w:eastAsia="zh-CN"/>
        </w:rPr>
        <w:t xml:space="preserve">4</w:t>
      </w:r>
      <w:r>
        <w:rPr>
          <w:rFonts w:hint="eastAsia" w:ascii="宋体" w:hAnsi="宋体" w:cs="宋体"/>
          <w:color w:val="ff0000"/>
          <w:sz w:val="24"/>
          <w:szCs w:val="24"/>
          <w:highlight w:val="none"/>
          <w:u w:val="none"/>
        </w:rPr>
        <w:t xml:space="preserve">日</w:t>
      </w:r>
      <w:r>
        <w:rPr>
          <w:rFonts w:hint="eastAsia" w:ascii="宋体" w:hAnsi="宋体" w:eastAsia="宋体" w:cs="宋体"/>
          <w:color w:val="ff0000"/>
          <w:sz w:val="24"/>
          <w:szCs w:val="24"/>
          <w:highlight w:val="none"/>
          <w:u w:val="none"/>
          <w:lang w:val="en-US" w:eastAsia="zh-CN"/>
        </w:rPr>
        <w:t xml:space="preserve">9</w:t>
      </w:r>
      <w:r>
        <w:rPr>
          <w:rFonts w:hint="eastAsia" w:ascii="宋体" w:hAnsi="宋体" w:cs="宋体"/>
          <w:color w:val="ff0000"/>
          <w:sz w:val="24"/>
          <w:szCs w:val="24"/>
          <w:highlight w:val="none"/>
          <w:u w:val="none"/>
        </w:rPr>
        <w:t xml:space="preserve">时00分</w:t>
      </w:r>
      <w:r>
        <w:rPr>
          <w:rFonts w:hint="eastAsia" w:ascii="宋体" w:hAnsi="宋体" w:cs="宋体"/>
          <w:color w:val="000000"/>
          <w:sz w:val="24"/>
          <w:szCs w:val="24"/>
          <w:highlight w:val="none"/>
          <w:u w:val="none"/>
        </w:rPr>
        <w:t xml:space="preserve">（北京时间）前递交响应文件。</w:t>
      </w:r>
      <w:r>
        <w:rPr>
          <w:highlight w:val="none"/>
        </w:rPr>
      </w:r>
      <w:r/>
    </w:p>
    <w:p>
      <w:pPr>
        <w:pStyle w:val="714"/>
        <w:ind w:firstLine="480"/>
        <w:jc w:val="both"/>
        <w:spacing w:line="360" w:lineRule="auto"/>
        <w:rPr>
          <w:rFonts w:hint="eastAsia" w:ascii="宋体" w:hAnsi="宋体" w:eastAsia="宋体" w:cs="宋体"/>
          <w:b/>
          <w:bCs w:val="0"/>
          <w:color w:val="000000"/>
          <w:sz w:val="28"/>
          <w:szCs w:val="28"/>
          <w:highlight w:val="none"/>
          <w:u w:val="none"/>
        </w:rPr>
      </w:pPr>
      <w:r>
        <w:rPr>
          <w:rFonts w:hint="eastAsia" w:ascii="宋体" w:hAnsi="宋体" w:eastAsia="宋体" w:cs="宋体"/>
          <w:b/>
          <w:bCs w:val="0"/>
          <w:color w:val="000000"/>
          <w:sz w:val="28"/>
          <w:szCs w:val="28"/>
          <w:highlight w:val="none"/>
          <w:u w:val="none"/>
        </w:rPr>
        <w:t xml:space="preserve">一、采购项目信息</w:t>
      </w:r>
      <w:r>
        <w:rPr>
          <w:highlight w:val="none"/>
        </w:rPr>
      </w:r>
      <w:r/>
    </w:p>
    <w:p>
      <w:pPr>
        <w:pStyle w:val="714"/>
        <w:ind w:firstLine="480"/>
        <w:jc w:val="both"/>
        <w:spacing w:line="360" w:lineRule="auto"/>
        <w:shd w:val="clear" w:color="auto" w:fill="ffffff"/>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rPr>
        <w:t xml:space="preserve">项目</w:t>
      </w:r>
      <w:r>
        <w:rPr>
          <w:rFonts w:hint="eastAsia" w:ascii="宋体" w:hAnsi="宋体" w:cs="宋体"/>
          <w:color w:val="000000"/>
          <w:sz w:val="24"/>
          <w:szCs w:val="24"/>
          <w:highlight w:val="none"/>
          <w:u w:val="none"/>
          <w:lang w:eastAsia="zh-CN"/>
        </w:rPr>
        <w:t xml:space="preserve">编号：JSZC-321200-HQGC-X2026-0019</w:t>
      </w:r>
      <w:r>
        <w:rPr>
          <w:highlight w:val="none"/>
        </w:rPr>
      </w:r>
      <w:r/>
    </w:p>
    <w:p>
      <w:pPr>
        <w:pStyle w:val="714"/>
        <w:ind w:firstLine="480"/>
        <w:jc w:val="both"/>
        <w:spacing w:line="360" w:lineRule="auto"/>
        <w:shd w:val="clear" w:color="auto" w:fill="ffffff"/>
        <w:widowControl/>
        <w:rPr>
          <w:rFonts w:hint="eastAsia"/>
          <w:color w:val="000000"/>
          <w:sz w:val="24"/>
          <w:szCs w:val="24"/>
          <w:highlight w:val="none"/>
          <w:u w:val="none"/>
        </w:rPr>
      </w:pPr>
      <w:r>
        <w:rPr>
          <w:rFonts w:hint="eastAsia" w:ascii="宋体" w:hAnsi="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rPr>
        <w:t xml:space="preserve">项目名称：</w:t>
      </w:r>
      <w:r>
        <w:rPr>
          <w:rFonts w:hint="eastAsia"/>
          <w:color w:val="000000"/>
          <w:sz w:val="24"/>
          <w:szCs w:val="24"/>
          <w:highlight w:val="none"/>
          <w:u w:val="none"/>
          <w:lang w:eastAsia="zh-CN"/>
        </w:rPr>
        <w:t xml:space="preserve">厨房设备采购项目</w:t>
      </w:r>
      <w:r>
        <w:rPr>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3.项目预算：162.6万元</w:t>
      </w:r>
      <w:r>
        <w:rPr>
          <w:highlight w:val="none"/>
        </w:rPr>
      </w:r>
      <w:r/>
    </w:p>
    <w:p>
      <w:pPr>
        <w:pStyle w:val="714"/>
        <w:ind w:firstLine="480"/>
        <w:jc w:val="both"/>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4.最高限价：162.6万元</w:t>
      </w:r>
      <w:r>
        <w:rPr>
          <w:highlight w:val="none"/>
        </w:rPr>
      </w:r>
      <w:r/>
    </w:p>
    <w:p>
      <w:pPr>
        <w:pStyle w:val="714"/>
        <w:ind w:firstLine="480"/>
        <w:jc w:val="both"/>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w:t>
      </w:r>
      <w:r>
        <w:rPr>
          <w:rFonts w:hint="eastAsia" w:ascii="宋体" w:hAnsi="宋体" w:cs="宋体"/>
          <w:color w:val="000000"/>
          <w:sz w:val="24"/>
          <w:szCs w:val="24"/>
          <w:highlight w:val="none"/>
          <w:lang w:val="en-US" w:eastAsia="zh-CN"/>
        </w:rPr>
        <w:t xml:space="preserve">需求：泰州技师学院食堂加固改造，拟对食堂内部厨具进行更新，主要内容包含但不限于主食库、冷库、副食库、预进间、烹调区、切配区、粗加工区、清洗区、售卖区等场所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相关的不锈钢厨具及配件，确保后期能满足正常的生产和经营，含安装（详细内容见本</w:t>
      </w:r>
      <w:r>
        <w:rPr>
          <w:rFonts w:hint="eastAsia" w:ascii="宋体" w:hAnsi="宋体" w:cs="宋体"/>
          <w:color w:val="000000"/>
          <w:sz w:val="24"/>
          <w:szCs w:val="24"/>
          <w:highlight w:val="none"/>
          <w:lang w:val="en-US" w:eastAsia="zh-CN"/>
        </w:rPr>
        <w:t xml:space="preserve">询价文件</w:t>
      </w:r>
      <w:r>
        <w:rPr>
          <w:rFonts w:hint="eastAsia" w:ascii="宋体" w:hAnsi="宋体" w:cs="宋体"/>
          <w:color w:val="000000"/>
          <w:sz w:val="24"/>
          <w:szCs w:val="24"/>
          <w:highlight w:val="none"/>
        </w:rPr>
        <w:t xml:space="preserve">第四章）。</w:t>
      </w:r>
      <w:r>
        <w:rPr>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履约期限：</w:t>
      </w:r>
      <w:r>
        <w:rPr>
          <w:rFonts w:hint="eastAsia" w:ascii="宋体" w:hAnsi="宋体" w:eastAsia="宋体" w:cs="宋体"/>
          <w:color w:val="000000"/>
          <w:sz w:val="24"/>
          <w:szCs w:val="24"/>
          <w:highlight w:val="none"/>
          <w:lang w:eastAsia="zh-CN"/>
        </w:rPr>
        <w:t xml:space="preserve">合同签订之后，30日内完成供货及安</w:t>
      </w:r>
      <w:r>
        <w:rPr>
          <w:rFonts w:hint="eastAsia" w:ascii="宋体" w:hAnsi="宋体" w:eastAsia="宋体" w:cs="宋体"/>
          <w:color w:val="000000"/>
          <w:sz w:val="24"/>
          <w:szCs w:val="24"/>
          <w:highlight w:val="none"/>
          <w:lang w:val="en-US" w:eastAsia="zh-CN"/>
        </w:rPr>
        <w:t xml:space="preserve">装</w:t>
      </w:r>
      <w:r>
        <w:rPr>
          <w:rFonts w:hint="eastAsia" w:ascii="宋体" w:hAnsi="宋体" w:eastAsia="宋体" w:cs="宋体"/>
          <w:color w:val="000000"/>
          <w:sz w:val="24"/>
          <w:szCs w:val="24"/>
          <w:highlight w:val="none"/>
          <w:lang w:val="en-US" w:eastAsia="zh-CN"/>
        </w:rPr>
        <w:t xml:space="preserve">（双开门消毒柜的供货安装期可延迟至2026年9月10日前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highlight w:val="none"/>
        </w:rPr>
      </w:r>
      <w:r/>
    </w:p>
    <w:p>
      <w:pPr>
        <w:pStyle w:val="714"/>
        <w:ind w:firstLine="480"/>
        <w:jc w:val="both"/>
        <w:spacing w:line="360" w:lineRule="auto"/>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二、供应商资格要求</w:t>
      </w:r>
      <w:r>
        <w:rPr>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rPr>
      </w:pPr>
      <w:r>
        <w:rPr>
          <w:highlight w:val="none"/>
        </w:rPr>
      </w:r>
      <w:bookmarkStart w:id="0" w:name="_Toc38985265"/>
      <w:r>
        <w:rPr>
          <w:rFonts w:hint="eastAsia" w:ascii="宋体" w:hAnsi="宋体" w:eastAsia="宋体" w:cs="宋体"/>
          <w:color w:val="000000"/>
          <w:sz w:val="24"/>
          <w:szCs w:val="24"/>
          <w:highlight w:val="none"/>
        </w:rPr>
        <w:t xml:space="preserve">（一）通用资格要求</w:t>
      </w:r>
      <w:bookmarkEnd w:id="0"/>
      <w:r>
        <w:rPr>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1.满足《中华人民共和国政府采购法》第二十二条规定，并提供下列材</w:t>
      </w:r>
      <w:r>
        <w:rPr>
          <w:rFonts w:hint="eastAsia" w:ascii="宋体" w:hAnsi="宋体" w:eastAsia="Arial" w:cs="宋体"/>
          <w:color w:val="000000"/>
          <w:sz w:val="24"/>
          <w:szCs w:val="24"/>
          <w:highlight w:val="none"/>
        </w:rPr>
        <w:t xml:space="preserve">料：</w:t>
      </w:r>
      <w:r>
        <w:rPr>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eastAsia="Arial" w:cs="宋体"/>
          <w:color w:val="000000"/>
          <w:sz w:val="24"/>
          <w:szCs w:val="24"/>
          <w:highlight w:val="none"/>
        </w:rPr>
        <w:t xml:space="preserve">1.1 法人或者其他组织的营业执照等证明文件，自然人的身份证明；</w:t>
      </w:r>
      <w:r>
        <w:rPr>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eastAsia="Arial" w:cs="宋体"/>
          <w:color w:val="000000"/>
          <w:sz w:val="24"/>
          <w:szCs w:val="24"/>
          <w:highlight w:val="none"/>
        </w:rPr>
        <w:t xml:space="preserve">1.</w:t>
      </w:r>
      <w:r>
        <w:rPr>
          <w:rFonts w:hint="eastAsia" w:ascii="宋体" w:hAnsi="宋体" w:eastAsia="Arial" w:cs="宋体"/>
          <w:color w:val="000000"/>
          <w:sz w:val="24"/>
          <w:szCs w:val="24"/>
          <w:highlight w:val="none"/>
          <w:lang w:val="en-US" w:eastAsia="zh-CN"/>
        </w:rPr>
        <w:t xml:space="preserve">2 </w:t>
      </w:r>
      <w:r>
        <w:rPr>
          <w:rFonts w:hint="eastAsia" w:ascii="宋体" w:hAnsi="宋体" w:eastAsia="Arial" w:cs="宋体"/>
          <w:color w:val="000000"/>
          <w:sz w:val="24"/>
          <w:szCs w:val="24"/>
          <w:highlight w:val="none"/>
          <w:lang w:eastAsia="zh-CN"/>
        </w:rPr>
        <w:t xml:space="preserve">具有良好的商业信誉和健全的财务会计制度(提供2024年度或者2025年度的财务报告，至少包含资产负债表、利润表；或投标截止时间前六个月内银行出具的资信证明；成立不满一年无须提供)</w:t>
      </w:r>
      <w:r>
        <w:rPr>
          <w:rFonts w:hint="eastAsia" w:ascii="宋体" w:hAnsi="宋体" w:eastAsia="Arial" w:cs="宋体"/>
          <w:color w:val="000000"/>
          <w:sz w:val="24"/>
          <w:szCs w:val="24"/>
          <w:highlight w:val="none"/>
        </w:rPr>
        <w:t xml:space="preserve">；</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1.3依法缴纳税收和社会保障资金的相关材料（提供提交响应文件截止时间前</w:t>
      </w:r>
      <w:r>
        <w:rPr>
          <w:rFonts w:hint="eastAsia" w:ascii="宋体" w:hAnsi="宋体" w:eastAsia="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内至少一个月依法缴纳税收及缴纳社会保障资金的证明材料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供应商依法享受缓缴、免缴税收、社会保障资金的提供证明材料。）；</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1.4具备履行合同所必需的设备和专业技术能力的书面声明；</w:t>
      </w:r>
      <w:r>
        <w:rPr>
          <w:highlight w:val="none"/>
        </w:rPr>
      </w:r>
      <w:r/>
    </w:p>
    <w:p>
      <w:pPr>
        <w:pStyle w:val="714"/>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1.5参加政府采购活动前3年内在经营活动中没有重大违法记录的书面声明</w:t>
      </w:r>
      <w:r>
        <w:rPr>
          <w:rFonts w:hint="eastAsia" w:ascii="宋体" w:hAnsi="宋体" w:cs="宋体"/>
          <w:color w:val="000000"/>
          <w:sz w:val="24"/>
          <w:szCs w:val="24"/>
          <w:highlight w:val="none"/>
          <w:lang w:eastAsia="zh-CN"/>
        </w:rPr>
        <w:t xml:space="preserve">；</w:t>
      </w:r>
      <w:r>
        <w:rPr>
          <w:highlight w:val="none"/>
        </w:rPr>
      </w:r>
      <w:r/>
    </w:p>
    <w:p>
      <w:pPr>
        <w:pStyle w:val="714"/>
        <w:ind w:firstLine="480"/>
        <w:jc w:val="both"/>
        <w:pageBreakBefore w:val="0"/>
        <w:spacing w:line="460" w:lineRule="exact"/>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法律、行政法规规定的其他条件</w:t>
      </w:r>
      <w:r>
        <w:rPr>
          <w:rFonts w:hint="eastAsia" w:ascii="宋体" w:hAnsi="宋体" w:cs="宋体"/>
          <w:color w:val="000000"/>
          <w:sz w:val="24"/>
          <w:szCs w:val="24"/>
          <w:highlight w:val="none"/>
          <w:lang w:eastAsia="zh-CN"/>
        </w:rPr>
        <w:t xml:space="preserve">。</w:t>
      </w:r>
      <w:r>
        <w:rPr>
          <w:highlight w:val="none"/>
        </w:rPr>
      </w:r>
      <w:r/>
    </w:p>
    <w:p>
      <w:pPr>
        <w:pStyle w:val="714"/>
        <w:ind w:firstLine="482"/>
        <w:jc w:val="both"/>
        <w:pageBreakBefore w:val="0"/>
        <w:spacing w:line="460" w:lineRule="exact"/>
        <w:tabs>
          <w:tab w:val="left" w:pos="90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在“信用中国”网站</w:t>
      </w:r>
      <w:r>
        <w:rPr>
          <w:rFonts w:hint="eastAsia" w:ascii="宋体" w:hAnsi="宋体" w:eastAsia="宋体" w:cs="宋体"/>
          <w:color w:val="000000"/>
          <w:sz w:val="21"/>
          <w:szCs w:val="21"/>
          <w:highlight w:val="none"/>
        </w:rPr>
        <w:t xml:space="preserve">（www.creditchina.gov.cn）</w:t>
      </w:r>
      <w:r>
        <w:rPr>
          <w:rFonts w:ascii="宋体" w:hAnsi="宋体" w:cs="宋体"/>
          <w:color w:val="000000"/>
          <w:sz w:val="24"/>
          <w:szCs w:val="24"/>
          <w:highlight w:val="none"/>
        </w:rPr>
        <w:t xml:space="preserve">查询，无被列入失信被执行人、重大税收违法案件当事人名单、</w:t>
      </w:r>
      <w:r>
        <w:rPr>
          <w:rFonts w:hint="eastAsia" w:ascii="宋体" w:hAnsi="宋体" w:cs="宋体"/>
          <w:color w:val="000000"/>
          <w:sz w:val="24"/>
          <w:szCs w:val="24"/>
          <w:highlight w:val="none"/>
        </w:rPr>
        <w:t xml:space="preserve">在“中国政府采购网”网站</w:t>
      </w:r>
      <w:r>
        <w:rPr>
          <w:rFonts w:hint="eastAsia" w:ascii="宋体" w:hAnsi="宋体" w:eastAsia="宋体" w:cs="宋体"/>
          <w:color w:val="000000"/>
          <w:sz w:val="21"/>
          <w:szCs w:val="21"/>
          <w:highlight w:val="none"/>
        </w:rPr>
        <w:t xml:space="preserve">（https://www.ccgp.gov.cn）</w:t>
      </w:r>
      <w:r>
        <w:rPr>
          <w:rFonts w:ascii="宋体" w:hAnsi="宋体" w:cs="宋体"/>
          <w:color w:val="000000"/>
          <w:sz w:val="24"/>
          <w:szCs w:val="24"/>
          <w:highlight w:val="none"/>
        </w:rPr>
        <w:t xml:space="preserve">查询，政府采购严重失信行为记录名单及其他不符合《中华人民共和国政府采购法》第二十二条规定条件的信用记录。（响应文件中无需提供证明材料）</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3.落实政府采购政策需满足的资格要求：</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3.1本项目</w:t>
      </w:r>
      <w:r>
        <w:rPr>
          <w:rFonts w:hint="eastAsia" w:ascii="宋体" w:hAnsi="宋体" w:cs="宋体"/>
          <w:b/>
          <w:bCs/>
          <w:color w:val="000000"/>
          <w:sz w:val="24"/>
          <w:szCs w:val="24"/>
          <w:highlight w:val="none"/>
          <w:lang w:val="en-US" w:eastAsia="zh-CN"/>
        </w:rPr>
        <w:t xml:space="preserve">专门面向中小企业采购</w:t>
      </w:r>
      <w:r>
        <w:rPr>
          <w:rFonts w:hint="eastAsia" w:ascii="宋体" w:hAnsi="宋体" w:cs="宋体"/>
          <w:color w:val="000000"/>
          <w:sz w:val="24"/>
          <w:szCs w:val="24"/>
          <w:highlight w:val="none"/>
          <w:lang w:val="en-US" w:eastAsia="zh-CN"/>
        </w:rPr>
        <w:t xml:space="preserve">。小微企业价格扣除优惠比例</w:t>
      </w:r>
      <w:r>
        <w:rPr>
          <w:rFonts w:hint="eastAsia" w:ascii="宋体" w:hAnsi="宋体" w:cs="宋体"/>
          <w:b/>
          <w:bCs/>
          <w:color w:val="000000"/>
          <w:sz w:val="24"/>
          <w:szCs w:val="24"/>
          <w:highlight w:val="none"/>
          <w:u w:val="single"/>
          <w:lang w:val="en-US" w:eastAsia="zh-CN"/>
        </w:rPr>
        <w:t xml:space="preserve">0%</w:t>
      </w:r>
      <w:r>
        <w:rPr>
          <w:rFonts w:hint="eastAsia" w:ascii="宋体" w:hAnsi="宋体" w:cs="宋体"/>
          <w:color w:val="000000"/>
          <w:sz w:val="24"/>
          <w:szCs w:val="24"/>
          <w:highlight w:val="none"/>
          <w:lang w:val="en-US" w:eastAsia="zh-CN"/>
        </w:rPr>
        <w:t xml:space="preserve">；</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highlight w:val="none"/>
          <w:u w:val="single"/>
          <w:lang w:val="en-US" w:eastAsia="zh-CN"/>
        </w:rPr>
        <w:t xml:space="preserve">工业</w:t>
      </w:r>
      <w:r>
        <w:rPr>
          <w:rFonts w:hint="eastAsia" w:ascii="宋体" w:hAnsi="宋体" w:cs="宋体"/>
          <w:color w:val="000000"/>
          <w:sz w:val="24"/>
          <w:szCs w:val="24"/>
          <w:highlight w:val="none"/>
          <w:lang w:val="en-US" w:eastAsia="zh-CN"/>
        </w:rPr>
        <w:t xml:space="preserve">。 </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3.3根据《国务院办公厅关于在政府采购中实施本国产品标准及相关政策的通知》（国办发〔2025〕34号）和《关于贯彻落实《国务院办公厅关于在政府采购中实施本国产品标准及相关政策的通知》的意见》（财库〔2025〕30号），对提供《关于符合本国产品标准的声明函》的企业产品给予</w:t>
      </w:r>
      <w:r>
        <w:rPr>
          <w:rFonts w:hint="eastAsia" w:ascii="宋体" w:hAnsi="宋体" w:cs="宋体"/>
          <w:b/>
          <w:bCs/>
          <w:color w:val="000000"/>
          <w:sz w:val="24"/>
          <w:szCs w:val="24"/>
          <w:highlight w:val="none"/>
          <w:u w:val="single"/>
          <w:lang w:val="en-US" w:eastAsia="zh-CN"/>
        </w:rPr>
        <w:t xml:space="preserve">20%</w:t>
      </w:r>
      <w:r>
        <w:rPr>
          <w:rFonts w:hint="eastAsia" w:ascii="宋体" w:hAnsi="宋体" w:cs="宋体"/>
          <w:color w:val="000000"/>
          <w:sz w:val="24"/>
          <w:szCs w:val="24"/>
          <w:highlight w:val="none"/>
          <w:lang w:val="en-US" w:eastAsia="zh-CN"/>
        </w:rPr>
        <w:t xml:space="preserve">价格扣除。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.本项目不接受联合体。</w:t>
      </w:r>
      <w:r>
        <w:rPr>
          <w:highlight w:val="none"/>
        </w:rPr>
      </w:r>
      <w:r/>
    </w:p>
    <w:p>
      <w:pPr>
        <w:pStyle w:val="714"/>
        <w:ind w:firstLine="480"/>
        <w:jc w:val="both"/>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val="en-US" w:eastAsia="zh-CN"/>
        </w:rPr>
        <w:t xml:space="preserve">无。</w:t>
      </w:r>
      <w:r>
        <w:rPr>
          <w:highlight w:val="none"/>
        </w:rPr>
      </w:r>
      <w:r/>
    </w:p>
    <w:p>
      <w:pPr>
        <w:pStyle w:val="714"/>
        <w:ind w:firstLine="480"/>
        <w:jc w:val="both"/>
        <w:pageBreakBefore w:val="0"/>
        <w:spacing w:line="460" w:lineRule="exact"/>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三、获取询价文件</w:t>
      </w:r>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highlight w:val="none"/>
        </w:rPr>
      </w:r>
      <w:bookmarkStart w:id="1" w:name="_Toc28359005"/>
      <w:r>
        <w:rPr>
          <w:highlight w:val="none"/>
        </w:rPr>
      </w:r>
      <w:bookmarkEnd w:id="1"/>
      <w:r>
        <w:rPr>
          <w:highlight w:val="none"/>
        </w:rPr>
      </w:r>
      <w:bookmarkStart w:id="2" w:name="_Toc35393624"/>
      <w:r>
        <w:rPr>
          <w:highlight w:val="none"/>
        </w:rPr>
      </w:r>
      <w:bookmarkEnd w:id="2"/>
      <w:r>
        <w:rPr>
          <w:highlight w:val="none"/>
        </w:rPr>
      </w:r>
      <w:bookmarkStart w:id="3" w:name="_Toc28359082"/>
      <w:r>
        <w:rPr>
          <w:highlight w:val="none"/>
        </w:rPr>
      </w:r>
      <w:bookmarkEnd w:id="3"/>
      <w:r>
        <w:rPr>
          <w:highlight w:val="none"/>
        </w:rPr>
      </w:r>
      <w:bookmarkStart w:id="4" w:name="_Toc35393793"/>
      <w:r>
        <w:rPr>
          <w:highlight w:val="none"/>
        </w:rPr>
      </w:r>
      <w:bookmarkEnd w:id="4"/>
      <w:r>
        <w:rPr>
          <w:highlight w:val="none"/>
        </w:rPr>
      </w:r>
      <w:bookmarkStart w:id="5" w:name="_Toc38985266"/>
      <w:r>
        <w:rPr>
          <w:rFonts w:hint="eastAsia" w:ascii="宋体" w:hAnsi="宋体" w:cs="宋体"/>
          <w:color w:val="000000"/>
          <w:sz w:val="24"/>
          <w:szCs w:val="24"/>
          <w:highlight w:val="none"/>
        </w:rPr>
        <w:t xml:space="preserve">1.时间：自询价公告发布之日起</w:t>
      </w:r>
      <w:r>
        <w:rPr>
          <w:rFonts w:hint="eastAsia" w:ascii="宋体" w:hAnsi="宋体" w:cs="宋体"/>
          <w:color w:val="ff0000"/>
          <w:sz w:val="24"/>
          <w:szCs w:val="24"/>
          <w:highlight w:val="none"/>
        </w:rPr>
        <w:t xml:space="preserve">至202</w:t>
      </w:r>
      <w:r>
        <w:rPr>
          <w:rFonts w:hint="eastAsia" w:ascii="宋体" w:hAnsi="宋体" w:eastAsia="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29</w:t>
      </w:r>
      <w:r>
        <w:rPr>
          <w:rFonts w:hint="eastAsia" w:ascii="宋体" w:hAnsi="宋体" w:cs="宋体"/>
          <w:color w:val="ff0000"/>
          <w:sz w:val="24"/>
          <w:szCs w:val="24"/>
          <w:highlight w:val="none"/>
        </w:rPr>
        <w:t xml:space="preserve">日截止</w:t>
      </w:r>
      <w:r>
        <w:rPr>
          <w:rFonts w:hint="eastAsia" w:ascii="宋体" w:hAnsi="宋体" w:cs="宋体"/>
          <w:color w:val="000000"/>
          <w:sz w:val="24"/>
          <w:szCs w:val="24"/>
          <w:highlight w:val="none"/>
        </w:rPr>
        <w:t xml:space="preserve">。</w:t>
      </w:r>
      <w:bookmarkEnd w:id="5"/>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2.方式：本次采购采用“苏采云”政府采购一体化平台进行政府采购活动。</w:t>
      </w:r>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供应商如确定参加询价活动，可自行下载采购文件及有关资料，按照采购文件规定进行注册、领取</w:t>
      </w:r>
      <w:r>
        <w:rPr>
          <w:rFonts w:ascii="宋体" w:hAnsi="宋体" w:cs="宋体"/>
          <w:color w:val="000000"/>
          <w:sz w:val="24"/>
          <w:szCs w:val="24"/>
          <w:highlight w:val="none"/>
        </w:rPr>
        <w:t xml:space="preserve">CA和办理电子签章请至泰州市高港区泰州大道388号</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szCs w:val="24"/>
          <w:highlight w:val="none"/>
        </w:rPr>
        <w:t xml:space="preserve">中国</w:t>
      </w:r>
      <w:r>
        <w:rPr>
          <w:rFonts w:hint="eastAsia" w:ascii="宋体" w:hAnsi="宋体" w:eastAsia="Arial" w:cs="宋体"/>
          <w:color w:val="000000"/>
          <w:sz w:val="24"/>
          <w:szCs w:val="24"/>
          <w:highlight w:val="none"/>
          <w:lang w:val="en-US" w:eastAsia="zh-CN"/>
        </w:rPr>
        <w:t xml:space="preserve">医药城会展政务服务中心W3馆西南角）公共资源交易大厅6号窗口办理，电话：0523-81568158，17327800634），根据《“苏采云”系统供应商操作手册</w:t>
      </w:r>
      <w:r>
        <w:rPr>
          <w:rFonts w:hint="eastAsia" w:ascii="宋体" w:hAnsi="宋体" w:eastAsia="Arial" w:cs="宋体"/>
          <w:color w:val="000000"/>
          <w:sz w:val="15"/>
          <w:szCs w:val="15"/>
          <w:highlight w:val="none"/>
          <w:lang w:val="en-US" w:eastAsia="zh-CN"/>
        </w:rPr>
        <w:t xml:space="preserve">http://www.ccgp-jiangsu.gov.cn/jiangsu/zlxz/ee/ee3a4bc5a3454aa2b0d9312230633ce9.html</w:t>
      </w:r>
      <w:r>
        <w:rPr>
          <w:rFonts w:hint="eastAsia" w:ascii="宋体" w:hAnsi="宋体" w:eastAsia="Arial" w:cs="宋体"/>
          <w:color w:val="000000"/>
          <w:sz w:val="21"/>
          <w:szCs w:val="21"/>
          <w:highlight w:val="none"/>
          <w:lang w:val="en-US" w:eastAsia="zh-CN"/>
        </w:rPr>
        <w:t xml:space="preserve">》规定，</w:t>
      </w:r>
      <w:r>
        <w:rPr>
          <w:rFonts w:hint="eastAsia" w:ascii="宋体" w:hAnsi="宋体" w:eastAsia="Arial" w:cs="宋体"/>
          <w:color w:val="000000"/>
          <w:sz w:val="24"/>
          <w:szCs w:val="24"/>
          <w:highlight w:val="none"/>
          <w:lang w:val="en-US" w:eastAsia="zh-CN"/>
        </w:rPr>
        <w:t xml:space="preserve">在“苏采云”</w:t>
      </w:r>
      <w:r>
        <w:rPr>
          <w:rFonts w:hint="eastAsia" w:ascii="宋体" w:hAnsi="宋体" w:eastAsia="Arial" w:cs="宋体"/>
          <w:color w:val="000000"/>
          <w:sz w:val="21"/>
          <w:szCs w:val="21"/>
          <w:highlight w:val="none"/>
          <w:lang w:val="en-US" w:eastAsia="zh-CN"/>
        </w:rPr>
        <w:t xml:space="preserve">（</w:t>
      </w:r>
      <w:r>
        <w:rPr>
          <w:rFonts w:hint="eastAsia" w:ascii="宋体" w:hAnsi="宋体" w:eastAsia="Arial" w:cs="宋体"/>
          <w:color w:val="000000"/>
          <w:sz w:val="15"/>
          <w:szCs w:val="15"/>
          <w:highlight w:val="none"/>
          <w:lang w:val="en-US" w:eastAsia="zh-CN"/>
        </w:rPr>
        <w:t xml:space="preserve"> http://jszfcg.jsczt.cn/jszc/login</w:t>
      </w:r>
      <w:r>
        <w:rPr>
          <w:rFonts w:hint="eastAsia" w:ascii="宋体" w:hAnsi="宋体" w:eastAsia="Arial" w:cs="宋体"/>
          <w:color w:val="000000"/>
          <w:sz w:val="24"/>
          <w:szCs w:val="24"/>
          <w:highlight w:val="none"/>
          <w:lang w:val="en-US" w:eastAsia="zh-CN"/>
        </w:rPr>
        <w:t xml:space="preserve">）中按要求制作、上</w:t>
      </w:r>
      <w:r>
        <w:rPr>
          <w:rFonts w:ascii="宋体" w:hAnsi="宋体" w:cs="宋体"/>
          <w:color w:val="000000"/>
          <w:sz w:val="24"/>
          <w:szCs w:val="24"/>
          <w:highlight w:val="none"/>
        </w:rPr>
        <w:t xml:space="preserve">传电子响应文件（技术支持电话：0523-8763396</w:t>
      </w:r>
      <w:r>
        <w:rPr>
          <w:rFonts w:hint="eastAsia" w:ascii="宋体" w:hAnsi="宋体" w:cs="宋体"/>
          <w:color w:val="000000"/>
          <w:sz w:val="24"/>
          <w:szCs w:val="24"/>
          <w:highlight w:val="none"/>
          <w:lang w:eastAsia="zh-CN"/>
        </w:rPr>
        <w:t xml:space="preserve">5、</w:t>
      </w:r>
      <w:r>
        <w:rPr>
          <w:rFonts w:ascii="宋体" w:hAnsi="宋体" w:cs="宋体"/>
          <w:color w:val="000000"/>
          <w:sz w:val="24"/>
          <w:szCs w:val="24"/>
          <w:highlight w:val="none"/>
        </w:rPr>
        <w:t xml:space="preserve">0523-86897512；客服QQ</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szCs w:val="24"/>
          <w:highlight w:val="none"/>
        </w:rPr>
        <w:t xml:space="preserve">70933924</w:t>
      </w:r>
      <w:r>
        <w:rPr>
          <w:rFonts w:hint="eastAsia" w:ascii="宋体" w:hAnsi="宋体" w:cs="宋体"/>
          <w:color w:val="000000"/>
          <w:sz w:val="24"/>
          <w:szCs w:val="24"/>
          <w:highlight w:val="none"/>
          <w:lang w:eastAsia="zh-CN"/>
        </w:rPr>
        <w:t xml:space="preserve">4、</w:t>
      </w:r>
      <w:r>
        <w:rPr>
          <w:rFonts w:ascii="宋体" w:hAnsi="宋体" w:cs="宋体"/>
          <w:color w:val="000000"/>
          <w:sz w:val="24"/>
          <w:szCs w:val="24"/>
          <w:highlight w:val="none"/>
        </w:rPr>
        <w:t xml:space="preserve">1195486789）。有关本次</w:t>
      </w:r>
      <w:r>
        <w:rPr>
          <w:rFonts w:hint="eastAsia" w:ascii="宋体" w:hAnsi="宋体" w:cs="宋体"/>
          <w:color w:val="000000"/>
          <w:sz w:val="24"/>
          <w:szCs w:val="24"/>
          <w:highlight w:val="none"/>
        </w:rPr>
        <w:t xml:space="preserve">询价</w:t>
      </w:r>
      <w:r>
        <w:rPr>
          <w:rFonts w:ascii="宋体" w:hAnsi="宋体" w:cs="宋体"/>
          <w:color w:val="000000"/>
          <w:sz w:val="24"/>
          <w:szCs w:val="24"/>
          <w:highlight w:val="none"/>
        </w:rPr>
        <w:t xml:space="preserve">的事项若存在变动或修改，敬请及时关注“江苏政府采购网”发布的更正公告。</w:t>
      </w:r>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w:t>
      </w:r>
      <w:r>
        <w:rPr>
          <w:highlight w:val="none"/>
        </w:rPr>
      </w:r>
      <w:r/>
    </w:p>
    <w:p>
      <w:pPr>
        <w:pStyle w:val="714"/>
        <w:ind w:firstLine="480"/>
        <w:jc w:val="both"/>
        <w:pageBreakBefore w:val="0"/>
        <w:spacing w:line="460" w:lineRule="exact"/>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四、提交响应文件截止时间</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b/>
          <w:bCs/>
          <w:color w:val="ff0000"/>
          <w:highlight w:val="none"/>
        </w:rPr>
        <w:t xml:space="preserve"> </w:t>
      </w:r>
      <w:r>
        <w:rPr>
          <w:rFonts w:hint="eastAsia" w:ascii="宋体" w:hAnsi="宋体" w:cs="宋体"/>
          <w:b/>
          <w:bCs/>
          <w:color w:val="ff0000"/>
          <w:sz w:val="24"/>
          <w:szCs w:val="24"/>
          <w:highlight w:val="none"/>
          <w:u w:val="single"/>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cs="宋体"/>
          <w:b/>
          <w:bCs/>
          <w:color w:val="ff0000"/>
          <w:sz w:val="24"/>
          <w:szCs w:val="24"/>
          <w:highlight w:val="none"/>
          <w:u w:val="single"/>
        </w:rPr>
        <w:t xml:space="preserve">年</w:t>
      </w:r>
      <w:r>
        <w:rPr>
          <w:rFonts w:hint="eastAsia" w:ascii="宋体" w:hAnsi="宋体" w:cs="宋体"/>
          <w:b/>
          <w:bCs/>
          <w:color w:val="ff0000"/>
          <w:sz w:val="24"/>
          <w:szCs w:val="24"/>
          <w:highlight w:val="none"/>
          <w:u w:val="single"/>
          <w:lang w:val="en-US" w:eastAsia="zh-CN"/>
        </w:rPr>
        <w:t xml:space="preserve">6</w:t>
      </w:r>
      <w:r>
        <w:rPr>
          <w:rFonts w:hint="eastAsia" w:ascii="宋体" w:hAnsi="宋体" w:cs="宋体"/>
          <w:b/>
          <w:bCs/>
          <w:color w:val="ff0000"/>
          <w:sz w:val="24"/>
          <w:szCs w:val="24"/>
          <w:highlight w:val="none"/>
          <w:u w:val="single"/>
        </w:rPr>
        <w:t xml:space="preserve">月</w:t>
      </w:r>
      <w:r>
        <w:rPr>
          <w:rFonts w:hint="eastAsia" w:ascii="宋体" w:hAnsi="宋体" w:cs="宋体"/>
          <w:b/>
          <w:bCs/>
          <w:color w:val="ff0000"/>
          <w:sz w:val="24"/>
          <w:szCs w:val="24"/>
          <w:highlight w:val="none"/>
          <w:u w:val="single"/>
          <w:lang w:val="en-US" w:eastAsia="zh-CN"/>
        </w:rPr>
        <w:t xml:space="preserve">4</w:t>
      </w:r>
      <w:r>
        <w:rPr>
          <w:rFonts w:hint="eastAsia" w:ascii="宋体" w:hAnsi="宋体" w:cs="宋体"/>
          <w:b/>
          <w:bCs/>
          <w:color w:val="ff0000"/>
          <w:sz w:val="24"/>
          <w:szCs w:val="24"/>
          <w:highlight w:val="none"/>
          <w:u w:val="single"/>
        </w:rPr>
        <w:t xml:space="preserve">日</w:t>
      </w:r>
      <w:r>
        <w:rPr>
          <w:rFonts w:hint="eastAsia" w:ascii="宋体" w:hAnsi="宋体" w:cs="宋体"/>
          <w:b/>
          <w:bCs/>
          <w:color w:val="ff0000"/>
          <w:sz w:val="24"/>
          <w:szCs w:val="24"/>
          <w:highlight w:val="none"/>
          <w:u w:val="single"/>
          <w:lang w:val="en-US" w:eastAsia="zh-CN"/>
        </w:rPr>
        <w:t xml:space="preserve">9</w:t>
      </w:r>
      <w:r>
        <w:rPr>
          <w:rFonts w:hint="eastAsia" w:ascii="宋体" w:hAnsi="宋体" w:cs="宋体"/>
          <w:b/>
          <w:bCs/>
          <w:color w:val="ff0000"/>
          <w:sz w:val="24"/>
          <w:szCs w:val="24"/>
          <w:highlight w:val="none"/>
          <w:u w:val="single"/>
        </w:rPr>
        <w:t xml:space="preserve">时00分</w:t>
      </w:r>
      <w:r>
        <w:rPr>
          <w:rFonts w:hint="eastAsia" w:ascii="宋体" w:hAnsi="宋体" w:cs="宋体"/>
          <w:color w:val="000000"/>
          <w:sz w:val="24"/>
          <w:szCs w:val="24"/>
          <w:highlight w:val="none"/>
        </w:rPr>
        <w:t xml:space="preserve">（北京时间）。</w:t>
      </w:r>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highlight w:val="none"/>
        </w:rPr>
      </w:r>
      <w:bookmarkStart w:id="6" w:name="_Toc38985267"/>
      <w:r>
        <w:rPr>
          <w:rFonts w:hint="eastAsia" w:ascii="宋体" w:hAnsi="宋体" w:eastAsia="宋体" w:cs="宋体"/>
          <w:b/>
          <w:bCs w:val="0"/>
          <w:color w:val="000000"/>
          <w:sz w:val="28"/>
          <w:szCs w:val="28"/>
          <w:highlight w:val="none"/>
        </w:rPr>
        <w:t xml:space="preserve">五、公告期限</w:t>
      </w:r>
      <w:bookmarkEnd w:id="6"/>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highlight w:val="none"/>
        </w:rPr>
      </w:r>
      <w:bookmarkStart w:id="7" w:name="_Toc35393795"/>
      <w:r>
        <w:rPr>
          <w:highlight w:val="none"/>
        </w:rPr>
      </w:r>
      <w:bookmarkEnd w:id="7"/>
      <w:r>
        <w:rPr>
          <w:highlight w:val="none"/>
        </w:rPr>
      </w:r>
      <w:bookmarkStart w:id="8" w:name="_Toc35393626"/>
      <w:r>
        <w:rPr>
          <w:highlight w:val="none"/>
        </w:rPr>
      </w:r>
      <w:bookmarkEnd w:id="8"/>
      <w:r>
        <w:rPr>
          <w:highlight w:val="none"/>
        </w:rPr>
      </w:r>
      <w:bookmarkStart w:id="9" w:name="_Toc38985268"/>
      <w:r>
        <w:rPr>
          <w:rFonts w:hint="eastAsia" w:ascii="宋体" w:hAnsi="宋体" w:cs="宋体"/>
          <w:color w:val="000000"/>
          <w:sz w:val="24"/>
          <w:szCs w:val="24"/>
          <w:highlight w:val="none"/>
        </w:rPr>
        <w:t xml:space="preserve">询价公告及询价文件公告期限为自本公告发布之日起3个工作日。</w:t>
      </w:r>
      <w:bookmarkEnd w:id="9"/>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六、其他补充事宜</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技术支持电话：0523-8763396</w:t>
      </w: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0523-86897512</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客服QQ：70933924</w:t>
      </w: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1633002840 </w:t>
      </w:r>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highlight w:val="none"/>
        </w:rPr>
      </w:r>
      <w:bookmarkStart w:id="10" w:name="_Toc28359085"/>
      <w:r>
        <w:rPr>
          <w:highlight w:val="none"/>
        </w:rPr>
      </w:r>
      <w:bookmarkEnd w:id="10"/>
      <w:r>
        <w:rPr>
          <w:highlight w:val="none"/>
        </w:rPr>
      </w:r>
      <w:bookmarkStart w:id="11" w:name="_Toc35393796"/>
      <w:r>
        <w:rPr>
          <w:highlight w:val="none"/>
        </w:rPr>
      </w:r>
      <w:bookmarkEnd w:id="11"/>
      <w:r>
        <w:rPr>
          <w:highlight w:val="none"/>
        </w:rPr>
      </w:r>
      <w:bookmarkStart w:id="12" w:name="_Toc35393627"/>
      <w:r>
        <w:rPr>
          <w:highlight w:val="none"/>
        </w:rPr>
      </w:r>
      <w:bookmarkEnd w:id="12"/>
      <w:r>
        <w:rPr>
          <w:highlight w:val="none"/>
        </w:rPr>
      </w:r>
      <w:bookmarkStart w:id="13" w:name="_Toc28359008"/>
      <w:r>
        <w:rPr>
          <w:highlight w:val="none"/>
        </w:rPr>
      </w:r>
      <w:bookmarkEnd w:id="13"/>
      <w:r>
        <w:rPr>
          <w:highlight w:val="none"/>
        </w:rPr>
      </w:r>
      <w:bookmarkStart w:id="14" w:name="_Toc38985269"/>
      <w:r>
        <w:rPr>
          <w:rFonts w:hint="eastAsia" w:ascii="宋体" w:hAnsi="宋体" w:eastAsia="宋体" w:cs="宋体"/>
          <w:b/>
          <w:bCs w:val="0"/>
          <w:color w:val="000000"/>
          <w:sz w:val="28"/>
          <w:szCs w:val="28"/>
          <w:highlight w:val="none"/>
        </w:rPr>
        <w:t xml:space="preserve">七、本次询价联系方式</w:t>
      </w:r>
      <w:bookmarkEnd w:id="14"/>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泰州技师学院</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泰州市海陵区龙轩路9号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孙老师</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cs="宋体"/>
          <w:color w:val="000000"/>
          <w:sz w:val="24"/>
          <w:szCs w:val="24"/>
          <w:highlight w:val="none"/>
        </w:rPr>
        <w:t xml:space="preserve">：0523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86816621</w:t>
      </w:r>
      <w:r>
        <w:rPr>
          <w:highlight w:val="none"/>
        </w:rPr>
      </w:r>
      <w:r/>
    </w:p>
    <w:p>
      <w:pPr>
        <w:pStyle w:val="714"/>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采购代理机构信息</w:t>
      </w:r>
      <w:r>
        <w:rPr>
          <w:highlight w:val="none"/>
        </w:rPr>
      </w:r>
      <w:r/>
    </w:p>
    <w:p>
      <w:pPr>
        <w:pStyle w:val="714"/>
        <w:ind w:firstLine="480"/>
        <w:jc w:val="both"/>
        <w:pageBreakBefore w:val="0"/>
        <w:spacing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江苏华强工程投资管理咨询有限公司</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泰州市</w:t>
      </w:r>
      <w:r>
        <w:rPr>
          <w:rFonts w:hint="eastAsia" w:ascii="宋体" w:hAnsi="宋体" w:eastAsia="宋体" w:cs="宋体"/>
          <w:color w:val="000000"/>
          <w:sz w:val="24"/>
          <w:szCs w:val="24"/>
          <w:highlight w:val="none"/>
          <w:lang w:val="en-US" w:eastAsia="zh-CN"/>
        </w:rPr>
        <w:t xml:space="preserve">海陵南路179号华诚大厦B座9楼</w:t>
      </w:r>
      <w:r>
        <w:rPr>
          <w:rFonts w:hint="eastAsia" w:ascii="宋体" w:hAnsi="宋体" w:cs="宋体"/>
          <w:color w:val="000000"/>
          <w:sz w:val="24"/>
          <w:szCs w:val="24"/>
          <w:highlight w:val="none"/>
        </w:rPr>
        <w:t xml:space="preserve"> </w:t>
      </w:r>
      <w:r>
        <w:rPr>
          <w:highlight w:val="none"/>
        </w:rPr>
      </w:r>
      <w:r/>
    </w:p>
    <w:p>
      <w:pPr>
        <w:pStyle w:val="714"/>
        <w:ind w:firstLine="480"/>
        <w:jc w:val="both"/>
        <w:pageBreakBefore w:val="0"/>
        <w:spacing w:line="46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杨女士</w:t>
      </w:r>
      <w:r>
        <w:rPr>
          <w:rFonts w:hint="eastAsia" w:ascii="宋体" w:hAnsi="宋体" w:cs="宋体"/>
          <w:color w:val="000000"/>
          <w:sz w:val="24"/>
          <w:szCs w:val="24"/>
          <w:highlight w:val="none"/>
        </w:rPr>
        <w:t xml:space="preserve">        联系方式：0523-869</w:t>
      </w:r>
      <w:r>
        <w:rPr>
          <w:rFonts w:hint="eastAsia" w:ascii="宋体" w:hAnsi="宋体" w:eastAsia="宋体" w:cs="宋体"/>
          <w:color w:val="000000"/>
          <w:sz w:val="24"/>
          <w:szCs w:val="24"/>
          <w:highlight w:val="none"/>
          <w:lang w:val="en-US" w:eastAsia="zh-CN"/>
        </w:rPr>
        <w:t xml:space="preserve">33690</w:t>
      </w:r>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八、其他</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宋体" w:hAnsi="宋体" w:eastAsia="宋体" w:cs="宋体"/>
          <w:color w:val="000000"/>
          <w:sz w:val="24"/>
          <w:szCs w:val="24"/>
          <w:highlight w:val="none"/>
          <w:lang w:eastAsia="zh-CN"/>
        </w:rPr>
        <w:t xml:space="preserve">CA</w:t>
      </w:r>
      <w:r>
        <w:rPr>
          <w:rFonts w:hint="eastAsia" w:ascii="宋体" w:hAnsi="宋体" w:cs="宋体"/>
          <w:color w:val="000000"/>
          <w:sz w:val="24"/>
          <w:szCs w:val="24"/>
          <w:highlight w:val="none"/>
        </w:rPr>
        <w:t xml:space="preserve">和方正国际软件（北京）有限公司电子签章。如果供应商通过苏采云系统参与政府采购项目，需要更换CA数字证书和电子签章。具体办理指南和操作手册见链接：</w:t>
      </w:r>
      <w:r>
        <w:rPr>
          <w:rFonts w:hint="eastAsia" w:ascii="宋体" w:hAnsi="宋体" w:cs="宋体"/>
          <w:color w:val="000000"/>
          <w:sz w:val="15"/>
          <w:szCs w:val="15"/>
          <w:highlight w:val="none"/>
        </w:rPr>
        <w:t xml:space="preserve">http://www.ccgp-jiangsu.gov.cn/jiangsu/zlxz/ee/ee3a4bc5a3454aa2b0d9312230633ce9.html</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请至泰州市高港区泰州大道388号（原中国医药城会展</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W3馆西南角）公共资源</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一楼大厅6号窗口办理，具体联系方式见《苏采云系统供应商操作手册》（以下简称《操作手册》）、进行注册并按《操作手册》要求制作、上传电子响应文件。</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2.有关本次询价的事项若存在变动或修改，敬请及时关注</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在“江苏政府采购网”发布的更正公告。</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3.本次询价活动不收取询价保证金。</w:t>
      </w:r>
      <w:r>
        <w:rPr>
          <w:highlight w:val="none"/>
        </w:rPr>
      </w:r>
      <w:r/>
    </w:p>
    <w:p>
      <w:pPr>
        <w:pStyle w:val="714"/>
        <w:jc w:val="both"/>
        <w:pageBreakBefore w:val="0"/>
        <w:spacing w:line="460" w:lineRule="exact"/>
        <w:rPr>
          <w:color w:val="000000"/>
          <w:highlight w:val="none"/>
        </w:rPr>
      </w:pPr>
      <w:r>
        <w:rPr>
          <w:color w:val="000000"/>
          <w:highlight w:val="none"/>
        </w:rPr>
      </w:r>
      <w:r>
        <w:rPr>
          <w:highlight w:val="none"/>
        </w:rPr>
      </w:r>
      <w:r/>
    </w:p>
    <w:p>
      <w:pPr>
        <w:pStyle w:val="714"/>
        <w:jc w:val="center"/>
        <w:keepLines/>
        <w:keepNext/>
        <w:pageBreakBefore w:val="0"/>
        <w:spacing w:before="260" w:after="260" w:line="460" w:lineRule="exact"/>
        <w:rPr>
          <w:rFonts w:hint="eastAsia" w:ascii="黑体" w:hAnsi="黑体" w:eastAsia="黑体" w:cs="宋体"/>
          <w:b/>
          <w:bCs/>
          <w:color w:val="000000"/>
          <w:sz w:val="44"/>
          <w:szCs w:val="4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highlight w:val="none"/>
        </w:rPr>
      </w:r>
      <w:bookmarkStart w:id="15" w:name="_Toc120614211"/>
      <w:r>
        <w:rPr>
          <w:highlight w:val="none"/>
        </w:rPr>
      </w:r>
      <w:r/>
    </w:p>
    <w:p>
      <w:pPr>
        <w:pStyle w:val="714"/>
        <w:jc w:val="center"/>
        <w:keepLines/>
        <w:keepNext/>
        <w:pageBreakBefore w:val="0"/>
        <w:spacing w:before="260" w:after="260" w:line="460" w:lineRule="exact"/>
        <w:rPr>
          <w:rFonts w:ascii="宋体" w:hAnsi="宋体" w:cs="宋体"/>
          <w:color w:val="000000"/>
          <w:sz w:val="44"/>
          <w:szCs w:val="44"/>
          <w:highlight w:val="none"/>
        </w:rPr>
      </w:pPr>
      <w:r>
        <w:rPr>
          <w:rFonts w:hint="eastAsia" w:ascii="黑体" w:hAnsi="黑体" w:eastAsia="黑体" w:cs="宋体"/>
          <w:b/>
          <w:bCs/>
          <w:color w:val="000000"/>
          <w:sz w:val="44"/>
          <w:szCs w:val="44"/>
          <w:highlight w:val="none"/>
        </w:rPr>
        <w:t xml:space="preserve">第二章</w:t>
      </w:r>
      <w:r>
        <w:rPr>
          <w:rFonts w:ascii="Calibri" w:hAnsi="Calibri" w:eastAsia="黑体" w:cs="Calibri"/>
          <w:b/>
          <w:bCs/>
          <w:color w:val="000000"/>
          <w:sz w:val="44"/>
          <w:szCs w:val="44"/>
          <w:highlight w:val="none"/>
        </w:rPr>
        <w:t xml:space="preserve"> </w:t>
      </w:r>
      <w:bookmarkEnd w:id="15"/>
      <w:r>
        <w:rPr>
          <w:rFonts w:hint="eastAsia" w:ascii="Calibri" w:hAnsi="Calibri" w:eastAsia="黑体" w:cs="Calibri"/>
          <w:b/>
          <w:bCs/>
          <w:color w:val="000000"/>
          <w:sz w:val="44"/>
          <w:szCs w:val="44"/>
          <w:highlight w:val="none"/>
          <w:lang w:val="en-US" w:eastAsia="zh-CN"/>
        </w:rPr>
        <w:t xml:space="preserve"> </w:t>
      </w:r>
      <w:r>
        <w:rPr>
          <w:rFonts w:hint="eastAsia" w:ascii="黑体" w:hAnsi="黑体" w:eastAsia="黑体" w:cs="宋体"/>
          <w:b/>
          <w:bCs/>
          <w:color w:val="000000"/>
          <w:sz w:val="44"/>
          <w:szCs w:val="44"/>
          <w:highlight w:val="none"/>
        </w:rPr>
        <w:t xml:space="preserve">供应商须知</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rPr>
      </w:pPr>
      <w:r>
        <w:rPr>
          <w:highlight w:val="none"/>
        </w:rPr>
      </w:r>
      <w:bookmarkStart w:id="16" w:name="_Toc513029203"/>
      <w:r>
        <w:rPr>
          <w:highlight w:val="none"/>
        </w:rPr>
      </w:r>
      <w:bookmarkEnd w:id="16"/>
      <w:r>
        <w:rPr>
          <w:highlight w:val="none"/>
        </w:rPr>
      </w:r>
      <w:bookmarkStart w:id="17" w:name="_Toc16938519"/>
      <w:r>
        <w:rPr>
          <w:highlight w:val="none"/>
        </w:rPr>
      </w:r>
      <w:bookmarkEnd w:id="17"/>
      <w:r>
        <w:rPr>
          <w:highlight w:val="none"/>
        </w:rPr>
      </w:r>
      <w:bookmarkStart w:id="18" w:name="_Toc20823275"/>
      <w:r>
        <w:rPr>
          <w:highlight w:val="none"/>
        </w:rPr>
      </w:r>
      <w:bookmarkEnd w:id="18"/>
      <w:r>
        <w:rPr>
          <w:highlight w:val="none"/>
        </w:rPr>
      </w:r>
      <w:bookmarkStart w:id="19" w:name="_Toc120614214"/>
      <w:r>
        <w:rPr>
          <w:rFonts w:hint="eastAsia" w:ascii="宋体" w:hAnsi="宋体" w:eastAsia="宋体" w:cs="宋体"/>
          <w:b/>
          <w:bCs/>
          <w:color w:val="000000"/>
          <w:sz w:val="28"/>
          <w:szCs w:val="28"/>
          <w:highlight w:val="none"/>
          <w:lang w:eastAsia="zh-CN"/>
        </w:rPr>
        <w:t xml:space="preserve">一、总则</w:t>
      </w:r>
      <w:bookmarkEnd w:id="19"/>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20" w:name="_Hlt16619475"/>
      <w:r>
        <w:rPr>
          <w:highlight w:val="none"/>
        </w:rPr>
      </w:r>
      <w:bookmarkEnd w:id="20"/>
      <w:r>
        <w:rPr>
          <w:highlight w:val="none"/>
        </w:rPr>
      </w:r>
      <w:bookmarkStart w:id="21" w:name="_Toc16938520"/>
      <w:r>
        <w:rPr>
          <w:highlight w:val="none"/>
        </w:rPr>
      </w:r>
      <w:bookmarkEnd w:id="21"/>
      <w:r>
        <w:rPr>
          <w:highlight w:val="none"/>
        </w:rPr>
      </w:r>
      <w:bookmarkStart w:id="22" w:name="_Toc513029204"/>
      <w:r>
        <w:rPr>
          <w:highlight w:val="none"/>
        </w:rPr>
      </w:r>
      <w:bookmarkEnd w:id="22"/>
      <w:r>
        <w:rPr>
          <w:highlight w:val="none"/>
        </w:rPr>
      </w:r>
      <w:bookmarkStart w:id="23" w:name="_Toc458694821"/>
      <w:r>
        <w:rPr>
          <w:highlight w:val="none"/>
        </w:rPr>
      </w:r>
      <w:bookmarkEnd w:id="23"/>
      <w:r>
        <w:rPr>
          <w:rFonts w:hint="eastAsia" w:ascii="宋体" w:hAnsi="宋体" w:eastAsia="宋体" w:cs="宋体"/>
          <w:b/>
          <w:bCs/>
          <w:color w:val="000000"/>
          <w:sz w:val="24"/>
          <w:szCs w:val="24"/>
          <w:highlight w:val="none"/>
          <w:lang w:eastAsia="zh-CN"/>
        </w:rPr>
        <w:t xml:space="preserve">1.采购方式</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方式，本询价文件仅适用于询价公告中所述项目。</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24" w:name="_Toc16938521"/>
      <w:r>
        <w:rPr>
          <w:highlight w:val="none"/>
        </w:rPr>
      </w:r>
      <w:bookmarkEnd w:id="24"/>
      <w:r>
        <w:rPr>
          <w:highlight w:val="none"/>
        </w:rPr>
      </w:r>
      <w:bookmarkStart w:id="25" w:name="_Toc513029205"/>
      <w:r>
        <w:rPr>
          <w:highlight w:val="none"/>
        </w:rPr>
      </w:r>
      <w:bookmarkEnd w:id="25"/>
      <w:r>
        <w:rPr>
          <w:highlight w:val="none"/>
        </w:rPr>
      </w:r>
      <w:bookmarkStart w:id="26" w:name="_Toc2082327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w:t>
      </w:r>
      <w:bookmarkEnd w:id="26"/>
      <w:r>
        <w:rPr>
          <w:rFonts w:hint="eastAsia" w:ascii="宋体" w:hAnsi="宋体" w:eastAsia="宋体" w:cs="宋体"/>
          <w:b/>
          <w:bCs/>
          <w:color w:val="000000"/>
          <w:sz w:val="24"/>
          <w:szCs w:val="24"/>
          <w:highlight w:val="none"/>
        </w:rPr>
        <w:t xml:space="preserve">供应商</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2.1满足询价公告中供应商资格要求的规定。</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满足本询价文件实质性要求和条件的规定。</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27" w:name="_Toc16938522"/>
      <w:r>
        <w:rPr>
          <w:highlight w:val="none"/>
        </w:rPr>
      </w:r>
      <w:bookmarkEnd w:id="27"/>
      <w:r>
        <w:rPr>
          <w:highlight w:val="none"/>
        </w:rPr>
      </w:r>
      <w:bookmarkStart w:id="28" w:name="_Toc513029206"/>
      <w:r>
        <w:rPr>
          <w:highlight w:val="none"/>
        </w:rPr>
      </w:r>
      <w:bookmarkEnd w:id="28"/>
      <w:r>
        <w:rPr>
          <w:highlight w:val="none"/>
        </w:rPr>
      </w:r>
      <w:bookmarkStart w:id="29" w:name="_Toc20823278"/>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29"/>
      <w:r>
        <w:rPr>
          <w:highlight w:val="none"/>
        </w:rPr>
      </w:r>
      <w:r/>
    </w:p>
    <w:p>
      <w:pPr>
        <w:pStyle w:val="714"/>
        <w:ind w:firstLine="42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本次询价及由此产生的合同受中华人民共和国有关</w:t>
      </w:r>
      <w:r>
        <w:rPr>
          <w:rFonts w:hint="eastAsia" w:ascii="宋体" w:hAnsi="宋体" w:eastAsia="宋体" w:cs="宋体"/>
          <w:color w:val="000000"/>
          <w:sz w:val="24"/>
          <w:szCs w:val="24"/>
          <w:highlight w:val="none"/>
          <w:lang w:eastAsia="zh-CN"/>
        </w:rPr>
        <w:t xml:space="preserve">法律法规的</w:t>
      </w:r>
      <w:r>
        <w:rPr>
          <w:rFonts w:hint="eastAsia" w:ascii="宋体" w:hAnsi="宋体" w:eastAsia="宋体" w:cs="宋体"/>
          <w:color w:val="000000"/>
          <w:sz w:val="24"/>
          <w:szCs w:val="24"/>
          <w:highlight w:val="none"/>
        </w:rPr>
        <w:t xml:space="preserve">制约和保护。</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30" w:name="_Toc16938523"/>
      <w:r>
        <w:rPr>
          <w:highlight w:val="none"/>
        </w:rPr>
      </w:r>
      <w:bookmarkEnd w:id="30"/>
      <w:r>
        <w:rPr>
          <w:highlight w:val="none"/>
        </w:rPr>
      </w:r>
      <w:bookmarkStart w:id="31" w:name="_Toc462564067"/>
      <w:r>
        <w:rPr>
          <w:highlight w:val="none"/>
        </w:rPr>
      </w:r>
      <w:bookmarkEnd w:id="31"/>
      <w:r>
        <w:rPr>
          <w:highlight w:val="none"/>
        </w:rPr>
      </w:r>
      <w:bookmarkStart w:id="32" w:name="_Toc513029207"/>
      <w:r>
        <w:rPr>
          <w:highlight w:val="none"/>
        </w:rPr>
      </w:r>
      <w:bookmarkEnd w:id="32"/>
      <w:r>
        <w:rPr>
          <w:highlight w:val="none"/>
        </w:rPr>
      </w:r>
      <w:bookmarkStart w:id="33" w:name="_Toc20823279"/>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询价费用</w:t>
      </w:r>
      <w:bookmarkEnd w:id="33"/>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4.1供应商应自行承担所有与参加本次询价有关的费用，无论询价过程中的做法和结果如何，</w:t>
      </w:r>
      <w:r>
        <w:rPr>
          <w:rFonts w:hint="eastAsia" w:ascii="宋体" w:hAnsi="宋体" w:eastAsia="宋体" w:cs="宋体"/>
          <w:color w:val="000000"/>
          <w:sz w:val="24"/>
          <w:szCs w:val="24"/>
          <w:highlight w:val="none"/>
          <w:lang w:eastAsia="zh-CN"/>
        </w:rPr>
        <w:t xml:space="preserve">江苏华强工程投资管理咨询有限公司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）在任何情况下均无义务和责任承担这些费用。</w:t>
      </w:r>
      <w:r>
        <w:rPr>
          <w:highlight w:val="none"/>
        </w:rPr>
      </w:r>
      <w:r/>
    </w:p>
    <w:p>
      <w:pPr>
        <w:pStyle w:val="714"/>
        <w:ind w:firstLine="480"/>
        <w:jc w:val="both"/>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bCs/>
          <w:color w:val="000000"/>
          <w:sz w:val="24"/>
          <w:szCs w:val="24"/>
          <w:highlight w:val="none"/>
        </w:rPr>
        <w:t xml:space="preserve">本次询价</w:t>
      </w:r>
      <w:r>
        <w:rPr>
          <w:rFonts w:hint="eastAsia" w:ascii="宋体" w:hAnsi="宋体" w:eastAsia="宋体" w:cs="宋体"/>
          <w:b/>
          <w:bCs/>
          <w:color w:val="000000"/>
          <w:sz w:val="24"/>
          <w:szCs w:val="24"/>
          <w:highlight w:val="none"/>
          <w:lang w:val="en-US" w:eastAsia="zh-CN"/>
        </w:rPr>
        <w:t xml:space="preserve">采购代理机构</w:t>
      </w:r>
      <w:r>
        <w:rPr>
          <w:rFonts w:hint="eastAsia" w:ascii="宋体" w:hAnsi="宋体" w:eastAsia="宋体" w:cs="宋体"/>
          <w:b/>
          <w:bCs/>
          <w:color w:val="000000"/>
          <w:sz w:val="24"/>
          <w:szCs w:val="24"/>
          <w:highlight w:val="none"/>
        </w:rPr>
        <w:t xml:space="preserve">和采购人不收取标书工本费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按《关于印发〈江苏省政府采购代理服务收费指导意见〉的通知》（苏政采协﹝2024﹞20号）规定标准计取（代理费不足0.5万元的，按0.5万元计）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上述费用由供应商支付，请各供应商在报价时考虑，确定成交供应商后领取成交通知书前一次性缴纳给</w:t>
      </w:r>
      <w:r>
        <w:rPr>
          <w:rFonts w:hint="eastAsia" w:ascii="宋体" w:hAnsi="宋体" w:eastAsia="宋体" w:cs="宋体"/>
          <w:b/>
          <w:bCs/>
          <w:color w:val="000000"/>
          <w:sz w:val="24"/>
          <w:szCs w:val="24"/>
          <w:highlight w:val="none"/>
          <w:lang w:eastAsia="zh-CN"/>
        </w:rPr>
        <w:t xml:space="preserve">采购代理机构</w:t>
      </w:r>
      <w:r>
        <w:rPr>
          <w:rFonts w:hint="eastAsia" w:ascii="宋体" w:hAnsi="宋体" w:eastAsia="宋体" w:cs="宋体"/>
          <w:b/>
          <w:bCs/>
          <w:color w:val="000000"/>
          <w:sz w:val="24"/>
          <w:szCs w:val="24"/>
          <w:highlight w:val="none"/>
        </w:rPr>
        <w:t xml:space="preserve">。</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询价文件的约束力</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5.1供应商一旦参加本项目采购活动，即被认为接受了本询价文件的规定和约</w:t>
      </w:r>
      <w:r>
        <w:rPr>
          <w:rFonts w:hint="eastAsia" w:ascii="宋体" w:hAnsi="宋体" w:eastAsia="宋体" w:cs="宋体"/>
          <w:color w:val="000000"/>
          <w:sz w:val="24"/>
          <w:szCs w:val="24"/>
          <w:highlight w:val="none"/>
          <w:lang w:eastAsia="zh-CN"/>
        </w:rPr>
        <w:t xml:space="preserve">束。</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rPr>
      </w:pPr>
      <w:r>
        <w:rPr>
          <w:highlight w:val="none"/>
        </w:rPr>
      </w:r>
      <w:bookmarkStart w:id="34" w:name="_Toc20823281"/>
      <w:r>
        <w:rPr>
          <w:highlight w:val="none"/>
        </w:rPr>
      </w:r>
      <w:bookmarkEnd w:id="34"/>
      <w:r>
        <w:rPr>
          <w:highlight w:val="none"/>
        </w:rPr>
      </w:r>
      <w:bookmarkStart w:id="35" w:name="_Toc513029209"/>
      <w:r>
        <w:rPr>
          <w:highlight w:val="none"/>
        </w:rPr>
      </w:r>
      <w:bookmarkEnd w:id="35"/>
      <w:r>
        <w:rPr>
          <w:highlight w:val="none"/>
        </w:rPr>
      </w:r>
      <w:bookmarkStart w:id="36" w:name="_Toc16938525"/>
      <w:r>
        <w:rPr>
          <w:highlight w:val="none"/>
        </w:rPr>
      </w:r>
      <w:bookmarkEnd w:id="36"/>
      <w:r>
        <w:rPr>
          <w:highlight w:val="none"/>
        </w:rPr>
      </w:r>
      <w:bookmarkStart w:id="37" w:name="_Toc120614215"/>
      <w:r>
        <w:rPr>
          <w:rFonts w:hint="eastAsia" w:ascii="宋体" w:hAnsi="宋体" w:eastAsia="宋体" w:cs="宋体"/>
          <w:b/>
          <w:bCs/>
          <w:color w:val="000000"/>
          <w:sz w:val="28"/>
          <w:szCs w:val="28"/>
          <w:highlight w:val="none"/>
          <w:lang w:eastAsia="zh-CN"/>
        </w:rPr>
        <w:t xml:space="preserve">二、</w:t>
      </w:r>
      <w:bookmarkEnd w:id="37"/>
      <w:r>
        <w:rPr>
          <w:rFonts w:hint="eastAsia" w:ascii="宋体" w:hAnsi="宋体" w:eastAsia="宋体" w:cs="宋体"/>
          <w:b/>
          <w:bCs/>
          <w:color w:val="000000"/>
          <w:sz w:val="28"/>
          <w:szCs w:val="28"/>
          <w:highlight w:val="none"/>
          <w:lang w:eastAsia="zh-CN"/>
        </w:rPr>
        <w:t xml:space="preserve">询价文件</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38" w:name="_Toc513029210"/>
      <w:r>
        <w:rPr>
          <w:highlight w:val="none"/>
        </w:rPr>
      </w:r>
      <w:bookmarkEnd w:id="38"/>
      <w:r>
        <w:rPr>
          <w:highlight w:val="none"/>
        </w:rPr>
      </w:r>
      <w:bookmarkStart w:id="39" w:name="_Toc16938526"/>
      <w:r>
        <w:rPr>
          <w:highlight w:val="none"/>
        </w:rPr>
      </w:r>
      <w:bookmarkEnd w:id="39"/>
      <w:r>
        <w:rPr>
          <w:highlight w:val="none"/>
        </w:rPr>
      </w:r>
      <w:bookmarkStart w:id="40" w:name="_Toc20823282"/>
      <w:r>
        <w:rPr>
          <w:rFonts w:hint="eastAsia" w:ascii="宋体" w:hAnsi="宋体" w:eastAsia="宋体" w:cs="宋体"/>
          <w:b/>
          <w:bCs/>
          <w:color w:val="000000"/>
          <w:sz w:val="24"/>
          <w:szCs w:val="24"/>
          <w:highlight w:val="none"/>
          <w:lang w:eastAsia="zh-CN"/>
        </w:rPr>
        <w:t xml:space="preserve">6.询价文件构成</w:t>
      </w:r>
      <w:bookmarkEnd w:id="40"/>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6.1询价文件由以下部分组成：</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（1）询价邀请</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（5）响应文件格式</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请仔细检查询价文件是否齐全，如有缺漏请立即与</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联系解决。</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highlight w:val="none"/>
        </w:rPr>
      </w:r>
      <w:r/>
    </w:p>
    <w:p>
      <w:pPr>
        <w:pStyle w:val="714"/>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41" w:name="_Toc16938527"/>
      <w:r>
        <w:rPr>
          <w:highlight w:val="none"/>
        </w:rPr>
      </w:r>
      <w:bookmarkEnd w:id="41"/>
      <w:r>
        <w:rPr>
          <w:highlight w:val="none"/>
        </w:rPr>
      </w:r>
      <w:bookmarkStart w:id="42" w:name="_Toc462564070"/>
      <w:r>
        <w:rPr>
          <w:highlight w:val="none"/>
        </w:rPr>
      </w:r>
      <w:bookmarkEnd w:id="42"/>
      <w:r>
        <w:rPr>
          <w:highlight w:val="none"/>
        </w:rPr>
      </w:r>
      <w:bookmarkStart w:id="43" w:name="_Toc513029211"/>
      <w:r>
        <w:rPr>
          <w:highlight w:val="none"/>
        </w:rPr>
      </w:r>
      <w:bookmarkEnd w:id="43"/>
      <w:r>
        <w:rPr>
          <w:highlight w:val="none"/>
        </w:rPr>
      </w:r>
      <w:bookmarkStart w:id="44" w:name="_Toc20823283"/>
      <w:r>
        <w:rPr>
          <w:rFonts w:hint="eastAsia" w:ascii="宋体" w:hAnsi="宋体" w:eastAsia="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询价文件的澄清</w:t>
      </w:r>
      <w:bookmarkEnd w:id="44"/>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任何要求对询价文件进行澄清的供应商，应在询价截止期3日前按询价公告中的通讯地址，以书面形式通知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highlight w:val="none"/>
        </w:rPr>
      </w:r>
      <w:r/>
    </w:p>
    <w:p>
      <w:pPr>
        <w:pStyle w:val="714"/>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45" w:name="_Toc462564071"/>
      <w:r>
        <w:rPr>
          <w:highlight w:val="none"/>
        </w:rPr>
      </w:r>
      <w:bookmarkEnd w:id="45"/>
      <w:r>
        <w:rPr>
          <w:highlight w:val="none"/>
        </w:rPr>
      </w:r>
      <w:bookmarkStart w:id="46" w:name="_Toc513029212"/>
      <w:r>
        <w:rPr>
          <w:highlight w:val="none"/>
        </w:rPr>
      </w:r>
      <w:bookmarkEnd w:id="46"/>
      <w:r>
        <w:rPr>
          <w:highlight w:val="none"/>
        </w:rPr>
      </w:r>
      <w:bookmarkStart w:id="47" w:name="_Toc16938528"/>
      <w:r>
        <w:rPr>
          <w:highlight w:val="none"/>
        </w:rPr>
      </w:r>
      <w:bookmarkEnd w:id="47"/>
      <w:r>
        <w:rPr>
          <w:highlight w:val="none"/>
        </w:rPr>
      </w:r>
      <w:bookmarkStart w:id="48" w:name="_Toc20823284"/>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询价文件的澄清和修改</w:t>
      </w:r>
      <w:bookmarkEnd w:id="48"/>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在响应文件提交截止时</w:t>
      </w:r>
      <w:r>
        <w:rPr>
          <w:rFonts w:hint="eastAsia" w:ascii="宋体" w:hAnsi="宋体" w:eastAsia="宋体" w:cs="宋体"/>
          <w:color w:val="000000"/>
          <w:sz w:val="24"/>
          <w:szCs w:val="24"/>
          <w:highlight w:val="none"/>
          <w:lang w:eastAsia="zh-CN"/>
        </w:rPr>
        <w:t xml:space="preserve">间之</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可以对询价文件进行澄清和修改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澄清或者修改的内容作为询价文件的组成部分。澄清或者修改的内容可能影响响应文件编制的，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将在提交首次响应文件截止时间至少3个工作日前，在“江苏政府采购网”上</w:t>
      </w:r>
      <w:r>
        <w:rPr>
          <w:rFonts w:hint="eastAsia" w:ascii="宋体" w:hAnsi="宋体" w:eastAsia="宋体" w:cs="宋体"/>
          <w:color w:val="000000"/>
          <w:sz w:val="24"/>
          <w:szCs w:val="24"/>
          <w:highlight w:val="none"/>
          <w:lang w:eastAsia="zh-CN"/>
        </w:rPr>
        <w:t xml:space="preserve">以</w:t>
      </w:r>
      <w:r>
        <w:rPr>
          <w:rFonts w:hint="eastAsia" w:ascii="宋体" w:hAnsi="宋体" w:eastAsia="宋体" w:cs="宋体"/>
          <w:color w:val="000000"/>
          <w:sz w:val="24"/>
          <w:szCs w:val="24"/>
          <w:highlight w:val="none"/>
        </w:rPr>
        <w:t xml:space="preserve">书面更正公告</w:t>
      </w:r>
      <w:r>
        <w:rPr>
          <w:rFonts w:hint="eastAsia" w:ascii="宋体" w:hAnsi="宋体" w:eastAsia="宋体" w:cs="宋体"/>
          <w:color w:val="000000"/>
          <w:sz w:val="24"/>
          <w:szCs w:val="24"/>
          <w:highlight w:val="none"/>
          <w:lang w:eastAsia="zh-CN"/>
        </w:rPr>
        <w:t xml:space="preserve">的形式</w:t>
      </w:r>
      <w:r>
        <w:rPr>
          <w:rFonts w:hint="eastAsia" w:ascii="宋体" w:hAnsi="宋体" w:eastAsia="宋体" w:cs="宋体"/>
          <w:color w:val="000000"/>
          <w:sz w:val="24"/>
          <w:szCs w:val="24"/>
          <w:highlight w:val="none"/>
        </w:rPr>
        <w:t xml:space="preserve">通知所有获取询价文件的供应商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更正公告内容将作为询价文件的组成部分，并对供应商具有约束力。不足3个工作日的，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将顺延提交首次响应文件截止时间。</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可以视采购项目的具体情况，组织供应商进行现场考察或召开询价前答疑会，但不单独或分别组织只有一个供应商参加的现场考察和答疑会。</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rPr>
      </w:pPr>
      <w:r>
        <w:rPr>
          <w:highlight w:val="none"/>
        </w:rPr>
      </w:r>
      <w:bookmarkStart w:id="49" w:name="_Toc16938529"/>
      <w:r>
        <w:rPr>
          <w:highlight w:val="none"/>
        </w:rPr>
      </w:r>
      <w:bookmarkEnd w:id="49"/>
      <w:r>
        <w:rPr>
          <w:highlight w:val="none"/>
        </w:rPr>
      </w:r>
      <w:bookmarkStart w:id="50" w:name="_Toc513029213"/>
      <w:r>
        <w:rPr>
          <w:highlight w:val="none"/>
        </w:rPr>
      </w:r>
      <w:bookmarkEnd w:id="50"/>
      <w:r>
        <w:rPr>
          <w:highlight w:val="none"/>
        </w:rPr>
      </w:r>
      <w:bookmarkStart w:id="51" w:name="_Toc462564072"/>
      <w:r>
        <w:rPr>
          <w:highlight w:val="none"/>
        </w:rPr>
      </w:r>
      <w:bookmarkEnd w:id="51"/>
      <w:r>
        <w:rPr>
          <w:highlight w:val="none"/>
        </w:rPr>
      </w:r>
      <w:bookmarkStart w:id="52" w:name="_Toc20823285"/>
      <w:r>
        <w:rPr>
          <w:highlight w:val="none"/>
        </w:rPr>
      </w:r>
      <w:bookmarkEnd w:id="52"/>
      <w:r>
        <w:rPr>
          <w:highlight w:val="none"/>
        </w:rPr>
      </w:r>
      <w:bookmarkStart w:id="53" w:name="_Toc120614216"/>
      <w:r>
        <w:rPr>
          <w:rFonts w:hint="eastAsia" w:ascii="宋体" w:hAnsi="宋体" w:eastAsia="宋体" w:cs="宋体"/>
          <w:b/>
          <w:bCs/>
          <w:color w:val="000000"/>
          <w:sz w:val="28"/>
          <w:szCs w:val="28"/>
          <w:highlight w:val="none"/>
          <w:lang w:eastAsia="zh-CN"/>
        </w:rPr>
        <w:t xml:space="preserve">三、响应文件的编制</w:t>
      </w:r>
      <w:bookmarkEnd w:id="53"/>
      <w:r>
        <w:rPr>
          <w:highlight w:val="none"/>
        </w:rPr>
      </w:r>
      <w:r/>
    </w:p>
    <w:p>
      <w:pPr>
        <w:pStyle w:val="714"/>
        <w:ind w:firstLine="420"/>
        <w:jc w:val="both"/>
        <w:keepLines/>
        <w:keepNext/>
        <w:pageBreakBefore w:val="0"/>
        <w:spacing w:line="460" w:lineRule="exact"/>
        <w:widowControl w:val="off"/>
        <w:rPr>
          <w:rFonts w:ascii="Arial" w:hAnsi="Arial" w:cs="Arial"/>
          <w:color w:val="000000"/>
          <w:sz w:val="24"/>
          <w:szCs w:val="24"/>
          <w:highlight w:val="none"/>
        </w:rPr>
      </w:pPr>
      <w:r>
        <w:rPr>
          <w:highlight w:val="none"/>
        </w:rPr>
      </w:r>
      <w:bookmarkStart w:id="54" w:name="_Toc513029214"/>
      <w:r>
        <w:rPr>
          <w:highlight w:val="none"/>
        </w:rPr>
      </w:r>
      <w:bookmarkEnd w:id="54"/>
      <w:r>
        <w:rPr>
          <w:highlight w:val="none"/>
        </w:rPr>
      </w:r>
      <w:bookmarkStart w:id="55" w:name="_Toc462564073"/>
      <w:r>
        <w:rPr>
          <w:highlight w:val="none"/>
        </w:rPr>
      </w:r>
      <w:bookmarkEnd w:id="55"/>
      <w:r>
        <w:rPr>
          <w:highlight w:val="none"/>
        </w:rPr>
      </w:r>
      <w:bookmarkStart w:id="56" w:name="_Toc16938530"/>
      <w:r>
        <w:rPr>
          <w:highlight w:val="none"/>
        </w:rPr>
      </w:r>
      <w:bookmarkEnd w:id="56"/>
      <w:r>
        <w:rPr>
          <w:highlight w:val="none"/>
        </w:rPr>
      </w:r>
      <w:bookmarkStart w:id="57" w:name="_Toc20823286"/>
      <w:r>
        <w:rPr>
          <w:rFonts w:hint="eastAsia" w:ascii="宋体" w:hAnsi="宋体" w:eastAsia="宋体" w:cs="宋体"/>
          <w:b/>
          <w:bCs/>
          <w:color w:val="000000"/>
          <w:sz w:val="24"/>
          <w:szCs w:val="24"/>
          <w:highlight w:val="none"/>
          <w:lang w:eastAsia="zh-CN"/>
        </w:rPr>
        <w:t xml:space="preserve">9.响应文件的语言及</w:t>
      </w:r>
      <w:r>
        <w:rPr>
          <w:rFonts w:hint="eastAsia" w:ascii="宋体" w:hAnsi="宋体" w:eastAsia="宋体" w:cs="宋体"/>
          <w:b/>
          <w:bCs/>
          <w:color w:val="000000"/>
          <w:sz w:val="24"/>
          <w:szCs w:val="24"/>
          <w:highlight w:val="none"/>
        </w:rPr>
        <w:t xml:space="preserve">度量衡单位</w:t>
      </w:r>
      <w:bookmarkEnd w:id="57"/>
      <w:r>
        <w:rPr>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就有关询价的所有来往通知、函件和文件均应使用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9.2 除技术性能另有规定外，响应文件所使用的度量衡单位，均须采用国家法定计量单位。</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58" w:name="_Toc462564074"/>
      <w:r>
        <w:rPr>
          <w:highlight w:val="none"/>
        </w:rPr>
      </w:r>
      <w:bookmarkEnd w:id="58"/>
      <w:r>
        <w:rPr>
          <w:highlight w:val="none"/>
        </w:rPr>
      </w:r>
      <w:bookmarkStart w:id="59" w:name="_Toc513029215"/>
      <w:r>
        <w:rPr>
          <w:highlight w:val="none"/>
        </w:rPr>
      </w:r>
      <w:bookmarkEnd w:id="59"/>
      <w:r>
        <w:rPr>
          <w:highlight w:val="none"/>
        </w:rPr>
      </w:r>
      <w:bookmarkStart w:id="60" w:name="_Toc16938531"/>
      <w:r>
        <w:rPr>
          <w:highlight w:val="none"/>
        </w:rPr>
      </w:r>
      <w:bookmarkEnd w:id="60"/>
      <w:r>
        <w:rPr>
          <w:highlight w:val="none"/>
        </w:rPr>
      </w:r>
      <w:bookmarkStart w:id="61" w:name="_Toc20823287"/>
      <w:r>
        <w:rPr>
          <w:rFonts w:hint="eastAsia" w:ascii="宋体" w:hAnsi="宋体" w:eastAsia="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响应文件构成</w:t>
      </w:r>
      <w:bookmarkEnd w:id="61"/>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10.1供应商编写的响应文件应包括资格证明文件、符合性证明文件、分项报价表、技术要求响应及偏离表、商务要求响应及偏离表、其他证明文件、询价响应函等部分。</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如标书制作工具中格式和内容与“江苏政府采购网”发布的询价文件不一致，请以“江苏政府采购网”发布的询价文件为准。</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62" w:name="_Hlt26670360"/>
      <w:r>
        <w:rPr>
          <w:highlight w:val="none"/>
        </w:rPr>
      </w:r>
      <w:bookmarkEnd w:id="62"/>
      <w:r>
        <w:rPr>
          <w:highlight w:val="none"/>
        </w:rPr>
      </w:r>
      <w:bookmarkStart w:id="63" w:name="_Toc49090508"/>
      <w:r>
        <w:rPr>
          <w:highlight w:val="none"/>
        </w:rPr>
      </w:r>
      <w:bookmarkEnd w:id="63"/>
      <w:r>
        <w:rPr>
          <w:highlight w:val="none"/>
        </w:rPr>
      </w:r>
      <w:bookmarkStart w:id="64" w:name="_Toc14577354"/>
      <w:r>
        <w:rPr>
          <w:highlight w:val="none"/>
        </w:rPr>
      </w:r>
      <w:bookmarkEnd w:id="64"/>
      <w:r>
        <w:rPr>
          <w:highlight w:val="none"/>
        </w:rPr>
      </w:r>
      <w:bookmarkStart w:id="65" w:name="_Toc49090509"/>
      <w:r>
        <w:rPr>
          <w:highlight w:val="none"/>
        </w:rPr>
      </w:r>
      <w:bookmarkEnd w:id="65"/>
      <w:r>
        <w:rPr>
          <w:highlight w:val="none"/>
        </w:rPr>
      </w:r>
      <w:bookmarkStart w:id="66" w:name="_Toc14577355"/>
      <w:r>
        <w:rPr>
          <w:highlight w:val="none"/>
        </w:rPr>
      </w:r>
      <w:bookmarkEnd w:id="66"/>
      <w:r>
        <w:rPr>
          <w:highlight w:val="none"/>
        </w:rPr>
      </w:r>
      <w:bookmarkStart w:id="67" w:name="_Toc513029219"/>
      <w:r>
        <w:rPr>
          <w:highlight w:val="none"/>
        </w:rPr>
      </w:r>
      <w:bookmarkEnd w:id="67"/>
      <w:r>
        <w:rPr>
          <w:highlight w:val="none"/>
        </w:rPr>
      </w:r>
      <w:bookmarkStart w:id="68" w:name="_Hlt26668975"/>
      <w:r>
        <w:rPr>
          <w:highlight w:val="none"/>
        </w:rPr>
      </w:r>
      <w:bookmarkEnd w:id="68"/>
      <w:r>
        <w:rPr>
          <w:highlight w:val="none"/>
        </w:rPr>
      </w:r>
      <w:bookmarkStart w:id="69" w:name="_Hlt26954838"/>
      <w:r>
        <w:rPr>
          <w:highlight w:val="none"/>
        </w:rPr>
      </w:r>
      <w:bookmarkEnd w:id="69"/>
      <w:r>
        <w:rPr>
          <w:highlight w:val="none"/>
        </w:rPr>
      </w:r>
      <w:bookmarkStart w:id="70" w:name="_Toc14577357"/>
      <w:r>
        <w:rPr>
          <w:highlight w:val="none"/>
        </w:rPr>
      </w:r>
      <w:bookmarkEnd w:id="70"/>
      <w:r>
        <w:rPr>
          <w:highlight w:val="none"/>
        </w:rPr>
      </w:r>
      <w:bookmarkStart w:id="71" w:name="_Toc513029216"/>
      <w:r>
        <w:rPr>
          <w:highlight w:val="none"/>
        </w:rPr>
      </w:r>
      <w:bookmarkEnd w:id="71"/>
      <w:r>
        <w:rPr>
          <w:highlight w:val="none"/>
        </w:rPr>
      </w:r>
      <w:bookmarkStart w:id="72" w:name="_Toc49090507"/>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证明</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响应标的符合</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文件规定的文件</w:t>
      </w:r>
      <w:bookmarkEnd w:id="72"/>
      <w:r>
        <w:rPr>
          <w:highlight w:val="none"/>
        </w:rPr>
      </w:r>
      <w:r/>
    </w:p>
    <w:p>
      <w:pPr>
        <w:pStyle w:val="714"/>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11.1供应商应按照询价文件要求提交证明文件，证明其及询价响应标的符合询价文件规定。</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11.2询价文件对证明文件无明确形式要求的，证明文件可以以文字资料、图纸和数据等形式提交。</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分项报价表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12.1供应商应按照询价文件规定格式填报分项报价表。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12.2询价货币。响应文件中的单价和总价无特殊规定的采用人民币报价，以元为单位标注。询价文件中另有规定的按规定执行。</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73" w:name="_Hlt26954846"/>
      <w:r>
        <w:rPr>
          <w:highlight w:val="none"/>
        </w:rPr>
      </w:r>
      <w:bookmarkEnd w:id="73"/>
      <w:r>
        <w:rPr>
          <w:highlight w:val="none"/>
        </w:rPr>
      </w:r>
      <w:bookmarkStart w:id="74" w:name="_Hlt26954731"/>
      <w:r>
        <w:rPr>
          <w:highlight w:val="none"/>
        </w:rPr>
      </w:r>
      <w:bookmarkEnd w:id="74"/>
      <w:r>
        <w:rPr>
          <w:highlight w:val="none"/>
        </w:rPr>
      </w:r>
      <w:bookmarkStart w:id="75" w:name="_Hlt26670486"/>
      <w:r>
        <w:rPr>
          <w:highlight w:val="none"/>
        </w:rPr>
      </w:r>
      <w:bookmarkEnd w:id="75"/>
      <w:r>
        <w:rPr>
          <w:highlight w:val="none"/>
        </w:rPr>
      </w:r>
      <w:bookmarkStart w:id="76" w:name="_Hlt26670482"/>
      <w:r>
        <w:rPr>
          <w:highlight w:val="none"/>
        </w:rPr>
      </w:r>
      <w:bookmarkEnd w:id="76"/>
      <w:r>
        <w:rPr>
          <w:highlight w:val="none"/>
        </w:rPr>
      </w:r>
      <w:bookmarkStart w:id="77" w:name="_Hlt26954848"/>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3.</w:t>
      </w:r>
      <w:r>
        <w:rPr>
          <w:rFonts w:ascii="Arial" w:hAnsi="Arial" w:cs="Arial"/>
          <w:b/>
          <w:bCs/>
          <w:color w:val="000000"/>
          <w:sz w:val="24"/>
          <w:szCs w:val="24"/>
          <w:highlight w:val="none"/>
        </w:rPr>
        <w:t xml:space="preserve">技术要求响应及偏离表、商务要求响应及偏离表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13.1供应商需对询价文件中的技术要求与商务要求逐项作出响应或偏离，并说明原因。</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13.2供应商可在响应文件中提供认为需要的其他技术文件或说明。</w:t>
      </w:r>
      <w:r>
        <w:rPr>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4.</w:t>
      </w:r>
      <w:r>
        <w:rPr>
          <w:rFonts w:ascii="Arial" w:hAnsi="Arial" w:cs="Arial"/>
          <w:b/>
          <w:bCs/>
          <w:color w:val="000000"/>
          <w:sz w:val="24"/>
          <w:szCs w:val="24"/>
          <w:highlight w:val="none"/>
        </w:rPr>
        <w:t xml:space="preserve">服务承诺、培训计划、人员安排及其他</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14.1供应商需根据询价文件要求提供有关售后服务的管理制度，售后服务机构的分布情况，售后服务人员的数量、素质、技术水平及售后服务的反应能力等。</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14.2供应商需根据询价文件要求提供培训计划。</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14.3供应商需根据询价文件要求提供询价响应标的的主要组成部分、功能设计、实现思路及关键技术等。</w:t>
      </w:r>
      <w:bookmarkEnd w:id="77"/>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78" w:name="_Toc14577359"/>
      <w:r>
        <w:rPr>
          <w:highlight w:val="none"/>
        </w:rPr>
      </w:r>
      <w:bookmarkEnd w:id="78"/>
      <w:r>
        <w:rPr>
          <w:highlight w:val="none"/>
        </w:rPr>
      </w:r>
      <w:bookmarkStart w:id="79" w:name="_Toc49090510"/>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5.</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响应函</w:t>
      </w:r>
      <w:bookmarkEnd w:id="79"/>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15.1供应商应按照询价文件中提供的格式完整、正确</w:t>
      </w:r>
      <w:r>
        <w:rPr>
          <w:rFonts w:hint="eastAsia" w:ascii="宋体" w:hAnsi="宋体" w:eastAsia="宋体" w:cs="宋体"/>
          <w:color w:val="000000"/>
          <w:sz w:val="24"/>
          <w:szCs w:val="24"/>
          <w:highlight w:val="none"/>
          <w:lang w:eastAsia="zh-CN"/>
        </w:rPr>
        <w:t xml:space="preserve">地填写</w:t>
      </w:r>
      <w:r>
        <w:rPr>
          <w:rFonts w:hint="eastAsia" w:ascii="宋体" w:hAnsi="宋体" w:cs="宋体"/>
          <w:color w:val="000000"/>
          <w:sz w:val="24"/>
          <w:szCs w:val="24"/>
          <w:highlight w:val="none"/>
        </w:rPr>
        <w:t xml:space="preserve">询价响应函。</w:t>
      </w:r>
      <w:r>
        <w:rPr>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highlight w:val="none"/>
        </w:rPr>
      </w:r>
      <w:bookmarkStart w:id="80" w:name="_Toc14577360"/>
      <w:r>
        <w:rPr>
          <w:highlight w:val="none"/>
        </w:rPr>
      </w:r>
      <w:bookmarkEnd w:id="80"/>
      <w:r>
        <w:rPr>
          <w:highlight w:val="none"/>
        </w:rPr>
      </w:r>
      <w:bookmarkStart w:id="81" w:name="_Toc49090511"/>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6.</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w:t>
      </w:r>
      <w:bookmarkEnd w:id="81"/>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16.1询价有效期为</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规定的提交响应文件截止之日后</w:t>
      </w:r>
      <w:r>
        <w:rPr>
          <w:rFonts w:hint="eastAsia" w:ascii="仿宋_GB2312" w:hAnsi="宋体" w:eastAsia="仿宋_GB2312" w:cs="宋体"/>
          <w:b/>
          <w:bCs/>
          <w:color w:val="000000"/>
          <w:sz w:val="24"/>
          <w:szCs w:val="24"/>
          <w:highlight w:val="none"/>
          <w:u w:val="single"/>
        </w:rPr>
        <w:t xml:space="preserve">六十（60）天</w:t>
      </w:r>
      <w:r>
        <w:rPr>
          <w:rFonts w:hint="eastAsia" w:ascii="宋体" w:hAnsi="宋体" w:cs="宋体"/>
          <w:color w:val="000000"/>
          <w:sz w:val="24"/>
          <w:szCs w:val="24"/>
          <w:highlight w:val="none"/>
        </w:rPr>
        <w:t xml:space="preserve">。询价有效期比规定短的将被视为非实质性响应询价文件而予以拒绝。</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有效期的延长</w:t>
      </w:r>
      <w:r>
        <w:rPr>
          <w:highlight w:val="none"/>
        </w:rPr>
      </w:r>
      <w:r/>
    </w:p>
    <w:p>
      <w:pPr>
        <w:pStyle w:val="714"/>
        <w:ind w:firstLine="480"/>
        <w:jc w:val="both"/>
        <w:pageBreakBefore w:val="0"/>
        <w:spacing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于原询价有效期满之前，可向供应商提出延长询价有效期的要求。这种要求与答复均应采用书面形式。供应商可以拒绝</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的这一要求而放弃询价，同意延长询价有效期的供应商既不能要求也不允许修改其响应文件。受询价有效期约束的所有权利与义务均延长至新的有效期。</w:t>
      </w:r>
      <w:r>
        <w:rPr>
          <w:highlight w:val="none"/>
        </w:rPr>
      </w:r>
      <w:r/>
    </w:p>
    <w:p>
      <w:pPr>
        <w:pStyle w:val="714"/>
        <w:ind w:firstLine="560"/>
        <w:jc w:val="left"/>
        <w:tabs>
          <w:tab w:val="left" w:pos="613" w:leader="none"/>
        </w:tabs>
        <w:rPr>
          <w:rFonts w:ascii="宋体" w:hAnsi="宋体" w:cs="宋体"/>
          <w:color w:val="000000"/>
          <w:sz w:val="28"/>
          <w:szCs w:val="28"/>
          <w:highlight w:val="none"/>
        </w:rPr>
      </w:pPr>
      <w:r>
        <w:rPr>
          <w:highlight w:val="none"/>
        </w:rPr>
      </w:r>
      <w:bookmarkStart w:id="82" w:name="_Hlt26954739"/>
      <w:r>
        <w:rPr>
          <w:highlight w:val="none"/>
        </w:rPr>
      </w:r>
      <w:bookmarkEnd w:id="82"/>
      <w:r>
        <w:rPr>
          <w:highlight w:val="none"/>
        </w:rPr>
      </w:r>
      <w:bookmarkStart w:id="83" w:name="_Toc513029224"/>
      <w:r>
        <w:rPr>
          <w:highlight w:val="none"/>
        </w:rPr>
      </w:r>
      <w:bookmarkEnd w:id="83"/>
      <w:r>
        <w:rPr>
          <w:highlight w:val="none"/>
        </w:rPr>
      </w:r>
      <w:bookmarkStart w:id="84" w:name="_Toc20823296"/>
      <w:r>
        <w:rPr>
          <w:highlight w:val="none"/>
        </w:rPr>
      </w:r>
      <w:bookmarkEnd w:id="84"/>
      <w:r>
        <w:rPr>
          <w:highlight w:val="none"/>
        </w:rPr>
      </w:r>
      <w:bookmarkStart w:id="85" w:name="_Hlt26954852"/>
      <w:r>
        <w:rPr>
          <w:highlight w:val="none"/>
        </w:rPr>
      </w:r>
      <w:bookmarkEnd w:id="85"/>
      <w:r>
        <w:rPr>
          <w:highlight w:val="none"/>
        </w:rPr>
      </w:r>
      <w:bookmarkStart w:id="86" w:name="_Toc16938540"/>
      <w:r>
        <w:rPr>
          <w:highlight w:val="none"/>
        </w:rPr>
      </w:r>
      <w:bookmarkEnd w:id="86"/>
      <w:r>
        <w:rPr>
          <w:highlight w:val="none"/>
        </w:rPr>
      </w:r>
      <w:bookmarkStart w:id="87" w:name="_Toc120614217"/>
      <w:r>
        <w:rPr>
          <w:b/>
          <w:bCs/>
          <w:color w:val="000000"/>
          <w:sz w:val="28"/>
          <w:szCs w:val="28"/>
          <w:highlight w:val="none"/>
        </w:rPr>
        <w:t xml:space="preserve">四、响应文件的递交</w:t>
      </w:r>
      <w:bookmarkEnd w:id="87"/>
      <w:r>
        <w:rPr>
          <w:highlight w:val="none"/>
        </w:rPr>
      </w:r>
      <w:r/>
    </w:p>
    <w:p>
      <w:pPr>
        <w:pStyle w:val="714"/>
        <w:ind w:firstLine="56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88" w:name="_Toc462564084"/>
      <w:r>
        <w:rPr>
          <w:highlight w:val="none"/>
        </w:rPr>
      </w:r>
      <w:bookmarkEnd w:id="88"/>
      <w:r>
        <w:rPr>
          <w:highlight w:val="none"/>
        </w:rPr>
      </w:r>
      <w:bookmarkStart w:id="89" w:name="_Toc16938541"/>
      <w:r>
        <w:rPr>
          <w:highlight w:val="none"/>
        </w:rPr>
      </w:r>
      <w:bookmarkEnd w:id="89"/>
      <w:r>
        <w:rPr>
          <w:highlight w:val="none"/>
        </w:rPr>
      </w:r>
      <w:bookmarkStart w:id="90" w:name="_Toc513029225"/>
      <w:r>
        <w:rPr>
          <w:highlight w:val="none"/>
        </w:rPr>
      </w:r>
      <w:bookmarkEnd w:id="90"/>
      <w:r>
        <w:rPr>
          <w:highlight w:val="none"/>
        </w:rPr>
      </w:r>
      <w:bookmarkStart w:id="91" w:name="_Toc20823297"/>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8.</w:t>
      </w:r>
      <w:r>
        <w:rPr>
          <w:rFonts w:hint="eastAsia" w:ascii="Arial" w:hAnsi="Arial" w:cs="Arial"/>
          <w:b/>
          <w:bCs/>
          <w:color w:val="000000"/>
          <w:sz w:val="24"/>
          <w:szCs w:val="24"/>
          <w:highlight w:val="none"/>
        </w:rPr>
        <w:t xml:space="preserve">电子</w:t>
      </w:r>
      <w:bookmarkEnd w:id="91"/>
      <w:r>
        <w:rPr>
          <w:rFonts w:hint="eastAsia" w:ascii="Arial" w:hAnsi="Arial" w:cs="Arial"/>
          <w:b/>
          <w:bCs/>
          <w:color w:val="000000"/>
          <w:sz w:val="24"/>
          <w:szCs w:val="24"/>
          <w:highlight w:val="none"/>
        </w:rPr>
        <w:t xml:space="preserve">询价响应文件的递交</w:t>
      </w:r>
      <w:r>
        <w:rPr>
          <w:highlight w:val="none"/>
        </w:rPr>
      </w:r>
      <w:r/>
    </w:p>
    <w:p>
      <w:pPr>
        <w:pStyle w:val="714"/>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18.1供应商应当按照《操作手册》规定，在提交响应文件截止时间前制作并上传电子响应文件。</w:t>
      </w:r>
      <w:bookmarkStart w:id="92" w:name="_Toc20823298"/>
      <w:r>
        <w:rPr>
          <w:highlight w:val="none"/>
        </w:rPr>
      </w:r>
      <w:bookmarkEnd w:id="92"/>
      <w:r>
        <w:rPr>
          <w:highlight w:val="none"/>
        </w:rPr>
      </w:r>
      <w:bookmarkStart w:id="93" w:name="_Toc16938542"/>
      <w:r>
        <w:rPr>
          <w:highlight w:val="none"/>
        </w:rPr>
      </w:r>
      <w:bookmarkEnd w:id="93"/>
      <w:r>
        <w:rPr>
          <w:highlight w:val="none"/>
        </w:rPr>
      </w:r>
      <w:bookmarkStart w:id="94" w:name="_Toc513029226"/>
      <w:r>
        <w:rPr>
          <w:highlight w:val="none"/>
        </w:rPr>
      </w:r>
      <w:bookmarkEnd w:id="94"/>
      <w:r>
        <w:rPr>
          <w:highlight w:val="none"/>
        </w:rPr>
      </w:r>
      <w:r/>
    </w:p>
    <w:p>
      <w:pPr>
        <w:pStyle w:val="714"/>
        <w:ind w:firstLine="557"/>
        <w:jc w:val="both"/>
        <w:keepLines/>
        <w:keepNext/>
        <w:pageBreakBefore w:val="0"/>
        <w:spacing w:line="460" w:lineRule="exact"/>
        <w:widowControl w:val="off"/>
        <w:rPr>
          <w:rFonts w:hint="eastAsia" w:ascii="Arial" w:hAnsi="Arial" w:cs="Arial"/>
          <w:color w:val="000000"/>
          <w:sz w:val="24"/>
          <w:szCs w:val="24"/>
          <w:highlight w:val="none"/>
        </w:rPr>
      </w:pPr>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9.</w:t>
      </w:r>
      <w:r>
        <w:rPr>
          <w:rFonts w:hint="eastAsia" w:ascii="Arial" w:hAnsi="Arial" w:cs="Arial"/>
          <w:b/>
          <w:bCs/>
          <w:color w:val="000000"/>
          <w:sz w:val="24"/>
          <w:szCs w:val="24"/>
          <w:highlight w:val="none"/>
        </w:rPr>
        <w:t xml:space="preserve">提交响应文件截止时间</w:t>
      </w:r>
      <w:r>
        <w:rPr>
          <w:highlight w:val="none"/>
        </w:rPr>
      </w:r>
      <w:r/>
    </w:p>
    <w:p>
      <w:pPr>
        <w:pStyle w:val="714"/>
        <w:ind w:firstLine="600"/>
        <w:jc w:val="both"/>
        <w:pageBreakBefore w:val="0"/>
        <w:spacing w:line="460" w:lineRule="exact"/>
        <w:widowControl w:val="off"/>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19.1供应商上传电子响应文件的时间不得迟于询价公告中规定的提交响应文件截止时间。</w:t>
      </w:r>
      <w:r>
        <w:rPr>
          <w:highlight w:val="none"/>
        </w:rPr>
      </w:r>
      <w:r/>
    </w:p>
    <w:p>
      <w:pPr>
        <w:pStyle w:val="714"/>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w:t>
      </w:r>
      <w:r>
        <w:rPr>
          <w:rFonts w:hint="eastAsia" w:ascii="宋体" w:hAnsi="宋体" w:cs="宋体"/>
          <w:color w:val="000000"/>
          <w:sz w:val="24"/>
          <w:szCs w:val="24"/>
          <w:highlight w:val="none"/>
          <w:lang w:eastAsia="zh-CN"/>
        </w:rPr>
        <w:t xml:space="preserve">充分考虑</w:t>
      </w:r>
      <w:r>
        <w:rPr>
          <w:rFonts w:hint="eastAsia" w:ascii="宋体" w:hAnsi="宋体" w:cs="宋体"/>
          <w:color w:val="000000"/>
          <w:sz w:val="24"/>
          <w:szCs w:val="24"/>
          <w:highlight w:val="none"/>
        </w:rPr>
        <w:t xml:space="preserve">网络环境、网络带宽等风险因素，如因供应商自身原因</w:t>
      </w:r>
      <w:r>
        <w:rPr>
          <w:rFonts w:hint="eastAsia" w:ascii="宋体" w:hAnsi="宋体" w:eastAsia="宋体" w:cs="宋体"/>
          <w:color w:val="000000"/>
          <w:sz w:val="24"/>
          <w:szCs w:val="24"/>
          <w:highlight w:val="none"/>
          <w:lang w:eastAsia="zh-CN"/>
        </w:rPr>
        <w:t xml:space="preserve">造成</w:t>
      </w:r>
      <w:r>
        <w:rPr>
          <w:rFonts w:hint="eastAsia" w:ascii="宋体" w:hAnsi="宋体" w:cs="宋体"/>
          <w:color w:val="000000"/>
          <w:sz w:val="24"/>
          <w:szCs w:val="24"/>
          <w:highlight w:val="none"/>
        </w:rPr>
        <w:t xml:space="preserve">电子响应文件上传不成功</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按照本询价文件第二章第26.3.2条规定</w:t>
      </w:r>
      <w:r>
        <w:rPr>
          <w:rFonts w:hint="eastAsia" w:ascii="宋体" w:hAnsi="宋体" w:eastAsia="宋体" w:cs="宋体"/>
          <w:color w:val="000000"/>
          <w:sz w:val="24"/>
          <w:szCs w:val="24"/>
          <w:highlight w:val="none"/>
          <w:lang w:eastAsia="zh-CN"/>
        </w:rPr>
        <w:t xml:space="preserve">作</w:t>
      </w:r>
      <w:r>
        <w:rPr>
          <w:rFonts w:hint="eastAsia" w:ascii="宋体" w:hAnsi="宋体" w:cs="宋体"/>
          <w:color w:val="000000"/>
          <w:sz w:val="24"/>
          <w:szCs w:val="24"/>
          <w:highlight w:val="none"/>
        </w:rPr>
        <w:t xml:space="preserve">无效响应处理。</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可以按照规定，通过修改询价文件酌情延长提交响应文件截止日期，在此情况下，供应商的所有权利和义务以及供应商受制的截止日期均应以延长后新的截止日期为准。</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95" w:name="_Toc16938543"/>
      <w:r>
        <w:rPr>
          <w:highlight w:val="none"/>
        </w:rPr>
      </w:r>
      <w:bookmarkEnd w:id="95"/>
      <w:r>
        <w:rPr>
          <w:highlight w:val="none"/>
        </w:rPr>
      </w:r>
      <w:bookmarkStart w:id="96" w:name="_Toc513029227"/>
      <w:r>
        <w:rPr>
          <w:highlight w:val="none"/>
        </w:rPr>
      </w:r>
      <w:bookmarkEnd w:id="96"/>
      <w:r>
        <w:rPr>
          <w:highlight w:val="none"/>
        </w:rPr>
      </w:r>
      <w:bookmarkStart w:id="97" w:name="_Toc20823299"/>
      <w:r>
        <w:rPr>
          <w:rFonts w:ascii="Arial" w:hAnsi="Arial" w:cs="Arial"/>
          <w:b/>
          <w:bCs/>
          <w:color w:val="000000"/>
          <w:sz w:val="24"/>
          <w:szCs w:val="24"/>
          <w:highlight w:val="none"/>
        </w:rPr>
        <w:t xml:space="preserve">20</w:t>
      </w:r>
      <w:r>
        <w:rPr>
          <w:rFonts w:hint="eastAsia" w:ascii="Arial" w:hAnsi="Arial" w:cs="Arial"/>
          <w:b/>
          <w:bCs/>
          <w:color w:val="000000"/>
          <w:sz w:val="24"/>
          <w:szCs w:val="24"/>
          <w:highlight w:val="none"/>
          <w:lang w:eastAsia="zh-CN"/>
        </w:rPr>
        <w:t xml:space="preserve">.</w:t>
      </w:r>
      <w:r>
        <w:rPr>
          <w:rFonts w:ascii="Arial" w:hAnsi="Arial" w:cs="Arial"/>
          <w:b/>
          <w:bCs/>
          <w:color w:val="000000"/>
          <w:sz w:val="24"/>
          <w:szCs w:val="24"/>
          <w:highlight w:val="none"/>
        </w:rPr>
        <w:t xml:space="preserve">响应文件</w:t>
      </w:r>
      <w:bookmarkEnd w:id="97"/>
      <w:r>
        <w:rPr>
          <w:rFonts w:ascii="Arial" w:hAnsi="Arial" w:cs="Arial"/>
          <w:b/>
          <w:bCs/>
          <w:color w:val="000000"/>
          <w:sz w:val="24"/>
          <w:szCs w:val="24"/>
          <w:highlight w:val="none"/>
        </w:rPr>
        <w:t xml:space="preserve">的拒收</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拒绝接收在其规定的提交响应文件截止时间后上传的任何电子响应文件。</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98" w:name="_Toc16938544"/>
      <w:r>
        <w:rPr>
          <w:highlight w:val="none"/>
        </w:rPr>
      </w:r>
      <w:bookmarkEnd w:id="98"/>
      <w:r>
        <w:rPr>
          <w:highlight w:val="none"/>
        </w:rPr>
      </w:r>
      <w:bookmarkStart w:id="99" w:name="_Toc513029228"/>
      <w:r>
        <w:rPr>
          <w:highlight w:val="none"/>
        </w:rPr>
      </w:r>
      <w:bookmarkEnd w:id="99"/>
      <w:r>
        <w:rPr>
          <w:highlight w:val="none"/>
        </w:rPr>
      </w:r>
      <w:bookmarkStart w:id="100" w:name="_Toc20823300"/>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响应文件的撤回和修改</w:t>
      </w:r>
      <w:bookmarkEnd w:id="100"/>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21.1响应文件的撤回</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21.1.1 电子响应文件的撤回</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供应商可在提交响应文件截止时间前，撤回其电子响应文件，具体操作方法见《操作手册》。</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21.1.2供应商撤回电子响应文件，则认为其不再参与本项目询价活动。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21.2响应文件的修改</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供应商可在提交响应文件截止时间前，对其电子响应文件进行修改，具体操作方法见《操作手册》。</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21.3 在提交响应文件截止时间之后，供应商不得对其电子响应文件作任何修改。</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21.4 在提交响应文件截止时间至询价文件中规定的询价有效期满之间的这段时间内，供应商不得撤回其响应文件。</w:t>
      </w:r>
      <w:r>
        <w:rPr>
          <w:highlight w:val="none"/>
        </w:rPr>
      </w:r>
      <w:r/>
    </w:p>
    <w:p>
      <w:pPr>
        <w:pStyle w:val="714"/>
        <w:ind w:firstLine="482"/>
        <w:jc w:val="both"/>
        <w:keepLines/>
        <w:keepNext/>
        <w:pageBreakBefore w:val="0"/>
        <w:spacing w:before="145" w:after="145" w:line="460" w:lineRule="exact"/>
        <w:rPr>
          <w:rFonts w:ascii="宋体" w:hAnsi="宋体" w:cs="宋体"/>
          <w:color w:val="000000"/>
          <w:sz w:val="28"/>
          <w:szCs w:val="28"/>
          <w:highlight w:val="none"/>
        </w:rPr>
      </w:pPr>
      <w:r>
        <w:rPr>
          <w:highlight w:val="none"/>
        </w:rPr>
      </w:r>
      <w:bookmarkStart w:id="101" w:name="_Toc513029229"/>
      <w:r>
        <w:rPr>
          <w:highlight w:val="none"/>
        </w:rPr>
      </w:r>
      <w:bookmarkEnd w:id="101"/>
      <w:r>
        <w:rPr>
          <w:highlight w:val="none"/>
        </w:rPr>
      </w:r>
      <w:bookmarkStart w:id="102" w:name="_Toc20823301"/>
      <w:r>
        <w:rPr>
          <w:highlight w:val="none"/>
        </w:rPr>
      </w:r>
      <w:bookmarkEnd w:id="102"/>
      <w:r>
        <w:rPr>
          <w:highlight w:val="none"/>
        </w:rPr>
      </w:r>
      <w:bookmarkStart w:id="103" w:name="_Toc16938545"/>
      <w:r>
        <w:rPr>
          <w:highlight w:val="none"/>
        </w:rPr>
      </w:r>
      <w:bookmarkEnd w:id="103"/>
      <w:r>
        <w:rPr>
          <w:highlight w:val="none"/>
        </w:rPr>
      </w:r>
      <w:bookmarkStart w:id="104" w:name="_Toc120614218"/>
      <w:r>
        <w:rPr>
          <w:b/>
          <w:bCs/>
          <w:color w:val="000000"/>
          <w:sz w:val="28"/>
          <w:szCs w:val="28"/>
          <w:highlight w:val="none"/>
        </w:rPr>
        <w:t xml:space="preserve">五、响应文件的解密与评审</w:t>
      </w:r>
      <w:bookmarkEnd w:id="104"/>
      <w:r>
        <w:rPr>
          <w:highlight w:val="none"/>
        </w:rPr>
      </w:r>
      <w:r/>
    </w:p>
    <w:p>
      <w:pPr>
        <w:pStyle w:val="714"/>
        <w:ind w:firstLine="482"/>
        <w:jc w:val="both"/>
        <w:pageBreakBefore w:val="0"/>
        <w:spacing w:line="460" w:lineRule="exact"/>
        <w:rPr>
          <w:rFonts w:hint="eastAsia" w:ascii="宋体" w:hAnsi="宋体" w:eastAsia="宋体" w:cs="宋体"/>
          <w:b/>
          <w:bCs/>
          <w:color w:val="000000"/>
          <w:sz w:val="24"/>
          <w:szCs w:val="24"/>
          <w:highlight w:val="none"/>
        </w:rPr>
      </w:pPr>
      <w:r>
        <w:rPr>
          <w:highlight w:val="none"/>
        </w:rPr>
      </w:r>
      <w:bookmarkStart w:id="105" w:name="_Toc16938546"/>
      <w:r>
        <w:rPr>
          <w:highlight w:val="none"/>
        </w:rPr>
      </w:r>
      <w:bookmarkEnd w:id="105"/>
      <w:r>
        <w:rPr>
          <w:highlight w:val="none"/>
        </w:rPr>
      </w:r>
      <w:bookmarkStart w:id="106" w:name="_Toc513029230"/>
      <w:r>
        <w:rPr>
          <w:highlight w:val="none"/>
        </w:rPr>
      </w:r>
      <w:bookmarkEnd w:id="106"/>
      <w:r>
        <w:rPr>
          <w:highlight w:val="none"/>
        </w:rPr>
      </w:r>
      <w:bookmarkStart w:id="107" w:name="_Toc20823302"/>
      <w:r>
        <w:rPr>
          <w:rFonts w:hint="eastAsia" w:ascii="宋体" w:hAnsi="宋体" w:eastAsia="宋体" w:cs="宋体"/>
          <w:b/>
          <w:bCs/>
          <w:color w:val="000000"/>
          <w:sz w:val="24"/>
          <w:szCs w:val="24"/>
          <w:highlight w:val="none"/>
        </w:rPr>
        <w:t xml:space="preserve">2</w:t>
      </w:r>
      <w:bookmarkEnd w:id="10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响应文件解密</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b w:val="0"/>
          <w:bCs w:val="0"/>
          <w:color w:val="000000"/>
          <w:sz w:val="24"/>
          <w:szCs w:val="24"/>
          <w:highlight w:val="none"/>
        </w:rPr>
        <w:t xml:space="preserve">22.1供应商应当按照《操作手册》规定，在苏采云系统规定的</w:t>
      </w:r>
      <w:r>
        <w:rPr>
          <w:rFonts w:hint="eastAsia" w:ascii="宋体" w:hAnsi="宋体" w:cs="宋体"/>
          <w:color w:val="000000"/>
          <w:sz w:val="24"/>
          <w:szCs w:val="24"/>
          <w:highlight w:val="none"/>
        </w:rPr>
        <w:t xml:space="preserve">时间内对询价响应文件进行解密。</w:t>
      </w:r>
      <w:r>
        <w:rPr>
          <w:highlight w:val="none"/>
        </w:rPr>
      </w:r>
      <w:r/>
    </w:p>
    <w:p>
      <w:pPr>
        <w:pStyle w:val="714"/>
        <w:ind w:firstLine="420"/>
        <w:jc w:val="both"/>
        <w:keepLines/>
        <w:keepNext/>
        <w:pageBreakBefore w:val="0"/>
        <w:spacing w:line="460" w:lineRule="exact"/>
        <w:rPr>
          <w:rFonts w:ascii="宋体" w:hAnsi="宋体" w:cs="宋体"/>
          <w:b/>
          <w:bCs/>
          <w:color w:val="000000"/>
          <w:sz w:val="24"/>
          <w:szCs w:val="24"/>
          <w:highlight w:val="none"/>
        </w:rPr>
      </w:pPr>
      <w:r>
        <w:rPr>
          <w:highlight w:val="none"/>
        </w:rPr>
      </w:r>
      <w:bookmarkStart w:id="108" w:name="_Toc513029231"/>
      <w:r>
        <w:rPr>
          <w:highlight w:val="none"/>
        </w:rPr>
      </w:r>
      <w:bookmarkEnd w:id="108"/>
      <w:r>
        <w:rPr>
          <w:highlight w:val="none"/>
        </w:rPr>
      </w:r>
      <w:bookmarkStart w:id="109" w:name="_Toc16938547"/>
      <w:r>
        <w:rPr>
          <w:highlight w:val="none"/>
        </w:rPr>
      </w:r>
      <w:bookmarkEnd w:id="109"/>
      <w:r>
        <w:rPr>
          <w:highlight w:val="none"/>
        </w:rPr>
      </w:r>
      <w:bookmarkStart w:id="110" w:name="_Toc20823303"/>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3.</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小组</w:t>
      </w:r>
      <w:bookmarkEnd w:id="110"/>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23.1</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将组织询价小组对响应文件进行评审。询价小组由采购人代表和有关技术、经济等方面的专家组成，且人员构成符合政府采购有关规定。</w:t>
      </w:r>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23.2询价小组独立工作，负责评审所有响应文件并确定成交候选人。</w:t>
      </w:r>
      <w:r>
        <w:rPr>
          <w:highlight w:val="none"/>
        </w:rPr>
      </w:r>
      <w:r/>
    </w:p>
    <w:p>
      <w:pPr>
        <w:pStyle w:val="714"/>
        <w:ind w:firstLine="42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评审过程的保密与公正</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24.1询价小组、采购人和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工作人员、相关监督人员等与评审工作有关的人员，对评审情况以及在评审过程中获悉的国家秘密、商业秘密负有保密责任。</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24.2在评审过程中，供应商不得以任何行为影响询价评审过程，否则其响应文件将被作为无效响应文件。</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24.3在项目评审期间，</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将设专门人员与供应商联系。</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和询价小组不向未成交的供应商解释未成交原因，也不公布评审过程中的相关细节。</w:t>
      </w:r>
      <w:r>
        <w:rPr>
          <w:highlight w:val="none"/>
        </w:rPr>
      </w:r>
      <w:r/>
    </w:p>
    <w:p>
      <w:pPr>
        <w:pStyle w:val="714"/>
        <w:ind w:firstLine="482"/>
        <w:jc w:val="both"/>
        <w:keepLines/>
        <w:keepNext/>
        <w:pageBreakBefore w:val="0"/>
        <w:spacing w:line="460" w:lineRule="exact"/>
        <w:rPr>
          <w:rFonts w:ascii="宋体" w:hAnsi="宋体" w:cs="宋体"/>
          <w:color w:val="000000"/>
          <w:sz w:val="24"/>
          <w:szCs w:val="24"/>
          <w:highlight w:val="none"/>
        </w:rPr>
      </w:pPr>
      <w:r>
        <w:rPr>
          <w:highlight w:val="none"/>
        </w:rPr>
      </w:r>
      <w:bookmarkStart w:id="111" w:name="_Toc513029232"/>
      <w:r>
        <w:rPr>
          <w:highlight w:val="none"/>
        </w:rPr>
      </w:r>
      <w:bookmarkEnd w:id="111"/>
      <w:r>
        <w:rPr>
          <w:highlight w:val="none"/>
        </w:rPr>
      </w:r>
      <w:bookmarkStart w:id="112" w:name="_Toc16938548"/>
      <w:r>
        <w:rPr>
          <w:highlight w:val="none"/>
        </w:rPr>
      </w:r>
      <w:bookmarkEnd w:id="112"/>
      <w:r>
        <w:rPr>
          <w:highlight w:val="none"/>
        </w:rPr>
      </w:r>
      <w:bookmarkStart w:id="113" w:name="_Toc20823304"/>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5.</w:t>
      </w:r>
      <w:r>
        <w:rPr>
          <w:rFonts w:ascii="Arial" w:hAnsi="Arial" w:cs="Arial"/>
          <w:b/>
          <w:bCs/>
          <w:color w:val="000000"/>
          <w:sz w:val="24"/>
          <w:szCs w:val="24"/>
          <w:highlight w:val="none"/>
        </w:rPr>
        <w:t xml:space="preserve">评审过程中</w:t>
      </w:r>
      <w:r>
        <w:rPr>
          <w:rFonts w:hint="eastAsia" w:ascii="Arial" w:hAnsi="Arial" w:cs="Arial"/>
          <w:b/>
          <w:bCs/>
          <w:color w:val="000000"/>
          <w:sz w:val="24"/>
          <w:szCs w:val="24"/>
          <w:highlight w:val="none"/>
          <w:lang w:eastAsia="zh-CN"/>
        </w:rPr>
        <w:t xml:space="preserve">的</w:t>
      </w:r>
      <w:r>
        <w:rPr>
          <w:rFonts w:ascii="Arial" w:hAnsi="Arial" w:cs="Arial"/>
          <w:b/>
          <w:bCs/>
          <w:color w:val="000000"/>
          <w:sz w:val="24"/>
          <w:szCs w:val="24"/>
          <w:highlight w:val="none"/>
        </w:rPr>
        <w:t xml:space="preserve">澄清</w:t>
      </w:r>
      <w:bookmarkEnd w:id="113"/>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询价小组并非对每个供应商都</w:t>
      </w:r>
      <w:r>
        <w:rPr>
          <w:rFonts w:hint="eastAsia" w:ascii="宋体" w:hAnsi="宋体" w:eastAsia="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澄清要求。</w:t>
      </w:r>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25.3 接到询价小组澄清、说明和更正要求的供应商如未按规定</w:t>
      </w:r>
      <w:r>
        <w:rPr>
          <w:rFonts w:hint="eastAsia" w:ascii="宋体" w:hAnsi="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澄清、说明和更正，其风险由供应商自行承担。</w:t>
      </w:r>
      <w:r>
        <w:rPr>
          <w:highlight w:val="none"/>
        </w:rPr>
      </w:r>
      <w:r/>
    </w:p>
    <w:p>
      <w:pPr>
        <w:pStyle w:val="714"/>
        <w:ind w:firstLine="420"/>
        <w:jc w:val="both"/>
        <w:keepLines/>
        <w:keepNext/>
        <w:pageBreakBefore w:val="0"/>
        <w:spacing w:line="460" w:lineRule="exact"/>
        <w:rPr>
          <w:rFonts w:ascii="宋体" w:hAnsi="宋体" w:cs="宋体"/>
          <w:b/>
          <w:bCs/>
          <w:color w:val="000000"/>
          <w:sz w:val="24"/>
          <w:szCs w:val="24"/>
          <w:highlight w:val="none"/>
        </w:rPr>
      </w:pPr>
      <w:r>
        <w:rPr>
          <w:highlight w:val="none"/>
        </w:rPr>
      </w:r>
      <w:bookmarkStart w:id="114" w:name="_Toc513029233"/>
      <w:r>
        <w:rPr>
          <w:highlight w:val="none"/>
        </w:rPr>
      </w:r>
      <w:bookmarkEnd w:id="114"/>
      <w:r>
        <w:rPr>
          <w:highlight w:val="none"/>
        </w:rPr>
      </w:r>
      <w:bookmarkStart w:id="115" w:name="_Toc16938549"/>
      <w:r>
        <w:rPr>
          <w:highlight w:val="none"/>
        </w:rPr>
      </w:r>
      <w:bookmarkEnd w:id="115"/>
      <w:r>
        <w:rPr>
          <w:highlight w:val="none"/>
        </w:rPr>
      </w:r>
      <w:bookmarkStart w:id="116" w:name="_Toc20823305"/>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6.</w:t>
      </w:r>
      <w:r>
        <w:rPr>
          <w:rFonts w:ascii="Arial" w:hAnsi="Arial" w:cs="Arial"/>
          <w:b/>
          <w:bCs/>
          <w:color w:val="000000"/>
          <w:sz w:val="24"/>
          <w:szCs w:val="24"/>
          <w:highlight w:val="none"/>
        </w:rPr>
        <w:t xml:space="preserve">对响应文件的审</w:t>
      </w:r>
      <w:bookmarkEnd w:id="116"/>
      <w:r>
        <w:rPr>
          <w:rFonts w:ascii="Arial" w:hAnsi="Arial" w:cs="Arial"/>
          <w:b/>
          <w:bCs/>
          <w:color w:val="000000"/>
          <w:sz w:val="24"/>
          <w:szCs w:val="24"/>
          <w:highlight w:val="none"/>
        </w:rPr>
        <w:t xml:space="preserve">查</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26.1响应文件审查分为资格审查和符合性审查。</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26.1.1 资格审查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由询价小组依据法律法规和询价文件的规定，对响应文件中的资格证明文件进行审查，以确定供应商是否具备参加询价的资格。</w:t>
      </w:r>
      <w:r>
        <w:rPr>
          <w:highlight w:val="none"/>
        </w:rPr>
      </w:r>
      <w:r/>
    </w:p>
    <w:p>
      <w:pPr>
        <w:pStyle w:val="714"/>
        <w:ind w:firstLine="480"/>
        <w:jc w:val="both"/>
        <w:pageBreakBefore w:val="0"/>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询价</w:t>
      </w:r>
      <w:r>
        <w:rPr>
          <w:rFonts w:hint="eastAsia" w:ascii="宋体" w:hAnsi="宋体" w:cs="宋体"/>
          <w:color w:val="000000"/>
          <w:sz w:val="24"/>
          <w:szCs w:val="24"/>
          <w:highlight w:val="none"/>
        </w:rPr>
        <w:t xml:space="preserve">小组在进行资格审查的同时，将在“信用中国”网站</w:t>
      </w:r>
      <w:r>
        <w:rPr>
          <w:rFonts w:hint="eastAsia" w:ascii="宋体" w:hAnsi="宋体" w:cs="宋体"/>
          <w:color w:val="000000"/>
          <w:sz w:val="21"/>
          <w:szCs w:val="21"/>
          <w:highlight w:val="none"/>
        </w:rPr>
        <w:t xml:space="preserve">（www.creditchina.gov.cn）</w:t>
      </w:r>
      <w:r>
        <w:rPr>
          <w:rFonts w:hint="eastAsia" w:ascii="宋体" w:hAnsi="宋体" w:cs="宋体"/>
          <w:color w:val="000000"/>
          <w:sz w:val="24"/>
          <w:szCs w:val="24"/>
          <w:highlight w:val="none"/>
        </w:rPr>
        <w:t xml:space="preserve">、“中国政府采购网”网站</w:t>
      </w:r>
      <w:r>
        <w:rPr>
          <w:rFonts w:hint="eastAsia" w:ascii="宋体" w:hAnsi="宋体" w:cs="宋体"/>
          <w:color w:val="000000"/>
          <w:sz w:val="21"/>
          <w:szCs w:val="21"/>
          <w:highlight w:val="none"/>
        </w:rPr>
        <w:t xml:space="preserve">（https://www.ccgp.gov.cn）</w:t>
      </w:r>
      <w:r>
        <w:rPr>
          <w:rFonts w:hint="eastAsia" w:ascii="宋体" w:hAnsi="宋体" w:cs="宋体"/>
          <w:color w:val="000000"/>
          <w:sz w:val="24"/>
          <w:szCs w:val="24"/>
          <w:highlight w:val="none"/>
        </w:rPr>
        <w:t xml:space="preserve">查询供应商的信用记录，以确定供应商是否具备谈判资格，查询结果留存并归档。</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联合体成员中任何一方存在不良信用记录的，视同联合体存在不良信用记录。</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26.1.2 符合性审查：依据询价文件的规定，由询价小组从响应文件的有效性、完整性和对询价文件的响应程度</w:t>
      </w:r>
      <w:r>
        <w:rPr>
          <w:rFonts w:hint="eastAsia" w:ascii="宋体" w:hAnsi="宋体" w:eastAsia="宋体" w:cs="宋体"/>
          <w:color w:val="000000"/>
          <w:sz w:val="24"/>
          <w:szCs w:val="24"/>
          <w:highlight w:val="none"/>
          <w:lang w:eastAsia="zh-CN"/>
        </w:rPr>
        <w:t xml:space="preserve">等方面进行</w:t>
      </w:r>
      <w:r>
        <w:rPr>
          <w:rFonts w:hint="eastAsia" w:ascii="宋体" w:hAnsi="宋体" w:cs="宋体"/>
          <w:color w:val="000000"/>
          <w:sz w:val="24"/>
          <w:szCs w:val="24"/>
          <w:highlight w:val="none"/>
        </w:rPr>
        <w:t xml:space="preserve">审查，以确定是否对询价文件的实质性要求作出响应。</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26.1.3 未通过资格审查或符合性审查的供应商，询价小组将在苏采云系统中告知未通过资格审查或符合性审查的原因，评审结束后，询价小组将不再告知未通过资格审查或符合性审查的原因。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w:t>
      </w:r>
      <w:r>
        <w:rPr>
          <w:rFonts w:hint="eastAsia" w:ascii="宋体" w:hAnsi="宋体" w:eastAsia="宋体" w:cs="宋体"/>
          <w:color w:val="000000"/>
          <w:sz w:val="24"/>
          <w:szCs w:val="24"/>
          <w:highlight w:val="none"/>
          <w:lang w:eastAsia="zh-CN"/>
        </w:rPr>
        <w:t xml:space="preserve"> 在</w:t>
      </w:r>
      <w:r>
        <w:rPr>
          <w:rFonts w:hint="eastAsia" w:ascii="宋体" w:hAnsi="宋体" w:cs="宋体"/>
          <w:color w:val="000000"/>
          <w:sz w:val="24"/>
          <w:szCs w:val="24"/>
          <w:highlight w:val="none"/>
        </w:rPr>
        <w:t xml:space="preserve">详细评审之前，询价小组将首先审查每份响应文件是否实质性响应了询价文件的要求。实质性响应的响应文件</w:t>
      </w:r>
      <w:r>
        <w:rPr>
          <w:rFonts w:hint="eastAsia" w:ascii="宋体" w:hAnsi="宋体" w:cs="宋体"/>
          <w:color w:val="000000"/>
          <w:sz w:val="24"/>
          <w:szCs w:val="24"/>
          <w:highlight w:val="none"/>
          <w:lang w:eastAsia="zh-CN"/>
        </w:rPr>
        <w:t xml:space="preserve">应该</w:t>
      </w:r>
      <w:r>
        <w:rPr>
          <w:rFonts w:hint="eastAsia" w:ascii="宋体" w:hAnsi="宋体" w:cs="宋体"/>
          <w:color w:val="000000"/>
          <w:sz w:val="24"/>
          <w:szCs w:val="24"/>
          <w:highlight w:val="none"/>
        </w:rPr>
        <w:t xml:space="preserve">与询价文件要求的条款、条件和规格相符，没有重大偏离或保留。</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所谓重大偏离或保留是指与询价文件规定的实质性要求存在负偏离，或者在实质上与询价文件不一致，而且限制了合同中买方和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26.3未实质性响应询价文件的情形</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26.3.1供应商在苏采云系统规定的时间内未成功解密电子响应文件的。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26.3.2供应商未按照询价文件要求上传电子响应文件的。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26.3.3同一供应商提交两个（含两个）以上不同的响应文件或者最后报价的。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26.3.4供应商不具备询价文件中规定资格要求的。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26.3.5供应商的</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报价超过</w:t>
      </w:r>
      <w:r>
        <w:rPr>
          <w:rFonts w:hint="eastAsia" w:ascii="宋体" w:hAnsi="宋体" w:cs="宋体"/>
          <w:color w:val="000000"/>
          <w:sz w:val="24"/>
          <w:szCs w:val="24"/>
          <w:highlight w:val="none"/>
          <w:lang w:val="en-US" w:eastAsia="zh-CN"/>
        </w:rPr>
        <w:t xml:space="preserve">最高限价</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26.3.6不符合询价文件中规定的实质性要求和条件的。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26.3.7</w:t>
      </w:r>
      <w:r>
        <w:rPr>
          <w:rFonts w:hint="eastAsia" w:ascii="宋体" w:hAnsi="宋体" w:eastAsia="宋体" w:cs="宋体"/>
          <w:color w:val="000000"/>
          <w:sz w:val="24"/>
          <w:szCs w:val="24"/>
          <w:highlight w:val="none"/>
          <w:lang w:eastAsia="zh-CN"/>
        </w:rPr>
        <w:t xml:space="preserve"> 供应商</w:t>
      </w:r>
      <w:r>
        <w:rPr>
          <w:rFonts w:hint="eastAsia" w:ascii="宋体" w:hAnsi="宋体" w:cs="宋体"/>
          <w:color w:val="000000"/>
          <w:sz w:val="24"/>
          <w:szCs w:val="24"/>
          <w:highlight w:val="none"/>
        </w:rPr>
        <w:t xml:space="preserve">被“信用中国”网站</w:t>
      </w:r>
      <w:r>
        <w:rPr>
          <w:rFonts w:hint="eastAsia" w:ascii="宋体" w:hAnsi="宋体" w:cs="宋体"/>
          <w:color w:val="000000"/>
          <w:sz w:val="21"/>
          <w:szCs w:val="21"/>
          <w:highlight w:val="none"/>
        </w:rPr>
        <w:t xml:space="preserve">（www.creditchina.gov.cn）</w:t>
      </w:r>
      <w:r>
        <w:rPr>
          <w:rFonts w:hint="eastAsia" w:ascii="宋体" w:hAnsi="宋体" w:cs="宋体"/>
          <w:color w:val="000000"/>
          <w:sz w:val="24"/>
          <w:szCs w:val="24"/>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或被“中国政府采购网”网站</w:t>
      </w:r>
      <w:r>
        <w:rPr>
          <w:rFonts w:hint="eastAsia" w:ascii="宋体" w:hAnsi="宋体" w:cs="宋体"/>
          <w:color w:val="000000"/>
          <w:sz w:val="21"/>
          <w:szCs w:val="21"/>
          <w:highlight w:val="none"/>
        </w:rPr>
        <w:t xml:space="preserve">（https://www.ccgp.gov.cn</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4"/>
          <w:szCs w:val="24"/>
          <w:highlight w:val="none"/>
        </w:rPr>
        <w:t xml:space="preserve">列入政府采购严重违法失信行为记录名单。</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26.3.8响应文件含有采购人不能接受的附加条件的。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26.3.9 本项目采购产品属于被财政部、国家发展改革委、生态环境部等列入“节能产品品目清单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环境标志产品品目清单”强制采购范围，而询价供应商所询价产品不在强制采购范围内的</w:t>
      </w:r>
      <w:r>
        <w:rPr>
          <w:rFonts w:hint="eastAsia" w:ascii="宋体" w:hAnsi="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rPr>
        <w:t xml:space="preserve">询价产品如属于政府强制采购节能产品品目清单范围内，询价响应文件中必须提供国家确定的认证机构出具的、处于有效期之内的该节能产品认证证书</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26.3.10响应文件未按照询价文件要求加盖CA电子公章的。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26.4未实质性响应询价文件的响应文件按无效响应处理。</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26.5如果响应文件实质上没有响应询价文件的要求，询价小组将予以拒绝，供应商不得通过修改或撤销</w:t>
      </w:r>
      <w:r>
        <w:rPr>
          <w:rFonts w:hint="eastAsia" w:ascii="宋体" w:hAnsi="宋体" w:cs="宋体"/>
          <w:color w:val="000000"/>
          <w:sz w:val="24"/>
          <w:szCs w:val="24"/>
          <w:highlight w:val="none"/>
          <w:lang w:eastAsia="zh-CN"/>
        </w:rPr>
        <w:t xml:space="preserve">不符</w:t>
      </w:r>
      <w:r>
        <w:rPr>
          <w:rFonts w:hint="eastAsia" w:ascii="宋体" w:hAnsi="宋体" w:cs="宋体"/>
          <w:color w:val="000000"/>
          <w:sz w:val="24"/>
          <w:szCs w:val="24"/>
          <w:highlight w:val="none"/>
        </w:rPr>
        <w:t xml:space="preserve">合要求的偏离或保留而使其成为实质性响应的文件。</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highlight w:val="none"/>
        </w:rPr>
      </w:r>
      <w:bookmarkStart w:id="117" w:name="_Toc16938550"/>
      <w:r>
        <w:rPr>
          <w:highlight w:val="none"/>
        </w:rPr>
      </w:r>
      <w:bookmarkEnd w:id="117"/>
      <w:r>
        <w:rPr>
          <w:highlight w:val="none"/>
        </w:rPr>
      </w:r>
      <w:bookmarkStart w:id="118" w:name="_Toc513029234"/>
      <w:r>
        <w:rPr>
          <w:highlight w:val="none"/>
        </w:rPr>
      </w:r>
      <w:bookmarkEnd w:id="118"/>
      <w:r>
        <w:rPr>
          <w:highlight w:val="none"/>
        </w:rPr>
      </w:r>
      <w:bookmarkStart w:id="119" w:name="_Toc20823306"/>
      <w:r>
        <w:rPr>
          <w:rFonts w:hint="eastAsia" w:ascii="宋体" w:hAnsi="宋体" w:cs="宋体"/>
          <w:color w:val="000000"/>
          <w:sz w:val="24"/>
          <w:szCs w:val="24"/>
          <w:highlight w:val="none"/>
        </w:rPr>
        <w:t xml:space="preserve">26.6供应商在项目评审全过程中应</w:t>
      </w:r>
      <w:r>
        <w:rPr>
          <w:rFonts w:hint="eastAsia" w:ascii="宋体" w:hAnsi="宋体" w:cs="宋体"/>
          <w:color w:val="000000"/>
          <w:sz w:val="24"/>
          <w:szCs w:val="24"/>
          <w:highlight w:val="none"/>
          <w:lang w:eastAsia="zh-CN"/>
        </w:rPr>
        <w:t xml:space="preserve">保持通信畅通</w:t>
      </w:r>
      <w:r>
        <w:rPr>
          <w:rFonts w:hint="eastAsia" w:ascii="宋体" w:hAnsi="宋体" w:cs="宋体"/>
          <w:color w:val="000000"/>
          <w:sz w:val="24"/>
          <w:szCs w:val="24"/>
          <w:highlight w:val="none"/>
        </w:rPr>
        <w:t xml:space="preserve">，并安排专人与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及询价小组联系。</w:t>
      </w:r>
      <w:bookmarkEnd w:id="119"/>
      <w:r>
        <w:rPr>
          <w:highlight w:val="none"/>
        </w:rPr>
      </w:r>
      <w:r/>
    </w:p>
    <w:p>
      <w:pPr>
        <w:pStyle w:val="714"/>
        <w:ind w:firstLine="420"/>
        <w:jc w:val="both"/>
        <w:keepLines/>
        <w:keepNext/>
        <w:pageBreakBefore w:val="0"/>
        <w:spacing w:line="460" w:lineRule="exact"/>
        <w:rPr>
          <w:rFonts w:ascii="宋体" w:hAnsi="宋体" w:cs="宋体"/>
          <w:color w:val="000000"/>
          <w:sz w:val="24"/>
          <w:szCs w:val="24"/>
          <w:highlight w:val="none"/>
        </w:rPr>
      </w:pPr>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程序及评审方法和评审标准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27.1询价程序</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27.1.1询价小组审阅供应商所提交的响应文件，并可以根据询价文件规定的程序、评定成交的标准等事项与实质性响应询价通知书要求的供应商进行询价。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27.2评审方法和成交标准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27.2.1评审方法。质量和服务均能满足询价通知书实质性响应要求，且报价最低的。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27.2.2成交标准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27.3对小微型企业、监狱企业和残疾人福利单位的价格扣除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27.3.1</w:t>
      </w:r>
      <w:r>
        <w:rPr>
          <w:rFonts w:hint="eastAsia" w:ascii="宋体" w:hAnsi="宋体" w:cs="宋体"/>
          <w:b/>
          <w:bCs/>
          <w:color w:val="000000"/>
          <w:sz w:val="24"/>
          <w:szCs w:val="24"/>
          <w:highlight w:val="none"/>
          <w:lang w:eastAsia="zh-CN"/>
        </w:rPr>
        <w:t xml:space="preserve">本项目专门面向中小企业采购；小微企业价格扣除优惠比例：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；监狱企业、残疾人福利性单位价格扣除优惠比例：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w:t>
      </w:r>
      <w:r>
        <w:rPr>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27.3.2</w:t>
      </w:r>
      <w:r>
        <w:rPr>
          <w:rFonts w:hint="eastAsia" w:ascii="宋体" w:hAnsi="宋体" w:cs="宋体"/>
          <w:b/>
          <w:bCs/>
          <w:color w:val="000000"/>
          <w:sz w:val="24"/>
          <w:szCs w:val="24"/>
          <w:highlight w:val="none"/>
        </w:rPr>
        <w:t xml:space="preserve">中小企业、监狱企业及残疾人福利性单位</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27.3.2.1</w:t>
      </w:r>
      <w:r>
        <w:rPr>
          <w:rFonts w:hint="eastAsia" w:ascii="宋体" w:hAnsi="宋体" w:cs="宋体"/>
          <w:color w:val="000000"/>
          <w:sz w:val="24"/>
          <w:szCs w:val="24"/>
          <w:highlight w:val="none"/>
        </w:rPr>
        <w:t xml:space="preserve">中小企业定义：</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关于进一步加大政府采购支持中小企业力度的通知》（财库〔2022〕19 号）、《政府采购促进中小企业发展管理办法》（财库〔2020〕46号）、《关于印发中小企业划型标准规定的通知》（工信部联企业〔2011〕300号）。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27.3.2.2</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供的货物、工程或者服务符合下列情形的，享受中小企业扶持政策：</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（1）在货物采购项目中，货物由中小企业制造，即货物由中小企业生产且使用该中小企业商号或者注册商标；</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（2）在工程采购项目中，工程由中小企业承建，即工程施工单位为中小企业；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（3）在服务采购项目中，服务由中小企业承接，即</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供服务的人员为中小企业依照《中华人民共和国民法典》订立劳动合同的从业人员。</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"3.2.1.3"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在货物采购项目中，供应商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供的货物既有中小企业制造货物，也有大型企业制造货物的，不享受中小企业扶持政策。</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"3.2.1.4"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以联合体形式参加政府采购活动，联合体各方均为中小企业的，联合体视同中小企业。其中，联合体各方均为小微企业的，联合体视同小微企业。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27.3.3 在</w:t>
      </w:r>
      <w:r>
        <w:rPr>
          <w:rFonts w:hint="eastAsia" w:ascii="宋体" w:hAnsi="宋体" w:cs="宋体"/>
          <w:color w:val="000000"/>
          <w:sz w:val="24"/>
          <w:szCs w:val="24"/>
          <w:highlight w:val="none"/>
        </w:rPr>
        <w:t xml:space="preserve">政府采购活动中，监狱企业视同小型、微型企业，享受预留份额、评审中价格扣除</w:t>
      </w:r>
      <w:r>
        <w:rPr>
          <w:rFonts w:hint="eastAsia" w:ascii="宋体" w:hAnsi="宋体" w:eastAsia="宋体" w:cs="宋体"/>
          <w:color w:val="000000"/>
          <w:sz w:val="24"/>
          <w:szCs w:val="24"/>
          <w:highlight w:val="none"/>
          <w:lang w:eastAsia="zh-CN"/>
        </w:rPr>
        <w:t xml:space="preserve">等</w:t>
      </w:r>
      <w:r>
        <w:rPr>
          <w:rFonts w:hint="eastAsia" w:ascii="宋体" w:hAnsi="宋体" w:cs="宋体"/>
          <w:color w:val="000000"/>
          <w:sz w:val="24"/>
          <w:szCs w:val="24"/>
          <w:highlight w:val="none"/>
        </w:rPr>
        <w:t xml:space="preserve">促进中小企业发展的政府采购政策。监狱企业定义：是指由司法部认定的为罪犯、戒毒人员</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供生产项目和劳动对象，且全部产权属于司法部监狱管理局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戒毒管理局、直属煤矿管理局，各省、自治区、直辖市</w:t>
      </w:r>
      <w:r>
        <w:rPr>
          <w:rFonts w:hint="eastAsia" w:ascii="宋体" w:hAnsi="宋体" w:cs="宋体"/>
          <w:color w:val="000000"/>
          <w:sz w:val="24"/>
          <w:szCs w:val="24"/>
          <w:highlight w:val="none"/>
          <w:lang w:val="en-US" w:eastAsia="zh-CN"/>
        </w:rPr>
        <w:t xml:space="preserve">监狱管理局、戒毒管理局，各地（设 区的市）监狱、强制隔离戒毒所、戒毒康复所，以及新疆生产建设兵团监狱管理局、戒毒管理局的企业。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 在政府采购活动中</w:t>
      </w:r>
      <w:r>
        <w:rPr>
          <w:rFonts w:hint="eastAsia" w:ascii="宋体" w:hAnsi="宋体" w:eastAsia="宋体" w:cs="宋体"/>
          <w:color w:val="000000"/>
          <w:spacing w:val="0"/>
          <w:sz w:val="24"/>
          <w:szCs w:val="24"/>
          <w:highlight w:val="none"/>
          <w:lang w:val="en-US" w:eastAsia="zh-CN"/>
        </w:rPr>
        <w:t xml:space="preserve">，残疾人福利性单位视同小型、微型企业，享受</w:t>
      </w:r>
      <w:r>
        <w:rPr>
          <w:rFonts w:hint="eastAsia" w:ascii="宋体" w:hAnsi="宋体" w:cs="宋体"/>
          <w:color w:val="000000"/>
          <w:sz w:val="24"/>
          <w:szCs w:val="24"/>
          <w:highlight w:val="none"/>
          <w:lang w:val="en-US" w:eastAsia="zh-CN"/>
        </w:rPr>
        <w:t xml:space="preserve">预留份额、评审中价格扣除等促进中小企业发展的政府采购政策。残疾人福利性单位定义：享受政府采购支持政策的残疾人福利性单位应当同时满足以下条件：</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27.3.4.1安置的残疾人占本单位在职职工人数的比例不低于 25%（含 25%），并且安置的残疾人人数不少于 10 人（含 10人）；</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27.3.4.2依法与安置的每位残疾人签订了一年以上（含一年）的劳动合同或服务协议；</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27.3.4.3为安置的每位残疾人按月足额缴纳了基本养老保险、基本医疗保险、失业保险、工伤保险和生育保险等社会保险费；</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27.3.4.4通过银行等金融机构向安置的每位残疾人，按月支付了不低于单位所在区县适用的经省级人民政府批准的月最低工资标准的工资；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27.3.4.5提供本单位制造的货物、承担的工程或者服务（以下简称产品），或者提供其他残疾人福利性单位制造的货物（不包括使用非残疾人福利性单位注册商标的货物）；</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27.3.4.7采购标的对应的中小企业划分标准所属行业见第一章《询价邀请》。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27.3.4.8价格扣除比例对小型企业和微型企业同等对待，不作区分。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27.3.4.9中小企业参加政府采购活动，应当按照询价通知书给定的格式出具《中小企业声明函》，否则不得享受相关中小企业扶持政策。</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27.3.4.10监狱企业提供了由省级以上监狱管理局、戒毒管理局（含新疆生产建设兵团）出具的属于监狱企业的证明文件的，视同小微企业。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27.3.4.11残疾人福利性单位按询价通知书要求提供了《残疾人福利性单位声明函》的，视同小微企业。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27.3.4.12若供应商同时属于小型或微型企业、监狱企业、残疾人福利性单位中的两种及以上，将不重复享受小微企业价格扣减的优惠政策。</w:t>
      </w:r>
      <w:r>
        <w:rPr>
          <w:highlight w:val="none"/>
        </w:rPr>
      </w:r>
      <w:r/>
    </w:p>
    <w:p>
      <w:pPr>
        <w:pStyle w:val="714"/>
        <w:ind w:firstLine="480"/>
        <w:jc w:val="both"/>
        <w:pageBreakBefore w:val="0"/>
        <w:spacing w:line="460" w:lineRule="exact"/>
        <w:rPr>
          <w:rFonts w:ascii="宋体" w:hAnsi="宋体" w:cs="宋体"/>
          <w:b/>
          <w:bCs/>
          <w:color w:val="000000"/>
          <w:sz w:val="24"/>
          <w:szCs w:val="24"/>
          <w:highlight w:val="none"/>
        </w:rPr>
      </w:pPr>
      <w:r>
        <w:rPr>
          <w:rFonts w:hint="eastAsia" w:ascii="宋体" w:hAnsi="宋体" w:cs="宋体"/>
          <w:color w:val="000000"/>
          <w:sz w:val="24"/>
          <w:szCs w:val="24"/>
          <w:highlight w:val="none"/>
          <w:lang w:val="en-US" w:eastAsia="zh-CN"/>
        </w:rPr>
        <w:t xml:space="preserve">27.4</w:t>
      </w:r>
      <w:r>
        <w:rPr>
          <w:rFonts w:hint="eastAsia" w:ascii="宋体" w:hAnsi="宋体" w:cs="宋体"/>
          <w:b/>
          <w:bCs/>
          <w:color w:val="000000"/>
          <w:sz w:val="24"/>
          <w:szCs w:val="24"/>
          <w:highlight w:val="none"/>
          <w:lang w:val="en-US" w:eastAsia="zh-CN"/>
        </w:rPr>
        <w:t xml:space="preserve">对提供《关于符合本国产品标准的声明函》的企业产品给予20%价格扣除。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27.5采购活动终止的情况</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出现下列情形之一的，本次询价采购活动将被终止：</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27.5.1因情况变化，不再符合规定的询价采购方式适用情形的。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27.5.2出现影响采购公正的违法、违规行为的。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27.5.3在苏采云系统规定时间内成</w:t>
      </w:r>
      <w:r>
        <w:rPr>
          <w:rFonts w:hint="eastAsia" w:ascii="宋体" w:hAnsi="宋体" w:cs="宋体"/>
          <w:color w:val="000000"/>
          <w:sz w:val="24"/>
          <w:szCs w:val="24"/>
          <w:highlight w:val="none"/>
        </w:rPr>
        <w:t xml:space="preserve">功解密电子响应文件的供应商不足3家的。</w:t>
      </w:r>
      <w:r>
        <w:rPr>
          <w:highlight w:val="none"/>
        </w:rPr>
      </w:r>
      <w:r/>
    </w:p>
    <w:p>
      <w:pPr>
        <w:pStyle w:val="714"/>
        <w:ind w:firstLine="482"/>
        <w:jc w:val="both"/>
        <w:keepLines/>
        <w:keepNext/>
        <w:pageBreakBefore w:val="0"/>
        <w:spacing w:before="145" w:after="145" w:line="460" w:lineRule="exact"/>
        <w:rPr>
          <w:rFonts w:ascii="宋体" w:hAnsi="宋体" w:cs="宋体"/>
          <w:color w:val="000000"/>
          <w:sz w:val="28"/>
          <w:szCs w:val="28"/>
          <w:highlight w:val="none"/>
        </w:rPr>
      </w:pPr>
      <w:r>
        <w:rPr>
          <w:highlight w:val="none"/>
        </w:rPr>
      </w:r>
      <w:bookmarkStart w:id="120" w:name="_Toc20823307"/>
      <w:r>
        <w:rPr>
          <w:highlight w:val="none"/>
        </w:rPr>
      </w:r>
      <w:bookmarkEnd w:id="120"/>
      <w:r>
        <w:rPr>
          <w:highlight w:val="none"/>
        </w:rPr>
      </w:r>
      <w:bookmarkStart w:id="121" w:name="_Toc16938551"/>
      <w:r>
        <w:rPr>
          <w:highlight w:val="none"/>
        </w:rPr>
      </w:r>
      <w:bookmarkEnd w:id="121"/>
      <w:r>
        <w:rPr>
          <w:highlight w:val="none"/>
        </w:rPr>
      </w:r>
      <w:bookmarkStart w:id="122" w:name="_Toc513029235"/>
      <w:r>
        <w:rPr>
          <w:highlight w:val="none"/>
        </w:rPr>
      </w:r>
      <w:bookmarkEnd w:id="122"/>
      <w:r>
        <w:rPr>
          <w:highlight w:val="none"/>
        </w:rPr>
      </w:r>
      <w:bookmarkStart w:id="123" w:name="_Toc120614219"/>
      <w:r>
        <w:rPr>
          <w:b/>
          <w:bCs/>
          <w:color w:val="000000"/>
          <w:sz w:val="28"/>
          <w:szCs w:val="28"/>
          <w:highlight w:val="none"/>
        </w:rPr>
        <w:t xml:space="preserve">六、</w:t>
      </w:r>
      <w:bookmarkEnd w:id="123"/>
      <w:r>
        <w:rPr>
          <w:b/>
          <w:bCs/>
          <w:color w:val="000000"/>
          <w:sz w:val="28"/>
          <w:szCs w:val="28"/>
          <w:highlight w:val="none"/>
        </w:rPr>
        <w:t xml:space="preserve">成交</w:t>
      </w:r>
      <w:r>
        <w:rPr>
          <w:highlight w:val="none"/>
        </w:rPr>
      </w:r>
      <w:r/>
    </w:p>
    <w:p>
      <w:pPr>
        <w:pStyle w:val="714"/>
        <w:ind w:firstLine="482"/>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24" w:name="_Toc16938554"/>
      <w:r>
        <w:rPr>
          <w:highlight w:val="none"/>
        </w:rPr>
      </w:r>
      <w:bookmarkEnd w:id="124"/>
      <w:r>
        <w:rPr>
          <w:highlight w:val="none"/>
        </w:rPr>
      </w:r>
      <w:bookmarkStart w:id="125" w:name="_Toc513029238"/>
      <w:r>
        <w:rPr>
          <w:highlight w:val="none"/>
        </w:rPr>
      </w:r>
      <w:bookmarkEnd w:id="125"/>
      <w:r>
        <w:rPr>
          <w:highlight w:val="none"/>
        </w:rPr>
      </w:r>
      <w:bookmarkStart w:id="126" w:name="_Toc20823310"/>
      <w:r>
        <w:rPr>
          <w:rFonts w:hint="eastAsia" w:ascii="宋体" w:hAnsi="宋体" w:eastAsia="宋体" w:cs="宋体"/>
          <w:b/>
          <w:bCs/>
          <w:color w:val="000000"/>
          <w:sz w:val="24"/>
          <w:szCs w:val="24"/>
          <w:highlight w:val="none"/>
        </w:rPr>
        <w:t xml:space="preserve">2</w:t>
      </w:r>
      <w:bookmarkEnd w:id="126"/>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确定成交单位</w:t>
      </w:r>
      <w:r>
        <w:rPr>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28.1</w:t>
      </w:r>
      <w:r>
        <w:rPr>
          <w:rFonts w:hint="eastAsia" w:ascii="宋体" w:hAnsi="宋体" w:cs="宋体"/>
          <w:b/>
          <w:bCs/>
          <w:color w:val="000000"/>
          <w:sz w:val="24"/>
          <w:szCs w:val="24"/>
          <w:highlight w:val="none"/>
        </w:rPr>
        <w:t xml:space="preserve">询价小组按照报价由低到高的顺序推荐3名成交候选供应商，并编写评审报告。报价相同的，按照技术指标优劣顺序推荐。</w:t>
      </w:r>
      <w:r>
        <w:rPr>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提供相同品牌相同型号产品且通过资格审查、符合性审查的不同供应商参加同一合同项下响应的，按一家供应商计算，由报价最低的同品牌同型号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28.2采购人从评审报告提出的成交候选供应商中，按照质量和服务均能满足询价文件实质性响应要求且报价最低的原则确定成交供应商。采购人确定成交供应商后，</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将在“江苏政府采购网”发布成交结果公告，公告期限为1个工作日。</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28.3若有充分证据证明，成交供应商出现下列情况之一的，一经查实，将被取消成交资格：</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28.3.1提供虚假材料谋取成交的。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28.3.2与评审专家、采购人、其他供应商或者</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工作人员恶意串通的。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28.3.3向评审专家、采购人或</w:t>
      </w:r>
      <w:r>
        <w:rPr>
          <w:rFonts w:hint="eastAsia" w:ascii="宋体" w:hAnsi="宋体" w:eastAsia="宋体" w:cs="宋体"/>
          <w:color w:val="000000"/>
          <w:sz w:val="24"/>
          <w:szCs w:val="24"/>
          <w:highlight w:val="none"/>
          <w:lang w:eastAsia="zh-CN"/>
        </w:rPr>
        <w:t xml:space="preserve">采购代理机构工作人员</w:t>
      </w:r>
      <w:r>
        <w:rPr>
          <w:rFonts w:hint="eastAsia" w:ascii="宋体" w:hAnsi="宋体" w:cs="宋体"/>
          <w:color w:val="000000"/>
          <w:sz w:val="24"/>
          <w:szCs w:val="24"/>
          <w:highlight w:val="none"/>
        </w:rPr>
        <w:t xml:space="preserve">行贿或者提供其他不正当利益的。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28.3.4恶意竞争，报价明显低于其自身合理成本且又无法提供证明的。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评审过程中出现下列情形之一的，</w:t>
      </w:r>
      <w:r>
        <w:rPr>
          <w:rFonts w:hint="eastAsia" w:ascii="宋体" w:hAnsi="宋体" w:eastAsia="宋体" w:cs="宋体"/>
          <w:b/>
          <w:bCs/>
          <w:color w:val="000000"/>
          <w:sz w:val="24"/>
          <w:szCs w:val="24"/>
          <w:highlight w:val="none"/>
          <w:lang w:val="en-US" w:eastAsia="zh-CN"/>
        </w:rPr>
        <w:t xml:space="preserve">询价</w:t>
      </w:r>
      <w:r>
        <w:rPr>
          <w:rFonts w:hint="eastAsia" w:ascii="宋体" w:hAnsi="宋体" w:cs="宋体"/>
          <w:b/>
          <w:bCs/>
          <w:color w:val="000000"/>
          <w:sz w:val="24"/>
          <w:szCs w:val="24"/>
          <w:highlight w:val="none"/>
        </w:rPr>
        <w:t xml:space="preserve">小组应当启动异常低价投标（响应）审查程序</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投标（响应）报价低于全部通过符合性审查供应商投标（响应）报价平均值50%的，即投标（响应）报价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全部通过符合性审查供应商投标（响应）报价平均值×50%；</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投标（响应）报价低于通过符合性审查的次低报价供应商投标（响应）报价50%的，即投标（响应）报价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通过符合性审查的次低报价供应商投标（响应）报价×50%；</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投标（响应）报价低于采购项目最高限价45%的，即投标（响应）报价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采购项目最高限价×45%：</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评审委员会基于专业判断，认为供应商报价过低，有可能影响产品质量或者不能诚信履约的其他情形。</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相关法律法规对供应商报价有规定的，从其规定。</w:t>
      </w:r>
      <w:r>
        <w:rPr>
          <w:highlight w:val="none"/>
        </w:rPr>
      </w:r>
      <w:r/>
    </w:p>
    <w:p>
      <w:pPr>
        <w:pStyle w:val="714"/>
        <w:ind w:firstLine="84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w:t>
      </w:r>
      <w:r>
        <w:rPr>
          <w:rFonts w:hint="eastAsia" w:ascii="宋体" w:hAnsi="宋体" w:eastAsia="宋体" w:cs="宋体"/>
          <w:color w:val="000000"/>
          <w:sz w:val="24"/>
          <w:szCs w:val="24"/>
          <w:highlight w:val="none"/>
          <w:lang w:eastAsia="zh-CN"/>
        </w:rPr>
        <w:t xml:space="preserve">现场</w:t>
      </w:r>
      <w:r>
        <w:rPr>
          <w:rFonts w:hint="eastAsia" w:ascii="宋体" w:hAnsi="宋体" w:cs="宋体"/>
          <w:color w:val="000000"/>
          <w:sz w:val="24"/>
          <w:szCs w:val="24"/>
          <w:highlight w:val="none"/>
        </w:rPr>
        <w:t xml:space="preserve">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28.3.5不满足本询价文件规定的实质性要求，但在评审过程中又未被询价小组发现的。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28.3.6成交后无正当理由拒不与采购人签订政府采购合同或者未按照询价文件确定的事项签订政府采购合同的。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28.3.7将政府采购合同转包的。</w:t>
      </w:r>
      <w:r>
        <w:rPr>
          <w:highlight w:val="none"/>
        </w:rPr>
      </w:r>
      <w:r/>
    </w:p>
    <w:p>
      <w:pPr>
        <w:pStyle w:val="714"/>
        <w:ind w:firstLine="482"/>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27" w:name="_Toc200451960"/>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质疑处理</w:t>
      </w:r>
      <w:bookmarkEnd w:id="127"/>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9.4条款的规定向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或采购人提出质疑。上述应知其权益受到损害之日，是指：</w:t>
      </w:r>
      <w:r>
        <w:rPr>
          <w:rFonts w:hint="eastAsia" w:ascii="宋体" w:hAnsi="宋体" w:cs="宋体"/>
          <w:color w:val="000000"/>
          <w:sz w:val="24"/>
          <w:szCs w:val="24"/>
          <w:highlight w:val="none"/>
          <w:lang w:val="en-US" w:eastAsia="zh-CN"/>
        </w:rPr>
        <w:t xml:space="preserve"> </w:t>
      </w:r>
      <w:r>
        <w:rPr>
          <w:highlight w:val="none"/>
        </w:rPr>
      </w:r>
      <w:r/>
    </w:p>
    <w:p>
      <w:pPr>
        <w:pStyle w:val="714"/>
        <w:ind w:firstLine="480"/>
        <w:jc w:val="left"/>
        <w:pageBreakBefore w:val="0"/>
        <w:spacing w:line="460" w:lineRule="exact"/>
        <w:rPr>
          <w:color w:val="000000"/>
          <w:sz w:val="24"/>
          <w:szCs w:val="24"/>
          <w:highlight w:val="none"/>
        </w:rPr>
      </w:pPr>
      <w:r>
        <w:rPr>
          <w:rFonts w:hint="eastAsia" w:ascii="宋体" w:hAnsi="宋体" w:cs="宋体"/>
          <w:color w:val="000000"/>
          <w:sz w:val="24"/>
          <w:szCs w:val="24"/>
          <w:highlight w:val="none"/>
        </w:rPr>
        <w:t xml:space="preserve">29.2.1</w:t>
      </w:r>
      <w:r>
        <w:rPr>
          <w:color w:val="000000"/>
          <w:sz w:val="24"/>
          <w:szCs w:val="24"/>
          <w:highlight w:val="none"/>
        </w:rPr>
        <w:t xml:space="preserve">对可以质疑的采购文件提出质疑的，为收到采购文件之日或者采购</w:t>
      </w:r>
      <w:r>
        <w:rPr>
          <w:highlight w:val="none"/>
        </w:rPr>
      </w:r>
      <w:r/>
    </w:p>
    <w:p>
      <w:pPr>
        <w:pStyle w:val="714"/>
        <w:jc w:val="left"/>
        <w:pageBreakBefore w:val="0"/>
        <w:spacing w:line="460" w:lineRule="exact"/>
        <w:rPr>
          <w:rFonts w:ascii="宋体" w:hAnsi="宋体" w:cs="宋体"/>
          <w:color w:val="000000"/>
          <w:sz w:val="24"/>
          <w:szCs w:val="24"/>
          <w:highlight w:val="none"/>
        </w:rPr>
      </w:pPr>
      <w:r>
        <w:rPr>
          <w:color w:val="000000"/>
          <w:sz w:val="24"/>
          <w:szCs w:val="24"/>
          <w:highlight w:val="none"/>
        </w:rPr>
        <w:t xml:space="preserve">文件公告期限届满之日。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29.2.2</w:t>
      </w:r>
      <w:r>
        <w:rPr>
          <w:color w:val="000000"/>
          <w:sz w:val="24"/>
          <w:szCs w:val="24"/>
          <w:highlight w:val="none"/>
        </w:rPr>
        <w:t xml:space="preserve">对采购过程提出质疑的，为各采购程序环节结束之日。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29.2.3</w:t>
      </w:r>
      <w:r>
        <w:rPr>
          <w:color w:val="000000"/>
          <w:sz w:val="24"/>
          <w:szCs w:val="24"/>
          <w:highlight w:val="none"/>
        </w:rPr>
        <w:t xml:space="preserve">对成交结果提出质疑的，为成交结果公告期限届满之日。</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eastAsia="宋体"/>
          <w:color w:val="000000"/>
          <w:sz w:val="24"/>
          <w:szCs w:val="24"/>
          <w:highlight w:val="none"/>
          <w:lang w:val="en-US" w:eastAsia="zh-CN"/>
        </w:rPr>
        <w:t xml:space="preserve">采购代理机构</w:t>
      </w:r>
      <w:r>
        <w:rPr>
          <w:color w:val="000000"/>
          <w:sz w:val="24"/>
          <w:szCs w:val="24"/>
          <w:highlight w:val="none"/>
        </w:rPr>
        <w:t xml:space="preserve">、采购人将只对供应商第一次质疑作出答复。</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负责答复。</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供应商（含潜在供应商）对与本项目有关的所有询问、质疑均请向采购人提出，由采购人负责答复。</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不接受未填写快递运单的快件）。</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采购人质疑接收人及联系方式见本询价文件第一章。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 以下情形的质疑不予受理</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29.5.1 内容不符合《政府采购质疑和投诉办法》第十二条规定的质疑。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29.5.2 超出政府采购法定期限的质疑。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29.5.3 以传真、电子邮件等方式递交的非原件形式的质疑。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29.5.4 未参加询价活动的供应商或在询价活动中自身权益未受到损害的供应商所提出的质疑。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29.5.5供应商组成联合体参加询价，联合体中任何一方或多方未按要求签字、盖章、加盖公章的质疑。</w:t>
      </w:r>
      <w:r>
        <w:rPr>
          <w:highlight w:val="none"/>
        </w:rPr>
      </w:r>
      <w:r/>
    </w:p>
    <w:p>
      <w:pPr>
        <w:pStyle w:val="714"/>
        <w:ind w:firstLine="468"/>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有权依据政府采购的有关规定，报请政府采购监管部门对该供应商进行相应的行政处罚和记录该供应商的失信信息。</w:t>
      </w:r>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成交通知书</w:t>
      </w:r>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30.1成交结果确定后，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因未及时下载而造成的不利后果由成交供应商自行承担。</w:t>
      </w:r>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highlight w:val="none"/>
        </w:rPr>
      </w:r>
      <w:r/>
    </w:p>
    <w:p>
      <w:pPr>
        <w:pStyle w:val="714"/>
        <w:jc w:val="both"/>
        <w:keepLines/>
        <w:keepNext/>
        <w:pageBreakBefore w:val="0"/>
        <w:spacing w:before="145" w:after="145" w:line="460" w:lineRule="exact"/>
        <w:rPr>
          <w:rFonts w:ascii="宋体" w:hAnsi="宋体" w:cs="宋体"/>
          <w:color w:val="000000"/>
          <w:sz w:val="28"/>
          <w:szCs w:val="28"/>
          <w:highlight w:val="none"/>
        </w:rPr>
      </w:pPr>
      <w:r>
        <w:rPr>
          <w:highlight w:val="none"/>
        </w:rPr>
      </w:r>
      <w:bookmarkStart w:id="128" w:name="_Toc16938552"/>
      <w:r>
        <w:rPr>
          <w:highlight w:val="none"/>
        </w:rPr>
      </w:r>
      <w:bookmarkEnd w:id="128"/>
      <w:r>
        <w:rPr>
          <w:highlight w:val="none"/>
        </w:rPr>
      </w:r>
      <w:bookmarkStart w:id="129" w:name="_Toc120614220"/>
      <w:r>
        <w:rPr>
          <w:highlight w:val="none"/>
        </w:rPr>
      </w:r>
      <w:bookmarkEnd w:id="129"/>
      <w:r>
        <w:rPr>
          <w:highlight w:val="none"/>
        </w:rPr>
      </w:r>
      <w:bookmarkStart w:id="130" w:name="_Toc513029236"/>
      <w:r>
        <w:rPr>
          <w:highlight w:val="none"/>
        </w:rPr>
      </w:r>
      <w:bookmarkEnd w:id="130"/>
      <w:r>
        <w:rPr>
          <w:highlight w:val="none"/>
        </w:rPr>
      </w:r>
      <w:bookmarkStart w:id="131" w:name="_Toc20823308"/>
      <w:r>
        <w:rPr>
          <w:b/>
          <w:bCs/>
          <w:color w:val="000000"/>
          <w:sz w:val="28"/>
          <w:szCs w:val="28"/>
          <w:highlight w:val="none"/>
        </w:rPr>
        <w:t xml:space="preserve">七、授予合同</w:t>
      </w:r>
      <w:bookmarkEnd w:id="131"/>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32" w:name="_Toc513029237"/>
      <w:r>
        <w:rPr>
          <w:highlight w:val="none"/>
        </w:rPr>
      </w:r>
      <w:bookmarkEnd w:id="132"/>
      <w:r>
        <w:rPr>
          <w:highlight w:val="none"/>
        </w:rPr>
      </w:r>
      <w:bookmarkStart w:id="133" w:name="_Toc16938553"/>
      <w:r>
        <w:rPr>
          <w:highlight w:val="none"/>
        </w:rPr>
      </w:r>
      <w:bookmarkEnd w:id="133"/>
      <w:r>
        <w:rPr>
          <w:highlight w:val="none"/>
        </w:rPr>
      </w:r>
      <w:bookmarkStart w:id="134" w:name="_Toc20823309"/>
      <w:r>
        <w:rPr>
          <w:rFonts w:hint="eastAsia" w:ascii="宋体" w:hAnsi="宋体" w:eastAsia="宋体" w:cs="宋体"/>
          <w:b/>
          <w:bCs/>
          <w:color w:val="000000"/>
          <w:sz w:val="24"/>
          <w:szCs w:val="24"/>
          <w:highlight w:val="none"/>
        </w:rPr>
        <w:t xml:space="preserve">31. 签订合同</w:t>
      </w:r>
      <w:bookmarkEnd w:id="134"/>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成交供应商应当在成交通知书发出之日起三十日内，按照询价文件确定的事项与采购人签订政府采购合同。</w:t>
      </w:r>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31.2询价文件、成交供应商的响应文件及询价过程中有关澄清、承诺文件均应作为合同附件。</w:t>
      </w:r>
      <w:r>
        <w:rPr>
          <w:highlight w:val="none"/>
        </w:rPr>
      </w:r>
      <w:r/>
    </w:p>
    <w:p>
      <w:pPr>
        <w:pStyle w:val="714"/>
        <w:ind w:firstLine="600"/>
        <w:jc w:val="both"/>
        <w:pageBreakBefore w:val="0"/>
        <w:spacing w:line="460" w:lineRule="exact"/>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31.3 签订合同后，</w:t>
      </w:r>
      <w:r>
        <w:rPr>
          <w:rFonts w:hint="eastAsia" w:ascii="宋体" w:hAnsi="宋体" w:cs="宋体"/>
          <w:i/>
          <w:iCs/>
          <w:color w:val="000000"/>
          <w:sz w:val="24"/>
          <w:szCs w:val="24"/>
          <w:highlight w:val="none"/>
          <w:u w:val="single"/>
        </w:rPr>
        <w:t xml:space="preserve">成交供应商不得将合同标的进行转包</w:t>
      </w:r>
      <w:r>
        <w:rPr>
          <w:rFonts w:hint="eastAsia" w:ascii="宋体" w:hAnsi="宋体" w:cs="宋体"/>
          <w:color w:val="000000"/>
          <w:sz w:val="24"/>
          <w:szCs w:val="24"/>
          <w:highlight w:val="none"/>
        </w:rPr>
        <w:t xml:space="preserve">。未经采购人同意，成</w:t>
      </w:r>
      <w:r>
        <w:rPr>
          <w:rFonts w:hint="eastAsia" w:ascii="宋体" w:hAnsi="宋体" w:eastAsia="Arial" w:cs="宋体"/>
          <w:color w:val="000000"/>
          <w:sz w:val="24"/>
          <w:szCs w:val="24"/>
          <w:highlight w:val="none"/>
        </w:rPr>
        <w:t xml:space="preserve">交供应商也不得采用分包形式履行合同</w:t>
      </w:r>
      <w:r>
        <w:rPr>
          <w:rFonts w:hint="eastAsia" w:ascii="宋体" w:hAnsi="宋体" w:eastAsia="Arial" w:cs="宋体"/>
          <w:color w:val="000000"/>
          <w:sz w:val="24"/>
          <w:szCs w:val="24"/>
          <w:highlight w:val="none"/>
          <w:lang w:eastAsia="zh-CN"/>
        </w:rPr>
        <w:t xml:space="preserve">，</w:t>
      </w:r>
      <w:r>
        <w:rPr>
          <w:rFonts w:hint="eastAsia" w:ascii="宋体" w:hAnsi="宋体" w:eastAsia="Arial" w:cs="宋体"/>
          <w:color w:val="000000"/>
          <w:sz w:val="24"/>
          <w:szCs w:val="24"/>
          <w:highlight w:val="none"/>
        </w:rPr>
        <w:t xml:space="preserve">否则采购人有权终止合同。转包或分包造成采购人损失的，成交供应商应承担相应赔偿责任。</w:t>
      </w:r>
      <w:r>
        <w:rPr>
          <w:highlight w:val="none"/>
        </w:rPr>
      </w:r>
      <w:r/>
    </w:p>
    <w:p>
      <w:pPr>
        <w:pStyle w:val="714"/>
        <w:ind w:firstLine="600"/>
        <w:jc w:val="both"/>
        <w:pageBreakBefore w:val="0"/>
        <w:spacing w:line="460" w:lineRule="exact"/>
        <w:rPr>
          <w:rFonts w:ascii="宋体" w:hAnsi="宋体" w:eastAsia="Arial" w:cs="宋体"/>
          <w:color w:val="000000"/>
          <w:sz w:val="24"/>
          <w:szCs w:val="24"/>
          <w:highlight w:val="none"/>
        </w:rPr>
      </w:pPr>
      <w:r>
        <w:rPr>
          <w:rFonts w:hint="eastAsia" w:ascii="宋体" w:hAnsi="宋体" w:eastAsia="Arial" w:cs="宋体"/>
          <w:color w:val="000000"/>
          <w:sz w:val="24"/>
          <w:szCs w:val="24"/>
          <w:highlight w:val="none"/>
          <w:lang w:val="en-US" w:eastAsia="zh-CN"/>
        </w:rPr>
        <w:t xml:space="preserve">31.4本项目合同形式：</w:t>
      </w:r>
      <w:r>
        <w:rPr>
          <w:rFonts w:hint="eastAsia" w:ascii="宋体" w:hAnsi="宋体" w:eastAsia="Arial" w:cs="宋体"/>
          <w:b/>
          <w:bCs/>
          <w:color w:val="000000"/>
          <w:sz w:val="24"/>
          <w:szCs w:val="24"/>
          <w:highlight w:val="none"/>
          <w:u w:val="single"/>
          <w:lang w:val="en-US" w:eastAsia="zh-CN"/>
        </w:rPr>
        <w:t xml:space="preserve">固定总价合同</w:t>
      </w:r>
      <w:r>
        <w:rPr>
          <w:rFonts w:hint="eastAsia" w:ascii="宋体" w:hAnsi="宋体" w:eastAsia="Arial" w:cs="宋体"/>
          <w:color w:val="000000"/>
          <w:sz w:val="24"/>
          <w:szCs w:val="24"/>
          <w:highlight w:val="none"/>
          <w:lang w:val="en-US" w:eastAsia="zh-CN"/>
        </w:rPr>
        <w:t xml:space="preserve">。</w:t>
      </w:r>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标的物的追加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35" w:name="_Toc479757207"/>
      <w:r>
        <w:rPr>
          <w:highlight w:val="none"/>
        </w:rPr>
      </w:r>
      <w:bookmarkEnd w:id="135"/>
      <w:r>
        <w:rPr>
          <w:highlight w:val="none"/>
        </w:rPr>
      </w:r>
      <w:bookmarkStart w:id="136" w:name="_Toc513029242"/>
      <w:r>
        <w:rPr>
          <w:highlight w:val="none"/>
        </w:rPr>
      </w:r>
      <w:bookmarkEnd w:id="136"/>
      <w:r>
        <w:rPr>
          <w:highlight w:val="none"/>
        </w:rPr>
      </w:r>
      <w:bookmarkStart w:id="137" w:name="_Toc16938558"/>
      <w:r>
        <w:rPr>
          <w:highlight w:val="none"/>
        </w:rPr>
      </w:r>
      <w:bookmarkEnd w:id="137"/>
      <w:r>
        <w:rPr>
          <w:highlight w:val="none"/>
        </w:rPr>
      </w:r>
      <w:bookmarkStart w:id="138" w:name="_Toc20823314"/>
      <w:r>
        <w:rPr>
          <w:highlight w:val="none"/>
        </w:rPr>
      </w:r>
      <w:bookmarkEnd w:id="138"/>
      <w:r>
        <w:rPr>
          <w:highlight w:val="none"/>
        </w:rPr>
      </w:r>
      <w:bookmarkStart w:id="139" w:name="_Toc120614221"/>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政府采购履约资金扶持政策</w:t>
      </w:r>
      <w:bookmarkEnd w:id="139"/>
      <w:r>
        <w:rPr>
          <w:highlight w:val="none"/>
        </w:rPr>
      </w:r>
      <w:r/>
    </w:p>
    <w:p>
      <w:pPr>
        <w:pStyle w:val="714"/>
        <w:ind w:firstLine="555"/>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成交供应商可凭政府采购合同办理融资贷款，详情请见江苏政府采购网“政采贷”专栏。</w:t>
      </w:r>
      <w:r>
        <w:rPr>
          <w:highlight w:val="none"/>
        </w:rPr>
      </w:r>
      <w:r/>
    </w:p>
    <w:p>
      <w:pPr>
        <w:pStyle w:val="714"/>
        <w:ind w:firstLine="555"/>
        <w:jc w:val="both"/>
        <w:pageBreakBefore w:val="0"/>
        <w:spacing w:line="460" w:lineRule="exact"/>
        <w:rPr>
          <w:rFonts w:hint="eastAsia" w:ascii="宋体" w:hAnsi="宋体" w:cs="宋体"/>
          <w:color w:val="000000"/>
          <w:sz w:val="24"/>
          <w:szCs w:val="24"/>
          <w:highlight w:val="none"/>
        </w:rPr>
      </w:pPr>
      <w:r>
        <w:rPr>
          <w:rFonts w:hint="eastAsia" w:hAnsi="宋体" w:eastAsia="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w:t>
      </w:r>
      <w:r>
        <w:rPr>
          <w:rFonts w:hint="eastAsia" w:ascii="宋体" w:hAnsi="宋体" w:cs="宋体"/>
          <w:color w:val="000000"/>
          <w:sz w:val="24"/>
          <w:szCs w:val="24"/>
          <w:highlight w:val="none"/>
        </w:rPr>
        <w:t xml:space="preserve">得差别对待使用电子保函（保险）参与投标的供应商，不得以指定、授意、暗示等方式，干预供应商自主选择开具电子保函的金融机构。</w:t>
      </w:r>
      <w:r>
        <w:rPr>
          <w:highlight w:val="none"/>
        </w:rPr>
      </w:r>
      <w:r/>
    </w:p>
    <w:p>
      <w:pPr>
        <w:pStyle w:val="714"/>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34.</w:t>
      </w:r>
      <w:r>
        <w:rPr>
          <w:rFonts w:hint="eastAsia" w:ascii="宋体" w:hAnsi="宋体" w:cs="宋体"/>
          <w:b/>
          <w:bCs/>
          <w:color w:val="000000"/>
          <w:sz w:val="24"/>
          <w:szCs w:val="24"/>
          <w:highlight w:val="none"/>
        </w:rPr>
        <w:t xml:space="preserve">落实《商品包装政府采购需求标准（试行）</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快递包装政府采购需求标准（试行</w:t>
      </w:r>
      <w:r>
        <w:rPr>
          <w:rFonts w:hint="eastAsia" w:ascii="宋体" w:hAnsi="宋体" w:eastAsia="宋体" w:cs="宋体"/>
          <w:b/>
          <w:bCs/>
          <w:color w:val="000000"/>
          <w:sz w:val="24"/>
          <w:szCs w:val="24"/>
          <w:highlight w:val="none"/>
        </w:rPr>
        <w:t xml:space="preserve">）》的相关政策，商品包装和快递包装应符合文件要求。</w:t>
      </w:r>
      <w:r>
        <w:rPr>
          <w:highlight w:val="none"/>
        </w:rPr>
      </w:r>
      <w:r/>
    </w:p>
    <w:p>
      <w:pPr>
        <w:pStyle w:val="714"/>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35.</w:t>
      </w:r>
      <w:r>
        <w:rPr>
          <w:rFonts w:hint="eastAsia" w:ascii="宋体" w:hAnsi="宋体" w:eastAsia="宋体" w:cs="宋体"/>
          <w:b/>
          <w:bCs/>
          <w:color w:val="000000"/>
          <w:sz w:val="24"/>
          <w:szCs w:val="24"/>
          <w:highlight w:val="none"/>
        </w:rPr>
        <w:t xml:space="preserve">按照《绿色数据中心政府采购需求标准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试行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》（财库</w:t>
      </w:r>
      <w:r>
        <w:rPr>
          <w:rFonts w:hint="eastAsia" w:ascii="宋体" w:hAnsi="宋体" w:eastAsia="宋体" w:cs="宋体"/>
          <w:b/>
          <w:bCs/>
          <w:color w:val="000000"/>
          <w:sz w:val="24"/>
          <w:szCs w:val="24"/>
          <w:highlight w:val="none"/>
          <w:lang w:eastAsia="zh-CN"/>
        </w:rPr>
        <w:t xml:space="preserve">〔2023〕7号</w:t>
      </w:r>
      <w:r>
        <w:rPr>
          <w:rFonts w:hint="eastAsia" w:ascii="宋体" w:hAnsi="宋体" w:eastAsia="宋体" w:cs="宋体"/>
          <w:b/>
          <w:bCs/>
          <w:color w:val="000000"/>
          <w:sz w:val="24"/>
          <w:szCs w:val="24"/>
          <w:highlight w:val="none"/>
        </w:rPr>
        <w:t xml:space="preserve">）文件要求执行。</w:t>
      </w:r>
      <w:r>
        <w:rPr>
          <w:highlight w:val="none"/>
        </w:rPr>
      </w:r>
      <w:r/>
    </w:p>
    <w:p>
      <w:pPr>
        <w:pStyle w:val="714"/>
        <w:numPr>
          <w:ilvl w:val="0"/>
          <w:numId w:val="0"/>
        </w:numPr>
        <w:ind w:firstLine="482"/>
        <w:jc w:val="both"/>
        <w:pageBreakBefore w:val="0"/>
        <w:spacing w:line="46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36.按照《国务院办公厅关于在政府采购中实施本国产品标准及相关政策的通知》（国办发〔2025〕34号）和《关于贯彻落实&lt;国务院办公厅关于在政府采购中实施本国产品标准及相关政策的通知&gt;的意见》（财库〔2025〕30号）文件要求执行。</w:t>
      </w:r>
      <w:r>
        <w:rPr>
          <w:highlight w:val="none"/>
        </w:rPr>
      </w:r>
      <w:r/>
    </w:p>
    <w:p>
      <w:pPr>
        <w:pStyle w:val="726"/>
        <w:jc w:val="both"/>
        <w:spacing w:line="360" w:lineRule="auto"/>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rPr>
          <w:highlight w:val="none"/>
        </w:rPr>
      </w:r>
      <w:r/>
    </w:p>
    <w:p>
      <w:pPr>
        <w:pStyle w:val="714"/>
        <w:jc w:val="center"/>
        <w:keepNext/>
        <w:spacing w:line="360" w:lineRule="auto"/>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t xml:space="preserve">第三章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合同文本</w:t>
      </w:r>
      <w:bookmarkStart w:id="140" w:name="_Toc16938559"/>
      <w:r>
        <w:rPr>
          <w:highlight w:val="none"/>
        </w:rPr>
      </w:r>
      <w:bookmarkEnd w:id="140"/>
      <w:r>
        <w:rPr>
          <w:highlight w:val="none"/>
        </w:rPr>
      </w:r>
      <w:bookmarkStart w:id="141" w:name="_Toc513029243"/>
      <w:r>
        <w:rPr>
          <w:highlight w:val="none"/>
        </w:rPr>
      </w:r>
      <w:bookmarkEnd w:id="141"/>
      <w:r>
        <w:rPr>
          <w:highlight w:val="none"/>
        </w:rPr>
      </w:r>
      <w:bookmarkStart w:id="142" w:name="_Toc20823315"/>
      <w:r>
        <w:rPr>
          <w:highlight w:val="none"/>
        </w:rPr>
      </w:r>
      <w:r/>
    </w:p>
    <w:p>
      <w:pPr>
        <w:pStyle w:val="714"/>
        <w:jc w:val="center"/>
        <w:keepNex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以下为成交后签订本项目合同的通用条款，成交供应商不得提出实质性的修改。</w:t>
      </w:r>
      <w:bookmarkEnd w:id="142"/>
      <w:r>
        <w:rPr>
          <w:highlight w:val="none"/>
        </w:rPr>
      </w:r>
      <w:r/>
    </w:p>
    <w:p>
      <w:pPr>
        <w:pStyle w:val="714"/>
        <w:jc w:val="center"/>
        <w:spacing w:before="145" w:after="145"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keepLines w:val="0"/>
        <w:keepNext w:val="0"/>
        <w:pageBreakBefore w:val="0"/>
        <w:spacing w:before="145" w:after="145" w:line="460" w:lineRule="exact"/>
        <w:widowControl w:val="off"/>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政府采购合同</w:t>
      </w:r>
      <w:r>
        <w:rPr>
          <w:highlight w:val="none"/>
        </w:rPr>
      </w:r>
      <w:r/>
    </w:p>
    <w:p>
      <w:pPr>
        <w:pStyle w:val="714"/>
        <w:jc w:val="center"/>
        <w:keepLines w:val="0"/>
        <w:keepNext w:val="0"/>
        <w:pageBreakBefore w:val="0"/>
        <w:spacing w:before="145" w:after="145" w:line="460" w:lineRule="exact"/>
        <w:widowControl w:val="off"/>
        <w:rPr>
          <w:rFonts w:ascii="宋体" w:hAnsi="宋体" w:cs="宋体"/>
          <w:color w:val="000000"/>
          <w:sz w:val="24"/>
          <w:szCs w:val="24"/>
          <w:highlight w:val="none"/>
        </w:rPr>
      </w:pPr>
      <w:r>
        <w:rPr>
          <w:rFonts w:hint="eastAsia" w:ascii="宋体" w:hAnsi="宋体" w:cs="宋体"/>
          <w:b/>
          <w:bCs/>
          <w:color w:val="000000"/>
          <w:sz w:val="30"/>
          <w:szCs w:val="30"/>
          <w:highlight w:val="none"/>
        </w:rPr>
        <w:t xml:space="preserve">（合同编号</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甲方：（买方）_________</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乙方：（卖方）_________</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u w:val="single"/>
          <w:lang w:eastAsia="zh-CN"/>
        </w:rPr>
        <w:t xml:space="preserve">厨房设备采购项目</w:t>
      </w:r>
      <w:r>
        <w:rPr>
          <w:rFonts w:hint="eastAsia" w:ascii="宋体" w:hAnsi="宋体" w:cs="宋体"/>
          <w:color w:val="000000"/>
          <w:sz w:val="24"/>
          <w:szCs w:val="24"/>
          <w:highlight w:val="none"/>
        </w:rPr>
        <w:t xml:space="preserve">询价的结果，签署本合同。</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一、合同内容</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 标的名称：</w:t>
      </w:r>
      <w:r>
        <w:rPr>
          <w:rFonts w:hint="eastAsia"/>
          <w:color w:val="000000"/>
          <w:sz w:val="24"/>
          <w:szCs w:val="24"/>
          <w:highlight w:val="none"/>
          <w:lang w:eastAsia="zh-CN"/>
        </w:rPr>
        <w:t xml:space="preserve">厨房设备采购项目</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1.2标的质量：乙方应保证货物是全新、未使用过的原装合格正品，并完全符合采购文件规定的质量、规格和性能的要求，供货时提供出厂检验合格证和相关检测报告等资料。</w:t>
      </w:r>
      <w:r>
        <w:rPr>
          <w:highlight w:val="none"/>
        </w:rPr>
      </w:r>
      <w:r/>
    </w:p>
    <w:p>
      <w:pPr>
        <w:pStyle w:val="714"/>
        <w:jc w:val="both"/>
        <w:keepLines w:val="0"/>
        <w:keepNext w:val="0"/>
        <w:pageBreakBefore w:val="0"/>
        <w:spacing w:before="120" w:after="120" w:line="460" w:lineRule="exact"/>
        <w:widowControl w:val="off"/>
        <w:rPr>
          <w:rFonts w:ascii="宋体" w:hAnsi="宋体" w:eastAsia="Arial" w:cs="宋体"/>
          <w:color w:val="000000"/>
          <w:sz w:val="24"/>
          <w:szCs w:val="24"/>
          <w:highlight w:val="none"/>
        </w:rPr>
      </w:pPr>
      <w:r>
        <w:rPr>
          <w:rFonts w:hint="eastAsia" w:ascii="宋体" w:hAnsi="宋体" w:cs="宋体"/>
          <w:color w:val="000000"/>
          <w:sz w:val="24"/>
          <w:szCs w:val="24"/>
          <w:highlight w:val="none"/>
        </w:rPr>
        <w:t xml:space="preserve">1.3 标的数量（规模）：</w:t>
      </w:r>
      <w:r>
        <w:rPr>
          <w:rFonts w:hint="eastAsia" w:ascii="宋体" w:hAnsi="宋体" w:eastAsia="宋体" w:cs="宋体"/>
          <w:color w:val="000000"/>
          <w:sz w:val="24"/>
          <w:szCs w:val="24"/>
          <w:highlight w:val="none"/>
          <w:u w:val="single"/>
          <w:lang w:val="en-US" w:eastAsia="zh-CN"/>
        </w:rPr>
        <w:t xml:space="preserve"> （提供详细货物清单及成交单价）    </w:t>
      </w:r>
      <w:r>
        <w:rPr>
          <w:rFonts w:hint="eastAsia" w:ascii="宋体" w:hAnsi="宋体" w:cs="宋体"/>
          <w:color w:val="000000"/>
          <w:sz w:val="24"/>
          <w:szCs w:val="24"/>
          <w:highlight w:val="none"/>
          <w:lang w:val="en-US" w:eastAsia="zh-CN"/>
        </w:rPr>
        <w:t xml:space="preserve"> </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eastAsia="zh-CN"/>
        </w:rPr>
        <w:t xml:space="preserve">合同签订之后，30日内完成供货及安</w:t>
      </w:r>
      <w:r>
        <w:rPr>
          <w:rFonts w:hint="eastAsia" w:ascii="宋体" w:hAnsi="宋体" w:eastAsia="宋体" w:cs="宋体"/>
          <w:color w:val="000000"/>
          <w:sz w:val="24"/>
          <w:szCs w:val="24"/>
          <w:highlight w:val="none"/>
          <w:lang w:val="en-US" w:eastAsia="zh-CN"/>
        </w:rPr>
        <w:t xml:space="preserve">装</w:t>
      </w:r>
      <w:r>
        <w:rPr>
          <w:rFonts w:hint="eastAsia" w:ascii="宋体" w:hAnsi="宋体" w:eastAsia="宋体" w:cs="宋体"/>
          <w:color w:val="000000"/>
          <w:sz w:val="24"/>
          <w:szCs w:val="24"/>
          <w:highlight w:val="none"/>
          <w:lang w:val="en-US" w:eastAsia="zh-CN"/>
        </w:rPr>
        <w:t xml:space="preserve">（双开门消毒柜的供货安装期可延迟至2026年9月10日前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履行地点：</w:t>
      </w:r>
      <w:r>
        <w:rPr>
          <w:rFonts w:hint="eastAsia" w:ascii="宋体" w:hAnsi="宋体" w:cs="宋体"/>
          <w:color w:val="000000"/>
          <w:sz w:val="24"/>
          <w:szCs w:val="24"/>
          <w:highlight w:val="none"/>
          <w:lang w:eastAsia="zh-CN"/>
        </w:rPr>
        <w:t xml:space="preserve">泰州技师学院</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1.6 履行方</w:t>
      </w:r>
      <w:r>
        <w:rPr>
          <w:rFonts w:hint="eastAsia" w:ascii="宋体" w:hAnsi="宋体" w:cs="宋体"/>
          <w:color w:val="000000"/>
          <w:sz w:val="24"/>
          <w:szCs w:val="24"/>
          <w:highlight w:val="none"/>
          <w:lang w:eastAsia="zh-CN"/>
        </w:rPr>
        <w:t xml:space="preserve">式：</w:t>
      </w:r>
      <w:r>
        <w:rPr>
          <w:rFonts w:hint="eastAsia" w:ascii="宋体" w:hAnsi="宋体" w:cs="宋体"/>
          <w:color w:val="000000"/>
          <w:sz w:val="24"/>
          <w:szCs w:val="24"/>
          <w:highlight w:val="none"/>
          <w:lang w:val="en-US" w:eastAsia="zh-CN"/>
        </w:rPr>
        <w:t xml:space="preserve">现场施工及安装</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包装方式：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二、合同金额</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 本合同金额为（大写）：_______________</w:t>
      </w:r>
      <w:r>
        <w:rPr>
          <w:rFonts w:hint="eastAsia" w:ascii="宋体" w:hAnsi="宋体" w:eastAsia="宋体" w:cs="宋体"/>
          <w:color w:val="000000"/>
          <w:sz w:val="24"/>
          <w:szCs w:val="24"/>
          <w:highlight w:val="none"/>
          <w:lang w:eastAsia="zh-CN"/>
        </w:rPr>
        <w:t xml:space="preserve">元</w:t>
      </w:r>
      <w:r>
        <w:rPr>
          <w:rFonts w:hint="eastAsia" w:ascii="宋体" w:hAnsi="宋体" w:cs="宋体"/>
          <w:color w:val="000000"/>
          <w:sz w:val="24"/>
          <w:szCs w:val="24"/>
          <w:highlight w:val="none"/>
        </w:rPr>
        <w:t xml:space="preserve">（___________元）人民币。</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三、技术资料</w:t>
      </w:r>
      <w:r>
        <w:rPr>
          <w:highlight w:val="none"/>
        </w:rPr>
      </w:r>
      <w:r/>
    </w:p>
    <w:p>
      <w:pPr>
        <w:pStyle w:val="714"/>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3.1乙方应按询价文件规定的时间向甲方提供与合同标的有关的技术资料。</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714"/>
        <w:ind w:left="412" w:hanging="412"/>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四、知识产权</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五、产权担保</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5.1 乙方保证所交付的合同标的的所有权完全属于乙方且无任何抵押、查封等产权瑕疵。</w:t>
      </w:r>
      <w:r>
        <w:rPr>
          <w:highlight w:val="none"/>
        </w:rPr>
      </w:r>
      <w:r/>
    </w:p>
    <w:p>
      <w:pPr>
        <w:pStyle w:val="714"/>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六、履约保证金</w:t>
      </w:r>
      <w:r>
        <w:rPr>
          <w:highlight w:val="none"/>
        </w:rPr>
      </w:r>
      <w:r/>
    </w:p>
    <w:p>
      <w:pPr>
        <w:pStyle w:val="714"/>
        <w:jc w:val="both"/>
        <w:keepLines w:val="0"/>
        <w:keepNext w:val="0"/>
        <w:pageBreakBefore w:val="0"/>
        <w:spacing w:before="120" w:after="120" w:line="460" w:lineRule="exact"/>
        <w:widowControl w:val="off"/>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6.1 乙方缴纳人民币____元（</w:t>
      </w:r>
      <w:r>
        <w:rPr>
          <w:rFonts w:hint="eastAsia" w:ascii="宋体" w:hAnsi="宋体" w:cs="宋体"/>
          <w:b/>
          <w:bCs/>
          <w:color w:val="000000"/>
          <w:sz w:val="24"/>
          <w:szCs w:val="24"/>
          <w:highlight w:val="none"/>
        </w:rPr>
        <w:t xml:space="preserve">合同金额的10%</w:t>
      </w:r>
      <w:r>
        <w:rPr>
          <w:rFonts w:hint="eastAsia" w:ascii="宋体" w:hAnsi="宋体" w:cs="宋体"/>
          <w:color w:val="000000"/>
          <w:sz w:val="24"/>
          <w:szCs w:val="24"/>
          <w:highlight w:val="none"/>
        </w:rPr>
        <w:t xml:space="preserve">）作为本合同的履约保证金。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cs="宋体"/>
          <w:color w:val="000000"/>
          <w:sz w:val="24"/>
          <w:szCs w:val="24"/>
          <w:highlight w:val="none"/>
          <w:lang w:eastAsia="zh-CN"/>
        </w:rPr>
        <w:t xml:space="preserve">）</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6.2项目验收合格并获得合格证后退还。</w:t>
      </w:r>
      <w:r>
        <w:rPr>
          <w:highlight w:val="none"/>
        </w:rPr>
      </w:r>
      <w:r/>
    </w:p>
    <w:p>
      <w:pPr>
        <w:pStyle w:val="714"/>
        <w:jc w:val="both"/>
        <w:spacing w:before="120" w:after="120"/>
        <w:tabs>
          <w:tab w:val="left" w:pos="39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6.2.1履约保证金退还方式：</w:t>
      </w:r>
      <w:r>
        <w:rPr>
          <w:rFonts w:hint="eastAsia" w:ascii="宋体" w:hAnsi="宋体" w:eastAsia="宋体" w:cs="宋体"/>
          <w:color w:val="000000"/>
          <w:sz w:val="24"/>
          <w:highlight w:val="none"/>
          <w:lang w:val="en-US" w:eastAsia="zh-CN"/>
        </w:rPr>
        <w:t xml:space="preserve">/</w:t>
      </w:r>
      <w:r>
        <w:rPr>
          <w:highlight w:val="none"/>
        </w:rPr>
      </w:r>
      <w:r/>
    </w:p>
    <w:p>
      <w:pPr>
        <w:pStyle w:val="714"/>
        <w:jc w:val="both"/>
        <w:spacing w:before="120" w:after="120"/>
        <w:tabs>
          <w:tab w:val="left" w:pos="39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6.2.2履约保证金退还时间：</w:t>
      </w:r>
      <w:r>
        <w:rPr>
          <w:rFonts w:hint="eastAsia" w:ascii="宋体" w:hAnsi="宋体" w:eastAsia="宋体" w:cs="宋体"/>
          <w:color w:val="000000"/>
          <w:sz w:val="24"/>
          <w:highlight w:val="none"/>
          <w:lang w:val="en-US" w:eastAsia="zh-CN"/>
        </w:rPr>
        <w:t xml:space="preserve">合同期满</w:t>
      </w:r>
      <w:r>
        <w:rPr>
          <w:highlight w:val="none"/>
        </w:rPr>
      </w:r>
      <w:r/>
    </w:p>
    <w:p>
      <w:pPr>
        <w:pStyle w:val="714"/>
        <w:jc w:val="both"/>
        <w:spacing w:before="120" w:after="120"/>
        <w:tabs>
          <w:tab w:val="left" w:pos="39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6.2.3履约保证金退还条件：</w:t>
      </w:r>
      <w:r>
        <w:rPr>
          <w:rFonts w:hint="eastAsia" w:ascii="宋体" w:hAnsi="宋体" w:eastAsia="宋体" w:cs="宋体"/>
          <w:color w:val="000000"/>
          <w:sz w:val="24"/>
          <w:highlight w:val="none"/>
          <w:lang w:val="en-US" w:eastAsia="zh-CN"/>
        </w:rPr>
        <w:t xml:space="preserve">按采购需求完成所有服务内容且无任何违约情形。</w:t>
      </w:r>
      <w:r>
        <w:rPr>
          <w:highlight w:val="none"/>
        </w:rPr>
      </w:r>
      <w:r/>
    </w:p>
    <w:p>
      <w:pPr>
        <w:pStyle w:val="714"/>
        <w:jc w:val="both"/>
        <w:spacing w:before="120" w:after="120"/>
        <w:tabs>
          <w:tab w:val="left" w:pos="39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6.2.4履约保证金不退还的情形：</w:t>
      </w:r>
      <w:r>
        <w:rPr>
          <w:rFonts w:hint="eastAsia" w:ascii="宋体" w:hAnsi="宋体" w:eastAsia="宋体" w:cs="宋体"/>
          <w:color w:val="000000"/>
          <w:sz w:val="24"/>
          <w:highlight w:val="none"/>
          <w:lang w:val="en-US" w:eastAsia="zh-CN"/>
        </w:rPr>
        <w:t xml:space="preserve">未按要求完成采购文件及甲方要求的工作，或存在严重违约情形的。</w:t>
      </w:r>
      <w:r>
        <w:rPr>
          <w:highlight w:val="none"/>
        </w:rPr>
      </w:r>
      <w:r/>
    </w:p>
    <w:p>
      <w:pPr>
        <w:pStyle w:val="714"/>
        <w:jc w:val="both"/>
        <w:keepLines w:val="0"/>
        <w:keepNext w:val="0"/>
        <w:pageBreakBefore w:val="0"/>
        <w:spacing w:before="120" w:after="120" w:line="420" w:lineRule="exact"/>
        <w:widowControl w:val="off"/>
        <w:tabs>
          <w:tab w:val="left" w:pos="39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七、合同转包或分包</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7.2乙方不得将合同标的分包给他人履行。</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或7.2 乙方应当按照响应文件中提供的分包意向协议履行合同。</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7.3乙方如有转包或未经甲方同意的分包行为，甲方有权解除合同。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八、合同款项支付</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8.1合同款项的支付方式及进度安排</w:t>
      </w:r>
      <w:r>
        <w:rPr>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1.本合同项下所有款项均以人民币支付。</w:t>
      </w:r>
      <w:r>
        <w:rPr>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2.本合同项下的采购资金由甲方自行支付，乙方向甲方开具发票。</w:t>
      </w:r>
      <w:r>
        <w:rPr>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3.付款条件：</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合同签订后，预付合同总价款的30%，验收合格后付清余款。</w:t>
      </w:r>
      <w:r>
        <w:rPr>
          <w:highlight w:val="none"/>
        </w:rPr>
      </w:r>
      <w:r/>
    </w:p>
    <w:p>
      <w:pPr>
        <w:pStyle w:val="714"/>
        <w:jc w:val="both"/>
        <w:keepLines w:val="0"/>
        <w:keepNext w:val="0"/>
        <w:pageBreakBefore w:val="0"/>
        <w:spacing w:before="120" w:after="120" w:line="420" w:lineRule="exact"/>
        <w:widowControl w:val="off"/>
        <w:rPr>
          <w:rFonts w:hint="eastAsia" w:eastAsia="Arial"/>
          <w:color w:val="000000"/>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向采购人提供上述合同款项等额的正式合法发票后，采购人支付每笔款项（以支票形式支付或汇入</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指定账户）</w:t>
      </w:r>
      <w:r>
        <w:rPr>
          <w:rFonts w:hint="eastAsia" w:ascii="宋体" w:hAnsi="宋体" w:cs="宋体"/>
          <w:color w:val="000000"/>
          <w:sz w:val="24"/>
          <w:szCs w:val="24"/>
          <w:highlight w:val="none"/>
          <w:lang w:eastAsia="zh-CN"/>
        </w:rPr>
        <w:t xml:space="preserve">。</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4.如果因发票引起相应的法律责任全部由乙方承担，甲方有权单方终止合同。甲方以支票支付或汇款至乙方指定</w:t>
      </w:r>
      <w:r>
        <w:rPr>
          <w:rFonts w:hint="eastAsia" w:ascii="宋体" w:hAnsi="宋体" w:cs="宋体"/>
          <w:color w:val="000000"/>
          <w:sz w:val="24"/>
          <w:szCs w:val="24"/>
          <w:highlight w:val="none"/>
          <w:lang w:eastAsia="zh-CN"/>
        </w:rPr>
        <w:t xml:space="preserve">的银行账户</w:t>
      </w:r>
      <w:r>
        <w:rPr>
          <w:rFonts w:ascii="宋体" w:hAnsi="宋体" w:cs="宋体"/>
          <w:color w:val="000000"/>
          <w:sz w:val="24"/>
          <w:szCs w:val="24"/>
          <w:highlight w:val="none"/>
        </w:rPr>
        <w:t xml:space="preserve">。</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九、税费</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9.1本合同执行中相关的一切税费均由乙方负担。</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十、项目验收</w:t>
      </w:r>
      <w:r>
        <w:rPr>
          <w:highlight w:val="none"/>
        </w:rPr>
      </w:r>
      <w:r/>
    </w:p>
    <w:p>
      <w:pPr>
        <w:pStyle w:val="714"/>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 甲方依法组织履约验收工作。</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10.3 对于实际使用人和甲方分离的项目，甲方邀请实际使用人参与验收。</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10.4 如有必要，甲方邀请参加本项目的其他供应商或第三方专业机构及专家参与验收，相关意见将作为验收书的参考资料。</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10.5 甲方成立验收小组，按照采购合同的约定对乙方的履约情况进行验收。验收时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甲方按照采购合同的约定对每一项技术、服务、安全标准的履约情况进行确认。验收结束后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验收小组出具验收书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列明各项标准的验收情况及项目总体评价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由验收双方共同签署。验收结果与采购合同约定的资金支付及履约保证金返还条件挂钩。履约验收的各项资料存档备查。</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10.6 验收合格的项目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000000"/>
          <w:sz w:val="24"/>
          <w:szCs w:val="24"/>
          <w:highlight w:val="none"/>
          <w:lang w:eastAsia="zh-CN"/>
        </w:rPr>
        <w:t xml:space="preserve">中华人民共和国民法典</w:t>
      </w:r>
      <w:r>
        <w:rPr>
          <w:rFonts w:hint="eastAsia" w:ascii="宋体" w:hAnsi="宋体" w:cs="宋体"/>
          <w:color w:val="000000"/>
          <w:sz w:val="24"/>
          <w:szCs w:val="24"/>
          <w:highlight w:val="none"/>
        </w:rPr>
        <w:t xml:space="preserve">》。乙方在履约过程中有政府采购法律法规规定的违法违规情形的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甲方将及时报告本级财政部门。</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十一、货物的包装、发运及运输</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快递包装政府采购需求标准（试行）》的规定。</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使用说明书、质量检验证明书、随配附件和工具以及清单一并附于货物内。</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乙方在货物发运手续办理完毕后24小时内或货到甲方48小时前通知甲方，以准备接货。</w:t>
      </w:r>
      <w:r>
        <w:rPr>
          <w:highlight w:val="none"/>
        </w:rPr>
      </w:r>
      <w:r/>
    </w:p>
    <w:p>
      <w:pPr>
        <w:pStyle w:val="714"/>
        <w:ind w:left="480" w:hanging="480"/>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货物在交付甲方前发生的风险均由乙方负责。</w:t>
      </w:r>
      <w:r>
        <w:rPr>
          <w:highlight w:val="none"/>
        </w:rPr>
      </w:r>
      <w:r/>
    </w:p>
    <w:p>
      <w:pPr>
        <w:pStyle w:val="714"/>
        <w:ind w:right="26"/>
        <w:jc w:val="left"/>
        <w:keepLines w:val="0"/>
        <w:keepNext w:val="0"/>
        <w:pageBreakBefore w:val="0"/>
        <w:spacing w:before="156" w:after="156"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11.5 货物在规定的交付期限内由乙方送达甲方指定的地点视为交付，乙方同时需通知甲方货物已送达。</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、违约责任</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甲方无正当理由拒绝接受乙方提供的合同标的的，甲方向乙方</w:t>
      </w:r>
      <w:r>
        <w:rPr>
          <w:rFonts w:hint="eastAsia" w:ascii="宋体" w:hAnsi="宋体" w:eastAsia="宋体" w:cs="宋体"/>
          <w:color w:val="000000"/>
          <w:sz w:val="24"/>
          <w:szCs w:val="24"/>
          <w:highlight w:val="none"/>
          <w:lang w:eastAsia="zh-CN"/>
        </w:rPr>
        <w:t xml:space="preserve">偿付</w:t>
      </w:r>
      <w:r>
        <w:rPr>
          <w:rFonts w:hint="eastAsia" w:ascii="宋体" w:hAnsi="宋体" w:cs="宋体"/>
          <w:color w:val="000000"/>
          <w:sz w:val="24"/>
          <w:szCs w:val="24"/>
          <w:highlight w:val="none"/>
        </w:rPr>
        <w:t xml:space="preserve">合同价款总值</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甲方无故逾期验收和办理合同款项支付</w:t>
      </w:r>
      <w:r>
        <w:rPr>
          <w:rFonts w:hint="eastAsia" w:ascii="宋体" w:hAnsi="宋体" w:eastAsia="宋体" w:cs="宋体"/>
          <w:color w:val="000000"/>
          <w:sz w:val="24"/>
          <w:szCs w:val="24"/>
          <w:highlight w:val="none"/>
          <w:lang w:eastAsia="zh-CN"/>
        </w:rPr>
        <w:t xml:space="preserve">手续，</w:t>
      </w:r>
      <w:r>
        <w:rPr>
          <w:rFonts w:hint="eastAsia" w:ascii="宋体" w:hAnsi="宋体" w:cs="宋体"/>
          <w:color w:val="000000"/>
          <w:sz w:val="24"/>
          <w:szCs w:val="24"/>
          <w:highlight w:val="none"/>
        </w:rPr>
        <w:t xml:space="preserve">应按逾期付款总额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每日向乙方支付违约金。</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乙方逾期交付合同</w:t>
      </w:r>
      <w:r>
        <w:rPr>
          <w:rFonts w:hint="eastAsia" w:ascii="宋体" w:hAnsi="宋体" w:eastAsia="宋体" w:cs="宋体"/>
          <w:color w:val="000000"/>
          <w:sz w:val="24"/>
          <w:szCs w:val="24"/>
          <w:highlight w:val="none"/>
          <w:lang w:eastAsia="zh-CN"/>
        </w:rPr>
        <w:t xml:space="preserve">标的，</w:t>
      </w:r>
      <w:r>
        <w:rPr>
          <w:rFonts w:hint="eastAsia" w:ascii="宋体" w:hAnsi="宋体" w:cs="宋体"/>
          <w:color w:val="000000"/>
          <w:sz w:val="24"/>
          <w:szCs w:val="24"/>
          <w:highlight w:val="none"/>
        </w:rPr>
        <w:t xml:space="preserve">应按逾期交付合同总额每日千分之六向甲方支付违约金，由甲方从待付合同款项中扣除。逾期超过约定日期10个工作日不能交付合同标的的，甲方可解除本合同。乙方因逾期交付合同标的或因其他违约行为导致甲方</w:t>
      </w:r>
      <w:r>
        <w:rPr>
          <w:rFonts w:hint="eastAsia" w:ascii="宋体" w:hAnsi="宋体" w:eastAsia="宋体" w:cs="宋体"/>
          <w:color w:val="000000"/>
          <w:sz w:val="24"/>
          <w:szCs w:val="24"/>
          <w:highlight w:val="none"/>
          <w:lang w:eastAsia="zh-CN"/>
        </w:rPr>
        <w:t xml:space="preserve">解除合同，</w:t>
      </w:r>
      <w:r>
        <w:rPr>
          <w:rFonts w:hint="eastAsia" w:ascii="宋体" w:hAnsi="宋体" w:cs="宋体"/>
          <w:color w:val="000000"/>
          <w:sz w:val="24"/>
          <w:szCs w:val="24"/>
          <w:highlight w:val="none"/>
        </w:rPr>
        <w:t xml:space="preserve">应向甲方支付合同价款总额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的违约金，如造成甲方损失超过</w:t>
      </w:r>
      <w:r>
        <w:rPr>
          <w:rFonts w:hint="eastAsia" w:ascii="宋体" w:hAnsi="宋体" w:eastAsia="宋体" w:cs="宋体"/>
          <w:color w:val="000000"/>
          <w:sz w:val="24"/>
          <w:szCs w:val="24"/>
          <w:highlight w:val="none"/>
          <w:lang w:eastAsia="zh-CN"/>
        </w:rPr>
        <w:t xml:space="preserve">违约金</w:t>
      </w:r>
      <w:r>
        <w:rPr>
          <w:rFonts w:hint="eastAsia" w:ascii="宋体" w:hAnsi="宋体" w:cs="宋体"/>
          <w:color w:val="000000"/>
          <w:sz w:val="24"/>
          <w:szCs w:val="24"/>
          <w:highlight w:val="none"/>
        </w:rPr>
        <w:t xml:space="preserve">，超出部分由乙方继续承担赔偿责任。 </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乙方交付合同标的的标准不符合合同规定及询价文件规定标准的，甲方有权拒绝接受合同标的，并可单方面解除合同。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、不可抗力事件处理</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 在合同有效期内，任何一方因不可抗力事件导致不能履行合同</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合同履行期可延长，其延长期与不可抗力影响 期相同。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 不可抗力事件发生后，</w:t>
      </w:r>
      <w:r>
        <w:rPr>
          <w:rFonts w:hint="eastAsia" w:ascii="宋体" w:hAnsi="宋体" w:eastAsia="宋体" w:cs="宋体"/>
          <w:color w:val="000000"/>
          <w:sz w:val="24"/>
          <w:szCs w:val="24"/>
          <w:highlight w:val="none"/>
          <w:lang w:eastAsia="zh-CN"/>
        </w:rPr>
        <w:t xml:space="preserve">发生事件的一方应立即</w:t>
      </w:r>
      <w:r>
        <w:rPr>
          <w:rFonts w:hint="eastAsia" w:ascii="宋体" w:hAnsi="宋体" w:cs="宋体"/>
          <w:color w:val="000000"/>
          <w:sz w:val="24"/>
          <w:szCs w:val="24"/>
          <w:highlight w:val="none"/>
        </w:rPr>
        <w:t xml:space="preserve">通知对方，并寄送有关权威机构出具的证明。</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12.3 不可抗力事件延续120天以上，双方应通过友好协商，确定是否继续履行合同。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、解决争议的方法</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 双方</w:t>
      </w:r>
      <w:r>
        <w:rPr>
          <w:rFonts w:hint="eastAsia" w:ascii="宋体" w:hAnsi="宋体" w:cs="宋体"/>
          <w:color w:val="000000"/>
          <w:sz w:val="24"/>
          <w:szCs w:val="24"/>
          <w:highlight w:val="none"/>
        </w:rPr>
        <w:t xml:space="preserve">在签订、履行合同</w:t>
      </w:r>
      <w:r>
        <w:rPr>
          <w:rFonts w:hint="eastAsia" w:ascii="宋体" w:hAnsi="宋体" w:eastAsia="宋体" w:cs="宋体"/>
          <w:color w:val="000000"/>
          <w:sz w:val="24"/>
          <w:szCs w:val="24"/>
          <w:highlight w:val="none"/>
          <w:lang w:eastAsia="zh-CN"/>
        </w:rPr>
        <w:t xml:space="preserve">过程中</w:t>
      </w:r>
      <w:r>
        <w:rPr>
          <w:rFonts w:hint="eastAsia" w:ascii="宋体" w:hAnsi="宋体" w:cs="宋体"/>
          <w:color w:val="000000"/>
          <w:sz w:val="24"/>
          <w:szCs w:val="24"/>
          <w:highlight w:val="none"/>
        </w:rPr>
        <w:t xml:space="preserve">发生的一切争议，应通过友好协商解决。如协商不成，由甲方住所地人民法院管辖。</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、合同生效及其它</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 合同经双方法定代表人或授权委托代表人签字并加盖单位公章后生效。</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w:t>
      </w:r>
      <w:r>
        <w:rPr>
          <w:rFonts w:hint="eastAsia" w:ascii="宋体" w:hAnsi="宋体" w:eastAsia="宋体" w:cs="宋体"/>
          <w:color w:val="000000"/>
          <w:sz w:val="24"/>
          <w:szCs w:val="24"/>
          <w:highlight w:val="none"/>
          <w:lang w:eastAsia="zh-CN"/>
        </w:rPr>
        <w:t xml:space="preserve"> 本合同</w:t>
      </w:r>
      <w:r>
        <w:rPr>
          <w:rFonts w:hint="eastAsia" w:ascii="宋体" w:hAnsi="宋体" w:cs="宋体"/>
          <w:color w:val="000000"/>
          <w:sz w:val="24"/>
          <w:szCs w:val="24"/>
          <w:highlight w:val="none"/>
        </w:rPr>
        <w:t xml:space="preserve">未尽事宜，遵照《</w:t>
      </w:r>
      <w:r>
        <w:rPr>
          <w:rFonts w:hint="eastAsia" w:ascii="宋体" w:hAnsi="宋体" w:cs="宋体"/>
          <w:color w:val="000000"/>
          <w:sz w:val="24"/>
          <w:szCs w:val="24"/>
          <w:highlight w:val="none"/>
          <w:lang w:eastAsia="zh-CN"/>
        </w:rPr>
        <w:t xml:space="preserve">中华人民共和国民法典》《中华人民共和国政府采购法》等</w:t>
      </w:r>
      <w:r>
        <w:rPr>
          <w:rFonts w:hint="eastAsia" w:ascii="宋体" w:hAnsi="宋体" w:cs="宋体"/>
          <w:color w:val="000000"/>
          <w:sz w:val="24"/>
          <w:szCs w:val="24"/>
          <w:highlight w:val="none"/>
        </w:rPr>
        <w:t xml:space="preserve">有关</w:t>
      </w:r>
      <w:r>
        <w:rPr>
          <w:rFonts w:hint="eastAsia" w:ascii="宋体" w:hAnsi="宋体" w:eastAsia="宋体" w:cs="宋体"/>
          <w:color w:val="000000"/>
          <w:sz w:val="24"/>
          <w:szCs w:val="24"/>
          <w:highlight w:val="none"/>
          <w:lang w:eastAsia="zh-CN"/>
        </w:rPr>
        <w:t xml:space="preserve">法律条文</w:t>
      </w:r>
      <w:r>
        <w:rPr>
          <w:rFonts w:hint="eastAsia" w:ascii="宋体" w:hAnsi="宋体" w:cs="宋体"/>
          <w:color w:val="000000"/>
          <w:sz w:val="24"/>
          <w:szCs w:val="24"/>
          <w:highlight w:val="none"/>
        </w:rPr>
        <w:t xml:space="preserve">执行。</w:t>
      </w:r>
      <w:r>
        <w:rPr>
          <w:highlight w:val="none"/>
        </w:rPr>
      </w:r>
      <w:r/>
    </w:p>
    <w:p>
      <w:pPr>
        <w:pStyle w:val="714"/>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 本合同正本一式</w:t>
      </w:r>
      <w:r>
        <w:rPr>
          <w:rFonts w:hint="eastAsia" w:ascii="宋体" w:hAnsi="宋体" w:eastAsia="宋体" w:cs="宋体"/>
          <w:color w:val="000000"/>
          <w:sz w:val="24"/>
          <w:szCs w:val="24"/>
          <w:highlight w:val="none"/>
          <w:lang w:eastAsia="zh-CN"/>
        </w:rPr>
        <w:t xml:space="preserve">四份</w:t>
      </w:r>
      <w:r>
        <w:rPr>
          <w:rFonts w:hint="eastAsia" w:ascii="宋体" w:hAnsi="宋体" w:cs="宋体"/>
          <w:color w:val="000000"/>
          <w:sz w:val="24"/>
          <w:szCs w:val="24"/>
          <w:highlight w:val="none"/>
        </w:rPr>
        <w:t xml:space="preserve">，具有同等法律效力，甲方、乙方各执一份。</w:t>
      </w:r>
      <w:r>
        <w:rPr>
          <w:highlight w:val="none"/>
        </w:rPr>
      </w:r>
      <w:r/>
    </w:p>
    <w:p>
      <w:pPr>
        <w:pStyle w:val="714"/>
        <w:ind w:left="480" w:hanging="480"/>
        <w:jc w:val="both"/>
        <w:keepLines w:val="0"/>
        <w:keepNext w:val="0"/>
        <w:pageBreakBefore w:val="0"/>
        <w:spacing w:before="120" w:after="120" w:line="4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highlight w:val="none"/>
        </w:rPr>
      </w:r>
      <w:r/>
    </w:p>
    <w:p>
      <w:pPr>
        <w:pStyle w:val="714"/>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               乙方： </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地址：               地址： </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法定代表人或授权代表：       法定代表人或授权代表：</w:t>
      </w:r>
      <w:r>
        <w:rPr>
          <w:highlight w:val="none"/>
        </w:rPr>
      </w:r>
      <w:r/>
    </w:p>
    <w:p>
      <w:pPr>
        <w:pStyle w:val="714"/>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rPr>
          <w:highlight w:val="none"/>
        </w:rPr>
      </w:r>
      <w:r/>
    </w:p>
    <w:p>
      <w:pPr>
        <w:pStyle w:val="714"/>
        <w:ind w:firstLine="420"/>
        <w:jc w:val="both"/>
        <w:keepLines w:val="0"/>
        <w:keepNext w:val="0"/>
        <w:pageBreakBefore w:val="0"/>
        <w:spacing w:line="420" w:lineRule="exact"/>
        <w:widowControl w:val="off"/>
        <w:rPr>
          <w:color w:val="000000"/>
          <w:highlight w:val="none"/>
        </w:rPr>
      </w:pPr>
      <w:r>
        <w:rPr>
          <w:color w:val="000000"/>
          <w:highlight w:val="none"/>
        </w:rPr>
        <w:t xml:space="preserve">                                        </w:t>
      </w:r>
      <w:r>
        <w:rPr>
          <w:highlight w:val="none"/>
        </w:rPr>
      </w:r>
      <w:r/>
    </w:p>
    <w:p>
      <w:pPr>
        <w:pStyle w:val="714"/>
        <w:ind w:firstLine="3616"/>
        <w:jc w:val="both"/>
        <w:keepLines w:val="0"/>
        <w:keepNext w:val="0"/>
        <w:pageBreakBefore w:val="0"/>
        <w:spacing w:line="420" w:lineRule="exact"/>
        <w:widowControl w:val="off"/>
        <w:rPr>
          <w:rFonts w:ascii="宋体" w:hAnsi="宋体" w:cs="宋体"/>
          <w:color w:val="000000"/>
          <w:sz w:val="24"/>
          <w:szCs w:val="24"/>
          <w:highlight w:val="none"/>
        </w:rPr>
      </w:pPr>
      <w:r>
        <w:rPr>
          <w:color w:val="000000"/>
          <w:highlight w:val="none"/>
        </w:rPr>
        <w:t xml:space="preserve">  </w:t>
      </w:r>
      <w:r>
        <w:rPr>
          <w:color w:val="000000"/>
          <w:sz w:val="24"/>
          <w:szCs w:val="24"/>
          <w:highlight w:val="none"/>
        </w:rPr>
        <w:t xml:space="preserve">签订日期：      年    月   日</w:t>
      </w:r>
      <w:r>
        <w:rPr>
          <w:highlight w:val="none"/>
        </w:rPr>
      </w:r>
      <w:r/>
    </w:p>
    <w:p>
      <w:pPr>
        <w:pStyle w:val="726"/>
        <w:keepLines w:val="0"/>
        <w:keepNext w:val="0"/>
        <w:pageBreakBefore w:val="0"/>
        <w:spacing w:line="460" w:lineRule="exact"/>
        <w:widowControl w:val="off"/>
        <w:rPr>
          <w:color w:val="000000"/>
          <w:highlight w:val="none"/>
        </w:rPr>
      </w:pPr>
      <w:r>
        <w:rPr>
          <w:color w:val="000000"/>
          <w:highlight w:val="none"/>
        </w:rPr>
      </w:r>
      <w:r>
        <w:rPr>
          <w:highlight w:val="none"/>
        </w:rPr>
      </w:r>
      <w:r/>
    </w:p>
    <w:p>
      <w:pPr>
        <w:pStyle w:val="714"/>
        <w:jc w:val="both"/>
        <w:keepLines w:val="0"/>
        <w:keepNext w:val="0"/>
        <w:pageBreakBefore w:val="0"/>
        <w:spacing w:before="120" w:after="120" w:line="460" w:lineRule="exact"/>
        <w:widowControl w:val="off"/>
        <w:rPr>
          <w:rFonts w:ascii="Calibri" w:hAnsi="Calibri" w:eastAsia="黑体" w:cs="Calibri"/>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Calibri" w:hAnsi="Calibri" w:eastAsia="黑体" w:cs="Calibri"/>
          <w:color w:val="000000"/>
          <w:sz w:val="44"/>
          <w:szCs w:val="44"/>
          <w:highlight w:val="none"/>
        </w:rPr>
      </w:r>
      <w:r>
        <w:rPr>
          <w:highlight w:val="none"/>
        </w:rPr>
      </w:r>
      <w:r/>
    </w:p>
    <w:p>
      <w:pPr>
        <w:pStyle w:val="714"/>
        <w:jc w:val="center"/>
        <w:spacing w:before="120" w:after="120"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第四章 采购需求</w:t>
      </w:r>
      <w:bookmarkStart w:id="143" w:name="_Toc26554093"/>
      <w:r>
        <w:rPr>
          <w:highlight w:val="none"/>
        </w:rPr>
      </w:r>
      <w:bookmarkEnd w:id="143"/>
      <w:r>
        <w:rPr>
          <w:highlight w:val="none"/>
        </w:rPr>
      </w:r>
      <w:bookmarkStart w:id="144" w:name="_Toc49090575"/>
      <w:r>
        <w:rPr>
          <w:highlight w:val="none"/>
        </w:rPr>
      </w:r>
      <w:bookmarkEnd w:id="144"/>
      <w:r>
        <w:rPr>
          <w:highlight w:val="none"/>
        </w:rPr>
      </w:r>
      <w:r/>
    </w:p>
    <w:p>
      <w:pPr>
        <w:pStyle w:val="714"/>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项目属性：货物类项目</w:t>
      </w:r>
      <w:r>
        <w:rPr>
          <w:highlight w:val="none"/>
        </w:rPr>
      </w:r>
      <w:r/>
    </w:p>
    <w:p>
      <w:pPr>
        <w:pStyle w:val="903"/>
        <w:numPr>
          <w:ilvl w:val="0"/>
          <w:numId w:val="0"/>
        </w:numPr>
        <w:ind w:firstLine="480"/>
        <w:keepLines w:val="0"/>
        <w:keepNext w:val="0"/>
        <w:pageBreakBefore w:val="0"/>
        <w:spacing w:line="360" w:lineRule="auto"/>
        <w:rPr>
          <w:rFonts w:ascii="宋体" w:hAnsi="宋体" w:eastAsia="Arial" w:cs="宋体"/>
          <w:b/>
          <w:bCs/>
          <w:color w:val="000000"/>
          <w:sz w:val="24"/>
          <w:szCs w:val="24"/>
          <w:highlight w:val="none"/>
        </w:rPr>
      </w:pPr>
      <w:r>
        <w:rPr>
          <w:rFonts w:hint="eastAsia" w:ascii="宋体" w:hAnsi="宋体" w:eastAsia="Arial" w:cs="宋体"/>
          <w:b/>
          <w:bCs/>
          <w:color w:val="000000"/>
          <w:sz w:val="24"/>
          <w:szCs w:val="24"/>
          <w:highlight w:val="none"/>
          <w:lang w:val="en-US" w:eastAsia="zh-CN" w:bidi="ar-SA"/>
        </w:rPr>
        <w:t xml:space="preserve">一、项目概况</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本项目包</w:t>
      </w:r>
      <w:r>
        <w:rPr>
          <w:rFonts w:hint="eastAsia" w:ascii="宋体" w:hAnsi="宋体" w:cs="宋体"/>
          <w:color w:val="000000"/>
          <w:sz w:val="24"/>
          <w:szCs w:val="24"/>
          <w:highlight w:val="none"/>
        </w:rPr>
        <w:t xml:space="preserve">含安装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具体安装位置和要求需按现场由采购人指定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供应商报价</w:t>
      </w:r>
      <w:r>
        <w:rPr>
          <w:rFonts w:hint="eastAsia" w:ascii="宋体" w:hAnsi="宋体" w:cs="宋体"/>
          <w:color w:val="000000"/>
          <w:sz w:val="24"/>
          <w:szCs w:val="24"/>
          <w:highlight w:val="none"/>
        </w:rPr>
        <w:t xml:space="preserve">应包括所投产品费用、安装调试费、测试验收费、培训费、运行维护费用、税金、国际国内运输保险、报关清关、开证、办理全套免税手续费用及其他</w:t>
      </w:r>
      <w:r>
        <w:rPr>
          <w:rFonts w:hint="eastAsia" w:ascii="宋体" w:hAnsi="宋体" w:eastAsia="宋体" w:cs="宋体"/>
          <w:color w:val="000000"/>
          <w:sz w:val="24"/>
          <w:szCs w:val="24"/>
          <w:highlight w:val="none"/>
          <w:lang w:eastAsia="zh-CN"/>
        </w:rPr>
        <w:t xml:space="preserve">为完成本项目发生的所有有关</w:t>
      </w:r>
      <w:r>
        <w:rPr>
          <w:rFonts w:hint="eastAsia" w:ascii="宋体" w:hAnsi="宋体" w:cs="宋体"/>
          <w:color w:val="000000"/>
          <w:sz w:val="24"/>
          <w:szCs w:val="24"/>
          <w:highlight w:val="none"/>
        </w:rPr>
        <w:t xml:space="preserve">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除标的物追加外，采购人不再支付合同价以外的任何费用</w:t>
      </w:r>
      <w:r>
        <w:rPr>
          <w:rFonts w:hint="eastAsia" w:ascii="宋体" w:hAnsi="宋体" w:cs="宋体"/>
          <w:color w:val="000000"/>
          <w:sz w:val="24"/>
          <w:szCs w:val="24"/>
          <w:highlight w:val="none"/>
        </w:rPr>
        <w:t xml:space="preserve">。</w:t>
      </w:r>
      <w:r>
        <w:rPr>
          <w:highlight w:val="none"/>
        </w:rPr>
      </w:r>
      <w:r/>
    </w:p>
    <w:p>
      <w:pPr>
        <w:pStyle w:val="714"/>
        <w:numPr>
          <w:ilvl w:val="0"/>
          <w:numId w:val="1"/>
        </w:numPr>
        <w:ind w:left="-160" w:firstLine="480"/>
        <w:jc w:val="both"/>
        <w:spacing w:before="120" w:after="12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需求清单</w:t>
      </w:r>
      <w:r>
        <w:rPr>
          <w:highlight w:val="none"/>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901"/>
        <w:gridCol w:w="1906"/>
        <w:gridCol w:w="779"/>
        <w:gridCol w:w="692"/>
        <w:gridCol w:w="6074"/>
        <w:gridCol w:w="2184"/>
      </w:tblGrid>
      <w:tr>
        <w:trPr>
          <w:trHeight w:val="420"/>
        </w:trPr>
        <w:tc>
          <w:tcPr>
            <w:tcW w:w="638"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编号</w:t>
            </w:r>
            <w:r>
              <w:rPr>
                <w:highlight w:val="none"/>
              </w:rPr>
            </w:r>
            <w:r/>
          </w:p>
        </w:tc>
        <w:tc>
          <w:tcPr>
            <w:tcW w:w="1901"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    称</w:t>
            </w:r>
            <w:r>
              <w:rPr>
                <w:highlight w:val="none"/>
              </w:rPr>
            </w:r>
            <w:r/>
          </w:p>
        </w:tc>
        <w:tc>
          <w:tcPr>
            <w:tcW w:w="1906"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规格（mm）</w:t>
            </w:r>
            <w:r>
              <w:rPr>
                <w:highlight w:val="none"/>
              </w:rPr>
            </w:r>
            <w:r/>
          </w:p>
        </w:tc>
        <w:tc>
          <w:tcPr>
            <w:tcW w:w="779"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highlight w:val="none"/>
              </w:rPr>
            </w:r>
            <w:r/>
          </w:p>
        </w:tc>
        <w:tc>
          <w:tcPr>
            <w:tcW w:w="692"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highlight w:val="none"/>
              </w:rPr>
            </w:r>
            <w:r/>
          </w:p>
        </w:tc>
        <w:tc>
          <w:tcPr>
            <w:tcW w:w="6074"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highlight w:val="none"/>
              </w:rPr>
            </w:r>
            <w:r/>
          </w:p>
        </w:tc>
        <w:tc>
          <w:tcPr>
            <w:tcW w:w="2184"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参考图片</w:t>
            </w:r>
            <w:r>
              <w:rPr>
                <w:highlight w:val="none"/>
              </w:rPr>
            </w:r>
            <w:r/>
          </w:p>
        </w:tc>
      </w:tr>
      <w:tr>
        <w:trPr>
          <w:trHeight w:val="420"/>
        </w:trPr>
        <w:tc>
          <w:tcPr>
            <w:tcW w:w="638"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主食库</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3pt;height:54.4pt;mso-wrap-distance-left:0.0pt;mso-wrap-distance-top:0.0pt;mso-wrap-distance-right:0.0pt;mso-wrap-distance-bottom:0.0pt;" stroked="f">
                      <v:path textboxrect="0,0,0,0"/>
                      <v:imagedata r:id="rId11" o:title=""/>
                    </v:shape>
                  </w:pict>
                </mc:Fallback>
              </mc:AlternateContent>
            </w:r>
            <w:r>
              <w:rPr>
                <w:highlight w:val="none"/>
              </w:rPr>
            </w:r>
            <w:r/>
          </w:p>
        </w:tc>
      </w:tr>
      <w:tr>
        <w:trPr>
          <w:trHeight w:val="14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1000*600*300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4802" cy="77480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4802"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0pt;height:61.0pt;mso-wrap-distance-left:0.0pt;mso-wrap-distance-top:0.0pt;mso-wrap-distance-right:0.0pt;mso-wrap-distance-bottom:0.0pt;" stroked="f">
                      <v:path textboxrect="0,0,0,0"/>
                      <v:imagedata r:id="rId12"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冷库</w: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3pt;height:54.4pt;mso-wrap-distance-left:0.0pt;mso-wrap-distance-top:0.0pt;mso-wrap-distance-right:0.0pt;mso-wrap-distance-bottom:0.0pt;" stroked="f">
                      <v:path textboxrect="0,0,0,0"/>
                      <v:imagedata r:id="rId13" o:title=""/>
                    </v:shape>
                  </w:pict>
                </mc:Fallback>
              </mc:AlternateContent>
            </w:r>
            <w:r>
              <w:rPr>
                <w:highlight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冷冻库</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4100*4100*2700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板材厚度10CM,单面0.4mm彩钢,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钢板采用普通钢板；单面0.5厚304不锈钢,单面烤漆，涂装厚度须达20my以上；硬质聚氨酯冷库板：</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1)导热系数：0.024w/mk以下，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2)抗压强度(compression strength):160kpa以上，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3)投料密度40±2kg/M3，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4)吸水率:小于2%，</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5）双面刷胶，</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采用艾默生、丹佛斯、谷轮或等效涡旋压缩机,奥升、美乐柯、比泽尔或同等档次制冷机组,环保冷媒,制冷量12.5KW以上,电源采用380V额度功率5.5KW,蒸发温度-15℃--25℃ 库温要达到-20℃，冷凝温度≤55℃，最大工作压力：高压侧≤2.5Mpa 低压侧≥1.0Mpa.采用304不锈钢防锈型冷风机，带化霜功能,制冷量12-15KW，风量8000—12000立方米/小时 风机功率</w:t>
            </w:r>
            <w:r>
              <w:rPr>
                <w:highlight w:val="none"/>
              </w:rPr>
            </w:r>
            <w:r/>
          </w:p>
          <w:p>
            <w:pPr>
              <w:pStyle w:val="714"/>
              <w:jc w:val="left"/>
              <w:keepLines w:val="0"/>
              <w:keepNext w:val="0"/>
              <w:widowControl/>
              <w:rPr>
                <w:rFonts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0.75KW-1.5KW。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80440" cy="97715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80440" cy="9771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2pt;height:76.9pt;mso-wrap-distance-left:0.0pt;mso-wrap-distance-top:0.0pt;mso-wrap-distance-right:0.0pt;mso-wrap-distance-bottom:0.0pt;" stroked="f">
                      <v:path textboxrect="0,0,0,0"/>
                      <v:imagedata r:id="rId14"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副食库</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8.3pt;height:54.4pt;mso-wrap-distance-left:0.0pt;mso-wrap-distance-top:0.0pt;mso-wrap-distance-right:0.0pt;mso-wrap-distance-bottom:0.0pt;" stroked="f">
                      <v:path textboxrect="0,0,0,0"/>
                      <v:imagedata r:id="rId1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w:t>
            </w:r>
            <w:r>
              <w:rPr>
                <w:highlight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电24层双门蒸饭机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380V/2*12KW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优质不锈钢板制作，水箱自动进水，配优质耐高温材料及密封条。 电压：380V  功率：24KW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配24个食品级304不锈钢托盘(尺寸400*600mm)。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98666" cy="79946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98666" cy="799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2.9pt;height:62.9pt;mso-wrap-distance-left:0.0pt;mso-wrap-distance-top:0.0pt;mso-wrap-distance-right:0.0pt;mso-wrap-distance-bottom:0.0pt;" stroked="f">
                      <v:path textboxrect="0,0,0,0"/>
                      <v:imagedata r:id="rId16" o:title=""/>
                    </v:shape>
                  </w:pict>
                </mc:Fallback>
              </mc:AlternateContent>
            </w:r>
            <w:r>
              <w:rPr>
                <w:highlight w:val="none"/>
              </w:rPr>
            </w:r>
            <w:r/>
          </w:p>
        </w:tc>
      </w:tr>
      <w:tr>
        <w:trPr>
          <w:trHeight w:val="14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b w:val="0"/>
                <w:bCs w:val="0"/>
                <w:color w:val="000000"/>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400L可倾式自动搅拌燃气夹层锅</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锅体304不锈钢制作，可倾斜，不粘底，不糊锅，急速升温，支架为高承重钢架，采用可拆卸搅拌轴，带电压为380V自动搅拌功能，电机静音免维护。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0718" cy="8001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00718"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0pt;height:63.0pt;mso-wrap-distance-left:0.0pt;mso-wrap-distance-top:0.0pt;mso-wrap-distance-right:0.0pt;mso-wrap-distance-bottom:0.0pt;" stroked="f">
                      <v:path textboxrect="0,0,0,0"/>
                      <v:imagedata r:id="rId17"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6.4pt;height:56.1pt;mso-wrap-distance-left:0.0pt;mso-wrap-distance-top:0.0pt;mso-wrap-distance-right:0.0pt;mso-wrap-distance-bottom:0.0pt;" stroked="f">
                      <v:path textboxrect="0,0,0,0"/>
                      <v:imagedata r:id="rId18" o:title=""/>
                    </v:shape>
                  </w:pict>
                </mc:Fallback>
              </mc:AlternateConten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380V/12KW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容量110-120L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11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68660" cy="770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8.4pt;height:60.6pt;mso-wrap-distance-left:0.0pt;mso-wrap-distance-top:0.0pt;mso-wrap-distance-right:0.0pt;mso-wrap-distance-bottom:0.0pt;" stroked="f">
                      <v:path textboxrect="0,0,0,0"/>
                      <v:imagedata r:id="rId19"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ffffff"/>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shd w:val="clear" w:color="auto" w:fill="ffffff"/>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shd w:val="clear" w:color="auto" w:fill="ffffff"/>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ffffff"/>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ffffff"/>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08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42950" cy="670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8.5pt;height:52.8pt;mso-wrap-distance-left:0.0pt;mso-wrap-distance-top:0.0pt;mso-wrap-distance-right:0.0pt;mso-wrap-distance-bottom:0.0pt;" stroked="f">
                      <v:path textboxrect="0,0,0,0"/>
                      <v:imagedata r:id="rId20"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801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6pt;height:49.4pt;mso-wrap-distance-left:0.0pt;mso-wrap-distance-top:0.0pt;mso-wrap-distance-right:0.0pt;mso-wrap-distance-bottom:0.0pt;" stroked="f">
                      <v:path textboxrect="0,0,0,0"/>
                      <v:imagedata r:id="rId2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1.0pt;height:51.2pt;mso-wrap-distance-left:0.0pt;mso-wrap-distance-top:0.0pt;mso-wrap-distance-right:0.0pt;mso-wrap-distance-bottom:0.0pt;" stroked="f">
                      <v:path textboxrect="0,0,0,0"/>
                      <v:imagedata r:id="rId22"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 </w:t>
            </w:r>
            <w:r>
              <w:rPr>
                <w:rFonts w:hint="eastAsia" w:ascii="宋体" w:hAnsi="宋体" w:eastAsia="宋体" w:cs="宋体"/>
                <w:b/>
                <w:bCs/>
                <w:i w:val="0"/>
                <w:iCs w:val="0"/>
                <w:color w:val="000000"/>
                <w:sz w:val="21"/>
                <w:szCs w:val="21"/>
                <w:highlight w:val="none"/>
                <w:u w:val="none"/>
                <w:lang w:val="en-US" w:eastAsia="zh-CN" w:bidi="ar"/>
              </w:rPr>
              <w:t xml:space="preserve">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6pt;height:48.6pt;mso-wrap-distance-left:0.0pt;mso-wrap-distance-top:0.0pt;mso-wrap-distance-right:0.0pt;mso-wrap-distance-bottom:0.0pt;" stroked="f">
                      <v:path textboxrect="0,0,0,0"/>
                      <v:imagedata r:id="rId23" o:title=""/>
                    </v:shape>
                  </w:pict>
                </mc:Fallback>
              </mc:AlternateContent>
            </w:r>
            <w:r>
              <w:rPr>
                <w:highlight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1pt;height:48.2pt;mso-wrap-distance-left:0.0pt;mso-wrap-distance-top:0.0pt;mso-wrap-distance-right:0.0pt;mso-wrap-distance-bottom:0.0pt;" stroked="f">
                      <v:path textboxrect="0,0,0,0"/>
                      <v:imagedata r:id="rId24"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备餐间</w: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6.4pt;height:56.2pt;mso-wrap-distance-left:0.0pt;mso-wrap-distance-top:0.0pt;mso-wrap-distance-right:0.0pt;mso-wrap-distance-bottom:0.0pt;" stroked="f">
                      <v:path textboxrect="0,0,0,0"/>
                      <v:imagedata r:id="rId25" o:title=""/>
                    </v:shape>
                  </w:pict>
                </mc:Fallback>
              </mc:AlternateContent>
            </w:r>
            <w:r>
              <w:rPr>
                <w:highlight w:val="none"/>
              </w:rPr>
            </w:r>
            <w:r/>
          </w:p>
        </w:tc>
      </w:tr>
      <w:tr>
        <w:trPr>
          <w:trHeight w:val="15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10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1888" cy="87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0.5pt;height:69.1pt;mso-wrap-distance-left:0.0pt;mso-wrap-distance-top:0.0pt;mso-wrap-distance-right:0.0pt;mso-wrap-distance-bottom:0.0pt;" stroked="f">
                      <v:path textboxrect="0,0,0,0"/>
                      <v:imagedata r:id="rId26" o:title=""/>
                    </v:shape>
                  </w:pict>
                </mc:Fallback>
              </mc:AlternateContent>
            </w:r>
            <w:r>
              <w:rPr>
                <w:highlight w:val="none"/>
              </w:rPr>
            </w:r>
            <w:r/>
          </w:p>
        </w:tc>
      </w:tr>
      <w:tr>
        <w:trPr>
          <w:trHeight w:val="93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ascii="宋体" w:hAnsi="宋体" w:eastAsia="宋体" w:cs="宋体"/>
                <w:i w:val="0"/>
                <w:iCs w:val="0"/>
                <w:color w:val="000000"/>
                <w:sz w:val="21"/>
                <w:szCs w:val="21"/>
                <w:highlight w:val="none"/>
                <w:u w:val="none"/>
              </w:rPr>
            </w:pPr>
            <w:r>
              <w:rPr>
                <w:rFonts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 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4pt;height:37.6pt;mso-wrap-distance-left:0.0pt;mso-wrap-distance-top:0.0pt;mso-wrap-distance-right:0.0pt;mso-wrap-distance-bottom:0.0pt;" stroked="f">
                      <v:path textboxrect="0,0,0,0"/>
                      <v:imagedata r:id="rId27"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预进间/套餐售卖区</w: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5pt;height:55.0pt;mso-wrap-distance-left:0.0pt;mso-wrap-distance-top:0.0pt;mso-wrap-distance-right:0.0pt;mso-wrap-distance-bottom:0.0pt;" stroked="f">
                      <v:path textboxrect="0,0,0,0"/>
                      <v:imagedata r:id="rId28" o:title=""/>
                    </v:shape>
                  </w:pict>
                </mc:Fallback>
              </mc:AlternateContent>
            </w:r>
            <w:r>
              <w:rPr>
                <w:highlight w:val="none"/>
              </w:rPr>
            </w:r>
            <w:r/>
          </w:p>
        </w:tc>
      </w:tr>
      <w:tr>
        <w:trPr>
          <w:trHeight w:val="14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304不锈钢制作，电压：220v</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规格：配食品级1/1份数盘4只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637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34778" cy="7363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9pt;height:58.0pt;mso-wrap-distance-left:0.0pt;mso-wrap-distance-top:0.0pt;mso-wrap-distance-right:0.0pt;mso-wrap-distance-bottom:0.0pt;" stroked="f">
                      <v:path textboxrect="0,0,0,0"/>
                      <v:imagedata r:id="rId29"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6.4pt;height:56.2pt;mso-wrap-distance-left:0.0pt;mso-wrap-distance-top:0.0pt;mso-wrap-distance-right:0.0pt;mso-wrap-distance-bottom:0.0pt;" stroked="f">
                      <v:path textboxrect="0,0,0,0"/>
                      <v:imagedata r:id="rId30" o:title=""/>
                    </v:shape>
                  </w:pict>
                </mc:Fallback>
              </mc:AlternateContent>
            </w:r>
            <w:r>
              <w:rPr>
                <w:highlight w:val="none"/>
              </w:rPr>
            </w:r>
            <w:r/>
          </w:p>
        </w:tc>
      </w:tr>
      <w:tr>
        <w:trPr>
          <w:trHeight w:val="1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764"/>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5pt;height:54.8pt;mso-wrap-distance-left:0.0pt;mso-wrap-distance-top:0.0pt;mso-wrap-distance-right:0.0pt;mso-wrap-distance-bottom:0.0pt;" stroked="f">
                      <v:path textboxrect="0,0,0,0"/>
                      <v:imagedata r:id="rId31" o:title=""/>
                    </v:shape>
                  </w:pict>
                </mc:Fallback>
              </mc:AlternateConten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留样冰箱</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34"/>
              <w:jc w:val="both"/>
              <w:rPr>
                <w:b w:val="0"/>
                <w:bCs w:val="0"/>
                <w:color w:val="000000"/>
                <w:highlight w:val="none"/>
              </w:rPr>
            </w:pPr>
            <w:r>
              <w:rPr>
                <w:rFonts w:hint="eastAsia" w:ascii="宋体" w:hAnsi="宋体" w:eastAsia="宋体" w:cs="宋体"/>
                <w:b w:val="0"/>
                <w:bCs w:val="0"/>
                <w:i w:val="0"/>
                <w:iCs w:val="0"/>
                <w:color w:val="000000"/>
                <w:sz w:val="21"/>
                <w:szCs w:val="21"/>
                <w:highlight w:val="none"/>
                <w:u w:val="none"/>
                <w:lang w:val="en-US" w:eastAsia="zh-CN" w:bidi="ar"/>
              </w:rPr>
              <w:t xml:space="preserve">温度范围：冷藏0~ 10℃；电压：220V；容积：180-270L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内外为全不锈钢材料,防锈抗腐。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5703" cy="7458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45703" cy="74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58.7pt;mso-wrap-distance-left:0.0pt;mso-wrap-distance-top:0.0pt;mso-wrap-distance-right:0.0pt;mso-wrap-distance-bottom:0.0pt;" stroked="f">
                      <v:path textboxrect="0,0,0,0"/>
                      <v:imagedata r:id="rId32" o:title=""/>
                    </v:shape>
                  </w:pict>
                </mc:Fallback>
              </mc:AlternateContent>
            </w:r>
            <w:r>
              <w:rPr>
                <w:highlight w:val="none"/>
              </w:rPr>
            </w:r>
            <w:r/>
          </w:p>
        </w:tc>
      </w:tr>
      <w:tr>
        <w:trPr>
          <w:trHeight w:val="117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7.4pt;height:37.6pt;mso-wrap-distance-left:0.0pt;mso-wrap-distance-top:0.0pt;mso-wrap-distance-right:0.0pt;mso-wrap-distance-bottom:0.0pt;" stroked="f">
                      <v:path textboxrect="0,0,0,0"/>
                      <v:imagedata r:id="rId33"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预进间/套餐售卖区附件</w: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0pt;height:51.2pt;mso-wrap-distance-left:0.0pt;mso-wrap-distance-top:0.0pt;mso-wrap-distance-right:0.0pt;mso-wrap-distance-bottom:0.0pt;" stroked="f">
                      <v:path textboxrect="0,0,0,0"/>
                      <v:imagedata r:id="rId34"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6pt;height:48.7pt;mso-wrap-distance-left:0.0pt;mso-wrap-distance-top:0.0pt;mso-wrap-distance-right:0.0pt;mso-wrap-distance-bottom:0.0pt;" stroked="f">
                      <v:path textboxrect="0,0,0,0"/>
                      <v:imagedata r:id="rId35"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双温鹅颈式水龙头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9.5pt;height:49.6pt;mso-wrap-distance-left:0.0pt;mso-wrap-distance-top:0.0pt;mso-wrap-distance-right:0.0pt;mso-wrap-distance-bottom:0.0pt;" stroked="f">
                      <v:path textboxrect="0,0,0,0"/>
                      <v:imagedata r:id="rId36" o:title=""/>
                    </v:shape>
                  </w:pict>
                </mc:Fallback>
              </mc:AlternateContent>
            </w:r>
            <w:r>
              <w:rPr>
                <w:highlight w:val="none"/>
              </w:rPr>
            </w:r>
            <w:r/>
          </w:p>
        </w:tc>
      </w:tr>
      <w:tr>
        <w:trPr>
          <w:trHeight w:val="1072"/>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383"/>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4.3pt;height:37.0pt;mso-wrap-distance-left:0.0pt;mso-wrap-distance-top:0.0pt;mso-wrap-distance-right:0.0pt;mso-wrap-distance-bottom:0.0pt;" stroked="f">
                      <v:path textboxrect="0,0,0,0"/>
                      <v:imagedata r:id="rId37"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餐具消毒保洁间</w:t>
            </w:r>
            <w:r>
              <w:rPr>
                <w:highlight w:val="none"/>
              </w:rPr>
            </w:r>
            <w:r/>
          </w:p>
        </w:tc>
        <w:tc>
          <w:tcPr>
            <w:tcW w:w="1906"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92"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074" w:type="dxa"/>
            <w:vAlign w:val="center"/>
            <w:textDirection w:val="lrTb"/>
            <w:noWrap w:val="false"/>
          </w:tcPr>
          <w:p>
            <w:pPr>
              <w:pStyle w:val="714"/>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2184"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r>
      <w:tr>
        <w:trPr>
          <w:trHeight w:val="181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738"/>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0.5pt;height:69.2pt;mso-wrap-distance-left:0.0pt;mso-wrap-distance-top:0.0pt;mso-wrap-distance-right:0.0pt;mso-wrap-distance-bottom:0.0pt;" stroked="f">
                      <v:path textboxrect="0,0,0,0"/>
                      <v:imagedata r:id="rId38" o:title=""/>
                    </v:shape>
                  </w:pict>
                </mc:Fallback>
              </mc:AlternateContent>
            </w:r>
            <w:r>
              <w:rPr>
                <w:highlight w:val="none"/>
              </w:rPr>
            </w:r>
            <w:r/>
          </w:p>
        </w:tc>
      </w:tr>
      <w:tr>
        <w:trPr>
          <w:trHeight w:val="58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14"/>
              <w:jc w:val="left"/>
              <w:keepLines w:val="0"/>
              <w:keepNext w:val="0"/>
              <w:widowControl/>
              <w:rPr>
                <w:rFonts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81.5pt;height:57.1pt;mso-wrap-distance-left:0.0pt;mso-wrap-distance-top:0.0pt;mso-wrap-distance-right:0.0pt;mso-wrap-distance-bottom:0.0pt;" stroked="f">
                      <v:path textboxrect="0,0,0,0"/>
                      <v:imagedata r:id="rId39" o:title=""/>
                    </v:shape>
                  </w:pict>
                </mc:Fallback>
              </mc:AlternateContent>
            </w:r>
            <w:r>
              <w:rPr>
                <w:highlight w:val="none"/>
              </w:rPr>
            </w:r>
            <w:r/>
          </w:p>
        </w:tc>
      </w:tr>
      <w:tr>
        <w:trPr>
          <w:trHeight w:val="9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小餐具清洗区/洗碗间</w:t>
            </w:r>
            <w:r>
              <w:rPr>
                <w:highlight w:val="none"/>
              </w:rPr>
            </w:r>
            <w:r/>
          </w:p>
        </w:tc>
      </w:tr>
      <w:tr>
        <w:trPr>
          <w:trHeight w:val="140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301"/>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4.8pt;height:54.6pt;mso-wrap-distance-left:0.0pt;mso-wrap-distance-top:0.0pt;mso-wrap-distance-right:0.0pt;mso-wrap-distance-bottom:0.0pt;" stroked="f">
                      <v:path textboxrect="0,0,0,0"/>
                      <v:imagedata r:id="rId40" o:title=""/>
                    </v:shape>
                  </w:pict>
                </mc:Fallback>
              </mc:AlternateContent>
            </w:r>
            <w:r>
              <w:rPr>
                <w:highlight w:val="none"/>
              </w:rPr>
            </w:r>
            <w:r/>
          </w:p>
        </w:tc>
      </w:tr>
      <w:tr>
        <w:trPr>
          <w:trHeight w:val="143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 容量110-120L。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92477" cy="789269"/>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92477" cy="7892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2.4pt;height:62.1pt;mso-wrap-distance-left:0.0pt;mso-wrap-distance-top:0.0pt;mso-wrap-distance-right:0.0pt;mso-wrap-distance-bottom:0.0pt;" stroked="f">
                      <v:path textboxrect="0,0,0,0"/>
                      <v:imagedata r:id="rId41" o:title=""/>
                    </v:shape>
                  </w:pict>
                </mc:Fallback>
              </mc:AlternateContent>
            </w:r>
            <w:r>
              <w:rPr>
                <w:highlight w:val="none"/>
              </w:rPr>
            </w:r>
            <w:r/>
          </w:p>
        </w:tc>
      </w:tr>
      <w:tr>
        <w:trPr>
          <w:trHeight w:val="158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6.4pt;height:56.2pt;mso-wrap-distance-left:0.0pt;mso-wrap-distance-top:0.0pt;mso-wrap-distance-right:0.0pt;mso-wrap-distance-bottom:0.0pt;" stroked="f">
                      <v:path textboxrect="0,0,0,0"/>
                      <v:imagedata r:id="rId42" o:title=""/>
                    </v:shape>
                  </w:pict>
                </mc:Fallback>
              </mc:AlternateContent>
            </w:r>
            <w:r>
              <w:rPr>
                <w:highlight w:val="none"/>
              </w:rPr>
            </w:r>
            <w:r/>
          </w:p>
        </w:tc>
      </w:tr>
      <w:tr>
        <w:trPr>
          <w:trHeight w:val="157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9.5pt;height:55.0pt;mso-wrap-distance-left:0.0pt;mso-wrap-distance-top:0.0pt;mso-wrap-distance-right:0.0pt;mso-wrap-distance-bottom:0.0pt;" stroked="f">
                      <v:path textboxrect="0,0,0,0"/>
                      <v:imagedata r:id="rId43" o:title=""/>
                    </v:shape>
                  </w:pict>
                </mc:Fallback>
              </mc:AlternateContent>
            </w:r>
            <w:r>
              <w:rPr>
                <w:highlight w:val="none"/>
              </w:rPr>
            </w:r>
            <w:r/>
          </w:p>
        </w:tc>
      </w:tr>
      <w:tr>
        <w:trPr>
          <w:trHeight w:val="127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洁碟工作台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2、台面标厚≥1.0mm，下置不锈钢加强筋；</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立柱采用ø38×≥1.2mm不锈钢圆管配调节脚。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6.4pt;height:56.1pt;mso-wrap-distance-left:0.0pt;mso-wrap-distance-top:0.0pt;mso-wrap-distance-right:0.0pt;mso-wrap-distance-bottom:0.0pt;" stroked="f">
                      <v:path textboxrect="0,0,0,0"/>
                      <v:imagedata r:id="rId44" o:title=""/>
                    </v:shape>
                  </w:pict>
                </mc:Fallback>
              </mc:AlternateContent>
            </w:r>
            <w:r>
              <w:rPr>
                <w:highlight w:val="none"/>
              </w:rPr>
            </w:r>
            <w:r/>
          </w:p>
        </w:tc>
      </w:tr>
      <w:tr>
        <w:trPr>
          <w:trHeight w:val="379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长龙式洗碗机（带烘干）</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4500*900*1980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产品功能：清洗消毒烘干一体机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1、机器组成部分：进口模块、主洗模块、喷淋模块、烘干模块、出口模块；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2、进口模块（850mm）+主洗模块（800mm）+喷淋模块(600mm)+烘干模块(800mm)+出口模块(1300mm)；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3、传送带速度：1/1.6米/分钟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4、洗涤量：3200-5100碟/小时（8寸碟）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5、耗水量：最大350 升/小时</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6、清洗温度：55-75℃</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7、喷淋温度：82-90℃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8、清洗泵功率：≥2KW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9、清洗缸加热功率：≥12KW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10、喷淋加热功率：≥36KW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11、烘干加热功率：≥13.5KW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12、电源：380V/50Hz/3N总配电量：64.5KW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13、有效洗涤尺寸：613（传送带宽）×440（高）mm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14、尺寸：4500*900*1980（高）mm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15、洗碗机进出口高度≤850mm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洗碗机配置简介：</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1、整机全部采用SUS304不锈钢板制作，</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2、配置进口排风口和出口排风口，减少蒸汽溢出；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3、入口处配置抽屉式接渣过滤装置，抽屉式过滤网可在机器运行过程中及时取出进行清洗；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4、入口处被动轮设计为不锈钢轴承驱动（非摩擦式驱动），并设计有防护倒钩安全且实用；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5、内凹防堵广角水刀式清洗喷臂，上下清洗喷臂拆装非常简便，只需轻轻一推便可安装到位；</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6、配置国际优质品牌清洗泵，扬程远压力大且运转噪音低，经久耐用；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7、机电控制系统，启动运行开关采用优质品牌，经久耐用，LED数码温度控制；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8、电器部分全部采用一流品牌，电机部分设计有两级+防护，防止电机过载缺相；</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9、所有门均配有高耐性卷簧，卷簧耐高温、耐酸碱使用寿命长且开关门顺畅省力；</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10、配置不锈钢烘干风机，采用双向二次循环烘干结构，实现360°均匀热风循环，餐具烘干无死角、干燥彻底;</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11、传送网带采用PP+玻纤复合材料，高强度、耐腐蚀、抗老化，正常使用寿命≥5年，长期使用无明显起毛、变形;</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12、传动电机优质品牌，变频器采用优质品牌，出口处设有刹车功能及防撞保护功能，安全可靠；</w:t>
            </w:r>
            <w:r>
              <w:rPr>
                <w:highlight w:val="none"/>
              </w:rPr>
            </w:r>
            <w:r/>
          </w:p>
          <w:p>
            <w:pPr>
              <w:pStyle w:val="714"/>
              <w:jc w:val="left"/>
              <w:keepLines w:val="0"/>
              <w:keepNext w:val="0"/>
              <w:widowControl/>
              <w:rPr>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13、整机采用优质304不锈钢板制作，板材下公差小、含镍量高、耐腐蚀性能强、硬度大，保证使用寿命；</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236980" cy="109791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236980" cy="1097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7.4pt;height:86.5pt;mso-wrap-distance-left:0.0pt;mso-wrap-distance-top:0.0pt;mso-wrap-distance-right:0.0pt;mso-wrap-distance-bottom:0.0pt;" stroked="f">
                      <v:path textboxrect="0,0,0,0"/>
                      <v:imagedata r:id="rId45"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全自动电子分配器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原厂专用配套</w:t>
            </w:r>
            <w:r>
              <w:rPr>
                <w:highlight w:val="none"/>
              </w:rPr>
            </w:r>
            <w:r/>
          </w:p>
        </w:tc>
        <w:tc>
          <w:tcPr>
            <w:tcW w:w="2184" w:type="dxa"/>
            <w:vAlign w:val="center"/>
            <w:textDirection w:val="lrTb"/>
            <w:noWrap/>
          </w:tcPr>
          <w:p>
            <w:pPr>
              <w:pStyle w:val="71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r>
      <w:tr>
        <w:trPr>
          <w:trHeight w:val="144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4964"/>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53.1pt;mso-wrap-distance-left:0.0pt;mso-wrap-distance-top:0.0pt;mso-wrap-distance-right:0.0pt;mso-wrap-distance-bottom:0.0pt;" stroked="f">
                      <v:path textboxrect="0,0,0,0"/>
                      <v:imagedata r:id="rId46"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小餐具清洗区/洗碗间附件</w: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801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9.6pt;height:49.4pt;mso-wrap-distance-left:0.0pt;mso-wrap-distance-top:0.0pt;mso-wrap-distance-right:0.0pt;mso-wrap-distance-bottom:0.0pt;" stroked="f">
                      <v:path textboxrect="0,0,0,0"/>
                      <v:imagedata r:id="rId47"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高压花洒水龙头（双温）</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主要材质：不锈钢，螺旋杆铜阀芯；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适合单槽、双槽、任何角度；</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0478" cy="61849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20477" cy="61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8.9pt;height:48.7pt;mso-wrap-distance-left:0.0pt;mso-wrap-distance-top:0.0pt;mso-wrap-distance-right:0.0pt;mso-wrap-distance-bottom:0.0pt;" stroked="f">
                      <v:path textboxrect="0,0,0,0"/>
                      <v:imagedata r:id="rId48"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9.5pt;height:49.6pt;mso-wrap-distance-left:0.0pt;mso-wrap-distance-top:0.0pt;mso-wrap-distance-right:0.0pt;mso-wrap-distance-bottom:0.0pt;" stroked="f">
                      <v:path textboxrect="0,0,0,0"/>
                      <v:imagedata r:id="rId49"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1.0pt;height:51.2pt;mso-wrap-distance-left:0.0pt;mso-wrap-distance-top:0.0pt;mso-wrap-distance-right:0.0pt;mso-wrap-distance-bottom:0.0pt;" stroked="f">
                      <v:path textboxrect="0,0,0,0"/>
                      <v:imagedata r:id="rId50"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8.6pt;height:48.6pt;mso-wrap-distance-left:0.0pt;mso-wrap-distance-top:0.0pt;mso-wrap-distance-right:0.0pt;mso-wrap-distance-bottom:0.0pt;" stroked="f">
                      <v:path textboxrect="0,0,0,0"/>
                      <v:imagedata r:id="rId5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肉类粗加工</w:t>
            </w:r>
            <w:r>
              <w:rPr>
                <w:highlight w:val="none"/>
              </w:rPr>
            </w:r>
            <w:r/>
          </w:p>
        </w:tc>
      </w:tr>
      <w:tr>
        <w:trPr>
          <w:trHeight w:val="13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469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867783"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8.3pt;height:54.7pt;mso-wrap-distance-left:0.0pt;mso-wrap-distance-top:0.0pt;mso-wrap-distance-right:0.0pt;mso-wrap-distance-bottom:0.0pt;" stroked="f">
                      <v:path textboxrect="0,0,0,0"/>
                      <v:imagedata r:id="rId52"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5937"/>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16755"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6.4pt;height:56.4pt;mso-wrap-distance-left:0.0pt;mso-wrap-distance-top:0.0pt;mso-wrap-distance-right:0.0pt;mso-wrap-distance-bottom:0.0pt;" stroked="f">
                      <v:path textboxrect="0,0,0,0"/>
                      <v:imagedata r:id="rId53"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99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4.8pt;height:54.6pt;mso-wrap-distance-left:0.0pt;mso-wrap-distance-top:0.0pt;mso-wrap-distance-right:0.0pt;mso-wrap-distance-bottom:0.0pt;" stroked="f">
                      <v:path textboxrect="0,0,0,0"/>
                      <v:imagedata r:id="rId54"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绞切两用机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SA"/>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34"/>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不锈钢材质，电压：220V，功率1.5-2.2kw;</w:t>
            </w:r>
            <w:r>
              <w:rPr>
                <w:highlight w:val="none"/>
              </w:rPr>
            </w:r>
            <w:r/>
          </w:p>
          <w:p>
            <w:pPr>
              <w:pStyle w:val="734"/>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入料口尺寸：190*100mm;切片厚度及效率：3.5--5.5mm、300-400kg/h；铜芯电机。</w:t>
            </w:r>
            <w:r>
              <w:rPr>
                <w:highlight w:val="none"/>
              </w:rPr>
            </w:r>
            <w:r/>
          </w:p>
          <w:p>
            <w:pPr>
              <w:pStyle w:val="734"/>
              <w:rPr>
                <w:color w:val="000000"/>
                <w:highlight w:val="none"/>
              </w:rPr>
            </w:pPr>
            <w:r>
              <w:rPr>
                <w:color w:val="000000"/>
                <w:highlight w:val="none"/>
                <w:lang w:val="en-US"/>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301"/>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4.8pt;height:54.6pt;mso-wrap-distance-left:0.0pt;mso-wrap-distance-top:0.0pt;mso-wrap-distance-right:0.0pt;mso-wrap-distance-bottom:0.0pt;" stroked="f">
                      <v:path textboxrect="0,0,0,0"/>
                      <v:imagedata r:id="rId5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肉类粗加工附件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1.0pt;height:51.2pt;mso-wrap-distance-left:0.0pt;mso-wrap-distance-top:0.0pt;mso-wrap-distance-right:0.0pt;mso-wrap-distance-bottom:0.0pt;" stroked="f">
                      <v:path textboxrect="0,0,0,0"/>
                      <v:imagedata r:id="rId56"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479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8.6pt;height:48.4pt;mso-wrap-distance-left:0.0pt;mso-wrap-distance-top:0.0pt;mso-wrap-distance-right:0.0pt;mso-wrap-distance-bottom:0.0pt;" stroked="f">
                      <v:path textboxrect="0,0,0,0"/>
                      <v:imagedata r:id="rId57"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9.5pt;height:49.5pt;mso-wrap-distance-left:0.0pt;mso-wrap-distance-top:0.0pt;mso-wrap-distance-right:0.0pt;mso-wrap-distance-bottom:0.0pt;" stroked="f">
                      <v:path textboxrect="0,0,0,0"/>
                      <v:imagedata r:id="rId58"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水产粗加工</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8.3pt;height:54.4pt;mso-wrap-distance-left:0.0pt;mso-wrap-distance-top:0.0pt;mso-wrap-distance-right:0.0pt;mso-wrap-distance-bottom:0.0pt;" stroked="f">
                      <v:path textboxrect="0,0,0,0"/>
                      <v:imagedata r:id="rId5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宰杀工作台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107440" cy="777850"/>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107440" cy="77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87.2pt;height:61.2pt;mso-wrap-distance-left:0.0pt;mso-wrap-distance-top:0.0pt;mso-wrap-distance-right:0.0pt;mso-wrap-distance-bottom:0.0pt;" stroked="f">
                      <v:path textboxrect="0,0,0,0"/>
                      <v:imagedata r:id="rId60" o:title=""/>
                    </v:shape>
                  </w:pict>
                </mc:Fallback>
              </mc:AlternateConten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1911"/>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95764" cy="691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4.8pt;height:54.5pt;mso-wrap-distance-left:0.0pt;mso-wrap-distance-top:0.0pt;mso-wrap-distance-right:0.0pt;mso-wrap-distance-bottom:0.0pt;" stroked="f">
                      <v:path textboxrect="0,0,0,0"/>
                      <v:imagedata r:id="rId6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水产粗加工附件</w: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9368"/>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0pt;height:51.1pt;mso-wrap-distance-left:0.0pt;mso-wrap-distance-top:0.0pt;mso-wrap-distance-right:0.0pt;mso-wrap-distance-bottom:0.0pt;" stroked="f">
                      <v:path textboxrect="0,0,0,0"/>
                      <v:imagedata r:id="rId62" o:title=""/>
                    </v:shape>
                  </w:pict>
                </mc:Fallback>
              </mc:AlternateContent>
            </w:r>
            <w:r>
              <w:rPr>
                <w:highlight w:val="none"/>
              </w:rPr>
            </w:r>
            <w:r/>
          </w:p>
        </w:tc>
      </w:tr>
      <w:tr>
        <w:trPr>
          <w:trHeight w:val="144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8.6pt;height:48.6pt;mso-wrap-distance-left:0.0pt;mso-wrap-distance-top:0.0pt;mso-wrap-distance-right:0.0pt;mso-wrap-distance-bottom:0.0pt;" stroked="f">
                      <v:path textboxrect="0,0,0,0"/>
                      <v:imagedata r:id="rId63"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9.5pt;height:49.5pt;mso-wrap-distance-left:0.0pt;mso-wrap-distance-top:0.0pt;mso-wrap-distance-right:0.0pt;mso-wrap-distance-bottom:0.0pt;" stroked="f">
                      <v:path textboxrect="0,0,0,0"/>
                      <v:imagedata r:id="rId64"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蔬菜粗加工</w: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四层冲孔菜架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399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67783"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8.3pt;height:54.6pt;mso-wrap-distance-left:0.0pt;mso-wrap-distance-top:0.0pt;mso-wrap-distance-right:0.0pt;mso-wrap-distance-bottom:0.0pt;" stroked="f">
                      <v:path textboxrect="0,0,0,0"/>
                      <v:imagedata r:id="rId65"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99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4.8pt;height:54.6pt;mso-wrap-distance-left:0.0pt;mso-wrap-distance-top:0.0pt;mso-wrap-distance-right:0.0pt;mso-wrap-distance-bottom:0.0pt;" stroked="f">
                      <v:path textboxrect="0,0,0,0"/>
                      <v:imagedata r:id="rId66"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大号圆盘式切菜机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仿人工切馅，加厚机身，可移动脚</w:t>
            </w:r>
            <w:r>
              <w:rPr>
                <w:rFonts w:hint="eastAsia" w:ascii="宋体" w:hAnsi="宋体" w:eastAsia="宋体" w:cs="宋体"/>
                <w:b w:val="0"/>
                <w:bCs w:val="0"/>
                <w:i w:val="0"/>
                <w:iCs w:val="0"/>
                <w:color w:val="000000"/>
                <w:sz w:val="21"/>
                <w:szCs w:val="21"/>
                <w:highlight w:val="none"/>
                <w:u w:val="none"/>
                <w:lang w:val="en-US" w:eastAsia="zh-CN" w:bidi="ar"/>
              </w:rPr>
              <w:t xml:space="preserve">轮；功率1.5-2kw ;效率300kg/h；大功率铜芯电机，机身不锈钢。</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3740" cy="71008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13740" cy="710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6.2pt;height:55.9pt;mso-wrap-distance-left:0.0pt;mso-wrap-distance-top:0.0pt;mso-wrap-distance-right:0.0pt;mso-wrap-distance-bottom:0.0pt;" stroked="f">
                      <v:path textboxrect="0,0,0,0"/>
                      <v:imagedata r:id="rId67"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6.4pt;height:56.2pt;mso-wrap-distance-left:0.0pt;mso-wrap-distance-top:0.0pt;mso-wrap-distance-right:0.0pt;mso-wrap-distance-bottom:0.0pt;" stroked="f">
                      <v:path textboxrect="0,0,0,0"/>
                      <v:imagedata r:id="rId68"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蔬菜粗加工附件</w: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9368"/>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1.0pt;height:51.1pt;mso-wrap-distance-left:0.0pt;mso-wrap-distance-top:0.0pt;mso-wrap-distance-right:0.0pt;mso-wrap-distance-bottom:0.0pt;" stroked="f">
                      <v:path textboxrect="0,0,0,0"/>
                      <v:imagedata r:id="rId69"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8.6pt;height:48.7pt;mso-wrap-distance-left:0.0pt;mso-wrap-distance-top:0.0pt;mso-wrap-distance-right:0.0pt;mso-wrap-distance-bottom:0.0pt;" stroked="f">
                      <v:path textboxrect="0,0,0,0"/>
                      <v:imagedata r:id="rId70"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1165"/>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28642" cy="631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9.5pt;height:49.7pt;mso-wrap-distance-left:0.0pt;mso-wrap-distance-top:0.0pt;mso-wrap-distance-right:0.0pt;mso-wrap-distance-bottom:0.0pt;" stroked="f">
                      <v:path textboxrect="0,0,0,0"/>
                      <v:imagedata r:id="rId7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切配间</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8.3pt;height:54.4pt;mso-wrap-distance-left:0.0pt;mso-wrap-distance-top:0.0pt;mso-wrap-distance-right:0.0pt;mso-wrap-distance-bottom:0.0pt;" stroked="f">
                      <v:path textboxrect="0,0,0,0"/>
                      <v:imagedata r:id="rId72"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双门平台雪柜（冷藏）</w:t>
            </w:r>
            <w:r>
              <w:rPr>
                <w:highlight w:val="none"/>
              </w:rPr>
            </w:r>
            <w:r/>
          </w:p>
        </w:tc>
        <w:tc>
          <w:tcPr>
            <w:tcW w:w="1906"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57225" cy="658749"/>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8pt;height:51.9pt;mso-wrap-distance-left:0.0pt;mso-wrap-distance-top:0.0pt;mso-wrap-distance-right:0.0pt;mso-wrap-distance-bottom:0.0pt;" stroked="f">
                      <v:path textboxrect="0,0,0,0"/>
                      <v:imagedata r:id="rId73" o:title=""/>
                    </v:shape>
                  </w:pict>
                </mc:Fallback>
              </mc:AlternateContent>
            </w:r>
            <w:r>
              <w:rPr>
                <w:highlight w:val="none"/>
              </w:rPr>
            </w:r>
            <w:r/>
          </w:p>
        </w:tc>
      </w:tr>
      <w:tr>
        <w:trPr>
          <w:trHeight w:val="1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大单星盆水池（平背）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764"/>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9.5pt;height:54.8pt;mso-wrap-distance-left:0.0pt;mso-wrap-distance-top:0.0pt;mso-wrap-distance-right:0.0pt;mso-wrap-distance-bottom:0.0pt;" stroked="f">
                      <v:path textboxrect="0,0,0,0"/>
                      <v:imagedata r:id="rId74"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0911"/>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742950" cy="670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8.5pt;height:52.8pt;mso-wrap-distance-left:0.0pt;mso-wrap-distance-top:0.0pt;mso-wrap-distance-right:0.0pt;mso-wrap-distance-bottom:0.0pt;" stroked="f">
                      <v:path textboxrect="0,0,0,0"/>
                      <v:imagedata r:id="rId7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0pt;height:51.2pt;mso-wrap-distance-left:0.0pt;mso-wrap-distance-top:0.0pt;mso-wrap-distance-right:0.0pt;mso-wrap-distance-bottom:0.0pt;" stroked="f">
                      <v:path textboxrect="0,0,0,0"/>
                      <v:imagedata r:id="rId76"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8.6pt;height:48.6pt;mso-wrap-distance-left:0.0pt;mso-wrap-distance-top:0.0pt;mso-wrap-distance-right:0.0pt;mso-wrap-distance-bottom:0.0pt;" stroked="f">
                      <v:path textboxrect="0,0,0,0"/>
                      <v:imagedata r:id="rId77"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9.5pt;height:49.6pt;mso-wrap-distance-left:0.0pt;mso-wrap-distance-top:0.0pt;mso-wrap-distance-right:0.0pt;mso-wrap-distance-bottom:0.0pt;" stroked="f">
                      <v:path textboxrect="0,0,0,0"/>
                      <v:imagedata r:id="rId78"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烹饪区</w:t>
            </w:r>
            <w:r>
              <w:rPr>
                <w:highlight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燃气三门海鲜蒸柜（带熄火保护）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1200*900*1850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1、整体采用304-2B无磁不锈钢制造；</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2、采用不锈钢火排炉头，一键启动，程序自动点火；</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3、采用静音耐高温风机，功率/电压：220V/120W；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4、配自动进水及防干烧系统，和风机故障溢火保护系统；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5、配燃气熄火保护装置；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6、密封条采用食品级硅胶条；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7、横杆不锈钢门锁；</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8、上下柜体分体式；</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9、直排式加大排水口。</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38175" cy="877852"/>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38175" cy="877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0.2pt;height:69.1pt;mso-wrap-distance-left:0.0pt;mso-wrap-distance-top:0.0pt;mso-wrap-distance-right:0.0pt;mso-wrap-distance-bottom:0.0pt;" stroked="f">
                      <v:path textboxrect="0,0,0,0"/>
                      <v:imagedata r:id="rId79"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400*1000*800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5175" cy="672937"/>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05175"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5.5pt;height:53.0pt;mso-wrap-distance-left:0.0pt;mso-wrap-distance-top:0.0pt;mso-wrap-distance-right:0.0pt;mso-wrap-distance-bottom:0.0pt;" stroked="f">
                      <v:path textboxrect="0,0,0,0"/>
                      <v:imagedata r:id="rId80"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燃气·双头单尾广式灶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1800*1000*800/400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材料：1.0mm厚304不锈钢制作，珐纹处理，配可调性不锈钢子弹脚；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炉头：节能炉头，独立带长明火种设置，安装可靠；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炉心：球墨铸铁，带熄火保护。</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68837" cy="668160"/>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668837" cy="66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2.7pt;height:52.6pt;mso-wrap-distance-left:0.0pt;mso-wrap-distance-top:0.0pt;mso-wrap-distance-right:0.0pt;mso-wrap-distance-bottom:0.0pt;" stroked="f">
                      <v:path textboxrect="0,0,0,0"/>
                      <v:imagedata r:id="rId81" o:title=""/>
                    </v:shape>
                  </w:pict>
                </mc:Fallback>
              </mc:AlternateConten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燃气六眼加长加宽煲仔炉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1200*1000*800/120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材料：1.0mm厚304不锈钢制作，配可调性不锈钢子弹脚；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炉头：节能炉头，带熄火保护；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炉体：加长加宽可适用更多锅具。</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1911" cy="691217"/>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91911"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4.5pt;height:54.4pt;mso-wrap-distance-left:0.0pt;mso-wrap-distance-top:0.0pt;mso-wrap-distance-right:0.0pt;mso-wrap-distance-bottom:0.0pt;" stroked="f">
                      <v:path textboxrect="0,0,0,0"/>
                      <v:imagedata r:id="rId82" o:title=""/>
                    </v:shape>
                  </w:pict>
                </mc:Fallback>
              </mc:AlternateContent>
            </w:r>
            <w:r>
              <w:rPr>
                <w:highlight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80燃气单头大锅灶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1050*1150*800/400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材料：1.0mm厚304不锈钢制作，设有摇摆龙头；前部设有排水槽；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炉膛与炮台一体式设计，静音节能燃烧器热效率不低于40%，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配安全全自动点火系统,鼓风式风机。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0718" cy="730592"/>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80071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3.0pt;height:57.5pt;mso-wrap-distance-left:0.0pt;mso-wrap-distance-top:0.0pt;mso-wrap-distance-right:0.0pt;mso-wrap-distance-bottom:0.0pt;" stroked="f">
                      <v:path textboxrect="0,0,0,0"/>
                      <v:imagedata r:id="rId83"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400*1150*800/100/400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5175" cy="674964"/>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05175"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5.5pt;height:53.1pt;mso-wrap-distance-left:0.0pt;mso-wrap-distance-top:0.0pt;mso-wrap-distance-right:0.0pt;mso-wrap-distance-bottom:0.0pt;" stroked="f">
                      <v:path textboxrect="0,0,0,0"/>
                      <v:imagedata r:id="rId84"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6.4pt;height:56.2pt;mso-wrap-distance-left:0.0pt;mso-wrap-distance-top:0.0pt;mso-wrap-distance-right:0.0pt;mso-wrap-distance-bottom:0.0pt;" stroked="f">
                      <v:path textboxrect="0,0,0,0"/>
                      <v:imagedata r:id="rId85"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双通工作台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1、台面板采用304标厚1.2mm不锈钢板，配≥标厚1.2mm做加强筋；</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2、层板采用304标厚1.0mm不锈钢板；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3、台脚采用Ф50mm标厚1.2mm不锈钢矩管,配可调性不锈钢子弹脚；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4、面板下面采用20mm木工板。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2596" cy="62613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972596" cy="626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6.6pt;height:49.3pt;mso-wrap-distance-left:0.0pt;mso-wrap-distance-top:0.0pt;mso-wrap-distance-right:0.0pt;mso-wrap-distance-bottom:0.0pt;" stroked="f">
                      <v:path textboxrect="0,0,0,0"/>
                      <v:imagedata r:id="rId86"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烹饪区附件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1.0pt;height:51.2pt;mso-wrap-distance-left:0.0pt;mso-wrap-distance-top:0.0pt;mso-wrap-distance-right:0.0pt;mso-wrap-distance-bottom:0.0pt;" stroked="f">
                      <v:path textboxrect="0,0,0,0"/>
                      <v:imagedata r:id="rId87"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030"/>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16649" cy="61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8.6pt;height:48.5pt;mso-wrap-distance-left:0.0pt;mso-wrap-distance-top:0.0pt;mso-wrap-distance-right:0.0pt;mso-wrap-distance-bottom:0.0pt;" stroked="f">
                      <v:path textboxrect="0,0,0,0"/>
                      <v:imagedata r:id="rId88" o:title=""/>
                    </v:shape>
                  </w:pict>
                </mc:Fallback>
              </mc:AlternateContent>
            </w:r>
            <w:r>
              <w:rPr>
                <w:highlight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8.1pt;height:48.2pt;mso-wrap-distance-left:0.0pt;mso-wrap-distance-top:0.0pt;mso-wrap-distance-right:0.0pt;mso-wrap-distance-bottom:0.0pt;" stroked="f">
                      <v:path textboxrect="0,0,0,0"/>
                      <v:imagedata r:id="rId89"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面点加工区/特色面点间</w: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滚筒：304不锈钢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398" cy="699916"/>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01398" cy="6999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5.2pt;height:55.1pt;mso-wrap-distance-left:0.0pt;mso-wrap-distance-top:0.0pt;mso-wrap-distance-right:0.0pt;mso-wrap-distance-bottom:0.0pt;" stroked="f">
                      <v:path textboxrect="0,0,0,0"/>
                      <v:imagedata r:id="rId90" o:title=""/>
                    </v:shape>
                  </w:pict>
                </mc:Fallback>
              </mc:AlternateConten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和面机（双动双速）</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 : 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 : 50L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8833" cy="718109"/>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18833" cy="71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6.6pt;height:56.5pt;mso-wrap-distance-left:0.0pt;mso-wrap-distance-top:0.0pt;mso-wrap-distance-right:0.0pt;mso-wrap-distance-bottom:0.0pt;" stroked="f">
                      <v:path textboxrect="0,0,0,0"/>
                      <v:imagedata r:id="rId91" o:title=""/>
                    </v:shape>
                  </w:pict>
                </mc:Fallback>
              </mc:AlternateContent>
            </w:r>
            <w:r>
              <w:rPr>
                <w:highlight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搅拌机</w:t>
            </w:r>
            <w:r>
              <w:rPr>
                <w:highlight w:val="none"/>
              </w:rPr>
            </w:r>
            <w:r/>
          </w:p>
        </w:tc>
        <w:tc>
          <w:tcPr>
            <w:tcW w:w="1906"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ascii="宋体" w:hAnsi="宋体" w:eastAsia="宋体" w:cs="宋体"/>
                <w:i w:val="0"/>
                <w:iCs w:val="0"/>
                <w:color w:val="000000"/>
                <w:sz w:val="21"/>
                <w:szCs w:val="21"/>
                <w:highlight w:val="none"/>
                <w:u w:val="none"/>
                <w:lang w:val="en-US"/>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singl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额定电压：220V；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料桶容积：≥30L。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28290" cy="735521"/>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7.3pt;height:57.9pt;mso-wrap-distance-left:0.0pt;mso-wrap-distance-top:0.0pt;mso-wrap-distance-right:0.0pt;mso-wrap-distance-bottom:0.0pt;" stroked="f">
                      <v:path textboxrect="0,0,0,0"/>
                      <v:imagedata r:id="rId92"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十三层醒发箱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1、温湿双控，一体水箱；</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2、可视玻璃，恒温恒湿；电压：220V。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3、电子控温，内部采用304不锈钢板材定制，触摸式控制面板，可调节温度、湿度、时间。可容纳不少于12个不锈钢托盘(尺寸390*590或400*600mm)。</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ascii="宋体" w:hAnsi="宋体" w:eastAsia="宋体" w:cs="宋体"/>
                <w:i w:val="0"/>
                <w:iCs w:val="0"/>
                <w:color w:val="000000"/>
                <w:sz w:val="21"/>
                <w:szCs w:val="21"/>
                <w:highlight w:val="none"/>
                <w:u w:val="none"/>
                <w:lang w:val="en-US" w:eastAsia="zh-CN" w:bidi="ar"/>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8707" cy="624878"/>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78707" cy="6248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1.3pt;height:49.2pt;mso-wrap-distance-left:0.0pt;mso-wrap-distance-top:0.0pt;mso-wrap-distance-right:0.0pt;mso-wrap-distance-bottom:0.0pt;" stroked="f">
                      <v:path textboxrect="0,0,0,0"/>
                      <v:imagedata r:id="rId93" o:title=""/>
                    </v:shape>
                  </w:pict>
                </mc:Fallback>
              </mc:AlternateContent>
            </w:r>
            <w:r>
              <w:rPr>
                <w:highlight w:val="none"/>
              </w:rPr>
            </w:r>
            <w:r/>
          </w:p>
        </w:tc>
      </w:tr>
      <w:tr>
        <w:trPr>
          <w:trHeight w:val="72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w:t>
            </w:r>
            <w:r>
              <w:rPr>
                <w:highlight w:val="none"/>
              </w:rPr>
            </w:r>
            <w:r/>
          </w:p>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w:t>
            </w:r>
            <w:r>
              <w:rPr>
                <w:highlight w:val="none"/>
              </w:rPr>
            </w:r>
            <w:r/>
          </w:p>
          <w:p>
            <w:pPr>
              <w:pStyle w:val="714"/>
              <w:jc w:val="center"/>
              <w:keepLines w:val="0"/>
              <w:keepNext w:val="0"/>
              <w:widowControl/>
              <w:rPr>
                <w:rFonts w:ascii="宋体" w:hAnsi="宋体" w:eastAsia="宋体" w:cs="宋体"/>
                <w:i w:val="0"/>
                <w:iCs w:val="0"/>
                <w:color w:val="ff0000"/>
                <w:sz w:val="21"/>
                <w:szCs w:val="21"/>
                <w:highlight w:val="none"/>
                <w:u w:val="none"/>
              </w:rPr>
              <w:suppressLineNumbers w:val="0"/>
            </w:pPr>
            <w:r>
              <w:rPr>
                <w:rFonts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highlight w:val="none"/>
              </w:rPr>
            </w:r>
            <w:r/>
          </w:p>
          <w:p>
            <w:pPr>
              <w:pStyle w:val="714"/>
              <w:jc w:val="both"/>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 风冷，冷凝化霜水自蒸发，无需外接排水。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274" cy="862675"/>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865274"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8.1pt;height:67.9pt;mso-wrap-distance-left:0.0pt;mso-wrap-distance-top:0.0pt;mso-wrap-distance-right:0.0pt;mso-wrap-distance-bottom:0.0pt;" stroked="f">
                      <v:path textboxrect="0,0,0,0"/>
                      <v:imagedata r:id="rId94"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双门平台雪柜（冷冻）</w:t>
            </w:r>
            <w:r>
              <w:rPr>
                <w:highlight w:val="none"/>
              </w:rPr>
            </w:r>
            <w:r/>
          </w:p>
          <w:p>
            <w:pPr>
              <w:pStyle w:val="714"/>
              <w:jc w:val="center"/>
              <w:keepLines w:val="0"/>
              <w:keepNext w:val="0"/>
              <w:widowControl/>
              <w:rPr>
                <w:rFonts w:ascii="宋体" w:hAnsi="宋体" w:eastAsia="宋体" w:cs="宋体"/>
                <w:i w:val="0"/>
                <w:iCs w:val="0"/>
                <w:color w:val="ff0000"/>
                <w:sz w:val="21"/>
                <w:szCs w:val="21"/>
                <w:highlight w:val="none"/>
                <w:u w:val="none"/>
              </w:rPr>
              <w:suppressLineNumbers w:val="0"/>
            </w:pPr>
            <w:r>
              <w:rPr>
                <w:rFonts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57225" cy="658749"/>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8pt;height:51.9pt;mso-wrap-distance-left:0.0pt;mso-wrap-distance-top:0.0pt;mso-wrap-distance-right:0.0pt;mso-wrap-distance-bottom:0.0pt;" stroked="f">
                      <v:path textboxrect="0,0,0,0"/>
                      <v:imagedata r:id="rId95" o:title=""/>
                    </v:shape>
                  </w:pict>
                </mc:Fallback>
              </mc:AlternateConten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9.5pt;height:55.0pt;mso-wrap-distance-left:0.0pt;mso-wrap-distance-top:0.0pt;mso-wrap-distance-right:0.0pt;mso-wrap-distance-bottom:0.0pt;" stroked="f">
                      <v:path textboxrect="0,0,0,0"/>
                      <v:imagedata r:id="rId96"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6.4pt;height:56.2pt;mso-wrap-distance-left:0.0pt;mso-wrap-distance-top:0.0pt;mso-wrap-distance-right:0.0pt;mso-wrap-distance-bottom:0.0pt;" stroked="f">
                      <v:path textboxrect="0,0,0,0"/>
                      <v:imagedata r:id="rId97" o:title=""/>
                    </v:shape>
                  </w:pict>
                </mc:Fallback>
              </mc:AlternateContent>
            </w:r>
            <w:r>
              <w:rPr>
                <w:highlight w:val="none"/>
              </w:rPr>
            </w:r>
            <w:r/>
          </w:p>
        </w:tc>
      </w:tr>
      <w:tr>
        <w:trPr>
          <w:trHeight w:val="1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三层六盘电烤箱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层数：3；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每层烤盘数量：2；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烤盘尺寸（mm）：400*600；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功率（KW）：≥15KW；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电压：三相五线。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62000" cy="76200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620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0pt;height:60.0pt;mso-wrap-distance-left:0.0pt;mso-wrap-distance-top:0.0pt;mso-wrap-distance-right:0.0pt;mso-wrap-distance-bottom:0.0pt;" stroked="f">
                      <v:path textboxrect="0,0,0,0"/>
                      <v:imagedata r:id="rId98"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电饼铛</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电压：220V/380V两用，功率：5KW；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高</w:t>
            </w:r>
            <w:r>
              <w:rPr>
                <w:rFonts w:hint="eastAsia" w:ascii="宋体" w:hAnsi="宋体" w:eastAsia="宋体" w:cs="宋体"/>
                <w:b w:val="0"/>
                <w:bCs w:val="0"/>
                <w:i w:val="0"/>
                <w:iCs w:val="0"/>
                <w:color w:val="000000"/>
                <w:sz w:val="21"/>
                <w:szCs w:val="21"/>
                <w:highlight w:val="none"/>
                <w:u w:val="none"/>
                <w:lang w:val="en-US" w:eastAsia="zh-CN" w:bidi="ar"/>
              </w:rPr>
              <w:t xml:space="preserve">密度铝锅聚能发热管。</w:t>
            </w:r>
            <w:r>
              <w:rPr>
                <w:highlight w:val="none"/>
              </w:rPr>
            </w:r>
            <w:r/>
          </w:p>
          <w:p>
            <w:pPr>
              <w:pStyle w:val="734"/>
              <w:jc w:val="both"/>
              <w:rPr>
                <w:highlight w:val="none"/>
              </w:rPr>
            </w:pPr>
            <w:r>
              <w:rPr>
                <w:rFonts w:ascii="宋体" w:hAnsi="宋体" w:eastAsia="宋体" w:cs="宋体"/>
                <w:b w:val="0"/>
                <w:bCs w:val="0"/>
                <w:i w:val="0"/>
                <w:iCs w:val="0"/>
                <w:color w:val="000000"/>
                <w:sz w:val="21"/>
                <w:szCs w:val="21"/>
                <w:highlight w:val="none"/>
                <w:u w:val="none"/>
                <w:lang w:val="en-US" w:eastAsia="zh-CN" w:bidi="ar"/>
              </w:rPr>
              <w:t xml:space="preserve">饼铛锅直径：</w:t>
            </w: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t xml:space="preserve">6</w:t>
            </w:r>
            <w:r>
              <w:rPr>
                <w:rFonts w:ascii="宋体" w:hAnsi="宋体" w:eastAsia="宋体" w:cs="宋体"/>
                <w:b w:val="0"/>
                <w:bCs w:val="0"/>
                <w:i w:val="0"/>
                <w:iCs w:val="0"/>
                <w:color w:val="000000"/>
                <w:sz w:val="21"/>
                <w:szCs w:val="21"/>
                <w:highlight w:val="none"/>
                <w:u w:val="none"/>
                <w:lang w:val="en-US" w:eastAsia="zh-CN" w:bidi="ar"/>
              </w:rPr>
              <w:t xml:space="preserve">0 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600039"/>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562303"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4.3pt;height:47.2pt;mso-wrap-distance-left:0.0pt;mso-wrap-distance-top:0.0pt;mso-wrap-distance-right:0.0pt;mso-wrap-distance-bottom:0.0pt;" stroked="f">
                      <v:path textboxrect="0,0,0,0"/>
                      <v:imagedata r:id="rId99"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燃气节能三眼蒸包炉</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650*650*750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带熄火保护功能，材质：不锈钢；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循环加热，升温迅速，加厚板材，节能高效。</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24531" cy="59944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24531"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4.9pt;height:47.2pt;mso-wrap-distance-left:0.0pt;mso-wrap-distance-top:0.0pt;mso-wrap-distance-right:0.0pt;mso-wrap-distance-bottom:0.0pt;" stroked="f">
                      <v:path textboxrect="0,0,0,0"/>
                      <v:imagedata r:id="rId100"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4964"/>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8.5pt;height:53.1pt;mso-wrap-distance-left:0.0pt;mso-wrap-distance-top:0.0pt;mso-wrap-distance-right:0.0pt;mso-wrap-distance-bottom:0.0pt;" stroked="f">
                      <v:path textboxrect="0,0,0,0"/>
                      <v:imagedata r:id="rId101"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252"/>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629890"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9.6pt;height:49.5pt;mso-wrap-distance-left:0.0pt;mso-wrap-distance-top:0.0pt;mso-wrap-distance-right:0.0pt;mso-wrap-distance-bottom:0.0pt;" stroked="f">
                      <v:path textboxrect="0,0,0,0"/>
                      <v:imagedata r:id="rId102"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波长：200～290nm；强力杀菌，效率高。</w:t>
            </w:r>
            <w:r>
              <w:rPr>
                <w:rFonts w:hint="eastAsia" w:ascii="宋体" w:hAnsi="宋体" w:eastAsia="宋体" w:cs="宋体"/>
                <w:b/>
                <w:bCs/>
                <w:i w:val="0"/>
                <w:iCs w:val="0"/>
                <w:color w:val="000000"/>
                <w:sz w:val="21"/>
                <w:szCs w:val="21"/>
                <w:highlight w:val="none"/>
                <w:u w:val="none"/>
                <w:lang w:val="en-US" w:eastAsia="zh-CN" w:bidi="ar"/>
              </w:rPr>
              <w:t xml:space="preserve">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37.4pt;height:37.6pt;mso-wrap-distance-left:0.0pt;mso-wrap-distance-top:0.0pt;mso-wrap-distance-right:0.0pt;mso-wrap-distance-bottom:0.0pt;" stroked="f">
                      <v:path textboxrect="0,0,0,0"/>
                      <v:imagedata r:id="rId103"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面点加工区/特色面点间附件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0pt;height:51.2pt;mso-wrap-distance-left:0.0pt;mso-wrap-distance-top:0.0pt;mso-wrap-distance-right:0.0pt;mso-wrap-distance-bottom:0.0pt;" stroked="f">
                      <v:path textboxrect="0,0,0,0"/>
                      <v:imagedata r:id="rId104"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8.6pt;height:48.6pt;mso-wrap-distance-left:0.0pt;mso-wrap-distance-top:0.0pt;mso-wrap-distance-right:0.0pt;mso-wrap-distance-bottom:0.0pt;" stroked="f">
                      <v:path textboxrect="0,0,0,0"/>
                      <v:imagedata r:id="rId105" o:title=""/>
                    </v:shape>
                  </w:pict>
                </mc:Fallback>
              </mc:AlternateContent>
            </w:r>
            <w:r>
              <w:rPr>
                <w:highlight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8.1pt;height:48.2pt;mso-wrap-distance-left:0.0pt;mso-wrap-distance-top:0.0pt;mso-wrap-distance-right:0.0pt;mso-wrap-distance-bottom:0.0pt;" stroked="f">
                      <v:path textboxrect="0,0,0,0"/>
                      <v:imagedata r:id="rId106"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预进间/备餐间/套餐售卖区</w: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9.5pt;height:55.0pt;mso-wrap-distance-left:0.0pt;mso-wrap-distance-top:0.0pt;mso-wrap-distance-right:0.0pt;mso-wrap-distance-bottom:0.0pt;" stroked="f">
                      <v:path textboxrect="0,0,0,0"/>
                      <v:imagedata r:id="rId107"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6.4pt;height:56.2pt;mso-wrap-distance-left:0.0pt;mso-wrap-distance-top:0.0pt;mso-wrap-distance-right:0.0pt;mso-wrap-distance-bottom:0.0pt;" stroked="f">
                      <v:path textboxrect="0,0,0,0"/>
                      <v:imagedata r:id="rId108" o:title=""/>
                    </v:shape>
                  </w:pict>
                </mc:Fallback>
              </mc:AlternateConten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738"/>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0.5pt;height:69.2pt;mso-wrap-distance-left:0.0pt;mso-wrap-distance-top:0.0pt;mso-wrap-distance-right:0.0pt;mso-wrap-distance-bottom:0.0pt;" stroked="f">
                      <v:path textboxrect="0,0,0,0"/>
                      <v:imagedata r:id="rId109"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6.4pt;height:56.1pt;mso-wrap-distance-left:0.0pt;mso-wrap-distance-top:0.0pt;mso-wrap-distance-right:0.0pt;mso-wrap-distance-bottom:0.0pt;" stroked="f">
                      <v:path textboxrect="0,0,0,0"/>
                      <v:imagedata r:id="rId110"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优质不锈钢制作，电压：220v</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规格：配食品级1/1份数盘4只</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7861"/>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734778" cy="737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7.9pt;height:58.1pt;mso-wrap-distance-left:0.0pt;mso-wrap-distance-top:0.0pt;mso-wrap-distance-right:0.0pt;mso-wrap-distance-bottom:0.0pt;" stroked="f">
                      <v:path textboxrect="0,0,0,0"/>
                      <v:imagedata r:id="rId111" o:title=""/>
                    </v:shape>
                  </w:pict>
                </mc:Fallback>
              </mc:AlternateContent>
            </w:r>
            <w:r>
              <w:rPr>
                <w:highlight w:val="none"/>
              </w:rPr>
            </w:r>
            <w:r/>
          </w:p>
        </w:tc>
      </w:tr>
      <w:tr>
        <w:trPr>
          <w:trHeight w:val="13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留样冰箱</w:t>
            </w:r>
            <w:r>
              <w:rPr>
                <w:highlight w:val="none"/>
              </w:rPr>
            </w:r>
            <w:r/>
          </w:p>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rPr>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b w:val="0"/>
                <w:bCs w:val="0"/>
                <w:color w:val="000000"/>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温度范围：冷藏0~ 10℃；电压：220V；容积：180-270L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内外为全不锈钢材料,防锈抗腐。</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5703" cy="745703"/>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745703" cy="7457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8.7pt;height:58.7pt;mso-wrap-distance-left:0.0pt;mso-wrap-distance-top:0.0pt;mso-wrap-distance-right:0.0pt;mso-wrap-distance-bottom:0.0pt;" stroked="f">
                      <v:path textboxrect="0,0,0,0"/>
                      <v:imagedata r:id="rId112"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37.4pt;height:37.6pt;mso-wrap-distance-left:0.0pt;mso-wrap-distance-top:0.0pt;mso-wrap-distance-right:0.0pt;mso-wrap-distance-bottom:0.0pt;" stroked="f">
                      <v:path textboxrect="0,0,0,0"/>
                      <v:imagedata r:id="rId113" o:title=""/>
                    </v:shape>
                  </w:pict>
                </mc:Fallback>
              </mc:AlternateContent>
            </w:r>
            <w:r>
              <w:rPr>
                <w:highlight w:val="none"/>
              </w:rPr>
            </w:r>
            <w:r/>
          </w:p>
        </w:tc>
      </w:tr>
      <w:tr>
        <w:trPr>
          <w:trHeight w:val="45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预进间/备餐间/套餐售卖区 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1.0pt;height:51.2pt;mso-wrap-distance-left:0.0pt;mso-wrap-distance-top:0.0pt;mso-wrap-distance-right:0.0pt;mso-wrap-distance-bottom:0.0pt;" stroked="f">
                      <v:path textboxrect="0,0,0,0"/>
                      <v:imagedata r:id="rId114"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4790"/>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8.6pt;height:48.4pt;mso-wrap-distance-left:0.0pt;mso-wrap-distance-top:0.0pt;mso-wrap-distance-right:0.0pt;mso-wrap-distance-bottom:0.0pt;" stroked="f">
                      <v:path textboxrect="0,0,0,0"/>
                      <v:imagedata r:id="rId115"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9.5pt;height:49.5pt;mso-wrap-distance-left:0.0pt;mso-wrap-distance-top:0.0pt;mso-wrap-distance-right:0.0pt;mso-wrap-distance-bottom:0.0pt;" stroked="f">
                      <v:path textboxrect="0,0,0,0"/>
                      <v:imagedata r:id="rId116"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383"/>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4.3pt;height:37.0pt;mso-wrap-distance-left:0.0pt;mso-wrap-distance-top:0.0pt;mso-wrap-distance-right:0.0pt;mso-wrap-distance-bottom:0.0pt;" stroked="f">
                      <v:path textboxrect="0,0,0,0"/>
                      <v:imagedata r:id="rId117"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烹饪间油烟罩及集烟箱</w: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不锈钢脱排油烟罩（烹饪间）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592"/>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7.9pt;height:57.5pt;mso-wrap-distance-left:0.0pt;mso-wrap-distance-top:0.0pt;mso-wrap-distance-right:0.0pt;mso-wrap-distance-bottom:0.0pt;" stroked="f">
                      <v:path textboxrect="0,0,0,0"/>
                      <v:imagedata r:id="rId118"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800"/>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685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4.0pt;height:54.0pt;mso-wrap-distance-left:0.0pt;mso-wrap-distance-top:0.0pt;mso-wrap-distance-right:0.0pt;mso-wrap-distance-bottom:0.0pt;" stroked="f">
                      <v:path textboxrect="0,0,0,0"/>
                      <v:imagedata r:id="rId119" o:title=""/>
                    </v:shape>
                  </w:pict>
                </mc:Fallback>
              </mc:AlternateConten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不锈钢脱排油烟罩（烹饪间）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4035"/>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34778" cy="734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7.9pt;height:57.8pt;mso-wrap-distance-left:0.0pt;mso-wrap-distance-top:0.0pt;mso-wrap-distance-right:0.0pt;mso-wrap-distance-bottom:0.0pt;" stroked="f">
                      <v:path textboxrect="0,0,0,0"/>
                      <v:imagedata r:id="rId120"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0999"/>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685800" cy="680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4.0pt;height:53.6pt;mso-wrap-distance-left:0.0pt;mso-wrap-distance-top:0.0pt;mso-wrap-distance-right:0.0pt;mso-wrap-distance-bottom:0.0pt;" stroked="f">
                      <v:path textboxrect="0,0,0,0"/>
                      <v:imagedata r:id="rId12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蒸煮间油烟罩及集烟箱</w: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不锈钢脱排油烟罩（蒸煮间）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592"/>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7.9pt;height:57.5pt;mso-wrap-distance-left:0.0pt;mso-wrap-distance-top:0.0pt;mso-wrap-distance-right:0.0pt;mso-wrap-distance-bottom:0.0pt;" stroked="f">
                      <v:path textboxrect="0,0,0,0"/>
                      <v:imagedata r:id="rId122"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4.0pt;height:53.9pt;mso-wrap-distance-left:0.0pt;mso-wrap-distance-top:0.0pt;mso-wrap-distance-right:0.0pt;mso-wrap-distance-bottom:0.0pt;" stroked="f">
                      <v:path textboxrect="0,0,0,0"/>
                      <v:imagedata r:id="rId123" o:title=""/>
                    </v:shape>
                  </w:pict>
                </mc:Fallback>
              </mc:AlternateConten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不锈钢脱排油烟罩（蒸煮间）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491"/>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7.9pt;height:57.5pt;mso-wrap-distance-left:0.0pt;mso-wrap-distance-top:0.0pt;mso-wrap-distance-right:0.0pt;mso-wrap-distance-bottom:0.0pt;" stroked="f">
                      <v:path textboxrect="0,0,0,0"/>
                      <v:imagedata r:id="rId124"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4.0pt;height:53.9pt;mso-wrap-distance-left:0.0pt;mso-wrap-distance-top:0.0pt;mso-wrap-distance-right:0.0pt;mso-wrap-distance-bottom:0.0pt;" stroked="f">
                      <v:path textboxrect="0,0,0,0"/>
                      <v:imagedata r:id="rId12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面点间/洗碗间油烟罩及集烟箱</w: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不锈钢脱排油烟罩（面点间）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8.04</w:t>
            </w:r>
            <w:r>
              <w:rPr>
                <w:highlight w:val="none"/>
              </w:rPr>
            </w:r>
            <w:r/>
          </w:p>
        </w:tc>
        <w:tc>
          <w:tcPr>
            <w:tcW w:w="6074" w:type="dxa"/>
            <w:vAlign w:val="center"/>
            <w:textDirection w:val="lrTb"/>
            <w:noWrap w:val="false"/>
          </w:tcPr>
          <w:p>
            <w:pPr>
              <w:pStyle w:val="714"/>
              <w:jc w:val="left"/>
              <w:keepLines w:val="0"/>
              <w:keepNext w:val="0"/>
              <w:widowControl/>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491"/>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7.9pt;height:57.5pt;mso-wrap-distance-left:0.0pt;mso-wrap-distance-top:0.0pt;mso-wrap-distance-right:0.0pt;mso-wrap-distance-bottom:0.0pt;" stroked="f">
                      <v:path textboxrect="0,0,0,0"/>
                      <v:imagedata r:id="rId126"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4.0pt;height:53.9pt;mso-wrap-distance-left:0.0pt;mso-wrap-distance-top:0.0pt;mso-wrap-distance-right:0.0pt;mso-wrap-distance-bottom:0.0pt;" stroked="f">
                      <v:path textboxrect="0,0,0,0"/>
                      <v:imagedata r:id="rId127" o:title=""/>
                    </v:shape>
                  </w:pict>
                </mc:Fallback>
              </mc:AlternateContent>
            </w:r>
            <w:r>
              <w:rPr>
                <w:highlight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不锈钢脱排油烟罩（洗碗间）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7.9pt;height:57.6pt;mso-wrap-distance-left:0.0pt;mso-wrap-distance-top:0.0pt;mso-wrap-distance-right:0.0pt;mso-wrap-distance-bottom:0.0pt;" stroked="f">
                      <v:path textboxrect="0,0,0,0"/>
                      <v:imagedata r:id="rId128"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4.0pt;height:53.9pt;mso-wrap-distance-left:0.0pt;mso-wrap-distance-top:0.0pt;mso-wrap-distance-right:0.0pt;mso-wrap-distance-bottom:0.0pt;" stroked="f">
                      <v:path textboxrect="0,0,0,0"/>
                      <v:imagedata r:id="rId129"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一层食堂食品安全快检室设备</w:t>
            </w:r>
            <w:r>
              <w:rPr>
                <w:highlight w:val="none"/>
              </w:rPr>
            </w:r>
            <w:r/>
          </w:p>
        </w:tc>
      </w:tr>
      <w:tr>
        <w:trPr>
          <w:trHeight w:val="17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食品安全多功能一体机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胶体金模块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 口：单卡检测口</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重复性：CV≤3 %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准确度：相对误差为：＜1%</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数量存储：不低于8G 容量内存，可存储并测量多个检测项目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可存储500 个以上测试项目，200 万个以上测试数据（可扩展）</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具有数据浏览及查找的功能</w:t>
            </w:r>
            <w:r>
              <w:rPr>
                <w:highlight w:val="none"/>
              </w:rPr>
            </w:r>
            <w:r/>
          </w:p>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分光光度模块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显示方式：触摸屏，不少于7 寸显示屏</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操作系统：安卓7.0 操作系统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检测波长：400-650nm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检测通道：农药残留/理化检测16 通道</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测量光源：LED 光源，节能环保</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吸光度示值范围：0-3.0Abs</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抑制率测量范围：0-100%</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稳定性：≤±0 .01Abs</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准确性：±0 .01Abs</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重复性：≤1%</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检测时间：1-999 秒</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检测方法：酶抑制率法、胶体金法</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阈值设定：可根据使用的不同试剂在0-100%之间设定阳性阈值</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结果判定：采用国家最新颁布的检测标准，内置国标，自动合格判定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 自检功能：具有开机自检和调零功能，具有自动检测重复性功能</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数据存储：具有数据本地保存和导出功能</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数据查询：可按照检测日期和样品编号查阅、打印和删除测量数据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数据上传：具备云服务器接口，检测数据可自动上传云平台，可出具A4纸张报告</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打印功能：内置热敏打印机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通讯接口：RS-232、USB、以太网、wifi 接口</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33859" cy="931583"/>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933859" cy="931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3.5pt;height:73.4pt;mso-wrap-distance-left:0.0pt;mso-wrap-distance-top:0.0pt;mso-wrap-distance-right:0.0pt;mso-wrap-distance-bottom:0.0pt;" stroked="f">
                      <v:path textboxrect="0,0,0,0"/>
                      <v:imagedata r:id="rId130"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标准试验台</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钢木结构长：4.08m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转角1m*1m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51865" cy="711599"/>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951864" cy="711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5.0pt;height:56.0pt;mso-wrap-distance-left:0.0pt;mso-wrap-distance-top:0.0pt;mso-wrap-distance-right:0.0pt;mso-wrap-distance-bottom:0.0pt;" stroked="f">
                      <v:path textboxrect="0,0,0,0"/>
                      <v:imagedata r:id="rId131" o:title=""/>
                    </v:shape>
                  </w:pict>
                </mc:Fallback>
              </mc:AlternateContent>
            </w:r>
            <w:r>
              <w:rPr>
                <w:highlight w:val="none"/>
              </w:rPr>
            </w:r>
            <w:r/>
          </w:p>
        </w:tc>
      </w:tr>
      <w:tr>
        <w:trPr>
          <w:trHeight w:val="10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水浴锅</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双孔</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09196" cy="514228"/>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909195"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1.6pt;height:40.5pt;mso-wrap-distance-left:0.0pt;mso-wrap-distance-top:0.0pt;mso-wrap-distance-right:0.0pt;mso-wrap-distance-bottom:0.0pt;" stroked="f">
                      <v:path textboxrect="0,0,0,0"/>
                      <v:imagedata r:id="rId132"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振荡器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频率50(HZ)</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3542" cy="648711"/>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863542" cy="648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8.0pt;height:51.1pt;mso-wrap-distance-left:0.0pt;mso-wrap-distance-top:0.0pt;mso-wrap-distance-right:0.0pt;mso-wrap-distance-bottom:0.0pt;" stroked="f">
                      <v:path textboxrect="0,0,0,0"/>
                      <v:imagedata r:id="rId133"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含白色大褂、玻璃烧杯25mL10只、移液枪1-5L1把、移液枪100-200μL 1把、移液枪架1把、比色皿10个、吸头盒5mL 1个、吸头盒200μL 1个、比色皿架1个、镊子、过滤纸、漏斗、计时器等</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132840" cy="523763"/>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132840"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9.2pt;height:41.2pt;mso-wrap-distance-left:0.0pt;mso-wrap-distance-top:0.0pt;mso-wrap-distance-right:0.0pt;mso-wrap-distance-bottom:0.0pt;" stroked="f">
                      <v:path textboxrect="0,0,0,0"/>
                      <v:imagedata r:id="rId134" o:title=""/>
                    </v:shape>
                  </w:pict>
                </mc:Fallback>
              </mc:AlternateContent>
            </w:r>
            <w:r>
              <w:rPr>
                <w:highlight w:val="none"/>
              </w:rPr>
            </w:r>
            <w:r/>
          </w:p>
        </w:tc>
      </w:tr>
      <w:tr>
        <w:trPr>
          <w:trHeight w:val="14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离心机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15ml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5000转</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17696" cy="817696"/>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817696" cy="817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4.4pt;height:64.4pt;mso-wrap-distance-left:0.0pt;mso-wrap-distance-top:0.0pt;mso-wrap-distance-right:0.0pt;mso-wrap-distance-bottom:0.0pt;" stroked="f">
                      <v:path textboxrect="0,0,0,0"/>
                      <v:imagedata r:id="rId135" o:title=""/>
                    </v:shape>
                  </w:pict>
                </mc:Fallback>
              </mc:AlternateContent>
            </w:r>
            <w:r>
              <w:rPr>
                <w:highlight w:val="none"/>
              </w:rPr>
            </w:r>
            <w:r/>
          </w:p>
        </w:tc>
      </w:tr>
      <w:tr>
        <w:trPr>
          <w:trHeight w:val="19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试剂冰箱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10139" cy="1083678"/>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810139" cy="1083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63.8pt;height:85.3pt;mso-wrap-distance-left:0.0pt;mso-wrap-distance-top:0.0pt;mso-wrap-distance-right:0.0pt;mso-wrap-distance-bottom:0.0pt;" stroked="f">
                      <v:path textboxrect="0,0,0,0"/>
                      <v:imagedata r:id="rId136" o:title=""/>
                    </v:shape>
                  </w:pict>
                </mc:Fallback>
              </mc:AlternateContent>
            </w:r>
            <w:r>
              <w:rPr>
                <w:highlight w:val="none"/>
              </w:rPr>
            </w:r>
            <w:r/>
          </w:p>
        </w:tc>
      </w:tr>
      <w:tr>
        <w:trPr>
          <w:trHeight w:val="25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超声波清洗机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3个振头</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5754" cy="1432522"/>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805754" cy="14325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3.4pt;height:112.8pt;mso-wrap-distance-left:0.0pt;mso-wrap-distance-top:0.0pt;mso-wrap-distance-right:0.0pt;mso-wrap-distance-bottom:0.0pt;" stroked="f">
                      <v:path textboxrect="0,0,0,0"/>
                      <v:imagedata r:id="rId137" o:title=""/>
                    </v:shape>
                  </w:pict>
                </mc:Fallback>
              </mc:AlternateContent>
            </w:r>
            <w:r>
              <w:rPr>
                <w:highlight w:val="none"/>
              </w:rPr>
            </w:r>
            <w:r/>
          </w:p>
        </w:tc>
      </w:tr>
      <w:tr>
        <w:trPr>
          <w:trHeight w:val="27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升降椅</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实验室专用升降椅</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34847" cy="1487081"/>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834847" cy="1487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5.7pt;height:117.1pt;mso-wrap-distance-left:0.0pt;mso-wrap-distance-top:0.0pt;mso-wrap-distance-right:0.0pt;mso-wrap-distance-bottom:0.0pt;" stroked="f">
                      <v:path textboxrect="0,0,0,0"/>
                      <v:imagedata r:id="rId138" o:title=""/>
                    </v:shape>
                  </w:pict>
                </mc:Fallback>
              </mc:AlternateContent>
            </w:r>
            <w:r>
              <w:rPr>
                <w:highlight w:val="none"/>
              </w:rPr>
            </w:r>
            <w:r/>
          </w:p>
        </w:tc>
      </w:tr>
      <w:tr>
        <w:trPr>
          <w:trHeight w:val="2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电子天平</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0.1g</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6512" cy="1381125"/>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76512"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61.1pt;height:108.8pt;mso-wrap-distance-left:0.0pt;mso-wrap-distance-top:0.0pt;mso-wrap-distance-right:0.0pt;mso-wrap-distance-bottom:0.0pt;" stroked="f">
                      <v:path textboxrect="0,0,0,0"/>
                      <v:imagedata r:id="rId139" o:title=""/>
                    </v:shape>
                  </w:pict>
                </mc:Fallback>
              </mc:AlternateContent>
            </w:r>
            <w:r>
              <w:rPr>
                <w:highlight w:val="none"/>
              </w:rPr>
            </w:r>
            <w:r/>
          </w:p>
        </w:tc>
      </w:tr>
      <w:tr>
        <w:trPr>
          <w:trHeight w:val="16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粉碎机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功率3200w，容量100g-800g</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2282" cy="885190"/>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882282"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9.5pt;height:69.7pt;mso-wrap-distance-left:0.0pt;mso-wrap-distance-top:0.0pt;mso-wrap-distance-right:0.0pt;mso-wrap-distance-bottom:0.0pt;" stroked="f">
                      <v:path textboxrect="0,0,0,0"/>
                      <v:imagedata r:id="rId140"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其它</w:t>
            </w:r>
            <w:r>
              <w:rPr>
                <w:highlight w:val="none"/>
              </w:rPr>
            </w:r>
            <w:r/>
          </w:p>
        </w:tc>
        <w:tc>
          <w:tcPr>
            <w:tcW w:w="1906"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92"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074" w:type="dxa"/>
            <w:vAlign w:val="center"/>
            <w:textDirection w:val="lrTb"/>
            <w:noWrap w:val="false"/>
          </w:tcPr>
          <w:p>
            <w:pPr>
              <w:pStyle w:val="714"/>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2184"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r>
      <w:tr>
        <w:trPr>
          <w:trHeight w:val="15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地沟盖板</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580*300*25</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国标优质1.5mm不锈钢板材定制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9108" cy="615410"/>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619108"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48.7pt;height:48.5pt;mso-wrap-distance-left:0.0pt;mso-wrap-distance-top:0.0pt;mso-wrap-distance-right:0.0pt;mso-wrap-distance-bottom:0.0pt;" stroked="f">
                      <v:path textboxrect="0,0,0,0"/>
                      <v:imagedata r:id="rId141" o:title=""/>
                    </v:shape>
                  </w:pict>
                </mc:Fallback>
              </mc:AlternateContent>
            </w:r>
            <w:r>
              <w:rPr>
                <w:highlight w:val="none"/>
              </w:rPr>
            </w:r>
            <w:r/>
          </w:p>
        </w:tc>
      </w:tr>
      <w:tr>
        <w:trPr>
          <w:trHeight w:val="110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7686"/>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0.0pt;height:93.5pt;mso-wrap-distance-left:0.0pt;mso-wrap-distance-top:0.0pt;mso-wrap-distance-right:0.0pt;mso-wrap-distance-bottom:0.0pt;" stroked="f">
                      <v:path textboxrect="0,0,0,0"/>
                      <v:imagedata r:id="rId142" o:title=""/>
                    </v:shape>
                  </w:pict>
                </mc:Fallback>
              </mc:AlternateContent>
            </w:r>
            <w:r>
              <w:rPr>
                <w:highlight w:val="none"/>
              </w:rPr>
            </w:r>
            <w:r/>
          </w:p>
        </w:tc>
      </w:tr>
      <w:tr>
        <w:trPr>
          <w:trHeight w:val="104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2291"/>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889347" cy="11822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0.0pt;height:93.1pt;mso-wrap-distance-left:0.0pt;mso-wrap-distance-top:0.0pt;mso-wrap-distance-right:0.0pt;mso-wrap-distance-bottom:0.0pt;" stroked="f">
                      <v:path textboxrect="0,0,0,0"/>
                      <v:imagedata r:id="rId143" o:title=""/>
                    </v:shape>
                  </w:pict>
                </mc:Fallback>
              </mc:AlternateContent>
            </w:r>
            <w:r>
              <w:rPr>
                <w:highlight w:val="none"/>
              </w:rPr>
            </w:r>
            <w:r/>
          </w:p>
        </w:tc>
      </w:tr>
      <w:tr>
        <w:trPr>
          <w:trHeight w:val="481"/>
        </w:trPr>
        <w:tc>
          <w:tcPr>
            <w:tcW w:w="638" w:type="dxa"/>
            <w:vAlign w:val="center"/>
            <w:textDirection w:val="lrTb"/>
            <w:noWrap/>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预进间/教工餐厅售卖区/备餐间/包厢备餐间</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9211"/>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56035"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9.5pt;height:55.1pt;mso-wrap-distance-left:0.0pt;mso-wrap-distance-top:0.0pt;mso-wrap-distance-right:0.0pt;mso-wrap-distance-bottom:0.0pt;" stroked="f">
                      <v:path textboxrect="0,0,0,0"/>
                      <v:imagedata r:id="rId14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9.5pt;height:54.8pt;mso-wrap-distance-left:0.0pt;mso-wrap-distance-top:0.0pt;mso-wrap-distance-right:0.0pt;mso-wrap-distance-bottom:0.0pt;" stroked="f">
                      <v:path textboxrect="0,0,0,0"/>
                      <v:imagedata r:id="rId14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6.4pt;height:56.5pt;mso-wrap-distance-left:0.0pt;mso-wrap-distance-top:0.0pt;mso-wrap-distance-right:0.0pt;mso-wrap-distance-bottom:0.0pt;" stroked="f">
                      <v:path textboxrect="0,0,0,0"/>
                      <v:imagedata r:id="rId14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优质不锈钢制作，电压：220v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规格：配食品级1/1份数盘5只</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2057"/>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34778" cy="732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7.9pt;height:57.6pt;mso-wrap-distance-left:0.0pt;mso-wrap-distance-top:0.0pt;mso-wrap-distance-right:0.0pt;mso-wrap-distance-bottom:0.0pt;" stroked="f">
                      <v:path textboxrect="0,0,0,0"/>
                      <v:imagedata r:id="rId147"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5325"/>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867783"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68.3pt;height:54.8pt;mso-wrap-distance-left:0.0pt;mso-wrap-distance-top:0.0pt;mso-wrap-distance-right:0.0pt;mso-wrap-distance-bottom:0.0pt;" stroked="f">
                      <v:path textboxrect="0,0,0,0"/>
                      <v:imagedata r:id="rId148"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ff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81.5pt;height:57.1pt;mso-wrap-distance-left:0.0pt;mso-wrap-distance-top:0.0pt;mso-wrap-distance-right:0.0pt;mso-wrap-distance-bottom:0.0pt;" stroked="f">
                      <v:path textboxrect="0,0,0,0"/>
                      <v:imagedata r:id="rId14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6.4pt;height:56.2pt;mso-wrap-distance-left:0.0pt;mso-wrap-distance-top:0.0pt;mso-wrap-distance-right:0.0pt;mso-wrap-distance-bottom:0.0pt;" stroked="f">
                      <v:path textboxrect="0,0,0,0"/>
                      <v:imagedata r:id="rId15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双通工作台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1、台面板采用304标厚1.2mm不锈钢板，配≥标厚1.2mm做加强筋；</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2、层板采用304标厚1.0mm不锈钢板；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3、台脚采用Ф50mm标厚1.2mm不锈钢矩管,配可调性不锈钢子弹脚；</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4、面板下面采用20mm木工板。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2596" cy="626764"/>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972596"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76.6pt;height:49.4pt;mso-wrap-distance-left:0.0pt;mso-wrap-distance-top:0.0pt;mso-wrap-distance-right:0.0pt;mso-wrap-distance-bottom:0.0pt;" stroked="f">
                      <v:path textboxrect="0,0,0,0"/>
                      <v:imagedata r:id="rId15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49.6pt;height:49.4pt;mso-wrap-distance-left:0.0pt;mso-wrap-distance-top:0.0pt;mso-wrap-distance-right:0.0pt;mso-wrap-distance-bottom:0.0pt;" stroked="f">
                      <v:path textboxrect="0,0,0,0"/>
                      <v:imagedata r:id="rId15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37.4pt;height:37.6pt;mso-wrap-distance-left:0.0pt;mso-wrap-distance-top:0.0pt;mso-wrap-distance-right:0.0pt;mso-wrap-distance-bottom:0.0pt;" stroked="f">
                      <v:path textboxrect="0,0,0,0"/>
                      <v:imagedata r:id="rId153" o:title=""/>
                    </v:shape>
                  </w:pict>
                </mc:Fallback>
              </mc:AlternateContent>
            </w:r>
            <w:r>
              <w:rPr>
                <w:highlight w:val="none"/>
              </w:rPr>
            </w:r>
            <w:r/>
          </w:p>
        </w:tc>
      </w:tr>
      <w:tr>
        <w:trPr>
          <w:trHeight w:val="73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预进间/教工餐厅售卖区/备餐间/包厢备餐间附件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1.0pt;height:51.0pt;mso-wrap-distance-left:0.0pt;mso-wrap-distance-top:0.0pt;mso-wrap-distance-right:0.0pt;mso-wrap-distance-bottom:0.0pt;" stroked="f">
                      <v:path textboxrect="0,0,0,0"/>
                      <v:imagedata r:id="rId15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8.6pt;height:48.5pt;mso-wrap-distance-left:0.0pt;mso-wrap-distance-top:0.0pt;mso-wrap-distance-right:0.0pt;mso-wrap-distance-bottom:0.0pt;" stroked="f">
                      <v:path textboxrect="0,0,0,0"/>
                      <v:imagedata r:id="rId15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9.5pt;height:49.6pt;mso-wrap-distance-left:0.0pt;mso-wrap-distance-top:0.0pt;mso-wrap-distance-right:0.0pt;mso-wrap-distance-bottom:0.0pt;" stroked="f">
                      <v:path textboxrect="0,0,0,0"/>
                      <v:imagedata r:id="rId15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859"/>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562303" cy="4708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4.3pt;height:37.1pt;mso-wrap-distance-left:0.0pt;mso-wrap-distance-top:0.0pt;mso-wrap-distance-right:0.0pt;mso-wrap-distance-bottom:0.0pt;" stroked="f">
                      <v:path textboxrect="0,0,0,0"/>
                      <v:imagedata r:id="rId157" o:title=""/>
                    </v:shape>
                  </w:pict>
                </mc:Fallback>
              </mc:AlternateContent>
            </w:r>
            <w:r>
              <w:rPr>
                <w:highlight w:val="none"/>
              </w:rPr>
            </w:r>
            <w:r/>
          </w:p>
        </w:tc>
      </w:tr>
      <w:tr>
        <w:trPr>
          <w:trHeight w:val="689"/>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风味餐厅1</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9879"/>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641888" cy="87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0.5pt;height:69.3pt;mso-wrap-distance-left:0.0pt;mso-wrap-distance-top:0.0pt;mso-wrap-distance-right:0.0pt;mso-wrap-distance-bottom:0.0pt;" stroked="f">
                      <v:path textboxrect="0,0,0,0"/>
                      <v:imagedata r:id="rId158" o:title=""/>
                    </v:shape>
                  </w:pict>
                </mc:Fallback>
              </mc:AlternateContent>
            </w:r>
            <w:r>
              <w:rPr>
                <w:highlight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ascii="Calibri" w:hAnsi="Calibri" w:eastAsia="Arial" w:cs="Times New Roman"/>
                <w:b/>
                <w:bCs/>
                <w:color w:val="ff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81.5pt;height:57.1pt;mso-wrap-distance-left:0.0pt;mso-wrap-distance-top:0.0pt;mso-wrap-distance-right:0.0pt;mso-wrap-distance-bottom:0.0pt;" stroked="f">
                      <v:path textboxrect="0,0,0,0"/>
                      <v:imagedata r:id="rId15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5274"/>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68.2pt;height:68.1pt;mso-wrap-distance-left:0.0pt;mso-wrap-distance-top:0.0pt;mso-wrap-distance-right:0.0pt;mso-wrap-distance-bottom:0.0pt;" stroked="f">
                      <v:path textboxrect="0,0,0,0"/>
                      <v:imagedata r:id="rId16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68.4pt;height:60.7pt;mso-wrap-distance-left:0.0pt;mso-wrap-distance-top:0.0pt;mso-wrap-distance-right:0.0pt;mso-wrap-distance-bottom:0.0pt;" stroked="f">
                      <v:path textboxrect="0,0,0,0"/>
                      <v:imagedata r:id="rId16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6.4pt;height:56.5pt;mso-wrap-distance-left:0.0pt;mso-wrap-distance-top:0.0pt;mso-wrap-distance-right:0.0pt;mso-wrap-distance-bottom:0.0pt;" stroked="f">
                      <v:path textboxrect="0,0,0,0"/>
                      <v:imagedata r:id="rId16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49.6pt;height:49.4pt;mso-wrap-distance-left:0.0pt;mso-wrap-distance-top:0.0pt;mso-wrap-distance-right:0.0pt;mso-wrap-distance-bottom:0.0pt;" stroked="f">
                      <v:path textboxrect="0,0,0,0"/>
                      <v:imagedata r:id="rId16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37.4pt;height:37.6pt;mso-wrap-distance-left:0.0pt;mso-wrap-distance-top:0.0pt;mso-wrap-distance-right:0.0pt;mso-wrap-distance-bottom:0.0pt;" stroked="f">
                      <v:path textboxrect="0,0,0,0"/>
                      <v:imagedata r:id="rId164" o:title=""/>
                    </v:shape>
                  </w:pict>
                </mc:Fallback>
              </mc:AlternateContent>
            </w:r>
            <w:r>
              <w:rPr>
                <w:highlight w:val="none"/>
              </w:rPr>
            </w:r>
            <w:r/>
          </w:p>
        </w:tc>
      </w:tr>
      <w:tr>
        <w:trPr>
          <w:trHeight w:val="712"/>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风味餐厅1附件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1.0pt;height:51.3pt;mso-wrap-distance-left:0.0pt;mso-wrap-distance-top:0.0pt;mso-wrap-distance-right:0.0pt;mso-wrap-distance-bottom:0.0pt;" stroked="f">
                      <v:path textboxrect="0,0,0,0"/>
                      <v:imagedata r:id="rId16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48.6pt;height:48.5pt;mso-wrap-distance-left:0.0pt;mso-wrap-distance-top:0.0pt;mso-wrap-distance-right:0.0pt;mso-wrap-distance-bottom:0.0pt;" stroked="f">
                      <v:path textboxrect="0,0,0,0"/>
                      <v:imagedata r:id="rId16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6764"/>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49.5pt;height:49.4pt;mso-wrap-distance-left:0.0pt;mso-wrap-distance-top:0.0pt;mso-wrap-distance-right:0.0pt;mso-wrap-distance-bottom:0.0pt;" stroked="f">
                      <v:path textboxrect="0,0,0,0"/>
                      <v:imagedata r:id="rId167" o:title=""/>
                    </v:shape>
                  </w:pict>
                </mc:Fallback>
              </mc:AlternateContent>
            </w:r>
            <w:r>
              <w:rPr>
                <w:highlight w:val="none"/>
              </w:rPr>
            </w:r>
            <w:r/>
          </w:p>
        </w:tc>
      </w:tr>
      <w:tr>
        <w:trPr>
          <w:trHeight w:val="644"/>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风味餐厅2</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0.5pt;height:69.0pt;mso-wrap-distance-left:0.0pt;mso-wrap-distance-top:0.0pt;mso-wrap-distance-right:0.0pt;mso-wrap-distance-bottom:0.0pt;" stroked="f">
                      <v:path textboxrect="0,0,0,0"/>
                      <v:imagedata r:id="rId168" o:title=""/>
                    </v:shape>
                  </w:pict>
                </mc:Fallback>
              </mc:AlternateContent>
            </w:r>
            <w:r>
              <w:rPr>
                <w:highlight w:val="none"/>
              </w:rPr>
            </w:r>
            <w:r/>
          </w:p>
        </w:tc>
      </w:tr>
      <w:tr>
        <w:trPr>
          <w:trHeight w:val="27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ff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81.5pt;height:57.1pt;mso-wrap-distance-left:0.0pt;mso-wrap-distance-top:0.0pt;mso-wrap-distance-right:0.0pt;mso-wrap-distance-bottom:0.0pt;" stroked="f">
                      <v:path textboxrect="0,0,0,0"/>
                      <v:imagedata r:id="rId16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6.4pt;height:56.5pt;mso-wrap-distance-left:0.0pt;mso-wrap-distance-top:0.0pt;mso-wrap-distance-right:0.0pt;mso-wrap-distance-bottom:0.0pt;" stroked="f">
                      <v:path textboxrect="0,0,0,0"/>
                      <v:imagedata r:id="rId17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68.4pt;height:60.7pt;mso-wrap-distance-left:0.0pt;mso-wrap-distance-top:0.0pt;mso-wrap-distance-right:0.0pt;mso-wrap-distance-bottom:0.0pt;" stroked="f">
                      <v:path textboxrect="0,0,0,0"/>
                      <v:imagedata r:id="rId17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5274"/>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68.2pt;height:68.1pt;mso-wrap-distance-left:0.0pt;mso-wrap-distance-top:0.0pt;mso-wrap-distance-right:0.0pt;mso-wrap-distance-bottom:0.0pt;" stroked="f">
                      <v:path textboxrect="0,0,0,0"/>
                      <v:imagedata r:id="rId172" o:title=""/>
                    </v:shape>
                  </w:pict>
                </mc:Fallback>
              </mc:AlternateContent>
            </w:r>
            <w:r>
              <w:rPr>
                <w:highlight w:val="none"/>
              </w:rPr>
            </w:r>
            <w:r/>
          </w:p>
        </w:tc>
      </w:tr>
      <w:tr>
        <w:trPr>
          <w:trHeight w:val="1219"/>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49.6pt;height:49.4pt;mso-wrap-distance-left:0.0pt;mso-wrap-distance-top:0.0pt;mso-wrap-distance-right:0.0pt;mso-wrap-distance-bottom:0.0pt;" stroked="f">
                      <v:path textboxrect="0,0,0,0"/>
                      <v:imagedata r:id="rId173" o:title=""/>
                    </v:shape>
                  </w:pict>
                </mc:Fallback>
              </mc:AlternateContent>
            </w:r>
            <w:r>
              <w:rPr>
                <w:highlight w:val="none"/>
              </w:rPr>
            </w:r>
            <w:r/>
          </w:p>
        </w:tc>
      </w:tr>
      <w:tr>
        <w:trPr>
          <w:trHeight w:val="989"/>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37.4pt;height:37.6pt;mso-wrap-distance-left:0.0pt;mso-wrap-distance-top:0.0pt;mso-wrap-distance-right:0.0pt;mso-wrap-distance-bottom:0.0pt;" stroked="f">
                      <v:path textboxrect="0,0,0,0"/>
                      <v:imagedata r:id="rId174" o:title=""/>
                    </v:shape>
                  </w:pict>
                </mc:Fallback>
              </mc:AlternateContent>
            </w:r>
            <w:r>
              <w:rPr>
                <w:highlight w:val="none"/>
              </w:rPr>
            </w:r>
            <w:r/>
          </w:p>
        </w:tc>
      </w:tr>
      <w:tr>
        <w:trPr>
          <w:trHeight w:val="518"/>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风味餐厅2附件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1.0pt;height:51.3pt;mso-wrap-distance-left:0.0pt;mso-wrap-distance-top:0.0pt;mso-wrap-distance-right:0.0pt;mso-wrap-distance-bottom:0.0pt;" stroked="f">
                      <v:path textboxrect="0,0,0,0"/>
                      <v:imagedata r:id="rId17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8.6pt;height:48.7pt;mso-wrap-distance-left:0.0pt;mso-wrap-distance-top:0.0pt;mso-wrap-distance-right:0.0pt;mso-wrap-distance-bottom:0.0pt;" stroked="f">
                      <v:path textboxrect="0,0,0,0"/>
                      <v:imagedata r:id="rId17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49.5pt;height:49.6pt;mso-wrap-distance-left:0.0pt;mso-wrap-distance-top:0.0pt;mso-wrap-distance-right:0.0pt;mso-wrap-distance-bottom:0.0pt;" stroked="f">
                      <v:path textboxrect="0,0,0,0"/>
                      <v:imagedata r:id="rId177" o:title=""/>
                    </v:shape>
                  </w:pict>
                </mc:Fallback>
              </mc:AlternateContent>
            </w:r>
            <w:r>
              <w:rPr>
                <w:highlight w:val="none"/>
              </w:rPr>
            </w:r>
            <w:r/>
          </w:p>
        </w:tc>
      </w:tr>
      <w:tr>
        <w:trPr>
          <w:trHeight w:val="51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风味餐厅3</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0.5pt;height:69.0pt;mso-wrap-distance-left:0.0pt;mso-wrap-distance-top:0.0pt;mso-wrap-distance-right:0.0pt;mso-wrap-distance-bottom:0.0pt;" stroked="f">
                      <v:path textboxrect="0,0,0,0"/>
                      <v:imagedata r:id="rId178"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ff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ff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81.5pt;height:57.1pt;mso-wrap-distance-left:0.0pt;mso-wrap-distance-top:0.0pt;mso-wrap-distance-right:0.0pt;mso-wrap-distance-bottom:0.0pt;" stroked="f">
                      <v:path textboxrect="0,0,0,0"/>
                      <v:imagedata r:id="rId17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775" cy="862440"/>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866775"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8.2pt;height:67.9pt;mso-wrap-distance-left:0.0pt;mso-wrap-distance-top:0.0pt;mso-wrap-distance-right:0.0pt;mso-wrap-distance-bottom:0.0pt;" stroked="f">
                      <v:path textboxrect="0,0,0,0"/>
                      <v:imagedata r:id="rId18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68.4pt;height:60.7pt;mso-wrap-distance-left:0.0pt;mso-wrap-distance-top:0.0pt;mso-wrap-distance-right:0.0pt;mso-wrap-distance-bottom:0.0pt;" stroked="f">
                      <v:path textboxrect="0,0,0,0"/>
                      <v:imagedata r:id="rId18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6.4pt;height:56.5pt;mso-wrap-distance-left:0.0pt;mso-wrap-distance-top:0.0pt;mso-wrap-distance-right:0.0pt;mso-wrap-distance-bottom:0.0pt;" stroked="f">
                      <v:path textboxrect="0,0,0,0"/>
                      <v:imagedata r:id="rId18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49.6pt;height:49.4pt;mso-wrap-distance-left:0.0pt;mso-wrap-distance-top:0.0pt;mso-wrap-distance-right:0.0pt;mso-wrap-distance-bottom:0.0pt;" stroked="f">
                      <v:path textboxrect="0,0,0,0"/>
                      <v:imagedata r:id="rId18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378"/>
                      <wp:effectExtent l="0" t="0" r="0" b="0"/>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474664" cy="4773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37.4pt;height:37.6pt;mso-wrap-distance-left:0.0pt;mso-wrap-distance-top:0.0pt;mso-wrap-distance-right:0.0pt;mso-wrap-distance-bottom:0.0pt;" stroked="f">
                      <v:path textboxrect="0,0,0,0"/>
                      <v:imagedata r:id="rId184" o:title=""/>
                    </v:shape>
                  </w:pict>
                </mc:Fallback>
              </mc:AlternateContent>
            </w:r>
            <w:r>
              <w:rPr>
                <w:highlight w:val="none"/>
              </w:rPr>
            </w:r>
            <w:r/>
          </w:p>
        </w:tc>
      </w:tr>
      <w:tr>
        <w:trPr>
          <w:trHeight w:val="539"/>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风味餐厅3附件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1.0pt;height:51.3pt;mso-wrap-distance-left:0.0pt;mso-wrap-distance-top:0.0pt;mso-wrap-distance-right:0.0pt;mso-wrap-distance-bottom:0.0pt;" stroked="f">
                      <v:path textboxrect="0,0,0,0"/>
                      <v:imagedata r:id="rId18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48.6pt;height:48.5pt;mso-wrap-distance-left:0.0pt;mso-wrap-distance-top:0.0pt;mso-wrap-distance-right:0.0pt;mso-wrap-distance-bottom:0.0pt;" stroked="f">
                      <v:path textboxrect="0,0,0,0"/>
                      <v:imagedata r:id="rId186" o:title=""/>
                    </v:shape>
                  </w:pict>
                </mc:Fallback>
              </mc:AlternateContent>
            </w:r>
            <w:r>
              <w:rPr>
                <w:highlight w:val="none"/>
              </w:rPr>
            </w:r>
            <w:r/>
          </w:p>
        </w:tc>
      </w:tr>
      <w:tr>
        <w:trPr>
          <w:trHeight w:val="126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6764"/>
                      <wp:effectExtent l="0" t="0" r="0" b="0"/>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49.5pt;height:49.4pt;mso-wrap-distance-left:0.0pt;mso-wrap-distance-top:0.0pt;mso-wrap-distance-right:0.0pt;mso-wrap-distance-bottom:0.0pt;" stroked="f">
                      <v:path textboxrect="0,0,0,0"/>
                      <v:imagedata r:id="rId187" o:title=""/>
                    </v:shape>
                  </w:pict>
                </mc:Fallback>
              </mc:AlternateContent>
            </w:r>
            <w:r>
              <w:rPr>
                <w:highlight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风味餐厅4</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0.5pt;height:69.0pt;mso-wrap-distance-left:0.0pt;mso-wrap-distance-top:0.0pt;mso-wrap-distance-right:0.0pt;mso-wrap-distance-bottom:0.0pt;" stroked="f">
                      <v:path textboxrect="0,0,0,0"/>
                      <v:imagedata r:id="rId188" o:title=""/>
                    </v:shape>
                  </w:pict>
                </mc:Fallback>
              </mc:AlternateContent>
            </w:r>
            <w:r>
              <w:rPr>
                <w:highlight w:val="none"/>
              </w:rPr>
            </w:r>
            <w:r/>
          </w:p>
        </w:tc>
      </w:tr>
      <w:tr>
        <w:trPr>
          <w:trHeight w:val="115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81.5pt;height:57.1pt;mso-wrap-distance-left:0.0pt;mso-wrap-distance-top:0.0pt;mso-wrap-distance-right:0.0pt;mso-wrap-distance-bottom:0.0pt;" stroked="f">
                      <v:path textboxrect="0,0,0,0"/>
                      <v:imagedata r:id="rId18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2440"/>
                      <wp:effectExtent l="0" t="0" r="0" b="0"/>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866140"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68.2pt;height:67.9pt;mso-wrap-distance-left:0.0pt;mso-wrap-distance-top:0.0pt;mso-wrap-distance-right:0.0pt;mso-wrap-distance-bottom:0.0pt;" stroked="f">
                      <v:path textboxrect="0,0,0,0"/>
                      <v:imagedata r:id="rId19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67667"/>
                      <wp:effectExtent l="0" t="0" r="0" b="0"/>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868660" cy="7676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8.4pt;height:60.4pt;mso-wrap-distance-left:0.0pt;mso-wrap-distance-top:0.0pt;mso-wrap-distance-right:0.0pt;mso-wrap-distance-bottom:0.0pt;" stroked="f">
                      <v:path textboxrect="0,0,0,0"/>
                      <v:imagedata r:id="rId19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56.4pt;height:56.2pt;mso-wrap-distance-left:0.0pt;mso-wrap-distance-top:0.0pt;mso-wrap-distance-right:0.0pt;mso-wrap-distance-bottom:0.0pt;" stroked="f">
                      <v:path textboxrect="0,0,0,0"/>
                      <v:imagedata r:id="rId19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49.6pt;height:49.6pt;mso-wrap-distance-left:0.0pt;mso-wrap-distance-top:0.0pt;mso-wrap-distance-right:0.0pt;mso-wrap-distance-bottom:0.0pt;" stroked="f">
                      <v:path textboxrect="0,0,0,0"/>
                      <v:imagedata r:id="rId19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37.4pt;height:37.6pt;mso-wrap-distance-left:0.0pt;mso-wrap-distance-top:0.0pt;mso-wrap-distance-right:0.0pt;mso-wrap-distance-bottom:0.0pt;" stroked="f">
                      <v:path textboxrect="0,0,0,0"/>
                      <v:imagedata r:id="rId194" o:title=""/>
                    </v:shape>
                  </w:pict>
                </mc:Fallback>
              </mc:AlternateContent>
            </w:r>
            <w:r>
              <w:rPr>
                <w:highlight w:val="none"/>
              </w:rPr>
            </w:r>
            <w:r/>
          </w:p>
        </w:tc>
      </w:tr>
      <w:tr>
        <w:trPr>
          <w:trHeight w:val="85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风味餐厅4附件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51.0pt;height:51.0pt;mso-wrap-distance-left:0.0pt;mso-wrap-distance-top:0.0pt;mso-wrap-distance-right:0.0pt;mso-wrap-distance-bottom:0.0pt;" stroked="f">
                      <v:path textboxrect="0,0,0,0"/>
                      <v:imagedata r:id="rId19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48.6pt;height:48.5pt;mso-wrap-distance-left:0.0pt;mso-wrap-distance-top:0.0pt;mso-wrap-distance-right:0.0pt;mso-wrap-distance-bottom:0.0pt;" stroked="f">
                      <v:path textboxrect="0,0,0,0"/>
                      <v:imagedata r:id="rId19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9.5pt;height:49.6pt;mso-wrap-distance-left:0.0pt;mso-wrap-distance-top:0.0pt;mso-wrap-distance-right:0.0pt;mso-wrap-distance-bottom:0.0pt;" stroked="f">
                      <v:path textboxrect="0,0,0,0"/>
                      <v:imagedata r:id="rId197" o:title=""/>
                    </v:shape>
                  </w:pict>
                </mc:Fallback>
              </mc:AlternateContent>
            </w:r>
            <w:r>
              <w:rPr>
                <w:highlight w:val="none"/>
              </w:rPr>
            </w:r>
            <w:r/>
          </w:p>
        </w:tc>
      </w:tr>
      <w:tr>
        <w:trPr>
          <w:trHeight w:val="70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风味餐厅油烟罩</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1200*1000*500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7.9pt;height:57.6pt;mso-wrap-distance-left:0.0pt;mso-wrap-distance-top:0.0pt;mso-wrap-distance-right:0.0pt;mso-wrap-distance-bottom:0.0pt;" stroked="f">
                      <v:path textboxrect="0,0,0,0"/>
                      <v:imagedata r:id="rId198"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1500*1000*500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7.9pt;height:57.6pt;mso-wrap-distance-left:0.0pt;mso-wrap-distance-top:0.0pt;mso-wrap-distance-right:0.0pt;mso-wrap-distance-bottom:0.0pt;" stroked="f">
                      <v:path textboxrect="0,0,0,0"/>
                      <v:imagedata r:id="rId19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7.9pt;height:57.6pt;mso-wrap-distance-left:0.0pt;mso-wrap-distance-top:0.0pt;mso-wrap-distance-right:0.0pt;mso-wrap-distance-bottom:0.0pt;" stroked="f">
                      <v:path textboxrect="0,0,0,0"/>
                      <v:imagedata r:id="rId200" o:title=""/>
                    </v:shape>
                  </w:pict>
                </mc:Fallback>
              </mc:AlternateContent>
            </w:r>
            <w:r>
              <w:rPr>
                <w:highlight w:val="none"/>
              </w:rPr>
            </w:r>
            <w:r/>
          </w:p>
        </w:tc>
      </w:tr>
      <w:tr>
        <w:trPr>
          <w:trHeight w:val="654"/>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其它</w:t>
            </w:r>
            <w:r>
              <w:rPr>
                <w:highlight w:val="none"/>
              </w:rPr>
            </w:r>
            <w:r/>
          </w:p>
        </w:tc>
      </w:tr>
      <w:tr>
        <w:trPr>
          <w:trHeight w:val="239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7686"/>
                      <wp:effectExtent l="0" t="0" r="0" b="0"/>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70.0pt;height:93.5pt;mso-wrap-distance-left:0.0pt;mso-wrap-distance-top:0.0pt;mso-wrap-distance-right:0.0pt;mso-wrap-distance-bottom:0.0pt;" stroked="f">
                      <v:path textboxrect="0,0,0,0"/>
                      <v:imagedata r:id="rId201" o:title=""/>
                    </v:shape>
                  </w:pict>
                </mc:Fallback>
              </mc:AlternateContent>
            </w:r>
            <w:r>
              <w:rPr>
                <w:highlight w:val="none"/>
              </w:rPr>
            </w:r>
            <w:r/>
          </w:p>
        </w:tc>
      </w:tr>
      <w:tr>
        <w:trPr>
          <w:trHeight w:val="469"/>
        </w:trPr>
        <w:tc>
          <w:tcPr>
            <w:tcW w:w="638" w:type="dxa"/>
            <w:vAlign w:val="center"/>
            <w:textDirection w:val="lrTb"/>
            <w:noWrap/>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中式烹饪间（一）</w:t>
            </w:r>
            <w:r>
              <w:rPr>
                <w:highlight w:val="none"/>
              </w:rPr>
            </w:r>
            <w:r/>
          </w:p>
        </w:tc>
      </w:tr>
      <w:tr>
        <w:trPr>
          <w:trHeight w:val="19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w:t>
            </w:r>
            <w:r>
              <w:rPr>
                <w:rFonts w:hint="eastAsia" w:ascii="宋体" w:hAnsi="宋体" w:eastAsia="宋体" w:cs="宋体"/>
                <w:i w:val="0"/>
                <w:iCs w:val="0"/>
                <w:color w:val="000000"/>
                <w:sz w:val="21"/>
                <w:szCs w:val="21"/>
                <w:highlight w:val="none"/>
                <w:u w:val="none"/>
                <w:lang w:val="en-US" w:eastAsia="zh-CN" w:bidi="ar"/>
              </w:rPr>
              <w:t xml:space="preserve">额定功率:380V/(10-15)KW(含）*2。</w:t>
            </w:r>
            <w:r>
              <w:rPr>
                <w:rFonts w:hint="eastAsia" w:ascii="宋体" w:hAnsi="宋体" w:eastAsia="宋体" w:cs="宋体"/>
                <w:i w:val="0"/>
                <w:iCs w:val="0"/>
                <w:color w:val="000000"/>
                <w:sz w:val="21"/>
                <w:szCs w:val="21"/>
                <w:highlight w:val="none"/>
                <w:u w:val="none"/>
                <w:lang w:val="en-US" w:eastAsia="zh-CN" w:bidi="ar"/>
              </w:rPr>
              <w:t xml:space="preserve">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1096"/>
                      <wp:effectExtent l="0" t="0" r="0" b="0"/>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1081960" cy="721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85.2pt;height:56.8pt;mso-wrap-distance-left:0.0pt;mso-wrap-distance-top:0.0pt;mso-wrap-distance-right:0.0pt;mso-wrap-distance-bottom:0.0pt;" stroked="f">
                      <v:path textboxrect="0,0,0,0"/>
                      <v:imagedata r:id="rId202" o:title=""/>
                    </v:shape>
                  </w:pict>
                </mc:Fallback>
              </mc:AlternateContent>
            </w:r>
            <w:r>
              <w:rPr>
                <w:highlight w:val="none"/>
              </w:rPr>
            </w:r>
            <w:r/>
          </w:p>
        </w:tc>
      </w:tr>
      <w:tr>
        <w:trPr>
          <w:trHeight w:val="168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76251" cy="801398"/>
                      <wp:effectExtent l="0" t="0" r="0" b="0"/>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676251" cy="8013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3.2pt;height:63.1pt;mso-wrap-distance-left:0.0pt;mso-wrap-distance-top:0.0pt;mso-wrap-distance-right:0.0pt;mso-wrap-distance-bottom:0.0pt;" stroked="f">
                      <v:path textboxrect="0,0,0,0"/>
                      <v:imagedata r:id="rId203" o:title=""/>
                    </v:shape>
                  </w:pict>
                </mc:Fallback>
              </mc:AlternateContent>
            </w:r>
            <w:r>
              <w:rPr>
                <w:highlight w:val="none"/>
              </w:rPr>
            </w:r>
            <w:r/>
          </w:p>
        </w:tc>
      </w:tr>
      <w:tr>
        <w:trPr>
          <w:trHeight w:val="164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61.5pt;height:72.7pt;mso-wrap-distance-left:0.0pt;mso-wrap-distance-top:0.0pt;mso-wrap-distance-right:0.0pt;mso-wrap-distance-bottom:0.0pt;" stroked="f">
                      <v:path textboxrect="0,0,0,0"/>
                      <v:imagedata r:id="rId20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890"/>
                      <wp:effectExtent l="0" t="0" r="0" b="0"/>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49.6pt;height:49.6pt;mso-wrap-distance-left:0.0pt;mso-wrap-distance-top:0.0pt;mso-wrap-distance-right:0.0pt;mso-wrap-distance-bottom:0.0pt;" stroked="f">
                      <v:path textboxrect="0,0,0,0"/>
                      <v:imagedata r:id="rId20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8.6pt;height:53.0pt;mso-wrap-distance-left:0.0pt;mso-wrap-distance-top:0.0pt;mso-wrap-distance-right:0.0pt;mso-wrap-distance-bottom:0.0pt;" stroked="f">
                      <v:path textboxrect="0,0,0,0"/>
                      <v:imagedata r:id="rId206" o:title=""/>
                    </v:shape>
                  </w:pict>
                </mc:Fallback>
              </mc:AlternateContent>
            </w:r>
            <w:r>
              <w:rPr>
                <w:highlight w:val="none"/>
              </w:rPr>
            </w:r>
            <w:r/>
          </w:p>
        </w:tc>
      </w:tr>
      <w:tr>
        <w:trPr>
          <w:trHeight w:val="642"/>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中式烹饪间（二）</w:t>
            </w:r>
            <w:r>
              <w:rPr>
                <w:highlight w:val="none"/>
              </w:rPr>
            </w:r>
            <w:r/>
          </w:p>
        </w:tc>
      </w:tr>
      <w:tr>
        <w:trPr>
          <w:trHeight w:val="19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w:t>
            </w:r>
            <w:r>
              <w:rPr>
                <w:rFonts w:hint="eastAsia" w:ascii="宋体" w:hAnsi="宋体" w:eastAsia="宋体" w:cs="宋体"/>
                <w:i w:val="0"/>
                <w:iCs w:val="0"/>
                <w:color w:val="000000"/>
                <w:sz w:val="21"/>
                <w:szCs w:val="21"/>
                <w:highlight w:val="none"/>
                <w:u w:val="none"/>
                <w:lang w:val="en-US" w:eastAsia="zh-CN" w:bidi="ar"/>
              </w:rPr>
              <w:t xml:space="preserve">额定功率:380V/(10-15)KW(含）*2。</w:t>
            </w:r>
            <w:r>
              <w:rPr>
                <w:rFonts w:hint="eastAsia" w:ascii="宋体" w:hAnsi="宋体" w:eastAsia="宋体" w:cs="宋体"/>
                <w:i w:val="0"/>
                <w:iCs w:val="0"/>
                <w:color w:val="000000"/>
                <w:sz w:val="21"/>
                <w:szCs w:val="21"/>
                <w:highlight w:val="none"/>
                <w:u w:val="none"/>
                <w:lang w:val="en-US" w:eastAsia="zh-CN" w:bidi="ar"/>
              </w:rPr>
              <w:t xml:space="preserve">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6091"/>
                      <wp:effectExtent l="0" t="0" r="0" b="0"/>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1081960" cy="726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85.2pt;height:57.2pt;mso-wrap-distance-left:0.0pt;mso-wrap-distance-top:0.0pt;mso-wrap-distance-right:0.0pt;mso-wrap-distance-bottom:0.0pt;" stroked="f">
                      <v:path textboxrect="0,0,0,0"/>
                      <v:imagedata r:id="rId207" o:title=""/>
                    </v:shape>
                  </w:pict>
                </mc:Fallback>
              </mc:AlternateContent>
            </w:r>
            <w:r>
              <w:rPr>
                <w:highlight w:val="none"/>
              </w:rPr>
            </w:r>
            <w:r/>
          </w:p>
        </w:tc>
      </w:tr>
      <w:tr>
        <w:trPr>
          <w:trHeight w:val="163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61.5pt;height:72.7pt;mso-wrap-distance-left:0.0pt;mso-wrap-distance-top:0.0pt;mso-wrap-distance-right:0.0pt;mso-wrap-distance-bottom:0.0pt;" stroked="f">
                      <v:path textboxrect="0,0,0,0"/>
                      <v:imagedata r:id="rId208" o:title=""/>
                    </v:shape>
                  </w:pict>
                </mc:Fallback>
              </mc:AlternateContent>
            </w:r>
            <w:r>
              <w:rPr>
                <w:highlight w:val="none"/>
              </w:rPr>
            </w:r>
            <w:r/>
          </w:p>
        </w:tc>
      </w:tr>
      <w:tr>
        <w:trPr>
          <w:trHeight w:val="172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1.5pt;height:72.7pt;mso-wrap-distance-left:0.0pt;mso-wrap-distance-top:0.0pt;mso-wrap-distance-right:0.0pt;mso-wrap-distance-bottom:0.0pt;" stroked="f">
                      <v:path textboxrect="0,0,0,0"/>
                      <v:imagedata r:id="rId20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5325"/>
                      <wp:effectExtent l="0" t="0" r="0" b="0"/>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68.3pt;height:54.8pt;mso-wrap-distance-left:0.0pt;mso-wrap-distance-top:0.0pt;mso-wrap-distance-right:0.0pt;mso-wrap-distance-bottom:0.0pt;" stroked="f">
                      <v:path textboxrect="0,0,0,0"/>
                      <v:imagedata r:id="rId21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58.6pt;height:53.0pt;mso-wrap-distance-left:0.0pt;mso-wrap-distance-top:0.0pt;mso-wrap-distance-right:0.0pt;mso-wrap-distance-bottom:0.0pt;" stroked="f">
                      <v:path textboxrect="0,0,0,0"/>
                      <v:imagedata r:id="rId21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890"/>
                      <wp:effectExtent l="0" t="0" r="0" b="0"/>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49.6pt;height:49.6pt;mso-wrap-distance-left:0.0pt;mso-wrap-distance-top:0.0pt;mso-wrap-distance-right:0.0pt;mso-wrap-distance-bottom:0.0pt;" stroked="f">
                      <v:path textboxrect="0,0,0,0"/>
                      <v:imagedata r:id="rId212" o:title=""/>
                    </v:shape>
                  </w:pict>
                </mc:Fallback>
              </mc:AlternateContent>
            </w:r>
            <w:r>
              <w:rPr>
                <w:highlight w:val="none"/>
              </w:rPr>
            </w:r>
            <w:r/>
          </w:p>
        </w:tc>
      </w:tr>
      <w:tr>
        <w:trPr>
          <w:trHeight w:val="516"/>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中式烹饪间（二）附件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51.0pt;height:51.0pt;mso-wrap-distance-left:0.0pt;mso-wrap-distance-top:0.0pt;mso-wrap-distance-right:0.0pt;mso-wrap-distance-bottom:0.0pt;" stroked="f">
                      <v:path textboxrect="0,0,0,0"/>
                      <v:imagedata r:id="rId21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48.6pt;height:48.8pt;mso-wrap-distance-left:0.0pt;mso-wrap-distance-top:0.0pt;mso-wrap-distance-right:0.0pt;mso-wrap-distance-bottom:0.0pt;" stroked="f">
                      <v:path textboxrect="0,0,0,0"/>
                      <v:imagedata r:id="rId214" o:title=""/>
                    </v:shape>
                  </w:pict>
                </mc:Fallback>
              </mc:AlternateContent>
            </w:r>
            <w:r>
              <w:rPr>
                <w:highlight w:val="none"/>
              </w:rPr>
            </w:r>
            <w:r/>
          </w:p>
        </w:tc>
      </w:tr>
      <w:tr>
        <w:trPr>
          <w:trHeight w:val="573"/>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食库</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1200*600*300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5583" cy="775583"/>
                      <wp:effectExtent l="0" t="0" r="0" b="0"/>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61.1pt;height:61.1pt;mso-wrap-distance-left:0.0pt;mso-wrap-distance-top:0.0pt;mso-wrap-distance-right:0.0pt;mso-wrap-distance-bottom:0.0pt;" stroked="f">
                      <v:path textboxrect="0,0,0,0"/>
                      <v:imagedata r:id="rId215" o:title=""/>
                    </v:shape>
                  </w:pict>
                </mc:Fallback>
              </mc:AlternateContent>
            </w:r>
            <w:r>
              <w:rPr>
                <w:highlight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w:t>
            </w:r>
            <w:r>
              <w:rPr>
                <w:highlight w:val="none"/>
              </w:rPr>
            </w:r>
            <w:r/>
          </w:p>
        </w:tc>
      </w:tr>
      <w:tr>
        <w:trPr>
          <w:trHeight w:val="2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台面：304不锈钢，厚度≥1.2mm，下衬15mm厚衬板或多道加强筋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柜体 / 支架：304不锈钢方管38×38mm，壁厚≥1.0mm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结构：满焊打磨抛光，圆角处理，配可调脚（调节范围 0–40mm），确保稳定不晃动。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要求：承重强、不变形、易清洁、符合食品卫生</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7479"/>
                      <wp:effectExtent l="0" t="0" r="0" b="0"/>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16032"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6.4pt;height:56.5pt;mso-wrap-distance-left:0.0pt;mso-wrap-distance-top:0.0pt;mso-wrap-distance-right:0.0pt;mso-wrap-distance-bottom:0.0pt;" stroked="f">
                      <v:path textboxrect="0,0,0,0"/>
                      <v:imagedata r:id="rId21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9211"/>
                      <wp:effectExtent l="0" t="0" r="0" b="0"/>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867537"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68.3pt;height:55.1pt;mso-wrap-distance-left:0.0pt;mso-wrap-distance-top:0.0pt;mso-wrap-distance-right:0.0pt;mso-wrap-distance-bottom:0.0pt;" stroked="f">
                      <v:path textboxrect="0,0,0,0"/>
                      <v:imagedata r:id="rId217"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池体、台面：304不锈钢，厚度≥1.2mm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水斗采用一体成型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腿采用 38×38mm不锈钢方管制作，可调脚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无缝焊接，圆角处理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9.5pt;height:54.8pt;mso-wrap-distance-left:0.0pt;mso-wrap-distance-top:0.0pt;mso-wrap-distance-right:0.0pt;mso-wrap-distance-bottom:0.0pt;" stroked="f">
                      <v:path textboxrect="0,0,0,0"/>
                      <v:imagedata r:id="rId218" o:title=""/>
                    </v:shape>
                  </w:pict>
                </mc:Fallback>
              </mc:AlternateConten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四门高身雪柜（冷冻）</w:t>
            </w:r>
            <w:r>
              <w:rPr>
                <w:highlight w:val="none"/>
              </w:rPr>
            </w:r>
            <w:r/>
          </w:p>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highlight w:val="none"/>
              </w:rPr>
            </w:r>
            <w:r/>
          </w:p>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 风冷，冷凝化霜水自蒸发，无需外接排水。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w:t>
            </w:r>
            <w:r>
              <w:rPr>
                <w:rFonts w:hint="eastAsia" w:ascii="宋体" w:hAnsi="宋体" w:eastAsia="宋体" w:cs="宋体"/>
                <w:b/>
                <w:bCs/>
                <w:i w:val="0"/>
                <w:iCs w:val="0"/>
                <w:color w:val="000000"/>
                <w:sz w:val="21"/>
                <w:szCs w:val="21"/>
                <w:highlight w:val="none"/>
                <w:u w:val="none"/>
                <w:lang w:val="en-US" w:eastAsia="zh-CN" w:bidi="ar"/>
              </w:rPr>
              <w:t xml:space="preserve">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041" cy="862675"/>
                      <wp:effectExtent l="0" t="0" r="0" b="0"/>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865041"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68.1pt;height:67.9pt;mso-wrap-distance-left:0.0pt;mso-wrap-distance-top:0.0pt;mso-wrap-distance-right:0.0pt;mso-wrap-distance-bottom:0.0pt;" stroked="f">
                      <v:path textboxrect="0,0,0,0"/>
                      <v:imagedata r:id="rId21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58.6pt;height:53.0pt;mso-wrap-distance-left:0.0pt;mso-wrap-distance-top:0.0pt;mso-wrap-distance-right:0.0pt;mso-wrap-distance-bottom:0.0pt;" stroked="f">
                      <v:path textboxrect="0,0,0,0"/>
                      <v:imagedata r:id="rId22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49.6pt;height:49.6pt;mso-wrap-distance-left:0.0pt;mso-wrap-distance-top:0.0pt;mso-wrap-distance-right:0.0pt;mso-wrap-distance-bottom:0.0pt;" stroked="f">
                      <v:path textboxrect="0,0,0,0"/>
                      <v:imagedata r:id="rId221" o:title=""/>
                    </v:shape>
                  </w:pict>
                </mc:Fallback>
              </mc:AlternateContent>
            </w:r>
            <w:r>
              <w:rPr>
                <w:highlight w:val="none"/>
              </w:rPr>
            </w:r>
            <w:r/>
          </w:p>
        </w:tc>
      </w:tr>
      <w:tr>
        <w:trPr>
          <w:trHeight w:val="58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51.0pt;height:51.0pt;mso-wrap-distance-left:0.0pt;mso-wrap-distance-top:0.0pt;mso-wrap-distance-right:0.0pt;mso-wrap-distance-bottom:0.0pt;" stroked="f">
                      <v:path textboxrect="0,0,0,0"/>
                      <v:imagedata r:id="rId22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48.6pt;height:48.8pt;mso-wrap-distance-left:0.0pt;mso-wrap-distance-top:0.0pt;mso-wrap-distance-right:0.0pt;mso-wrap-distance-bottom:0.0pt;" stroked="f">
                      <v:path textboxrect="0,0,0,0"/>
                      <v:imagedata r:id="rId22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49.5pt;height:49.6pt;mso-wrap-distance-left:0.0pt;mso-wrap-distance-top:0.0pt;mso-wrap-distance-right:0.0pt;mso-wrap-distance-bottom:0.0pt;" stroked="f">
                      <v:path textboxrect="0,0,0,0"/>
                      <v:imagedata r:id="rId224" o:title=""/>
                    </v:shape>
                  </w:pict>
                </mc:Fallback>
              </mc:AlternateContent>
            </w:r>
            <w:r>
              <w:rPr>
                <w:highlight w:val="none"/>
              </w:rPr>
            </w:r>
            <w:r/>
          </w:p>
        </w:tc>
      </w:tr>
      <w:tr>
        <w:trPr>
          <w:trHeight w:val="608"/>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w:t>
            </w:r>
            <w:r>
              <w:rPr>
                <w:highlight w:val="none"/>
              </w:rPr>
            </w:r>
            <w:r/>
          </w:p>
        </w:tc>
      </w:tr>
      <w:tr>
        <w:trPr>
          <w:trHeight w:val="18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w:t>
            </w:r>
            <w:r>
              <w:rPr>
                <w:rFonts w:hint="eastAsia" w:ascii="宋体" w:hAnsi="宋体" w:eastAsia="宋体" w:cs="宋体"/>
                <w:i w:val="0"/>
                <w:iCs w:val="0"/>
                <w:color w:val="000000"/>
                <w:sz w:val="21"/>
                <w:szCs w:val="21"/>
                <w:highlight w:val="none"/>
                <w:u w:val="none"/>
                <w:lang w:val="en-US" w:eastAsia="zh-CN" w:bidi="ar"/>
              </w:rPr>
              <w:t xml:space="preserve">额定功率:380V/(10-15)KW(含）*2。</w:t>
            </w:r>
            <w:r>
              <w:rPr>
                <w:rFonts w:hint="eastAsia" w:ascii="宋体" w:hAnsi="宋体" w:eastAsia="宋体" w:cs="宋体"/>
                <w:i w:val="0"/>
                <w:iCs w:val="0"/>
                <w:color w:val="000000"/>
                <w:sz w:val="21"/>
                <w:szCs w:val="21"/>
                <w:highlight w:val="none"/>
                <w:u w:val="none"/>
                <w:lang w:val="en-US" w:eastAsia="zh-CN" w:bidi="ar"/>
              </w:rPr>
              <w:t xml:space="preserve">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highlight w:val="none"/>
              </w:rPr>
            </w:r>
            <w:r/>
          </w:p>
          <w:p>
            <w:pPr>
              <w:pStyle w:val="714"/>
              <w:jc w:val="left"/>
              <w:keepLines w:val="0"/>
              <w:keepNext w:val="0"/>
              <w:widowControl/>
              <w:rPr>
                <w:rFonts w:ascii="宋体" w:hAnsi="宋体" w:eastAsia="宋体" w:cs="宋体"/>
                <w:i w:val="0"/>
                <w:iCs w:val="0"/>
                <w:color w:val="ff0000"/>
                <w:sz w:val="21"/>
                <w:szCs w:val="21"/>
                <w:highlight w:val="none"/>
                <w:u w:val="none"/>
              </w:rPr>
              <w:suppressLineNumbers w:val="0"/>
            </w:pPr>
            <w:r>
              <w:rPr>
                <w:rFonts w:ascii="宋体" w:hAnsi="宋体" w:eastAsia="宋体" w:cs="宋体"/>
                <w:i w:val="0"/>
                <w:iCs w:val="0"/>
                <w:color w:val="ff0000"/>
                <w:sz w:val="21"/>
                <w:szCs w:val="21"/>
                <w:highlight w:val="none"/>
                <w:u w:val="none"/>
                <w:lang w:val="en-US" w:eastAsia="zh-CN" w:bidi="ar"/>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3265"/>
                      <wp:effectExtent l="0" t="0" r="0" b="0"/>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1081960"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85.2pt;height:56.9pt;mso-wrap-distance-left:0.0pt;mso-wrap-distance-top:0.0pt;mso-wrap-distance-right:0.0pt;mso-wrap-distance-bottom:0.0pt;" stroked="f">
                      <v:path textboxrect="0,0,0,0"/>
                      <v:imagedata r:id="rId225" o:title=""/>
                    </v:shape>
                  </w:pict>
                </mc:Fallback>
              </mc:AlternateContent>
            </w:r>
            <w:r>
              <w:rPr>
                <w:highlight w:val="none"/>
              </w:rPr>
            </w:r>
            <w:r/>
          </w:p>
        </w:tc>
      </w:tr>
      <w:tr>
        <w:trPr>
          <w:trHeight w:val="2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3026"/>
                      <wp:effectExtent l="0" t="0" r="0" b="0"/>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16032"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56.4pt;height:56.1pt;mso-wrap-distance-left:0.0pt;mso-wrap-distance-top:0.0pt;mso-wrap-distance-right:0.0pt;mso-wrap-distance-bottom:0.0pt;" stroked="f">
                      <v:path textboxrect="0,0,0,0"/>
                      <v:imagedata r:id="rId226" o:title=""/>
                    </v:shape>
                  </w:pict>
                </mc:Fallback>
              </mc:AlternateContent>
            </w:r>
            <w:r>
              <w:rPr>
                <w:highlight w:val="none"/>
              </w:rPr>
            </w:r>
            <w:r/>
          </w:p>
        </w:tc>
      </w:tr>
      <w:tr>
        <w:trPr>
          <w:trHeight w:val="2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5937"/>
                      <wp:effectExtent l="0" t="0" r="0" b="0"/>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16032"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56.4pt;height:56.4pt;mso-wrap-distance-left:0.0pt;mso-wrap-distance-top:0.0pt;mso-wrap-distance-right:0.0pt;mso-wrap-distance-bottom:0.0pt;" stroked="f">
                      <v:path textboxrect="0,0,0,0"/>
                      <v:imagedata r:id="rId227" o:title=""/>
                    </v:shape>
                  </w:pict>
                </mc:Fallback>
              </mc:AlternateContent>
            </w:r>
            <w:r>
              <w:rPr>
                <w:highlight w:val="none"/>
              </w:rPr>
            </w:r>
            <w:r/>
          </w:p>
        </w:tc>
      </w:tr>
      <w:tr>
        <w:trPr>
          <w:trHeight w:val="2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3740"/>
                      <wp:effectExtent l="0" t="0" r="0" b="0"/>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16032"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6.4pt;height:56.2pt;mso-wrap-distance-left:0.0pt;mso-wrap-distance-top:0.0pt;mso-wrap-distance-right:0.0pt;mso-wrap-distance-bottom:0.0pt;" stroked="f">
                      <v:path textboxrect="0,0,0,0"/>
                      <v:imagedata r:id="rId228"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单星盆水池（无背）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池体、台面：304不锈钢，厚度≥1.2mm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水斗采用一体成型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腿采用 38×38mm不锈钢方管制作，可调脚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无缝焊接，圆角处理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59.5pt;height:54.8pt;mso-wrap-distance-left:0.0pt;mso-wrap-distance-top:0.0pt;mso-wrap-distance-right:0.0pt;mso-wrap-distance-bottom:0.0pt;" stroked="f">
                      <v:path textboxrect="0,0,0,0"/>
                      <v:imagedata r:id="rId22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1200*600*300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5583" cy="775583"/>
                      <wp:effectExtent l="0" t="0" r="0" b="0"/>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61.1pt;height:61.1pt;mso-wrap-distance-left:0.0pt;mso-wrap-distance-top:0.0pt;mso-wrap-distance-right:0.0pt;mso-wrap-distance-bottom:0.0pt;" stroked="f">
                      <v:path textboxrect="0,0,0,0"/>
                      <v:imagedata r:id="rId23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四门高身雪柜（冷冻）</w:t>
            </w:r>
            <w:r>
              <w:rPr>
                <w:highlight w:val="none"/>
              </w:rPr>
            </w:r>
            <w:r/>
          </w:p>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highlight w:val="none"/>
              </w:rPr>
            </w:r>
            <w:r/>
          </w:p>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1、制冷方式∶风冷，冷凝化霜水自蒸发，无需外接排水。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041" cy="862440"/>
                      <wp:effectExtent l="0" t="0" r="0" b="0"/>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865041"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68.1pt;height:67.9pt;mso-wrap-distance-left:0.0pt;mso-wrap-distance-top:0.0pt;mso-wrap-distance-right:0.0pt;mso-wrap-distance-bottom:0.0pt;" stroked="f">
                      <v:path textboxrect="0,0,0,0"/>
                      <v:imagedata r:id="rId23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5325"/>
                      <wp:effectExtent l="0" t="0" r="0" b="0"/>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68.3pt;height:54.8pt;mso-wrap-distance-left:0.0pt;mso-wrap-distance-top:0.0pt;mso-wrap-distance-right:0.0pt;mso-wrap-distance-bottom:0.0pt;" stroked="f">
                      <v:path textboxrect="0,0,0,0"/>
                      <v:imagedata r:id="rId23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多功能搅拌机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B30型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额定频率：50Hz；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料桶容积：30L。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28290" cy="735521"/>
                      <wp:effectExtent l="0" t="0" r="0" b="0"/>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57.3pt;height:57.9pt;mso-wrap-distance-left:0.0pt;mso-wrap-distance-top:0.0pt;mso-wrap-distance-right:0.0pt;mso-wrap-distance-bottom:0.0pt;" stroked="f">
                      <v:path textboxrect="0,0,0,0"/>
                      <v:imagedata r:id="rId23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和面机（双动双速）</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 : 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 : 30L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8833" cy="713026"/>
                      <wp:effectExtent l="0" t="0" r="0" b="0"/>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18833"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6.6pt;height:56.1pt;mso-wrap-distance-left:0.0pt;mso-wrap-distance-top:0.0pt;mso-wrap-distance-right:0.0pt;mso-wrap-distance-bottom:0.0pt;" stroked="f">
                      <v:path textboxrect="0,0,0,0"/>
                      <v:imagedata r:id="rId23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滚筒：304不锈钢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398" cy="699211"/>
                      <wp:effectExtent l="0" t="0" r="0" b="0"/>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01398"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5.2pt;height:55.1pt;mso-wrap-distance-left:0.0pt;mso-wrap-distance-top:0.0pt;mso-wrap-distance-right:0.0pt;mso-wrap-distance-bottom:0.0pt;" stroked="f">
                      <v:path textboxrect="0,0,0,0"/>
                      <v:imagedata r:id="rId23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醒发箱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温湿双控，一体水箱；</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可视玻璃，恒温恒湿；电压：220V。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电子控温，内部采用304不锈钢板材加厚定制，触摸式控制面板，可调节温度、湿度、时间。可容纳不少于13个不锈钢托盘(尺寸400*600mm)。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8707" cy="622992"/>
                      <wp:effectExtent l="0" t="0" r="0" b="0"/>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78707" cy="62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61.3pt;height:49.1pt;mso-wrap-distance-left:0.0pt;mso-wrap-distance-top:0.0pt;mso-wrap-distance-right:0.0pt;mso-wrap-distance-bottom:0.0pt;" stroked="f">
                      <v:path textboxrect="0,0,0,0"/>
                      <v:imagedata r:id="rId23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9290"/>
                      <wp:effectExtent l="0" t="0" r="0" b="0"/>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866140" cy="8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68.2pt;height:68.4pt;mso-wrap-distance-left:0.0pt;mso-wrap-distance-top:0.0pt;mso-wrap-distance-right:0.0pt;mso-wrap-distance-bottom:0.0pt;" stroked="f">
                      <v:path textboxrect="0,0,0,0"/>
                      <v:imagedata r:id="rId237"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配LED显示屏，节能环保,304食品级不锈钢材质，外表温度低于 40℃，容量110-120L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4802"/>
                      <wp:effectExtent l="0" t="0" r="0" b="0"/>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868660"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68.4pt;height:61.0pt;mso-wrap-distance-left:0.0pt;mso-wrap-distance-top:0.0pt;mso-wrap-distance-right:0.0pt;mso-wrap-distance-bottom:0.0pt;" stroked="f">
                      <v:path textboxrect="0,0,0,0"/>
                      <v:imagedata r:id="rId238" o:title=""/>
                    </v:shape>
                  </w:pict>
                </mc:Fallback>
              </mc:AlternateContent>
            </w:r>
            <w:r>
              <w:rPr>
                <w:highlight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81.5pt;height:57.1pt;mso-wrap-distance-left:0.0pt;mso-wrap-distance-top:0.0pt;mso-wrap-distance-right:0.0pt;mso-wrap-distance-bottom:0.0pt;" stroked="f">
                      <v:path textboxrect="0,0,0,0"/>
                      <v:imagedata r:id="rId23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49.6pt;height:49.6pt;mso-wrap-distance-left:0.0pt;mso-wrap-distance-top:0.0pt;mso-wrap-distance-right:0.0pt;mso-wrap-distance-bottom:0.0pt;" stroked="f">
                      <v:path textboxrect="0,0,0,0"/>
                      <v:imagedata r:id="rId24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58.6pt;height:53.0pt;mso-wrap-distance-left:0.0pt;mso-wrap-distance-top:0.0pt;mso-wrap-distance-right:0.0pt;mso-wrap-distance-bottom:0.0pt;" stroked="f">
                      <v:path textboxrect="0,0,0,0"/>
                      <v:imagedata r:id="rId241" o:title=""/>
                    </v:shape>
                  </w:pict>
                </mc:Fallback>
              </mc:AlternateContent>
            </w:r>
            <w:r>
              <w:rPr>
                <w:highlight w:val="none"/>
              </w:rPr>
            </w:r>
            <w:r/>
          </w:p>
        </w:tc>
      </w:tr>
      <w:tr>
        <w:trPr>
          <w:trHeight w:val="54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1.0pt;height:51.0pt;mso-wrap-distance-left:0.0pt;mso-wrap-distance-top:0.0pt;mso-wrap-distance-right:0.0pt;mso-wrap-distance-bottom:0.0pt;" stroked="f">
                      <v:path textboxrect="0,0,0,0"/>
                      <v:imagedata r:id="rId24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48.6pt;height:48.8pt;mso-wrap-distance-left:0.0pt;mso-wrap-distance-top:0.0pt;mso-wrap-distance-right:0.0pt;mso-wrap-distance-bottom:0.0pt;" stroked="f">
                      <v:path textboxrect="0,0,0,0"/>
                      <v:imagedata r:id="rId24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49.5pt;height:49.6pt;mso-wrap-distance-left:0.0pt;mso-wrap-distance-top:0.0pt;mso-wrap-distance-right:0.0pt;mso-wrap-distance-bottom:0.0pt;" stroked="f">
                      <v:path textboxrect="0,0,0,0"/>
                      <v:imagedata r:id="rId244" o:title=""/>
                    </v:shape>
                  </w:pict>
                </mc:Fallback>
              </mc:AlternateContent>
            </w:r>
            <w:r>
              <w:rPr>
                <w:highlight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中式烹饪间（一/二） 油烟罩及集烟箱</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33400*1000*500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27660"/>
                      <wp:effectExtent l="0" t="0" r="0" b="0"/>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734778" cy="72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57.9pt;height:57.3pt;mso-wrap-distance-left:0.0pt;mso-wrap-distance-top:0.0pt;mso-wrap-distance-right:0.0pt;mso-wrap-distance-bottom:0.0pt;" stroked="f">
                      <v:path textboxrect="0,0,0,0"/>
                      <v:imagedata r:id="rId24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7676"/>
                      <wp:effectExtent l="0" t="0" r="0" b="0"/>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685800" cy="687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54.0pt;height:54.1pt;mso-wrap-distance-left:0.0pt;mso-wrap-distance-top:0.0pt;mso-wrap-distance-right:0.0pt;mso-wrap-distance-bottom:0.0pt;" stroked="f">
                      <v:path textboxrect="0,0,0,0"/>
                      <v:imagedata r:id="rId246" o:title=""/>
                    </v:shape>
                  </w:pict>
                </mc:Fallback>
              </mc:AlternateContent>
            </w:r>
            <w:r>
              <w:rPr>
                <w:highlight w:val="none"/>
              </w:rPr>
            </w:r>
            <w:r/>
          </w:p>
        </w:tc>
      </w:tr>
      <w:tr>
        <w:trPr>
          <w:trHeight w:val="607"/>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西式面点间油烟罩及集烟箱</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1054"/>
                      <wp:effectExtent l="0" t="0" r="0" b="0"/>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685800" cy="681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54.0pt;height:53.6pt;mso-wrap-distance-left:0.0pt;mso-wrap-distance-top:0.0pt;mso-wrap-distance-right:0.0pt;mso-wrap-distance-bottom:0.0pt;" stroked="f">
                      <v:path textboxrect="0,0,0,0"/>
                      <v:imagedata r:id="rId247" o:title=""/>
                    </v:shape>
                  </w:pict>
                </mc:Fallback>
              </mc:AlternateContent>
            </w:r>
            <w:r>
              <w:rPr>
                <w:highlight w:val="none"/>
              </w:rPr>
            </w:r>
            <w:r/>
          </w:p>
        </w:tc>
      </w:tr>
      <w:tr>
        <w:trPr>
          <w:trHeight w:val="538"/>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中式面点间油烟罩</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5521"/>
                      <wp:effectExtent l="0" t="0" r="0" b="0"/>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734778"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57.9pt;height:57.9pt;mso-wrap-distance-left:0.0pt;mso-wrap-distance-top:0.0pt;mso-wrap-distance-right:0.0pt;mso-wrap-distance-bottom:0.0pt;" stroked="f">
                      <v:path textboxrect="0,0,0,0"/>
                      <v:imagedata r:id="rId248" o:title=""/>
                    </v:shape>
                  </w:pict>
                </mc:Fallback>
              </mc:AlternateContent>
            </w:r>
            <w:r>
              <w:rPr>
                <w:highlight w:val="none"/>
              </w:rPr>
            </w:r>
            <w:r/>
          </w:p>
        </w:tc>
      </w:tr>
      <w:tr>
        <w:trPr>
          <w:trHeight w:val="70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其它</w:t>
            </w:r>
            <w:r>
              <w:rPr>
                <w:highlight w:val="none"/>
              </w:rPr>
            </w:r>
            <w:r/>
          </w:p>
        </w:tc>
      </w:tr>
      <w:tr>
        <w:trPr>
          <w:trHeight w:val="95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电磁炉专用增加把勺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专用配套</w:t>
            </w:r>
            <w:r>
              <w:rPr>
                <w:highlight w:val="none"/>
              </w:rPr>
            </w:r>
            <w:r/>
          </w:p>
        </w:tc>
        <w:tc>
          <w:tcPr>
            <w:tcW w:w="2184" w:type="dxa"/>
            <w:vAlign w:val="center"/>
            <w:textDirection w:val="lrTb"/>
            <w:noWrap/>
          </w:tcPr>
          <w:p>
            <w:pPr>
              <w:pStyle w:val="71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地沟盖板</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580*250*25</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国标优质1.5mm不锈钢板材定制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9108" cy="619108"/>
                      <wp:effectExtent l="0" t="0" r="0" b="0"/>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619108"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48.7pt;height:48.7pt;mso-wrap-distance-left:0.0pt;mso-wrap-distance-top:0.0pt;mso-wrap-distance-right:0.0pt;mso-wrap-distance-bottom:0.0pt;" stroked="f">
                      <v:path textboxrect="0,0,0,0"/>
                      <v:imagedata r:id="rId249" o:title=""/>
                    </v:shape>
                  </w:pict>
                </mc:Fallback>
              </mc:AlternateContent>
            </w:r>
            <w:r>
              <w:rPr>
                <w:highlight w:val="none"/>
              </w:rPr>
            </w:r>
            <w:r/>
          </w:p>
        </w:tc>
      </w:tr>
      <w:tr>
        <w:trPr>
          <w:trHeight w:val="192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2850"/>
                      <wp:effectExtent l="0" t="0" r="0" b="0"/>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889347" cy="1182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70.0pt;height:93.1pt;mso-wrap-distance-left:0.0pt;mso-wrap-distance-top:0.0pt;mso-wrap-distance-right:0.0pt;mso-wrap-distance-bottom:0.0pt;" stroked="f">
                      <v:path textboxrect="0,0,0,0"/>
                      <v:imagedata r:id="rId250" o:title=""/>
                    </v:shape>
                  </w:pict>
                </mc:Fallback>
              </mc:AlternateContent>
            </w:r>
            <w:r>
              <w:rPr>
                <w:highlight w:val="none"/>
              </w:rPr>
            </w:r>
            <w:r/>
          </w:p>
        </w:tc>
      </w:tr>
    </w:tbl>
    <w:p>
      <w:pPr>
        <w:pStyle w:val="908"/>
        <w:rPr>
          <w:rFonts w:hint="eastAsia"/>
          <w:color w:val="000000"/>
          <w:highlight w:val="none"/>
        </w:rPr>
      </w:pPr>
      <w:r>
        <w:rPr>
          <w:rFonts w:hint="eastAsia"/>
          <w:color w:val="000000"/>
          <w:highlight w:val="none"/>
          <w:lang w:val="en-US" w:eastAsia="zh-CN"/>
        </w:rPr>
      </w:r>
      <w:r>
        <w:rPr>
          <w:highlight w:val="none"/>
        </w:rPr>
      </w:r>
      <w:r/>
    </w:p>
    <w:p>
      <w:pPr>
        <w:pStyle w:val="908"/>
        <w:rPr>
          <w:rFonts w:hint="eastAsia"/>
          <w:color w:val="000000"/>
          <w:highlight w:val="none"/>
        </w:rPr>
      </w:pPr>
      <w:r>
        <w:rPr>
          <w:rFonts w:hint="eastAsia"/>
          <w:color w:val="000000"/>
          <w:highlight w:val="none"/>
          <w:lang w:val="en-US" w:eastAsia="zh-CN"/>
        </w:rPr>
      </w:r>
      <w:r>
        <w:rPr>
          <w:highlight w:val="none"/>
        </w:rPr>
      </w:r>
      <w:r/>
    </w:p>
    <w:p>
      <w:pPr>
        <w:pStyle w:val="907"/>
        <w:spacing w:before="0" w:after="0" w:line="360" w:lineRule="auto"/>
        <w:rPr>
          <w:rFonts w:hint="eastAsia" w:ascii="宋体" w:hAnsi="宋体" w:eastAsia="Arial" w:cs="Times New Roman"/>
          <w:b w:val="0"/>
          <w:bCs w:val="0"/>
          <w:color w:val="000000"/>
          <w:sz w:val="24"/>
          <w:szCs w:val="24"/>
          <w:highlight w:val="none"/>
        </w:rPr>
      </w:pPr>
      <w:r>
        <w:rPr>
          <w:rFonts w:hint="eastAsia" w:ascii="宋体" w:hAnsi="宋体" w:eastAsia="Arial" w:cs="Times New Roman"/>
          <w:b/>
          <w:bCs/>
          <w:color w:val="000000"/>
          <w:sz w:val="24"/>
          <w:szCs w:val="24"/>
          <w:highlight w:val="none"/>
          <w:lang w:val="en-US" w:eastAsia="zh-CN" w:bidi="ar-SA"/>
        </w:rPr>
        <w:t xml:space="preserve">货物总体要求</w:t>
      </w:r>
      <w:r>
        <w:rPr>
          <w:rFonts w:hint="eastAsia" w:ascii="宋体" w:hAnsi="宋体" w:eastAsia="Arial" w:cs="Times New Roman"/>
          <w:b w:val="0"/>
          <w:bCs w:val="0"/>
          <w:color w:val="000000"/>
          <w:sz w:val="24"/>
          <w:szCs w:val="24"/>
          <w:highlight w:val="none"/>
          <w:lang w:val="en-US" w:eastAsia="zh-CN" w:bidi="ar-SA"/>
        </w:rPr>
        <w:t xml:space="preserve">：</w:t>
      </w:r>
      <w:r>
        <w:rPr>
          <w:highlight w:val="none"/>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rPr>
      </w:pPr>
      <w:r>
        <w:rPr>
          <w:rFonts w:hint="eastAsia" w:ascii="宋体" w:hAnsi="宋体" w:eastAsia="Arial" w:cs="Times New Roman"/>
          <w:b w:val="0"/>
          <w:bCs w:val="0"/>
          <w:color w:val="000000"/>
          <w:sz w:val="24"/>
          <w:szCs w:val="24"/>
          <w:highlight w:val="none"/>
          <w:lang w:val="en-US" w:eastAsia="zh-CN" w:bidi="ar-SA"/>
        </w:rPr>
        <w:t xml:space="preserve">所有设备的设计、制造、安装、检验、须符合中华人民共和国有关行业标准和规范，同时须符合国际通用标准；</w:t>
      </w:r>
      <w:r>
        <w:rPr>
          <w:highlight w:val="none"/>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rPr>
      </w:pPr>
      <w:r>
        <w:rPr>
          <w:rFonts w:hint="eastAsia" w:ascii="宋体" w:hAnsi="宋体" w:eastAsia="Arial" w:cs="Times New Roman"/>
          <w:b w:val="0"/>
          <w:bCs w:val="0"/>
          <w:color w:val="000000"/>
          <w:sz w:val="24"/>
          <w:szCs w:val="24"/>
          <w:highlight w:val="none"/>
          <w:lang w:val="en-US" w:eastAsia="zh-CN" w:bidi="ar-SA"/>
        </w:rPr>
        <w:t xml:space="preserve">设备的安装应符合包括建筑规范，公共卫生条例，燃气或其它有关之条例；</w:t>
      </w:r>
      <w:r>
        <w:rPr>
          <w:highlight w:val="none"/>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rPr>
      </w:pPr>
      <w:r>
        <w:rPr>
          <w:rFonts w:hint="eastAsia" w:ascii="宋体" w:hAnsi="宋体" w:eastAsia="Arial" w:cs="Times New Roman"/>
          <w:b w:val="0"/>
          <w:bCs w:val="0"/>
          <w:color w:val="000000"/>
          <w:sz w:val="24"/>
          <w:szCs w:val="24"/>
          <w:highlight w:val="none"/>
          <w:lang w:val="en-US" w:eastAsia="zh-CN" w:bidi="ar-SA"/>
        </w:rPr>
        <w:t xml:space="preserve">燃气用具须符合国家、行业及地区的相关标准，得到有关管理部门的认可。</w:t>
      </w:r>
      <w:r>
        <w:rPr>
          <w:highlight w:val="none"/>
        </w:rPr>
      </w:r>
      <w:r/>
    </w:p>
    <w:p>
      <w:pPr>
        <w:pStyle w:val="714"/>
        <w:ind w:firstLine="480"/>
        <w:jc w:val="both"/>
        <w:spacing w:before="120" w:after="120" w:line="360" w:lineRule="auto"/>
        <w:rPr>
          <w:rFonts w:hint="eastAsia" w:ascii="宋体" w:hAnsi="宋体" w:cs="宋体"/>
          <w:b/>
          <w:bCs/>
          <w:color w:val="000000"/>
          <w:sz w:val="24"/>
          <w:szCs w:val="24"/>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cs="宋体"/>
          <w:b/>
          <w:bCs/>
          <w:color w:val="000000"/>
          <w:sz w:val="24"/>
          <w:szCs w:val="24"/>
          <w:highlight w:val="none"/>
          <w:lang w:val="en-US" w:eastAsia="zh-CN"/>
        </w:rPr>
        <w:t xml:space="preserve">三、供货要求</w:t>
      </w:r>
      <w:r>
        <w:rPr>
          <w:highlight w:val="none"/>
        </w:rPr>
      </w:r>
      <w:r/>
    </w:p>
    <w:p>
      <w:pPr>
        <w:pStyle w:val="714"/>
        <w:numPr>
          <w:ilvl w:val="0"/>
          <w:numId w:val="0"/>
        </w:numPr>
        <w:ind w:firstLine="480"/>
        <w:jc w:val="both"/>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lang w:val="en-US" w:eastAsia="zh-CN"/>
        </w:rPr>
        <w:t xml:space="preserve">1.供货时间：</w:t>
      </w:r>
      <w:r>
        <w:rPr>
          <w:rFonts w:hint="eastAsia" w:ascii="宋体" w:hAnsi="宋体" w:eastAsia="宋体" w:cs="宋体"/>
          <w:color w:val="000000"/>
          <w:sz w:val="24"/>
          <w:szCs w:val="24"/>
          <w:highlight w:val="none"/>
          <w:lang w:eastAsia="zh-CN"/>
        </w:rPr>
        <w:t xml:space="preserve">合同签订之后，30日内完成供货及安</w:t>
      </w:r>
      <w:r>
        <w:rPr>
          <w:rFonts w:hint="eastAsia" w:ascii="宋体" w:hAnsi="宋体" w:eastAsia="宋体" w:cs="宋体"/>
          <w:color w:val="000000"/>
          <w:sz w:val="24"/>
          <w:szCs w:val="24"/>
          <w:highlight w:val="none"/>
          <w:lang w:val="en-US" w:eastAsia="zh-CN"/>
        </w:rPr>
        <w:t xml:space="preserve">装</w:t>
      </w:r>
      <w:r>
        <w:rPr>
          <w:rFonts w:hint="eastAsia" w:ascii="宋体" w:hAnsi="宋体" w:eastAsia="宋体" w:cs="宋体"/>
          <w:color w:val="000000"/>
          <w:sz w:val="24"/>
          <w:szCs w:val="24"/>
          <w:highlight w:val="none"/>
          <w:lang w:val="en-US" w:eastAsia="zh-CN"/>
        </w:rPr>
        <w:t xml:space="preserve">（双开门消毒柜的供货安装期可延迟至2026年9月10日前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highlight w:val="none"/>
        </w:rPr>
      </w:r>
      <w:r/>
    </w:p>
    <w:p>
      <w:pPr>
        <w:pStyle w:val="714"/>
        <w:numPr>
          <w:ilvl w:val="0"/>
          <w:numId w:val="0"/>
        </w:numPr>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2.质量要求：</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成交供应商应保证货物是全新、未使用过的原装合格正品，并完全符合采购文件规定的质量、规格和性能的要求，供货时提供出厂检验合格证和相关检测报告等资料。</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产品的包装和运输，符合国家或行业主管部门规定。</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成交供应商应保证提供的产品不得侵犯第三方专利权、商标权和设计权、版权等。否则，成交供应商应负全部责任，并承担</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由此引起的一切后果。</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成交供应商应保证其货物在正确安装、正常使用和保养条件下，在其使用寿命期内应具有满意的性能。</w:t>
      </w:r>
      <w:r>
        <w:rPr>
          <w:highlight w:val="none"/>
        </w:rPr>
      </w:r>
      <w:r/>
    </w:p>
    <w:p>
      <w:pPr>
        <w:pStyle w:val="714"/>
        <w:ind w:firstLine="480"/>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四、验收要求</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到货检验合格：</w:t>
      </w:r>
      <w:r>
        <w:rPr>
          <w:rFonts w:hint="eastAsia" w:ascii="宋体" w:hAnsi="宋体" w:eastAsia="宋体"/>
          <w:color w:val="000000"/>
          <w:sz w:val="24"/>
          <w:szCs w:val="24"/>
          <w:highlight w:val="none"/>
          <w:lang w:val="en-US" w:eastAsia="zh-CN"/>
        </w:rPr>
        <w:t xml:space="preserve">货物</w:t>
      </w:r>
      <w:r>
        <w:rPr>
          <w:rFonts w:hint="eastAsia" w:ascii="宋体" w:hAnsi="宋体"/>
          <w:color w:val="000000"/>
          <w:sz w:val="24"/>
          <w:szCs w:val="24"/>
          <w:highlight w:val="none"/>
        </w:rPr>
        <w:t xml:space="preserve">到货后，</w:t>
      </w:r>
      <w:r>
        <w:rPr>
          <w:rFonts w:hint="eastAsia" w:ascii="宋体" w:hAnsi="宋体" w:eastAsia="宋体"/>
          <w:color w:val="000000"/>
          <w:sz w:val="24"/>
          <w:szCs w:val="24"/>
          <w:highlight w:val="none"/>
          <w:lang w:val="en-US" w:eastAsia="zh-CN"/>
        </w:rPr>
        <w:t xml:space="preserve">由</w:t>
      </w:r>
      <w:r>
        <w:rPr>
          <w:rFonts w:hint="eastAsia" w:ascii="宋体" w:hAnsi="宋体"/>
          <w:color w:val="000000"/>
          <w:sz w:val="24"/>
          <w:szCs w:val="24"/>
          <w:highlight w:val="none"/>
        </w:rPr>
        <w:t xml:space="preserve">成交供应商申请到货验收。采购人根据</w:t>
      </w:r>
      <w:r>
        <w:rPr>
          <w:rFonts w:hint="eastAsia" w:ascii="宋体" w:hAnsi="宋体" w:eastAsia="宋体"/>
          <w:color w:val="000000"/>
          <w:sz w:val="24"/>
          <w:szCs w:val="24"/>
          <w:highlight w:val="none"/>
          <w:lang w:val="en-US" w:eastAsia="zh-CN"/>
        </w:rPr>
        <w:t xml:space="preserve">询价</w:t>
      </w:r>
      <w:r>
        <w:rPr>
          <w:rFonts w:hint="eastAsia" w:ascii="宋体" w:hAnsi="宋体"/>
          <w:color w:val="000000"/>
          <w:sz w:val="24"/>
          <w:szCs w:val="24"/>
          <w:highlight w:val="none"/>
        </w:rPr>
        <w:t xml:space="preserve">文件和合同要求对成交供应商所投</w:t>
      </w:r>
      <w:r>
        <w:rPr>
          <w:rFonts w:hint="eastAsia" w:ascii="宋体" w:hAnsi="宋体" w:eastAsia="宋体"/>
          <w:color w:val="000000"/>
          <w:sz w:val="24"/>
          <w:szCs w:val="24"/>
          <w:highlight w:val="none"/>
          <w:lang w:val="en-US" w:eastAsia="zh-CN"/>
        </w:rPr>
        <w:t xml:space="preserve">产品</w:t>
      </w:r>
      <w:r>
        <w:rPr>
          <w:rFonts w:hint="eastAsia" w:ascii="宋体" w:hAnsi="宋体"/>
          <w:color w:val="000000"/>
          <w:sz w:val="24"/>
          <w:szCs w:val="24"/>
          <w:highlight w:val="none"/>
        </w:rPr>
        <w:t xml:space="preserve">的品牌、型号、规格、数量、包装及资料、文件（如装箱单、保修单、随箱介质、合格证、质检报告、检测报告、维修保养手册等）等材料进行核对签收。</w:t>
      </w:r>
      <w:r>
        <w:rPr>
          <w:highlight w:val="none"/>
        </w:rPr>
      </w:r>
      <w:r/>
    </w:p>
    <w:p>
      <w:pPr>
        <w:pStyle w:val="714"/>
        <w:ind w:firstLine="480"/>
        <w:jc w:val="both"/>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运行验收：成交供应商应确保设备能安全、正常运行并达到采购人的要求。</w:t>
      </w:r>
      <w:r>
        <w:rPr>
          <w:rFonts w:hint="eastAsia" w:ascii="宋体" w:hAnsi="宋体" w:eastAsia="宋体"/>
          <w:color w:val="000000"/>
          <w:sz w:val="24"/>
          <w:szCs w:val="24"/>
          <w:highlight w:val="none"/>
          <w:lang w:val="en-US" w:eastAsia="zh-CN"/>
        </w:rPr>
        <w:t xml:space="preserve">成交供应商所供设备</w:t>
      </w:r>
      <w:r>
        <w:rPr>
          <w:rFonts w:hint="eastAsia" w:ascii="宋体" w:hAnsi="宋体"/>
          <w:color w:val="000000"/>
          <w:sz w:val="24"/>
          <w:szCs w:val="24"/>
          <w:highlight w:val="none"/>
        </w:rPr>
        <w:t xml:space="preserve">应符合采购文件和成交供应商</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文件所承诺的技术标准及服务标准。验收工作由采购人和成交供应商共同进行，在验收时，成交供应商应向采购人提供相关资料和验收申请，按采购人提出的方式验收。双方共同对质量、规格、参数和性能等进行检验；在验收过程中，采购人有疑义或者双方意见不统一时，采购人有权邀请第三方机构或专家对项目进行验收，相关费用由成交供应商承担。如发现质量、规格、参数和性能等任何一项与采购要求规定或投标供应商响应文件不符，采购人有权拒绝接受，一切责任和损失由成交供应商承担。验收合格后由参与验收人员共同签署项目验收报告，并交采购人存档。</w:t>
      </w:r>
      <w:r>
        <w:rPr>
          <w:highlight w:val="none"/>
        </w:rPr>
      </w:r>
      <w:r/>
    </w:p>
    <w:p>
      <w:pPr>
        <w:pStyle w:val="714"/>
        <w:ind w:firstLine="480"/>
        <w:jc w:val="both"/>
        <w:spacing w:line="360" w:lineRule="auto"/>
        <w:rPr>
          <w:rFonts w:ascii="宋体" w:hAnsi="宋体" w:eastAsia="Arial"/>
          <w:b/>
          <w:bCs/>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售后服务要求</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1.质保期限：</w:t>
      </w:r>
      <w:r>
        <w:rPr>
          <w:rFonts w:hint="eastAsia" w:ascii="宋体" w:hAnsi="宋体" w:eastAsia="宋体"/>
          <w:b/>
          <w:bCs/>
          <w:color w:val="000000"/>
          <w:sz w:val="24"/>
          <w:szCs w:val="24"/>
          <w:highlight w:val="none"/>
          <w:lang w:val="en-US" w:eastAsia="zh-CN"/>
        </w:rPr>
        <w:t xml:space="preserve">自</w:t>
      </w:r>
      <w:r>
        <w:rPr>
          <w:rFonts w:hint="eastAsia" w:ascii="宋体" w:hAnsi="宋体"/>
          <w:b/>
          <w:bCs/>
          <w:color w:val="000000"/>
          <w:sz w:val="24"/>
          <w:szCs w:val="24"/>
          <w:highlight w:val="none"/>
        </w:rPr>
        <w:t xml:space="preserve">验收合格之日起24个月</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个别产品另有要求的，按照规定期限执行）</w:t>
      </w:r>
      <w:r>
        <w:rPr>
          <w:rFonts w:hint="eastAsia" w:ascii="宋体" w:hAnsi="宋体"/>
          <w:color w:val="000000"/>
          <w:sz w:val="24"/>
          <w:szCs w:val="24"/>
          <w:highlight w:val="none"/>
        </w:rPr>
        <w:t xml:space="preserve">。</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质保期内提供免费质保及保养服务，期内涉及的全部零件、部件、油类均免费提供。质保期间如发生损坏或故障</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成交供应商应及时免费更换或修理，新更换的零配件为原厂生产的优质产品，且须满足国家现行的</w:t>
      </w:r>
      <w:r>
        <w:rPr>
          <w:rFonts w:hint="eastAsia" w:ascii="宋体" w:hAnsi="宋体" w:eastAsia="宋体"/>
          <w:color w:val="000000"/>
          <w:sz w:val="24"/>
          <w:szCs w:val="24"/>
          <w:highlight w:val="none"/>
          <w:lang w:eastAsia="zh-CN"/>
        </w:rPr>
        <w:t xml:space="preserve">产品</w:t>
      </w:r>
      <w:r>
        <w:rPr>
          <w:rFonts w:hint="eastAsia" w:ascii="宋体" w:hAnsi="宋体"/>
          <w:color w:val="000000"/>
          <w:sz w:val="24"/>
          <w:szCs w:val="24"/>
          <w:highlight w:val="none"/>
        </w:rPr>
        <w:t xml:space="preserve">标准和规范要求。 </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负责免费提供操作手册、维修手册、产品说明书、原厂合格证、相关质检报告等供采购人核验存档，以及操作人员详细的培训计划，包括操作培训、常规应用培训、高级应用培训（价格包含在投标总价中），直至有关人员全部熟练操作。</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成交供应商须确保质保及售后服务工作人员均受过严格培训，是具有丰富经验和相关资质的技术人员，能够遵守相关安全规定和采购人规章制度，服从采购人管理；提供终身7×24小时售后服务专线支持。</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质保期内成交供应商须提供产品出现故障后的维修服务：在接到采购人维修联系通知后须</w:t>
      </w:r>
      <w:r>
        <w:rPr>
          <w:rFonts w:hint="eastAsia" w:ascii="宋体" w:hAnsi="宋体" w:eastAsia="宋体"/>
          <w:color w:val="000000"/>
          <w:sz w:val="24"/>
          <w:szCs w:val="24"/>
          <w:highlight w:val="none"/>
          <w:lang w:eastAsia="zh-CN"/>
        </w:rPr>
        <w:t xml:space="preserve">及时</w:t>
      </w:r>
      <w:r>
        <w:rPr>
          <w:rFonts w:hint="eastAsia" w:ascii="宋体" w:hAnsi="宋体"/>
          <w:color w:val="000000"/>
          <w:sz w:val="24"/>
          <w:szCs w:val="24"/>
          <w:highlight w:val="none"/>
        </w:rPr>
        <w:t xml:space="preserve">响应，在</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小时内到达现场并及时排除故障</w:t>
      </w:r>
      <w:r>
        <w:rPr>
          <w:rFonts w:hint="eastAsia" w:ascii="宋体" w:hAnsi="宋体"/>
          <w:color w:val="000000"/>
          <w:sz w:val="24"/>
          <w:szCs w:val="24"/>
          <w:highlight w:val="none"/>
          <w:lang w:eastAsia="zh-CN"/>
        </w:rPr>
        <w:t xml:space="preserve">（因特殊情况不能及时到达现场的，应及时给予远程支持）</w:t>
      </w:r>
      <w:r>
        <w:rPr>
          <w:rFonts w:hint="eastAsia" w:ascii="宋体" w:hAnsi="宋体"/>
          <w:color w:val="000000"/>
          <w:sz w:val="24"/>
          <w:szCs w:val="24"/>
          <w:highlight w:val="none"/>
        </w:rPr>
        <w:t xml:space="preserve">，遇到突发事故等紧急情况应在30分钟内到达现场并妥善解决。如不及时修理或处置，采购人有权自行派人修理或处置，并按发生费用的两倍予以赔偿。</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如因产品质量问题、安装问题、安全问题影响采购人的使用，导致的后果均由成交供应商承担，给采购人造成损失的，成交供应商还须承担相应的赔偿责任。</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如在供货或使用过程中发现成交供应商提供的产品质量、参数等低于投标时承诺的产品质量、参数或不符合采购人要求的，采购人有权要求成交供应商按采购人意愿更换产品，且</w:t>
      </w:r>
      <w:r>
        <w:rPr>
          <w:rFonts w:hint="eastAsia" w:ascii="宋体" w:hAnsi="宋体" w:eastAsia="宋体"/>
          <w:color w:val="000000"/>
          <w:sz w:val="24"/>
          <w:szCs w:val="24"/>
          <w:highlight w:val="none"/>
          <w:lang w:val="en-US" w:eastAsia="zh-CN"/>
        </w:rPr>
        <w:t xml:space="preserve">供货</w:t>
      </w:r>
      <w:r>
        <w:rPr>
          <w:rFonts w:hint="eastAsia" w:ascii="宋体" w:hAnsi="宋体"/>
          <w:color w:val="000000"/>
          <w:sz w:val="24"/>
          <w:szCs w:val="24"/>
          <w:highlight w:val="none"/>
        </w:rPr>
        <w:t xml:space="preserve">期和中标价格不变，如成交供应商不能按要求执行，则采购人有权扣除全部履约保证金以及单方终止合同，所造成的损失由成交供应商自行承担。</w:t>
      </w:r>
      <w:r>
        <w:rPr>
          <w:highlight w:val="none"/>
        </w:rPr>
      </w:r>
      <w:r/>
    </w:p>
    <w:p>
      <w:pPr>
        <w:pStyle w:val="714"/>
        <w:ind w:firstLine="482"/>
        <w:jc w:val="both"/>
        <w:spacing w:line="360" w:lineRule="auto"/>
        <w:rPr>
          <w:rFonts w:ascii="宋体" w:hAnsi="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六</w:t>
      </w:r>
      <w:r>
        <w:rPr>
          <w:rFonts w:hint="eastAsia" w:ascii="宋体" w:hAnsi="宋体"/>
          <w:b/>
          <w:bCs/>
          <w:color w:val="000000"/>
          <w:sz w:val="24"/>
          <w:szCs w:val="24"/>
          <w:highlight w:val="none"/>
        </w:rPr>
        <w:t xml:space="preserve">、付款方式</w:t>
      </w:r>
      <w:r>
        <w:rPr>
          <w:highlight w:val="none"/>
        </w:rPr>
      </w:r>
      <w:r/>
    </w:p>
    <w:p>
      <w:pPr>
        <w:pStyle w:val="714"/>
        <w:ind w:firstLine="480"/>
        <w:jc w:val="both"/>
        <w:spacing w:line="360" w:lineRule="auto"/>
        <w:rPr>
          <w:rFonts w:hint="eastAsia"/>
          <w:color w:val="000000"/>
          <w:highlight w:val="none"/>
        </w:rPr>
      </w:pPr>
      <w:r>
        <w:rPr>
          <w:rFonts w:hint="eastAsia" w:ascii="宋体" w:hAnsi="宋体"/>
          <w:color w:val="000000"/>
          <w:sz w:val="24"/>
          <w:szCs w:val="24"/>
          <w:highlight w:val="none"/>
        </w:rPr>
        <w:t xml:space="preserve">合同签订后，预付合同总价款的30%，验收合格后付清余款。</w:t>
      </w:r>
      <w:r>
        <w:rPr>
          <w:rFonts w:hint="eastAsia"/>
          <w:color w:val="000000"/>
          <w:highlight w:val="none"/>
          <w:lang w:val="en-US" w:eastAsia="zh-CN"/>
        </w:rPr>
        <w:t xml:space="preserve">   </w:t>
      </w:r>
      <w:r>
        <w:rPr>
          <w:highlight w:val="none"/>
        </w:rPr>
      </w:r>
      <w:r/>
    </w:p>
    <w:p>
      <w:pPr>
        <w:pStyle w:val="714"/>
        <w:jc w:val="center"/>
        <w:keepNext/>
        <w:spacing w:line="360" w:lineRule="auto"/>
        <w:rPr>
          <w:rFonts w:hint="eastAsia" w:ascii="黑体" w:hAnsi="黑体" w:eastAsia="黑体" w:cs="宋体"/>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color w:val="000000"/>
          <w:sz w:val="44"/>
          <w:szCs w:val="44"/>
          <w:highlight w:val="none"/>
        </w:rPr>
      </w:r>
      <w:r>
        <w:rPr>
          <w:highlight w:val="none"/>
        </w:rPr>
      </w:r>
      <w:r/>
    </w:p>
    <w:p>
      <w:pPr>
        <w:pStyle w:val="714"/>
        <w:jc w:val="center"/>
        <w:keepNext/>
        <w:spacing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第五章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响应文件格式 </w:t>
      </w:r>
      <w:r>
        <w:rPr>
          <w:highlight w:val="none"/>
        </w:rPr>
      </w:r>
      <w:r/>
    </w:p>
    <w:p>
      <w:pPr>
        <w:pStyle w:val="714"/>
        <w:jc w:val="center"/>
        <w:spacing w:line="360" w:lineRule="auto"/>
        <w:rPr>
          <w:rFonts w:hint="eastAsia" w:ascii="宋体" w:hAnsi="宋体" w:cs="宋体"/>
          <w:b/>
          <w:bCs/>
          <w:color w:val="000000"/>
          <w:sz w:val="72"/>
          <w:szCs w:val="72"/>
          <w:highlight w:val="none"/>
        </w:rPr>
      </w:pPr>
      <w:r>
        <w:rPr>
          <w:highlight w:val="none"/>
        </w:rPr>
      </w:r>
      <w:bookmarkStart w:id="145" w:name="_Toc120614282"/>
      <w:r>
        <w:rPr>
          <w:highlight w:val="none"/>
        </w:rPr>
      </w:r>
      <w:bookmarkEnd w:id="145"/>
      <w:r>
        <w:rPr>
          <w:highlight w:val="none"/>
        </w:rPr>
      </w:r>
      <w:bookmarkStart w:id="146" w:name="_Toc49090576"/>
      <w:r>
        <w:rPr>
          <w:highlight w:val="none"/>
        </w:rPr>
      </w:r>
      <w:bookmarkEnd w:id="146"/>
      <w:r>
        <w:rPr>
          <w:highlight w:val="none"/>
        </w:rPr>
      </w:r>
      <w:bookmarkStart w:id="147" w:name="_Hlt26671244"/>
      <w:r>
        <w:rPr>
          <w:highlight w:val="none"/>
        </w:rPr>
      </w:r>
      <w:bookmarkEnd w:id="147"/>
      <w:r>
        <w:rPr>
          <w:highlight w:val="none"/>
        </w:rPr>
      </w:r>
      <w:bookmarkStart w:id="148" w:name="_Toc26554094"/>
      <w:r>
        <w:rPr>
          <w:highlight w:val="none"/>
        </w:rPr>
      </w:r>
      <w:bookmarkEnd w:id="148"/>
      <w:r>
        <w:rPr>
          <w:highlight w:val="none"/>
        </w:rPr>
      </w:r>
      <w:bookmarkStart w:id="149" w:name="_Hlt26955039"/>
      <w:r>
        <w:rPr>
          <w:highlight w:val="none"/>
        </w:rPr>
      </w:r>
      <w:bookmarkEnd w:id="149"/>
      <w:r>
        <w:rPr>
          <w:highlight w:val="none"/>
        </w:rPr>
      </w:r>
      <w:r/>
    </w:p>
    <w:p>
      <w:pPr>
        <w:pStyle w:val="714"/>
        <w:jc w:val="center"/>
        <w:spacing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rPr>
          <w:highlight w:val="none"/>
        </w:rPr>
      </w:r>
      <w:r/>
    </w:p>
    <w:p>
      <w:pPr>
        <w:pStyle w:val="714"/>
        <w:jc w:val="center"/>
        <w:spacing w:line="360" w:lineRule="auto"/>
        <w:rPr>
          <w:rFonts w:ascii="宋体" w:hAnsi="宋体" w:cs="宋体"/>
          <w:color w:val="000000"/>
          <w:sz w:val="24"/>
          <w:szCs w:val="24"/>
          <w:highlight w:val="none"/>
        </w:rPr>
      </w:pPr>
      <w:r>
        <w:rPr>
          <w:rFonts w:hint="eastAsia" w:ascii="宋体" w:hAnsi="宋体" w:cs="宋体"/>
          <w:b/>
          <w:bCs/>
          <w:color w:val="000000"/>
          <w:sz w:val="72"/>
          <w:szCs w:val="72"/>
          <w:highlight w:val="none"/>
        </w:rPr>
        <w:t xml:space="preserve">响  应  文  件</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spacing w:line="360" w:lineRule="auto"/>
        <w:rPr>
          <w:rFonts w:ascii="宋体" w:hAnsi="宋体" w:eastAsia="Arial" w:cs="宋体"/>
          <w:b/>
          <w:bCs/>
          <w:color w:val="000000"/>
          <w:sz w:val="36"/>
          <w:szCs w:val="36"/>
          <w:highlight w:val="none"/>
          <w:u w:val="single"/>
        </w:rPr>
      </w:pPr>
      <w:r>
        <w:rPr>
          <w:rFonts w:hint="eastAsia" w:ascii="宋体" w:hAnsi="宋体" w:cs="宋体"/>
          <w:b/>
          <w:bCs/>
          <w:color w:val="000000"/>
          <w:sz w:val="36"/>
          <w:szCs w:val="36"/>
          <w:highlight w:val="none"/>
        </w:rPr>
        <w:t xml:space="preserve">项 目 名 称：</w:t>
      </w:r>
      <w:r>
        <w:rPr>
          <w:rFonts w:hint="eastAsia" w:ascii="宋体" w:hAnsi="宋体" w:cs="宋体"/>
          <w:b/>
          <w:bCs/>
          <w:color w:val="000000"/>
          <w:sz w:val="36"/>
          <w:szCs w:val="36"/>
          <w:highlight w:val="none"/>
          <w:u w:val="single"/>
          <w:lang w:val="en-US" w:eastAsia="zh-CN"/>
        </w:rPr>
        <w:t xml:space="preserve">                   </w:t>
      </w:r>
      <w:r>
        <w:rPr>
          <w:highlight w:val="none"/>
        </w:rPr>
      </w:r>
      <w:r/>
    </w:p>
    <w:p>
      <w:pPr>
        <w:pStyle w:val="714"/>
        <w:jc w:val="both"/>
        <w:spacing w:line="360" w:lineRule="auto"/>
        <w:rPr>
          <w:rFonts w:eastAsia="Arial"/>
          <w:color w:val="000000"/>
          <w:highlight w:val="none"/>
        </w:rPr>
      </w:pPr>
      <w:r>
        <w:rPr>
          <w:rFonts w:hint="eastAsia" w:ascii="宋体" w:hAnsi="宋体" w:cs="宋体"/>
          <w:b/>
          <w:bCs/>
          <w:color w:val="000000"/>
          <w:sz w:val="36"/>
          <w:szCs w:val="36"/>
          <w:highlight w:val="none"/>
        </w:rPr>
        <w:t xml:space="preserve">项 目 编 号：</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highlight w:val="none"/>
        </w:rPr>
      </w:r>
      <w:r/>
    </w:p>
    <w:p>
      <w:pPr>
        <w:pStyle w:val="714"/>
        <w:jc w:val="both"/>
        <w:spacing w:line="360" w:lineRule="auto"/>
        <w:rPr>
          <w:rFonts w:hint="eastAsia" w:ascii="宋体" w:hAnsi="宋体" w:cs="宋体"/>
          <w:b/>
          <w:bCs/>
          <w:color w:val="000000"/>
          <w:sz w:val="36"/>
          <w:szCs w:val="36"/>
          <w:highlight w:val="none"/>
          <w:u w:val="single"/>
        </w:rPr>
      </w:pPr>
      <w:r>
        <w:rPr>
          <w:rFonts w:hint="eastAsia" w:ascii="宋体" w:hAnsi="宋体" w:cs="宋体"/>
          <w:b/>
          <w:bCs/>
          <w:color w:val="000000"/>
          <w:sz w:val="36"/>
          <w:szCs w:val="36"/>
          <w:highlight w:val="none"/>
        </w:rPr>
        <w:t xml:space="preserve">供应商名称 ：</w:t>
      </w:r>
      <w:r>
        <w:rPr>
          <w:rFonts w:hint="eastAsia" w:ascii="宋体" w:hAnsi="宋体" w:cs="宋体"/>
          <w:b/>
          <w:bCs/>
          <w:color w:val="000000"/>
          <w:sz w:val="36"/>
          <w:szCs w:val="36"/>
          <w:highlight w:val="none"/>
          <w:u w:val="single"/>
        </w:rPr>
        <w:t xml:space="preserve">（加盖CA电子公章）</w:t>
      </w:r>
      <w:r>
        <w:rPr>
          <w:highlight w:val="none"/>
        </w:rPr>
      </w:r>
      <w:r/>
    </w:p>
    <w:p>
      <w:pPr>
        <w:pStyle w:val="714"/>
        <w:jc w:val="both"/>
        <w:spacing w:line="360" w:lineRule="auto"/>
        <w:rPr>
          <w:rFonts w:hint="eastAsia" w:ascii="宋体" w:hAnsi="宋体" w:eastAsia="Arial" w:cs="宋体"/>
          <w:color w:val="000000"/>
          <w:sz w:val="24"/>
          <w:szCs w:val="24"/>
          <w:highlight w:val="none"/>
        </w:rPr>
      </w:pPr>
      <w:r>
        <w:rPr>
          <w:rFonts w:hint="eastAsia" w:ascii="宋体" w:hAnsi="宋体" w:cs="宋体"/>
          <w:b/>
          <w:bCs/>
          <w:color w:val="000000"/>
          <w:sz w:val="36"/>
          <w:szCs w:val="36"/>
          <w:highlight w:val="none"/>
        </w:rPr>
        <w:t xml:space="preserve">日  </w:t>
      </w:r>
      <w:r>
        <w:rPr>
          <w:rFonts w:hint="eastAsia" w:ascii="宋体" w:hAnsi="宋体" w:cs="宋体"/>
          <w:b/>
          <w:bCs/>
          <w:color w:val="000000"/>
          <w:sz w:val="36"/>
          <w:szCs w:val="36"/>
          <w:highlight w:val="none"/>
          <w:lang w:val="en-US" w:eastAsia="zh-CN"/>
        </w:rPr>
        <w:t xml:space="preserve">    </w:t>
      </w:r>
      <w:r>
        <w:rPr>
          <w:rFonts w:hint="eastAsia" w:ascii="宋体" w:hAnsi="宋体" w:cs="宋体"/>
          <w:b/>
          <w:bCs/>
          <w:color w:val="000000"/>
          <w:sz w:val="36"/>
          <w:szCs w:val="36"/>
          <w:highlight w:val="none"/>
        </w:rPr>
        <w:t xml:space="preserve">期 ：</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1084"/>
        <w:spacing w:line="360" w:lineRule="auto"/>
        <w:rPr>
          <w:rFonts w:ascii="宋体" w:hAnsi="宋体" w:cs="宋体"/>
          <w:color w:val="000000"/>
          <w:sz w:val="24"/>
          <w:szCs w:val="24"/>
          <w:highlight w:val="none"/>
        </w:rPr>
      </w:pPr>
      <w:r>
        <w:rPr>
          <w:rFonts w:hint="eastAsia" w:ascii="宋体" w:hAnsi="宋体" w:cs="宋体"/>
          <w:b/>
          <w:bCs/>
          <w:color w:val="000000"/>
          <w:sz w:val="36"/>
          <w:szCs w:val="36"/>
          <w:highlight w:val="none"/>
          <w:u w:val="single"/>
        </w:rPr>
        <w:br w:type="page" w:clear="all"/>
      </w:r>
      <w:r>
        <w:rPr>
          <w:highlight w:val="none"/>
        </w:rPr>
      </w:r>
      <w:r/>
    </w:p>
    <w:p>
      <w:pPr>
        <w:pStyle w:val="714"/>
        <w:jc w:val="center"/>
        <w:spacing w:line="360" w:lineRule="auto"/>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响应文件目录</w:t>
      </w:r>
      <w:r>
        <w:rPr>
          <w:highlight w:val="none"/>
        </w:rPr>
      </w:r>
      <w:r/>
    </w:p>
    <w:p>
      <w:pPr>
        <w:pStyle w:val="714"/>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一、法人或者其他组织的营业执照等证明文件，自然人的身份证明</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二、</w:t>
      </w:r>
      <w:r>
        <w:rPr>
          <w:rFonts w:hint="eastAsia" w:ascii="宋体" w:hAnsi="宋体" w:cs="宋体"/>
          <w:i/>
          <w:iCs/>
          <w:color w:val="000000"/>
          <w:sz w:val="24"/>
          <w:szCs w:val="24"/>
          <w:highlight w:val="none"/>
          <w:u w:val="single"/>
          <w:lang w:eastAsia="zh-CN"/>
        </w:rPr>
        <w:t xml:space="preserve">2024年度或者2025年度的财务报告，至少包含资产负债表、利润表；或投标截止时间前六个月内银行出具的资信证明；成立不满一年无须提供</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三、依法缴纳税收和社会保障资金的相关材料（提供提交询价响应文件截止时间前</w:t>
      </w:r>
      <w:r>
        <w:rPr>
          <w:rFonts w:hint="eastAsia" w:ascii="宋体" w:hAnsi="宋体" w:eastAsia="宋体" w:cs="宋体"/>
          <w:i/>
          <w:iCs/>
          <w:color w:val="000000"/>
          <w:sz w:val="24"/>
          <w:szCs w:val="24"/>
          <w:highlight w:val="none"/>
          <w:u w:val="single"/>
          <w:lang w:val="en-US" w:eastAsia="zh-CN"/>
        </w:rPr>
        <w:t xml:space="preserve">六个月</w:t>
      </w:r>
      <w:r>
        <w:rPr>
          <w:rFonts w:hint="eastAsia" w:ascii="宋体" w:hAnsi="宋体" w:cs="宋体"/>
          <w:i/>
          <w:iCs/>
          <w:color w:val="000000"/>
          <w:sz w:val="24"/>
          <w:szCs w:val="24"/>
          <w:highlight w:val="none"/>
          <w:u w:val="single"/>
        </w:rPr>
        <w:t xml:space="preserve">内至少一个月依法缴纳税收及缴纳社会保障资金的证明材料。询价供应商依法享受缓缴、免缴税收、社会保障资金的提供证明材料。）</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四、具备履行合同所必需的设备和专业技术能力的书面声明</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五、参加政府采购活动前 3 年内在经营活动中没有重大违法记录的书面声明</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六、特定资格要求的证明文件（如果本项目设置特定资格要求，则需要提供）</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七、法人授权书</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八、询价响应函</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九、小微企业声明函</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十、残疾人福利性单位声明函</w:t>
      </w:r>
      <w:r>
        <w:rPr>
          <w:highlight w:val="none"/>
        </w:rPr>
      </w:r>
      <w:r/>
    </w:p>
    <w:p>
      <w:pPr>
        <w:pStyle w:val="714"/>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w:t>
      </w:r>
      <w:r>
        <w:rPr>
          <w:rFonts w:hint="eastAsia" w:ascii="宋体" w:hAnsi="宋体" w:cs="宋体"/>
          <w:color w:val="000000"/>
          <w:sz w:val="24"/>
          <w:szCs w:val="24"/>
          <w:highlight w:val="none"/>
          <w:lang w:val="en-US" w:eastAsia="zh-CN"/>
        </w:rPr>
        <w:t xml:space="preserve">关于符合本国产品标准的声明函</w:t>
      </w:r>
      <w:r>
        <w:rPr>
          <w:highlight w:val="none"/>
        </w:rPr>
      </w:r>
      <w:r/>
    </w:p>
    <w:p>
      <w:pPr>
        <w:pStyle w:val="714"/>
        <w:ind w:firstLine="480"/>
        <w:jc w:val="both"/>
        <w:spacing w:line="360" w:lineRule="auto"/>
        <w:rPr>
          <w:rFonts w:ascii="宋体" w:hAnsi="宋体" w:eastAsia="Arial" w:cs="宋体"/>
          <w:color w:val="000000"/>
          <w:sz w:val="24"/>
          <w:szCs w:val="24"/>
          <w:highlight w:val="none"/>
        </w:rPr>
      </w:pPr>
      <w:r>
        <w:rPr>
          <w:rFonts w:hint="eastAsia" w:ascii="宋体" w:hAnsi="宋体" w:cs="宋体"/>
          <w:color w:val="000000"/>
          <w:sz w:val="24"/>
          <w:szCs w:val="24"/>
          <w:highlight w:val="none"/>
          <w:lang w:val="en-US" w:eastAsia="zh-CN"/>
        </w:rPr>
        <w:t xml:space="preserve">十二、分项报价表</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、需求响应及偏离表</w:t>
      </w:r>
      <w:r>
        <w:rPr>
          <w:highlight w:val="none"/>
        </w:rPr>
      </w:r>
      <w:r/>
    </w:p>
    <w:p>
      <w:pPr>
        <w:pStyle w:val="714"/>
        <w:ind w:firstLine="480"/>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一、法人或者其他组织的营业执照等证明文件，自然人的身份证明</w:t>
      </w:r>
      <w:r>
        <w:rPr>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numPr>
          <w:ilvl w:val="0"/>
          <w:numId w:val="0"/>
        </w:numPr>
        <w:jc w:val="both"/>
        <w:keepLines w:val="0"/>
        <w:keepNext w:val="0"/>
        <w:pageBreakBefore w:val="0"/>
        <w:spacing w:line="460" w:lineRule="exact"/>
        <w:widowControl w:val="off"/>
        <w:rPr>
          <w:rFonts w:hint="eastAsia" w:ascii="黑体" w:hAnsi="黑体" w:eastAsia="黑体" w:cs="宋体"/>
          <w:i/>
          <w:iCs/>
          <w:color w:val="000000"/>
          <w:sz w:val="32"/>
          <w:szCs w:val="32"/>
          <w:highlight w:val="none"/>
          <w:u w:val="single"/>
        </w:rPr>
      </w:pPr>
      <w:r>
        <w:rPr>
          <w:rFonts w:hint="eastAsia" w:ascii="黑体" w:hAnsi="黑体" w:eastAsia="黑体" w:cs="宋体"/>
          <w:i/>
          <w:iCs/>
          <w:color w:val="000000"/>
          <w:sz w:val="32"/>
          <w:szCs w:val="32"/>
          <w:highlight w:val="none"/>
          <w:u w:val="single"/>
          <w:lang w:val="en-US" w:eastAsia="zh-CN"/>
        </w:rPr>
        <w:t xml:space="preserve">二、</w:t>
      </w:r>
      <w:r>
        <w:rPr>
          <w:rFonts w:hint="eastAsia" w:ascii="黑体" w:hAnsi="黑体" w:eastAsia="黑体" w:cs="宋体"/>
          <w:i/>
          <w:iCs/>
          <w:color w:val="000000"/>
          <w:sz w:val="32"/>
          <w:szCs w:val="32"/>
          <w:highlight w:val="none"/>
          <w:u w:val="single"/>
          <w:lang w:eastAsia="zh-CN"/>
        </w:rPr>
        <w:t xml:space="preserve">提供2024年度或者2025年度的财务报告，至少包含资产负债表、利润表；或投标截止时间前六个月内银行出具的资信证明</w:t>
      </w:r>
      <w:r>
        <w:rPr>
          <w:highlight w:val="none"/>
        </w:rPr>
      </w:r>
      <w:r/>
    </w:p>
    <w:p>
      <w:pPr>
        <w:pStyle w:val="714"/>
        <w:numPr>
          <w:ilvl w:val="0"/>
          <w:numId w:val="0"/>
        </w:numPr>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供应商成立不满一年无需提供</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三、依法缴纳税收和社会保障资金的相关材料</w:t>
      </w:r>
      <w:r>
        <w:rPr>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提供提交响应文件截止时间前</w:t>
      </w:r>
      <w:r>
        <w:rPr>
          <w:rFonts w:hint="eastAsia" w:ascii="宋体" w:hAnsi="宋体" w:eastAsia="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内至少一个月依法缴纳税收及缴纳社会保障资金的证明材料。供应商依法享受缓缴、免缴税收、社会保障资金的提供证明材料。</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四、具备履行合同所必需的设备和专业技术能力的书面声明</w:t>
      </w:r>
      <w:r>
        <w:rPr>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主要设备有：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五、参加政府采购活动前 3 年内在经营活动中没有重大违法记录的书面声明</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44"/>
          <w:szCs w:val="44"/>
          <w:highlight w:val="none"/>
        </w:rPr>
        <w:t xml:space="preserve">       声  明</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714"/>
        <w:ind w:firstLine="480"/>
        <w:jc w:val="right"/>
        <w:keepLines w:val="0"/>
        <w:keepNext w:val="0"/>
        <w:pageBreakBefore w:val="0"/>
        <w:spacing w:line="460" w:lineRule="exact"/>
        <w:widowControl w:val="off"/>
        <w:tabs>
          <w:tab w:val="left" w:pos="36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ascii="宋体" w:hAnsi="宋体" w:cs="宋体"/>
          <w:color w:val="000000"/>
          <w:sz w:val="24"/>
          <w:highlight w:val="none"/>
        </w:rPr>
        <w:t xml:space="preserve"> 供应商名称：</w:t>
      </w:r>
      <w:r>
        <w:rPr>
          <w:rFonts w:ascii="宋体" w:hAnsi="宋体" w:cs="宋体"/>
          <w:color w:val="000000"/>
          <w:sz w:val="24"/>
          <w:highlight w:val="none"/>
          <w:u w:val="single"/>
        </w:rPr>
        <w:t xml:space="preserve">（加盖</w:t>
      </w:r>
      <w:r>
        <w:rPr>
          <w:rFonts w:ascii="Times New Roman" w:hAnsi="Times New Roman" w:eastAsia="Times New Roman" w:cs="Times New Roman"/>
          <w:color w:val="000000"/>
          <w:sz w:val="24"/>
          <w:highlight w:val="none"/>
          <w:u w:val="single"/>
        </w:rPr>
        <w:t xml:space="preserve">CA</w:t>
      </w:r>
      <w:r>
        <w:rPr>
          <w:rFonts w:ascii="宋体" w:hAnsi="宋体" w:cs="宋体"/>
          <w:color w:val="000000"/>
          <w:sz w:val="24"/>
          <w:highlight w:val="none"/>
          <w:u w:val="single"/>
        </w:rPr>
        <w:t xml:space="preserve">电子公章）</w:t>
      </w:r>
      <w:r>
        <w:rPr>
          <w:highlight w:val="none"/>
        </w:rPr>
      </w:r>
      <w:r/>
    </w:p>
    <w:p>
      <w:pPr>
        <w:pStyle w:val="714"/>
        <w:ind w:firstLine="480"/>
        <w:jc w:val="right"/>
        <w:keepLines w:val="0"/>
        <w:keepNext w:val="0"/>
        <w:pageBreakBefore w:val="0"/>
        <w:spacing w:line="460" w:lineRule="exact"/>
        <w:widowControl w:val="off"/>
        <w:tabs>
          <w:tab w:val="left" w:pos="360" w:leader="none"/>
        </w:tabs>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宋体" w:hAnsi="宋体" w:cs="宋体"/>
          <w:color w:val="000000"/>
          <w:sz w:val="24"/>
          <w:highlight w:val="none"/>
        </w:rPr>
        <w:t xml:space="preserve">日  </w:t>
      </w:r>
      <w:r>
        <w:rPr>
          <w:rFonts w:hint="eastAsia" w:ascii="宋体" w:hAnsi="宋体" w:cs="宋体"/>
          <w:color w:val="000000"/>
          <w:sz w:val="24"/>
          <w:highlight w:val="none"/>
        </w:rPr>
        <w:t xml:space="preserve"> </w:t>
      </w:r>
      <w:r>
        <w:rPr>
          <w:rFonts w:ascii="宋体" w:hAnsi="宋体" w:cs="宋体"/>
          <w:color w:val="000000"/>
          <w:sz w:val="24"/>
          <w:highlight w:val="none"/>
        </w:rPr>
        <w:t xml:space="preserve">期：</w:t>
      </w:r>
      <w:r>
        <w:rPr>
          <w:rFonts w:ascii="Times New Roman" w:hAnsi="Times New Roman" w:eastAsia="Times New Roman" w:cs="Times New Roman"/>
          <w:color w:val="000000"/>
          <w:sz w:val="24"/>
          <w:highlight w:val="none"/>
          <w:u w:val="singl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六、特定资格要求的证明文件</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如果本项目申请人的特定资格要求中要求提供的，必须提供。</w:t>
      </w:r>
      <w:r>
        <w:rPr>
          <w:highlight w:val="none"/>
        </w:rPr>
      </w:r>
      <w:r/>
    </w:p>
    <w:p>
      <w:pPr>
        <w:pStyle w:val="714"/>
        <w:jc w:val="both"/>
        <w:spacing w:line="360" w:lineRule="auto"/>
        <w:rPr>
          <w:rFonts w:hint="eastAsia" w:ascii="黑体" w:hAnsi="黑体" w:eastAsia="黑体" w:cs="宋体"/>
          <w:i/>
          <w:iCs/>
          <w:color w:val="000000"/>
          <w:sz w:val="32"/>
          <w:szCs w:val="32"/>
          <w:highlight w:val="none"/>
          <w:u w:val="single"/>
        </w:rPr>
      </w:pPr>
      <w:r>
        <w:rPr>
          <w:highlight w:val="none"/>
        </w:rPr>
      </w:r>
      <w:bookmarkStart w:id="150" w:name="_Toc120614284"/>
      <w:r>
        <w:rPr>
          <w:highlight w:val="none"/>
        </w:rPr>
      </w:r>
      <w:r/>
    </w:p>
    <w:p>
      <w:pPr>
        <w:pStyle w:val="714"/>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七、法人授权书</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本授权书声明：____________（供应商名称）授权________________（被授权人的姓名）为我方就</w:t>
      </w:r>
      <w:r>
        <w:rPr>
          <w:rFonts w:hint="eastAsia" w:eastAsia="宋体"/>
          <w:color w:val="000000"/>
          <w:sz w:val="24"/>
          <w:szCs w:val="24"/>
          <w:highlight w:val="none"/>
          <w:lang w:eastAsia="zh-CN"/>
        </w:rPr>
        <w:t xml:space="preserve">JSZC-321200-HQGC-X2026-0019</w:t>
      </w:r>
      <w:r>
        <w:rPr>
          <w:color w:val="000000"/>
          <w:sz w:val="24"/>
          <w:szCs w:val="24"/>
          <w:highlight w:val="none"/>
          <w:u w:val="single"/>
        </w:rPr>
        <w:t xml:space="preserve">        </w:t>
      </w:r>
      <w:r>
        <w:rPr>
          <w:color w:val="000000"/>
          <w:sz w:val="24"/>
          <w:szCs w:val="24"/>
          <w:highlight w:val="none"/>
        </w:rPr>
        <w:t xml:space="preserve">号项目采购活动的合法代理人，以本单位名义全权处理一切与该项目采购有关的事务。</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本授权书于______年____月____日起生效，特此声明。</w:t>
      </w:r>
      <w:r>
        <w:rPr>
          <w:highlight w:val="none"/>
        </w:rPr>
      </w:r>
      <w:r/>
    </w:p>
    <w:p>
      <w:pPr>
        <w:pStyle w:val="714"/>
        <w:jc w:val="both"/>
        <w:spacing w:line="360" w:lineRule="auto"/>
        <w:tabs>
          <w:tab w:val="left" w:pos="360" w:leader="none"/>
        </w:tabs>
        <w:rPr>
          <w:rFonts w:hint="eastAsia"/>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highlight w:val="none"/>
        </w:rPr>
      </w:r>
      <w:r/>
    </w:p>
    <w:p>
      <w:pPr>
        <w:pStyle w:val="714"/>
        <w:ind w:firstLine="3360"/>
        <w:jc w:val="both"/>
        <w:spacing w:line="360" w:lineRule="auto"/>
        <w:tabs>
          <w:tab w:val="left" w:pos="360" w:leader="none"/>
        </w:tabs>
        <w:rPr>
          <w:rFonts w:ascii="宋体" w:hAnsi="宋体" w:cs="宋体"/>
          <w:color w:val="000000"/>
          <w:sz w:val="24"/>
          <w:szCs w:val="24"/>
          <w:highlight w:val="none"/>
        </w:rPr>
      </w:pPr>
      <w:r>
        <w:rPr>
          <w:rFonts w:hint="eastAsia"/>
          <w:color w:val="000000"/>
          <w:sz w:val="24"/>
          <w:szCs w:val="24"/>
          <w:highlight w:val="none"/>
          <w:lang w:val="en-US" w:eastAsia="zh-CN"/>
        </w:rPr>
        <w:t xml:space="preserve"> </w:t>
      </w:r>
      <w:r>
        <w:rPr>
          <w:color w:val="000000"/>
          <w:sz w:val="24"/>
          <w:szCs w:val="24"/>
          <w:highlight w:val="none"/>
        </w:rPr>
        <w:t xml:space="preserve"> 被授权人身份证号码：</w:t>
      </w:r>
      <w:r>
        <w:rPr>
          <w:color w:val="000000"/>
          <w:sz w:val="24"/>
          <w:szCs w:val="24"/>
          <w:highlight w:val="none"/>
          <w:u w:val="single"/>
        </w:rPr>
        <w:t xml:space="preserve">                              </w:t>
      </w:r>
      <w:r>
        <w:rPr>
          <w:highlight w:val="none"/>
        </w:rPr>
      </w:r>
      <w:r/>
    </w:p>
    <w:p>
      <w:pPr>
        <w:pStyle w:val="714"/>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被授权人联系电话：（手机）</w:t>
      </w:r>
      <w:r>
        <w:rPr>
          <w:color w:val="000000"/>
          <w:sz w:val="24"/>
          <w:szCs w:val="24"/>
          <w:highlight w:val="none"/>
          <w:u w:val="single"/>
        </w:rPr>
        <w:t xml:space="preserve">                          </w:t>
      </w:r>
      <w:r>
        <w:rPr>
          <w:highlight w:val="none"/>
        </w:rPr>
      </w:r>
      <w:r/>
    </w:p>
    <w:p>
      <w:pPr>
        <w:pStyle w:val="714"/>
        <w:ind w:firstLine="360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授权单位名称：</w:t>
      </w:r>
      <w:r>
        <w:rPr>
          <w:color w:val="000000"/>
          <w:sz w:val="24"/>
          <w:szCs w:val="24"/>
          <w:highlight w:val="none"/>
          <w:u w:val="single"/>
        </w:rPr>
        <w:t xml:space="preserve">（加盖CA电子公章）</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 单位地址：</w:t>
      </w:r>
      <w:r>
        <w:rPr>
          <w:color w:val="000000"/>
          <w:sz w:val="24"/>
          <w:szCs w:val="24"/>
          <w:highlight w:val="none"/>
          <w:u w:val="single"/>
        </w:rPr>
        <w:t xml:space="preserve">                                         </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日期：</w:t>
      </w:r>
      <w:bookmarkEnd w:id="150"/>
      <w:r>
        <w:rPr>
          <w:highlight w:val="none"/>
        </w:rPr>
      </w:r>
      <w:bookmarkStart w:id="151" w:name="_格式3__银行出具的资信证明"/>
      <w:r>
        <w:rPr>
          <w:highlight w:val="none"/>
        </w:rPr>
      </w:r>
      <w:bookmarkEnd w:id="151"/>
      <w:r>
        <w:rPr>
          <w:highlight w:val="none"/>
        </w:rPr>
      </w:r>
      <w:bookmarkStart w:id="152" w:name="_Hlt26671380"/>
      <w:r>
        <w:rPr>
          <w:highlight w:val="none"/>
        </w:rPr>
      </w:r>
      <w:bookmarkEnd w:id="152"/>
      <w:r>
        <w:rPr>
          <w:highlight w:val="none"/>
        </w:rPr>
      </w:r>
      <w:bookmarkStart w:id="153" w:name="_Hlt26955070"/>
      <w:r>
        <w:rPr>
          <w:color w:val="000000"/>
          <w:sz w:val="24"/>
          <w:szCs w:val="24"/>
          <w:highlight w:val="none"/>
          <w:u w:val="single"/>
        </w:rPr>
        <w:t xml:space="preserve">                                         </w:t>
      </w:r>
      <w:r>
        <w:rPr>
          <w:highlight w:val="none"/>
        </w:rPr>
      </w:r>
      <w:r/>
    </w:p>
    <w:p>
      <w:pPr>
        <w:pStyle w:val="714"/>
        <w:ind w:firstLine="480"/>
        <w:jc w:val="both"/>
        <w:spacing w:line="360" w:lineRule="auto"/>
        <w:tabs>
          <w:tab w:val="left" w:pos="360" w:leader="none"/>
        </w:tabs>
        <w:rPr>
          <w:rFonts w:ascii="宋体" w:hAnsi="宋体" w:eastAsia="Arial" w:cs="宋体"/>
          <w:b/>
          <w:bCs/>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后附法人及被授权人有效身份证正反面扫描件）</w:t>
      </w:r>
      <w:r>
        <w:rPr>
          <w:highlight w:val="none"/>
        </w:rPr>
      </w:r>
      <w:r/>
    </w:p>
    <w:p>
      <w:pPr>
        <w:pStyle w:val="714"/>
        <w:ind w:firstLine="480"/>
        <w:spacing w:line="360" w:lineRule="auto"/>
        <w:tabs>
          <w:tab w:val="left" w:pos="360" w:leader="none"/>
        </w:tabs>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4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keepLines/>
        <w:keepNext/>
        <w:spacing w:before="260" w:after="260" w:line="360" w:lineRule="auto"/>
        <w:rPr>
          <w:rFonts w:hint="eastAsia" w:ascii="黑体" w:hAnsi="黑体" w:eastAsia="黑体" w:cs="宋体"/>
          <w:b/>
          <w:bCs/>
          <w:i/>
          <w:iCs/>
          <w:color w:val="000000"/>
          <w:sz w:val="32"/>
          <w:szCs w:val="32"/>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b/>
          <w:bCs/>
          <w:i/>
          <w:iCs/>
          <w:color w:val="000000"/>
          <w:sz w:val="32"/>
          <w:szCs w:val="32"/>
          <w:highlight w:val="none"/>
          <w:u w:val="single"/>
        </w:rPr>
      </w:r>
      <w:r>
        <w:rPr>
          <w:highlight w:val="none"/>
        </w:rPr>
      </w:r>
      <w:r/>
    </w:p>
    <w:p>
      <w:pPr>
        <w:pStyle w:val="714"/>
        <w:jc w:val="both"/>
        <w:keepLines/>
        <w:keepNext/>
        <w:spacing w:before="260" w:after="260" w:line="360" w:lineRule="auto"/>
        <w:rPr>
          <w:rFonts w:ascii="宋体" w:hAnsi="宋体" w:cs="宋体"/>
          <w:color w:val="000000"/>
          <w:sz w:val="24"/>
          <w:szCs w:val="24"/>
          <w:highlight w:val="none"/>
        </w:rPr>
      </w:pPr>
      <w:r>
        <w:rPr>
          <w:rFonts w:hint="eastAsia" w:ascii="黑体" w:hAnsi="黑体" w:eastAsia="黑体" w:cs="宋体"/>
          <w:b/>
          <w:bCs/>
          <w:i/>
          <w:iCs/>
          <w:color w:val="000000"/>
          <w:sz w:val="32"/>
          <w:szCs w:val="32"/>
          <w:highlight w:val="none"/>
          <w:u w:val="single"/>
        </w:rPr>
        <w:t xml:space="preserve">八、询价响应函</w:t>
      </w:r>
      <w:r>
        <w:rPr>
          <w:highlight w:val="none"/>
        </w:rPr>
      </w:r>
      <w:r/>
    </w:p>
    <w:p>
      <w:pPr>
        <w:pStyle w:val="714"/>
        <w:jc w:val="both"/>
        <w:spacing w:line="360" w:lineRule="auto"/>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lang w:eastAsia="zh-CN"/>
        </w:rPr>
        <w:t xml:space="preserve">江苏华强工程投资管理咨询有限公司</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号询价文件，正式授权下述签字人______</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代表我方______________（供应商的名称），全权处理本次项目询价的有关事宜。</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1.按询价文件规定的各项要求，向买方提供所需货物、服务（包含与货物相关的服务及与服务相关的货物）。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2.我们已详细审核全部询价文件及其有效补充文件，我们知道必须放弃提出含糊不清或误解问题的权利。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3.我们同意从规定的开标日期起遵循本响应文件，并在规定的询价有效期期满之前均具有约束力。</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4.同意向贵方提供贵方可能另外要求的与询价有关的任何证据或资料，并保证我方已提供和将要提供的文件是真实的、准确的。</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5.一旦我方成交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我方将根据询价文件的规定，严格履行合同的责任和义务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并保证在询价文件规定的时</w:t>
      </w:r>
      <w:r>
        <w:rPr>
          <w:rFonts w:hint="eastAsia" w:ascii="宋体" w:hAnsi="宋体" w:cs="宋体"/>
          <w:color w:val="000000"/>
          <w:sz w:val="24"/>
          <w:szCs w:val="24"/>
          <w:highlight w:val="none"/>
          <w:lang w:eastAsia="zh-CN"/>
        </w:rPr>
        <w:t xml:space="preserve">间内</w:t>
      </w:r>
      <w:r>
        <w:rPr>
          <w:rFonts w:hint="eastAsia" w:ascii="宋体" w:hAnsi="宋体" w:cs="宋体"/>
          <w:color w:val="000000"/>
          <w:sz w:val="24"/>
          <w:szCs w:val="24"/>
          <w:highlight w:val="none"/>
        </w:rPr>
        <w:t xml:space="preserve">完成项目，交付买方验收、使用。</w:t>
      </w:r>
      <w:r>
        <w:rPr>
          <w:highlight w:val="none"/>
        </w:rPr>
      </w:r>
      <w:r/>
    </w:p>
    <w:p>
      <w:pPr>
        <w:pStyle w:val="714"/>
        <w:ind w:left="425"/>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6.我方与</w:t>
      </w:r>
      <w:r>
        <w:rPr>
          <w:rFonts w:hint="eastAsia" w:ascii="宋体" w:hAnsi="宋体" w:cs="宋体"/>
          <w:color w:val="000000"/>
          <w:sz w:val="24"/>
          <w:szCs w:val="24"/>
          <w:highlight w:val="none"/>
          <w:lang w:eastAsia="zh-CN"/>
        </w:rPr>
        <w:t xml:space="preserve">本次</w:t>
      </w:r>
      <w:r>
        <w:rPr>
          <w:rFonts w:hint="eastAsia" w:ascii="宋体" w:hAnsi="宋体" w:cs="宋体"/>
          <w:color w:val="000000"/>
          <w:sz w:val="24"/>
          <w:szCs w:val="24"/>
          <w:highlight w:val="none"/>
        </w:rPr>
        <w:t xml:space="preserve">询价有关的正式通讯地址为：</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邮          编：</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供应商开户行：</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账          号： </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321"/>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rPr>
          <w:highlight w:val="none"/>
        </w:rPr>
      </w:r>
      <w:r/>
    </w:p>
    <w:p>
      <w:pPr>
        <w:pStyle w:val="714"/>
        <w:ind w:firstLine="321"/>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九、</w:t>
      </w:r>
      <w:r>
        <w:rPr>
          <w:rFonts w:hint="eastAsia" w:ascii="黑体" w:hAnsi="黑体" w:eastAsia="黑体" w:cs="宋体"/>
          <w:b/>
          <w:bCs/>
          <w:color w:val="000000"/>
          <w:sz w:val="32"/>
          <w:szCs w:val="32"/>
          <w:highlight w:val="none"/>
          <w:lang w:eastAsia="zh-CN"/>
        </w:rPr>
        <w:t xml:space="preserve">中</w:t>
      </w:r>
      <w:r>
        <w:rPr>
          <w:rFonts w:hint="eastAsia" w:ascii="黑体" w:hAnsi="黑体" w:eastAsia="黑体" w:cs="宋体"/>
          <w:b/>
          <w:bCs/>
          <w:color w:val="000000"/>
          <w:sz w:val="32"/>
          <w:szCs w:val="32"/>
          <w:highlight w:val="none"/>
        </w:rPr>
        <w:t xml:space="preserve">小企业声明函（货物）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财库</w:t>
      </w:r>
      <w:r>
        <w:rPr>
          <w:rFonts w:hint="eastAsia" w:ascii="宋体" w:hAnsi="宋体" w:cs="宋体"/>
          <w:color w:val="000000"/>
          <w:sz w:val="24"/>
          <w:szCs w:val="24"/>
          <w:highlight w:val="none"/>
          <w:lang w:eastAsia="zh-CN"/>
        </w:rPr>
        <w:t xml:space="preserve">〔2020〕46号）</w:t>
      </w:r>
      <w:r>
        <w:rPr>
          <w:rFonts w:hint="eastAsia" w:ascii="宋体" w:hAnsi="宋体" w:cs="宋体"/>
          <w:color w:val="000000"/>
          <w:sz w:val="24"/>
          <w:szCs w:val="24"/>
          <w:highlight w:val="none"/>
        </w:rPr>
        <w:t xml:space="preserve">的规定，本公司（联合体）参加</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组织的</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（项目名称）（分包号：**）</w:t>
      </w:r>
      <w:r>
        <w:rPr>
          <w:rFonts w:hint="eastAsia" w:ascii="宋体" w:hAnsi="宋体" w:cs="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工信部联企业</w:t>
      </w:r>
      <w:r>
        <w:rPr>
          <w:rFonts w:hint="eastAsia" w:ascii="宋体" w:hAnsi="宋体" w:cs="宋体"/>
          <w:color w:val="000000"/>
          <w:sz w:val="24"/>
          <w:szCs w:val="24"/>
          <w:highlight w:val="none"/>
          <w:lang w:eastAsia="zh-CN"/>
        </w:rPr>
        <w:t xml:space="preserve">〔2011〕300号）</w:t>
      </w:r>
      <w:r>
        <w:rPr>
          <w:rFonts w:hint="eastAsia" w:ascii="宋体" w:hAnsi="宋体" w:cs="宋体"/>
          <w:color w:val="000000"/>
          <w:sz w:val="24"/>
          <w:szCs w:val="24"/>
          <w:highlight w:val="none"/>
        </w:rPr>
        <w:t xml:space="preserve">的规定，相关企业（含联合体中的小微企业、签订分包意向协议的小微企业）的具体情况如下：</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宋体" w:hAnsi="宋体" w:cs="宋体"/>
          <w:color w:val="000000"/>
          <w:sz w:val="24"/>
          <w:highlight w:val="none"/>
          <w:u w:val="single"/>
          <w:lang w:eastAsia="zh-CN"/>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714"/>
        <w:ind w:firstLine="360"/>
        <w:jc w:val="both"/>
        <w:spacing w:line="360" w:lineRule="auto"/>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lang w:eastAsia="zh-CN"/>
        </w:rPr>
        <w:t xml:space="preserve">。</w:t>
      </w:r>
      <w:r>
        <w:rPr>
          <w:highlight w:val="none"/>
        </w:rPr>
      </w:r>
      <w:r/>
    </w:p>
    <w:p>
      <w:pPr>
        <w:pStyle w:val="714"/>
        <w:ind w:right="7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right="180" w:firstLine="36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highlight w:val="none"/>
        </w:rPr>
      </w:r>
      <w:r/>
    </w:p>
    <w:p>
      <w:pPr>
        <w:pStyle w:val="714"/>
        <w:ind w:right="480" w:firstLine="54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highlight w:val="none"/>
        </w:rPr>
      </w:r>
      <w:r/>
    </w:p>
    <w:p>
      <w:pPr>
        <w:pStyle w:val="714"/>
        <w:ind w:firstLine="36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备注1：从业人员、营业收入、资产总额填报上一年度数据，无上一年度数据的新成立企业可不填报。2.在所属企业类型前的</w:t>
      </w:r>
      <w:r>
        <w:rPr>
          <w:rFonts w:hint="eastAsia" w:ascii="仿宋_GB2312" w:hAnsi="仿宋_GB2312" w:eastAsia="仿宋_GB2312" w:cs="仿宋_GB2312"/>
          <w:color w:val="000000"/>
          <w:sz w:val="24"/>
          <w:szCs w:val="24"/>
          <w:highlight w:val="none"/>
        </w:rPr>
        <w:t xml:space="preserve">□</w:t>
      </w:r>
      <w:r>
        <w:rPr>
          <w:rFonts w:hint="eastAsia" w:ascii="宋体" w:hAnsi="宋体" w:cs="宋体"/>
          <w:color w:val="000000"/>
          <w:sz w:val="24"/>
          <w:szCs w:val="24"/>
          <w:highlight w:val="none"/>
        </w:rPr>
        <w:t xml:space="preserve">内打“√”。</w:t>
      </w:r>
      <w:r>
        <w:rPr>
          <w:highlight w:val="none"/>
        </w:rPr>
      </w:r>
      <w:r/>
    </w:p>
    <w:p>
      <w:pPr>
        <w:pStyle w:val="71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黑体" w:hAnsi="黑体" w:eastAsia="黑体" w:cs="宋体"/>
          <w:b/>
          <w:bCs/>
          <w:color w:val="000000"/>
          <w:sz w:val="32"/>
          <w:szCs w:val="32"/>
          <w:highlight w:val="none"/>
        </w:rPr>
        <w:br w:type="page" w:clear="all"/>
      </w:r>
      <w:r>
        <w:rPr>
          <w:rFonts w:ascii="Calibri" w:hAnsi="Calibri" w:eastAsia="黑体" w:cs="Calibri"/>
          <w:b/>
          <w:bCs/>
          <w:color w:val="000000"/>
          <w:sz w:val="32"/>
          <w:szCs w:val="32"/>
          <w:highlight w:val="none"/>
        </w:rPr>
        <w:t xml:space="preserve"> </w:t>
      </w:r>
      <w:r>
        <w:rPr>
          <w:rFonts w:hint="eastAsia" w:ascii="黑体" w:hAnsi="黑体" w:eastAsia="黑体" w:cs="宋体"/>
          <w:b/>
          <w:bCs/>
          <w:color w:val="000000"/>
          <w:sz w:val="32"/>
          <w:szCs w:val="32"/>
          <w:highlight w:val="none"/>
        </w:rPr>
        <w:t xml:space="preserve">十、残疾人福利性单位声明函</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lang w:eastAsia="zh-CN"/>
        </w:rPr>
        <w:t xml:space="preserve">〔2017〕141号</w:t>
      </w:r>
      <w:r>
        <w:rPr>
          <w:rFonts w:hint="eastAsia" w:ascii="宋体" w:hAnsi="宋体" w:cs="宋体"/>
          <w:color w:val="000000"/>
          <w:sz w:val="24"/>
          <w:szCs w:val="24"/>
          <w:highlight w:val="none"/>
        </w:rPr>
        <w:t xml:space="preserve">）的规定，本单位为符合条件的残疾人福利性单位，且本单位参加______单位的采购文件编号为______的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项目（分包号：**）采购活动提供本单位制造的货物，或者提供其他残疾人福利性单位制造的货物（不包括使用非残疾人福利性单位注册商标的货物）。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w:t>
      </w:r>
      <w:r>
        <w:rPr>
          <w:highlight w:val="none"/>
        </w:rPr>
      </w:r>
      <w:r/>
    </w:p>
    <w:p>
      <w:pPr>
        <w:pStyle w:val="71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成交供应商为残疾人福利单位的，此声明函将随成交结果同时公告，接受社会监督）</w:t>
      </w:r>
      <w:r>
        <w:rPr>
          <w:highlight w:val="none"/>
        </w:rPr>
      </w:r>
      <w:r/>
    </w:p>
    <w:p>
      <w:pPr>
        <w:pStyle w:val="714"/>
        <w:ind w:firstLine="62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right="1560" w:firstLine="624"/>
        <w:jc w:val="center"/>
        <w:spacing w:line="360" w:lineRule="auto"/>
        <w:tabs>
          <w:tab w:val="left" w:pos="4860" w:leader="none"/>
        </w:tabs>
        <w:rPr>
          <w:rFonts w:ascii="宋体" w:hAnsi="宋体" w:cs="宋体"/>
          <w:color w:val="000000"/>
          <w:sz w:val="24"/>
          <w:szCs w:val="24"/>
          <w:highlight w:val="none"/>
        </w:rPr>
      </w:pPr>
      <w:r>
        <w:rPr>
          <w:rFonts w:hint="eastAsia" w:ascii="仿宋_GB2312" w:hAnsi="宋体" w:eastAsia="仿宋_GB2312" w:cs="宋体"/>
          <w:color w:val="000000"/>
          <w:sz w:val="30"/>
          <w:szCs w:val="30"/>
          <w:highlight w:val="none"/>
        </w:rPr>
        <w:t xml:space="preserve">             </w:t>
      </w:r>
      <w:r>
        <w:rPr>
          <w:rFonts w:hint="eastAsia" w:ascii="宋体" w:hAnsi="宋体" w:cs="宋体"/>
          <w:color w:val="000000"/>
          <w:sz w:val="24"/>
          <w:szCs w:val="24"/>
          <w:highlight w:val="none"/>
        </w:rPr>
        <w:t xml:space="preserve">          供应商全称（加盖CA电子公章）：</w:t>
      </w:r>
      <w:r>
        <w:rPr>
          <w:highlight w:val="none"/>
        </w:rPr>
      </w:r>
      <w:r/>
    </w:p>
    <w:p>
      <w:pPr>
        <w:pStyle w:val="714"/>
        <w:ind w:right="1560" w:firstLine="480"/>
        <w:jc w:val="center"/>
        <w:spacing w:line="360" w:lineRule="auto"/>
        <w:tabs>
          <w:tab w:val="left" w:pos="48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日  期：</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rPr>
          <w:highlight w:val="none"/>
        </w:rPr>
      </w:r>
      <w:r/>
    </w:p>
    <w:p>
      <w:pPr>
        <w:pStyle w:val="756"/>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00000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黑体" w:hAnsi="黑体" w:eastAsia="黑体" w:cs="宋体"/>
          <w:b/>
          <w:bCs/>
          <w:color w:val="000000"/>
          <w:sz w:val="32"/>
          <w:szCs w:val="32"/>
          <w:highlight w:val="none"/>
          <w:lang w:val="en-US" w:eastAsia="zh-CN" w:bidi="ar-SA"/>
        </w:rPr>
        <w:t xml:space="preserve">十一、关于符合本国产品标准的声明函</w:t>
      </w:r>
      <w:r>
        <w:rPr>
          <w:highlight w:val="none"/>
        </w:rPr>
      </w:r>
      <w:r/>
    </w:p>
    <w:p>
      <w:pPr>
        <w:pStyle w:val="75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（规定比例）</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（关键组件）</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（关键工序）</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（规定比例）</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（关键组件）</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（关键工序）</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rPr>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highlight w:val="none"/>
        </w:rPr>
        <w:t xml:space="preserve">供应商全称（加盖CA电子公章）：</w:t>
      </w:r>
      <w:r>
        <w:rPr>
          <w:rFonts w:hint="eastAsia" w:ascii="宋体" w:hAnsi="宋体" w:eastAsia="宋体" w:cs="宋体"/>
          <w:i w:val="0"/>
          <w:iCs w:val="0"/>
          <w:caps w:val="0"/>
          <w:color w:val="000000"/>
          <w:spacing w:val="0"/>
          <w:sz w:val="24"/>
          <w:szCs w:val="24"/>
          <w:highlight w:val="none"/>
          <w:shd w:val="clear" w:color="auto" w:fill="ffffff"/>
        </w:rPr>
        <w:t xml:space="preserve">      </w:t>
      </w:r>
      <w:r>
        <w:rPr>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日    </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rPr>
          <w:highlight w:val="none"/>
        </w:rPr>
      </w:r>
      <w:r/>
    </w:p>
    <w:p>
      <w:pPr>
        <w:pStyle w:val="756"/>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_____________________________</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highlight w:val="none"/>
        </w:rPr>
      </w:r>
      <w:r/>
    </w:p>
    <w:p>
      <w:pPr>
        <w:pStyle w:val="726"/>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color w:val="000000"/>
          <w:sz w:val="24"/>
          <w:szCs w:val="24"/>
          <w:highlight w:val="none"/>
          <w:lang w:val="en-US" w:eastAsia="zh-CN" w:bidi="ar"/>
        </w:rPr>
      </w:r>
      <w:r>
        <w:rPr>
          <w:highlight w:val="none"/>
        </w:rPr>
      </w:r>
      <w:r/>
    </w:p>
    <w:p>
      <w:pPr>
        <w:pStyle w:val="714"/>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rPr>
          <w:highlight w:val="none"/>
        </w:rPr>
      </w:r>
      <w:r/>
    </w:p>
    <w:p>
      <w:pPr>
        <w:pStyle w:val="714"/>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二</w:t>
      </w:r>
      <w:r>
        <w:rPr>
          <w:rFonts w:hint="eastAsia" w:ascii="黑体" w:hAnsi="黑体" w:eastAsia="黑体" w:cs="宋体"/>
          <w:b/>
          <w:bCs/>
          <w:color w:val="000000"/>
          <w:sz w:val="32"/>
          <w:szCs w:val="32"/>
          <w:highlight w:val="none"/>
        </w:rPr>
        <w:t xml:space="preserve">、</w:t>
      </w:r>
      <w:r>
        <w:rPr>
          <w:rFonts w:hint="eastAsia" w:ascii="黑体" w:hAnsi="黑体" w:eastAsia="黑体" w:cs="宋体"/>
          <w:b/>
          <w:bCs/>
          <w:color w:val="000000"/>
          <w:sz w:val="32"/>
          <w:szCs w:val="32"/>
          <w:highlight w:val="none"/>
          <w:lang w:val="en-US" w:eastAsia="zh-CN"/>
        </w:rPr>
        <w:t xml:space="preserve">分项</w:t>
      </w:r>
      <w:r>
        <w:rPr>
          <w:rFonts w:hint="eastAsia" w:ascii="黑体" w:hAnsi="黑体" w:eastAsia="黑体" w:cs="宋体"/>
          <w:b/>
          <w:bCs/>
          <w:color w:val="000000"/>
          <w:sz w:val="32"/>
          <w:szCs w:val="32"/>
          <w:highlight w:val="none"/>
        </w:rPr>
        <w:t xml:space="preserve">报价表</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both"/>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报价人名称（盖章）                                采购项目编号：</w:t>
      </w:r>
      <w:r>
        <w:rPr>
          <w:highlight w:val="none"/>
        </w:rPr>
      </w:r>
      <w:r/>
    </w:p>
    <w:p>
      <w:pPr>
        <w:pStyle w:val="714"/>
        <w:jc w:val="both"/>
        <w:spacing w:line="360" w:lineRule="auto"/>
        <w:rPr>
          <w:rFonts w:ascii="黑体" w:eastAsia="黑体"/>
          <w:bCs/>
          <w:color w:val="000000"/>
          <w:sz w:val="24"/>
          <w:szCs w:val="24"/>
          <w:highlight w:val="none"/>
        </w:rPr>
      </w:pPr>
      <w:r>
        <w:rPr>
          <w:rFonts w:hint="eastAsia" w:ascii="黑体" w:eastAsia="黑体"/>
          <w:bCs/>
          <w:color w:val="000000"/>
          <w:sz w:val="24"/>
          <w:szCs w:val="24"/>
          <w:highlight w:val="none"/>
          <w:lang w:val="en-US" w:eastAsia="zh-CN"/>
        </w:rPr>
        <w:t xml:space="preserve">单位：元（人民币）</w:t>
      </w:r>
      <w:r>
        <w:rPr>
          <w:highlight w:val="none"/>
        </w:rPr>
      </w:r>
      <w:r/>
    </w:p>
    <w:tbl>
      <w:tblPr>
        <w:tblW w:w="5187"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581"/>
        <w:gridCol w:w="1531"/>
        <w:gridCol w:w="1884"/>
        <w:gridCol w:w="956"/>
        <w:gridCol w:w="835"/>
        <w:gridCol w:w="816"/>
        <w:gridCol w:w="750"/>
        <w:gridCol w:w="128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品牌及规格型号</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质保期</w:t>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单报价</w:t>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分项总报价</w:t>
            </w:r>
            <w:r>
              <w:rPr>
                <w:highlight w:val="none"/>
              </w:rPr>
            </w:r>
            <w:r/>
          </w:p>
        </w:tc>
      </w:tr>
      <w:tr>
        <w:trPr>
          <w:cantSplit/>
          <w:trHeight w:val="3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45"/>
              <w:jc w:val="center"/>
              <w:spacing w:before="5" w:line="360" w:lineRule="auto"/>
              <w:tabs>
                <w:tab w:val="left" w:pos="420" w:leader="none"/>
                <w:tab w:val="center" w:pos="4153" w:leader="none"/>
                <w:tab w:val="right" w:pos="8306" w:leader="none"/>
              </w:tabs>
              <w:rPr>
                <w:rFonts w:hint="eastAsia" w:ascii="宋体" w:hAnsi="宋体" w:eastAsia="宋体" w:cs="宋体"/>
                <w:color w:val="000000"/>
                <w:sz w:val="21"/>
                <w:szCs w:val="21"/>
                <w:highlight w:val="none"/>
              </w:rPr>
              <w:pBdr>
                <w:bottom w:val="none" w:color="000000" w:sz="0" w:space="0"/>
              </w:pBdr>
            </w:pPr>
            <w:r>
              <w:rPr>
                <w:rFonts w:hint="eastAsia" w:ascii="宋体" w:hAnsi="宋体" w:eastAsia="宋体" w:cs="宋体"/>
                <w:color w:val="000000"/>
                <w:sz w:val="21"/>
                <w:szCs w:val="21"/>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45"/>
              <w:jc w:val="both"/>
              <w:spacing w:line="360" w:lineRule="auto"/>
              <w:tabs>
                <w:tab w:val="left" w:pos="420" w:leader="none"/>
                <w:tab w:val="center" w:pos="4153" w:leader="none"/>
                <w:tab w:val="right" w:pos="8306" w:leader="none"/>
              </w:tabs>
              <w:rPr>
                <w:rFonts w:hint="eastAsia" w:ascii="宋体" w:hAnsi="宋体" w:eastAsia="宋体" w:cs="宋体"/>
                <w:bCs/>
                <w:color w:val="000000"/>
                <w:sz w:val="21"/>
                <w:szCs w:val="21"/>
                <w:highlight w:val="none"/>
              </w:rPr>
              <w:pBdr>
                <w:bottom w:val="none" w:color="000000" w:sz="0" w:space="0"/>
              </w:pBd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71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highlight w:val="none"/>
              </w:rPr>
            </w:r>
            <w:r/>
          </w:p>
        </w:tc>
        <w:tc>
          <w:tcPr>
            <w:tcBorders>
              <w:top w:val="non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tc>
        <w:tc>
          <w:tcPr>
            <w:tcBorders>
              <w:top w:val="non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r>
      <w:tr>
        <w:trPr>
          <w:cantSplit/>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1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lang w:val="en-US" w:eastAsia="zh-CN"/>
              </w:rPr>
            </w:r>
            <w:r>
              <w:rPr>
                <w:highlight w:val="none"/>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714"/>
              <w:jc w:val="both"/>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总报价（小写）</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714"/>
              <w:jc w:val="both"/>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总报价（大写）</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r>
    </w:tbl>
    <w:p>
      <w:pPr>
        <w:pStyle w:val="714"/>
        <w:ind w:firstLine="3520"/>
        <w:jc w:val="both"/>
        <w:spacing w:line="4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rPr>
          <w:highlight w:val="none"/>
        </w:rPr>
      </w:r>
      <w:r/>
    </w:p>
    <w:p>
      <w:pPr>
        <w:pStyle w:val="714"/>
        <w:ind w:firstLine="2560"/>
        <w:jc w:val="both"/>
        <w:spacing w:line="4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w:t>
      </w:r>
      <w:r>
        <w:rPr>
          <w:rFonts w:hint="eastAsia" w:ascii="宋体" w:hAnsi="宋体" w:eastAsia="宋体" w:cs="宋体"/>
          <w:color w:val="000000"/>
          <w:szCs w:val="21"/>
          <w:highlight w:val="none"/>
          <w:lang w:val="en-US" w:eastAsia="zh-CN"/>
        </w:rPr>
        <w:t xml:space="preserve">全</w:t>
      </w:r>
      <w:r>
        <w:rPr>
          <w:rFonts w:hint="eastAsia" w:ascii="宋体" w:hAnsi="宋体" w:cs="宋体"/>
          <w:color w:val="000000"/>
          <w:szCs w:val="21"/>
          <w:highlight w:val="none"/>
        </w:rPr>
        <w:t xml:space="preserve">称：（加盖CA电子公章）</w:t>
      </w:r>
      <w:r>
        <w:rPr>
          <w:highlight w:val="none"/>
        </w:rPr>
      </w:r>
      <w:r/>
    </w:p>
    <w:p>
      <w:pPr>
        <w:pStyle w:val="714"/>
        <w:jc w:val="both"/>
        <w:spacing w:before="5" w:line="360" w:lineRule="auto"/>
        <w:rPr>
          <w:rFonts w:ascii="Calibri" w:hAnsi="Calibri"/>
          <w:b/>
          <w:bCs/>
          <w:color w:val="000000"/>
          <w:sz w:val="24"/>
          <w:szCs w:val="24"/>
          <w:highlight w:val="none"/>
        </w:rPr>
      </w:pPr>
      <w:r>
        <w:rPr>
          <w:rFonts w:ascii="Calibri" w:hAnsi="Calibri"/>
          <w:b/>
          <w:bCs/>
          <w:color w:val="000000"/>
          <w:sz w:val="24"/>
          <w:szCs w:val="24"/>
          <w:highlight w:val="none"/>
        </w:rPr>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询价报价采用总承包方式，供应商的“总报价”应包括所投产品费用、安装调试费、测试验收费、培训费、运行维护费用、税金、国际国内运输保险、报关清关、开证、办理全套免税手续费用及其他有关的为完成本项目发生的所有费用，询价文件中另有规定的除外。</w:t>
      </w:r>
      <w:r>
        <w:rPr>
          <w:highlight w:val="none"/>
        </w:rPr>
      </w:r>
      <w:r/>
    </w:p>
    <w:p>
      <w:pPr>
        <w:pStyle w:val="714"/>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三</w:t>
      </w:r>
      <w:r>
        <w:rPr>
          <w:rFonts w:hint="eastAsia" w:ascii="黑体" w:hAnsi="黑体" w:eastAsia="黑体" w:cs="宋体"/>
          <w:b/>
          <w:bCs/>
          <w:color w:val="000000"/>
          <w:sz w:val="32"/>
          <w:szCs w:val="32"/>
          <w:highlight w:val="none"/>
        </w:rPr>
        <w:t xml:space="preserve">、需求响应及偏离表</w:t>
      </w:r>
      <w:r>
        <w:rPr>
          <w:highlight w:val="none"/>
        </w:rPr>
      </w:r>
      <w:r/>
    </w:p>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供应商全称（加盖CA电子公章）：</w:t>
      </w:r>
      <w:r>
        <w:rPr>
          <w:highlight w:val="none"/>
        </w:rPr>
      </w:r>
      <w:r/>
    </w:p>
    <w:p>
      <w:pPr>
        <w:pStyle w:val="714"/>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bl>
      <w:tblPr>
        <w:tblW w:w="0" w:type="auto"/>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2865"/>
        <w:gridCol w:w="2299"/>
        <w:gridCol w:w="1170"/>
        <w:gridCol w:w="1012"/>
      </w:tblGrid>
      <w:tr>
        <w:trPr>
          <w:tblCellSpacing w:w="0" w:type="dxa"/>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highlight w:val="none"/>
              </w:rPr>
            </w:r>
            <w:r/>
          </w:p>
        </w:tc>
        <w:tc>
          <w:tcPr>
            <w:tcW w:w="2865"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证明</w:t>
            </w:r>
            <w:r>
              <w:rPr>
                <w:highlight w:val="none"/>
              </w:rPr>
            </w:r>
            <w:r/>
          </w:p>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材料</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highlight w:val="none"/>
              </w:rPr>
            </w:r>
            <w:r/>
          </w:p>
        </w:tc>
        <w:tc>
          <w:tcPr>
            <w:tcW w:w="2865" w:type="dxa"/>
            <w:vAlign w:val="center"/>
            <w:textDirection w:val="lrTb"/>
            <w:noWrap w:val="false"/>
          </w:tcPr>
          <w:p>
            <w:pPr>
              <w:pStyle w:val="714"/>
              <w:jc w:val="center"/>
              <w:rPr>
                <w:rFonts w:ascii="宋体" w:hAnsi="宋体" w:cs="宋体"/>
                <w:b/>
                <w:bCs/>
                <w:color w:val="000000"/>
                <w:sz w:val="24"/>
                <w:szCs w:val="24"/>
                <w:highlight w:val="none"/>
              </w:rPr>
            </w:pP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技术要求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（一）</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lang w:val="en-US" w:eastAsia="zh-CN"/>
              </w:rPr>
              <w:t xml:space="preserve">技术参数</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（二）</w:t>
            </w:r>
            <w:r>
              <w:rPr>
                <w:highlight w:val="none"/>
              </w:rPr>
            </w:r>
            <w:r/>
          </w:p>
        </w:tc>
        <w:tc>
          <w:tcPr>
            <w:tcW w:w="2865" w:type="dxa"/>
            <w:vAlign w:val="center"/>
            <w:textDirection w:val="lrTb"/>
            <w:noWrap w:val="false"/>
          </w:tcPr>
          <w:p>
            <w:pPr>
              <w:pStyle w:val="71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总体要求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（三）</w:t>
            </w:r>
            <w:r>
              <w:rPr>
                <w:highlight w:val="none"/>
              </w:rPr>
            </w:r>
            <w:r/>
          </w:p>
        </w:tc>
        <w:tc>
          <w:tcPr>
            <w:tcW w:w="2865" w:type="dxa"/>
            <w:vAlign w:val="center"/>
            <w:textDirection w:val="lrTb"/>
            <w:noWrap w:val="false"/>
          </w:tcPr>
          <w:p>
            <w:pPr>
              <w:pStyle w:val="714"/>
              <w:rPr>
                <w:rFonts w:hint="eastAsia" w:ascii="宋体" w:hAnsi="宋体" w:cs="宋体"/>
                <w:color w:val="000000"/>
                <w:highlight w:val="none"/>
              </w:rPr>
            </w:pPr>
            <w:r>
              <w:rPr>
                <w:rFonts w:hint="eastAsia" w:ascii="宋体" w:hAnsi="宋体" w:eastAsia="宋体" w:cs="宋体"/>
                <w:color w:val="000000"/>
                <w:highlight w:val="none"/>
                <w:lang w:val="en-US" w:eastAsia="zh-CN"/>
              </w:rPr>
              <w:t xml:space="preserve">供货</w:t>
            </w:r>
            <w:r>
              <w:rPr>
                <w:rFonts w:hint="eastAsia" w:ascii="宋体" w:hAnsi="宋体" w:cs="宋体"/>
                <w:color w:val="000000"/>
                <w:highlight w:val="none"/>
              </w:rPr>
              <w:t xml:space="preserve">要求</w:t>
            </w:r>
            <w:r>
              <w:rPr>
                <w:highlight w:val="none"/>
              </w:rPr>
            </w:r>
            <w:r/>
          </w:p>
          <w:p>
            <w:pPr>
              <w:pStyle w:val="714"/>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（四）</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eastAsia="宋体" w:cs="宋体"/>
                <w:color w:val="000000"/>
                <w:highlight w:val="none"/>
                <w:lang w:val="en-US" w:eastAsia="zh-CN"/>
              </w:rPr>
              <w:t xml:space="preserve">验收</w:t>
            </w:r>
            <w:r>
              <w:rPr>
                <w:rFonts w:hint="eastAsia" w:ascii="宋体" w:hAnsi="宋体" w:cs="宋体"/>
                <w:color w:val="000000"/>
                <w:highlight w:val="none"/>
              </w:rPr>
              <w:t xml:space="preserve">要求</w:t>
            </w:r>
            <w:r>
              <w:rPr>
                <w:highlight w:val="none"/>
              </w:rPr>
            </w:r>
            <w:r/>
          </w:p>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（五）</w:t>
            </w:r>
            <w:r>
              <w:rPr>
                <w:highlight w:val="none"/>
              </w:rPr>
            </w:r>
            <w:r/>
          </w:p>
        </w:tc>
        <w:tc>
          <w:tcPr>
            <w:tcW w:w="2865" w:type="dxa"/>
            <w:vAlign w:val="center"/>
            <w:textDirection w:val="lrTb"/>
            <w:noWrap w:val="false"/>
          </w:tcPr>
          <w:p>
            <w:pPr>
              <w:pStyle w:val="714"/>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售后服务要求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ascii="宋体" w:hAnsi="宋体" w:cs="宋体"/>
                <w:color w:val="000000"/>
                <w:highlight w:val="none"/>
              </w:rPr>
            </w:r>
            <w:r>
              <w:rPr>
                <w:highlight w:val="none"/>
              </w:rPr>
            </w:r>
            <w:r/>
          </w:p>
        </w:tc>
        <w:tc>
          <w:tcPr>
            <w:tcW w:w="2865" w:type="dxa"/>
            <w:vAlign w:val="center"/>
            <w:textDirection w:val="lrTb"/>
            <w:noWrap w:val="false"/>
          </w:tcPr>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b/>
                <w:bCs/>
                <w:color w:val="000000"/>
                <w:highlight w:val="none"/>
              </w:rPr>
            </w:pPr>
            <w:r>
              <w:rPr>
                <w:rFonts w:hint="eastAsia" w:ascii="宋体" w:hAnsi="宋体" w:cs="宋体"/>
                <w:b/>
                <w:bCs/>
                <w:color w:val="000000"/>
                <w:highlight w:val="none"/>
              </w:rPr>
              <w:t xml:space="preserve">二</w:t>
            </w:r>
            <w:r>
              <w:rPr>
                <w:highlight w:val="none"/>
              </w:rPr>
            </w:r>
            <w:r/>
          </w:p>
        </w:tc>
        <w:tc>
          <w:tcPr>
            <w:tcW w:w="2865" w:type="dxa"/>
            <w:vAlign w:val="center"/>
            <w:textDirection w:val="lrTb"/>
            <w:noWrap w:val="false"/>
          </w:tcPr>
          <w:p>
            <w:pPr>
              <w:pStyle w:val="71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商务要求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1.</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采购内容</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2.</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eastAsia="宋体" w:cs="宋体"/>
                <w:color w:val="000000"/>
                <w:highlight w:val="none"/>
                <w:lang w:val="en-US" w:eastAsia="zh-CN"/>
              </w:rPr>
              <w:t xml:space="preserve">供货</w:t>
            </w:r>
            <w:r>
              <w:rPr>
                <w:rFonts w:hint="eastAsia" w:ascii="宋体" w:hAnsi="宋体" w:cs="宋体"/>
                <w:color w:val="000000"/>
                <w:highlight w:val="none"/>
              </w:rPr>
              <w:t xml:space="preserve">期</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质保期</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4.</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报价要求：</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本项目预算</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6.</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合同形式：</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7.</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付款方式：</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8.</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履约保证金：</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9.</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本项目不准非法转包、违法分包</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ascii="宋体" w:hAnsi="宋体" w:cs="宋体"/>
                <w:color w:val="000000"/>
                <w:highlight w:val="none"/>
              </w:rPr>
            </w:r>
            <w:r>
              <w:rPr>
                <w:highlight w:val="none"/>
              </w:rPr>
            </w:r>
            <w:r/>
          </w:p>
        </w:tc>
        <w:tc>
          <w:tcPr>
            <w:tcW w:w="2865" w:type="dxa"/>
            <w:vAlign w:val="center"/>
            <w:textDirection w:val="lrTb"/>
            <w:noWrap w:val="false"/>
          </w:tcPr>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bl>
    <w:p>
      <w:pPr>
        <w:pStyle w:val="714"/>
        <w:jc w:val="both"/>
        <w:spacing w:before="290" w:line="360" w:lineRule="auto"/>
        <w:rPr>
          <w:rFonts w:hint="eastAsia" w:ascii="宋体" w:hAnsi="宋体" w:cs="宋体"/>
          <w:b/>
          <w:bCs/>
          <w:i/>
          <w:iCs/>
          <w:color w:val="000000"/>
          <w:sz w:val="24"/>
          <w:szCs w:val="24"/>
          <w:highlight w:val="none"/>
          <w:u w:val="single"/>
        </w:rPr>
      </w:pPr>
      <w:r>
        <w:rPr>
          <w:rFonts w:hint="eastAsia" w:ascii="宋体" w:hAnsi="宋体" w:cs="宋体"/>
          <w:color w:val="000000"/>
          <w:sz w:val="24"/>
          <w:szCs w:val="24"/>
          <w:highlight w:val="none"/>
        </w:rPr>
        <w:t xml:space="preserve">注：（1）供应商应当根据“采购需求”的内容在上表“响应情况”中详细填写，若无偏离，在“超出、符合或偏离”栏中填写“超出或符合”；若有偏离在“超出、符合或偏离”栏中填写“偏离”并作出说明。</w:t>
      </w:r>
      <w:r>
        <w:rPr>
          <w:rFonts w:hint="eastAsia" w:ascii="宋体" w:hAnsi="宋体" w:cs="宋体"/>
          <w:b/>
          <w:bCs/>
          <w:i/>
          <w:iCs/>
          <w:color w:val="000000"/>
          <w:sz w:val="24"/>
          <w:szCs w:val="24"/>
          <w:highlight w:val="none"/>
          <w:u w:val="single"/>
        </w:rPr>
        <w:t xml:space="preserve">有任一项负偏离，即视为无效响应。</w:t>
      </w:r>
      <w:r>
        <w:rPr>
          <w:highlight w:val="none"/>
        </w:rPr>
      </w:r>
      <w:r/>
    </w:p>
    <w:p>
      <w:pPr>
        <w:pStyle w:val="714"/>
        <w:jc w:val="both"/>
        <w:spacing w:before="29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（2）表格不够可自行延长。</w:t>
      </w:r>
      <w:r>
        <w:rPr>
          <w:highlight w:val="none"/>
        </w:rPr>
      </w:r>
      <w:r/>
    </w:p>
    <w:p>
      <w:pPr>
        <w:pStyle w:val="714"/>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left"/>
        <w:spacing w:line="360" w:lineRule="auto"/>
        <w:rPr>
          <w:rFonts w:hint="eastAsia" w:ascii="宋体" w:hAnsi="宋体"/>
          <w:b/>
          <w:color w:val="000000"/>
          <w:sz w:val="24"/>
          <w:szCs w:val="24"/>
          <w:highlight w:val="none"/>
        </w:rPr>
        <w:outlineLvl w:val="0"/>
      </w:pPr>
      <w:r>
        <w:rPr>
          <w:rFonts w:hint="eastAsia" w:ascii="宋体" w:hAnsi="宋体"/>
          <w:b/>
          <w:color w:val="000000"/>
          <w:sz w:val="24"/>
          <w:szCs w:val="24"/>
          <w:highlight w:val="none"/>
        </w:rPr>
      </w:r>
      <w:r>
        <w:rPr>
          <w:highlight w:val="none"/>
        </w:rPr>
      </w:r>
      <w:r/>
    </w:p>
    <w:p>
      <w:pPr>
        <w:pStyle w:val="726"/>
        <w:spacing w:line="360" w:lineRule="auto"/>
        <w:rPr>
          <w:color w:val="000000"/>
          <w:highlight w:val="none"/>
        </w:rPr>
      </w:pPr>
      <w:r>
        <w:rPr>
          <w:color w:val="000000"/>
          <w:highlight w:val="none"/>
        </w:rPr>
      </w:r>
      <w:r>
        <w:rPr>
          <w:highlight w:val="none"/>
        </w:rPr>
      </w:r>
      <w:r/>
    </w:p>
    <w:p>
      <w:pPr>
        <w:pStyle w:val="714"/>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rPr>
          <w:highlight w:val="none"/>
        </w:rPr>
      </w:r>
      <w:r/>
    </w:p>
    <w:p>
      <w:pPr>
        <w:pStyle w:val="714"/>
        <w:jc w:val="center"/>
        <w:spacing w:line="360" w:lineRule="auto"/>
        <w:rPr>
          <w:rFonts w:ascii="宋体" w:hAnsi="宋体" w:cs="宋体"/>
          <w:color w:val="000000"/>
          <w:sz w:val="24"/>
          <w:szCs w:val="24"/>
          <w:highlight w:val="none"/>
        </w:rPr>
      </w:pPr>
      <w:r>
        <w:rPr>
          <w:highlight w:val="none"/>
        </w:rPr>
      </w:r>
      <w:bookmarkEnd w:id="153"/>
      <w:r>
        <w:rPr>
          <w:rFonts w:hint="eastAsia" w:ascii="宋体" w:hAnsi="宋体" w:cs="宋体"/>
          <w:b/>
          <w:bCs/>
          <w:color w:val="000000"/>
          <w:sz w:val="32"/>
          <w:szCs w:val="32"/>
          <w:highlight w:val="none"/>
        </w:rPr>
        <w:t xml:space="preserve">质疑函范本</w:t>
      </w:r>
      <w:r>
        <w:rPr>
          <w:highlight w:val="none"/>
        </w:rPr>
      </w:r>
      <w:r/>
    </w:p>
    <w:p>
      <w:pPr>
        <w:pStyle w:val="714"/>
        <w:jc w:val="both"/>
        <w:spacing w:before="29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一、质疑供应商基本信息</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二、质疑项目基本情况</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三、质疑事项具体内容</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质疑事项2</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四、与质疑事项相关的质疑请求</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公章：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质疑函制作说明：</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1.供应商提出质疑时，应提交质疑函和必要的证明材料。</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714"/>
        <w:ind w:firstLine="42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微软雅黑 Light">
    <w:panose1 w:val="020B0502040204020203"/>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tabs>
        <w:tab w:val="center" w:pos="4153" w:leader="none"/>
        <w:tab w:val="right" w:pos="8306" w:leader="none"/>
      </w:tabs>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-9524</wp:posOffset>
              </wp:positionV>
              <wp:extent cx="2141220" cy="279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41220" cy="279400"/>
                      </a:xfrm>
                      <a:prstGeom prst="rect">
                        <a:avLst/>
                      </a:prstGeom>
                      <a:noFill/>
                      <a:ln w="6350">
                        <a:noFill/>
                      </a:ln>
                    </wps:spPr>
                    <wps:txbx>
                      <w:txbxContent>
                        <w:p>
                          <w:pPr>
                            <w:pStyle w:val="74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7pt;mso-position-vertical:absolute;width:168.6pt;height:22.0pt;mso-wrap-distance-left:9.0pt;mso-wrap-distance-top:0.0pt;mso-wrap-distance-right:9.0pt;mso-wrap-distance-bottom:0.0pt;visibility:visible;" filled="f" stroked="f" strokeweight="0.50pt">
              <v:textbox inset="0,0,0,0">
                <w:txbxContent>
                  <w:p>
                    <w:pPr>
                      <w:pStyle w:val="74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14"/>
        <w:ind w:left="-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714"/>
    <w:next w:val="714"/>
    <w:link w:val="765"/>
    <w:uiPriority w:val="9"/>
    <w:qFormat/>
    <w:pPr>
      <w:keepLines/>
      <w:keepNext/>
      <w:spacing w:before="480" w:after="200"/>
      <w:outlineLvl w:val="0"/>
    </w:pPr>
    <w:rPr>
      <w:rFonts w:ascii="Arial" w:hAnsi="Arial" w:eastAsia="Arial" w:cs="Arial"/>
      <w:sz w:val="40"/>
      <w:szCs w:val="40"/>
    </w:rPr>
  </w:style>
  <w:style w:type="paragraph" w:styleId="687">
    <w:name w:val="Heading 4"/>
    <w:basedOn w:val="714"/>
    <w:next w:val="714"/>
    <w:link w:val="727"/>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714"/>
    <w:next w:val="714"/>
    <w:link w:val="728"/>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714"/>
    <w:next w:val="714"/>
    <w:link w:val="729"/>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714"/>
    <w:next w:val="71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714"/>
    <w:next w:val="714"/>
    <w:link w:val="731"/>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714"/>
    <w:next w:val="714"/>
    <w:link w:val="732"/>
    <w:uiPriority w:val="9"/>
    <w:unhideWhenUsed/>
    <w:qFormat/>
    <w:pPr>
      <w:keepLines/>
      <w:keepNext/>
      <w:spacing w:before="320" w:after="200"/>
      <w:outlineLvl w:val="8"/>
    </w:pPr>
    <w:rPr>
      <w:rFonts w:ascii="Arial" w:hAnsi="Arial" w:eastAsia="Arial" w:cs="Arial"/>
      <w:i/>
      <w:iCs/>
      <w:sz w:val="21"/>
      <w:szCs w:val="21"/>
    </w:rPr>
  </w:style>
  <w:style w:type="paragraph" w:styleId="693">
    <w:name w:val="Title"/>
    <w:basedOn w:val="714"/>
    <w:next w:val="714"/>
    <w:link w:val="758"/>
    <w:uiPriority w:val="10"/>
    <w:qFormat/>
    <w:pPr>
      <w:contextualSpacing/>
      <w:spacing w:before="300" w:after="200"/>
    </w:pPr>
    <w:rPr>
      <w:sz w:val="48"/>
      <w:szCs w:val="48"/>
    </w:rPr>
  </w:style>
  <w:style w:type="paragraph" w:styleId="694">
    <w:name w:val="Subtitle"/>
    <w:basedOn w:val="714"/>
    <w:next w:val="714"/>
    <w:link w:val="749"/>
    <w:uiPriority w:val="11"/>
    <w:qFormat/>
    <w:pPr>
      <w:spacing w:before="200" w:after="200"/>
    </w:pPr>
    <w:rPr>
      <w:sz w:val="24"/>
      <w:szCs w:val="24"/>
    </w:rPr>
  </w:style>
  <w:style w:type="paragraph" w:styleId="695">
    <w:name w:val="Header"/>
    <w:basedOn w:val="714"/>
    <w:link w:val="774"/>
    <w:uiPriority w:val="99"/>
    <w:unhideWhenUsed/>
    <w:pPr>
      <w:spacing w:after="0" w:line="240" w:lineRule="auto"/>
      <w:tabs>
        <w:tab w:val="center" w:pos="7143" w:leader="none"/>
        <w:tab w:val="right" w:pos="14287" w:leader="none"/>
      </w:tabs>
    </w:pPr>
  </w:style>
  <w:style w:type="paragraph" w:styleId="696">
    <w:name w:val="Footer"/>
    <w:basedOn w:val="714"/>
    <w:link w:val="776"/>
    <w:uiPriority w:val="99"/>
    <w:unhideWhenUsed/>
    <w:pPr>
      <w:spacing w:after="0" w:line="240" w:lineRule="auto"/>
      <w:tabs>
        <w:tab w:val="center" w:pos="7143" w:leader="none"/>
        <w:tab w:val="right" w:pos="14287" w:leader="none"/>
      </w:tabs>
    </w:pPr>
  </w:style>
  <w:style w:type="paragraph" w:styleId="697">
    <w:name w:val="Caption"/>
    <w:basedOn w:val="714"/>
    <w:next w:val="714"/>
    <w:uiPriority w:val="35"/>
    <w:semiHidden/>
    <w:unhideWhenUsed/>
    <w:qFormat/>
    <w:pPr>
      <w:spacing w:line="276" w:lineRule="auto"/>
    </w:pPr>
    <w:rPr>
      <w:b/>
      <w:bCs/>
      <w:color w:val="4f81bd" w:themeColor="accent1"/>
      <w:sz w:val="18"/>
      <w:szCs w:val="18"/>
    </w:rPr>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Hyperlink"/>
    <w:uiPriority w:val="99"/>
    <w:unhideWhenUsed/>
    <w:rPr>
      <w:color w:val="0000ff" w:themeColor="hyperlink"/>
      <w:u w:val="single"/>
    </w:rPr>
  </w:style>
  <w:style w:type="paragraph" w:styleId="700">
    <w:name w:val="footnote text"/>
    <w:basedOn w:val="714"/>
    <w:link w:val="751"/>
    <w:uiPriority w:val="99"/>
    <w:semiHidden/>
    <w:unhideWhenUsed/>
    <w:pPr>
      <w:spacing w:after="40" w:line="240" w:lineRule="auto"/>
    </w:pPr>
    <w:rPr>
      <w:sz w:val="18"/>
    </w:rPr>
  </w:style>
  <w:style w:type="character" w:styleId="701">
    <w:name w:val="footnote reference"/>
    <w:uiPriority w:val="99"/>
    <w:unhideWhenUsed/>
    <w:rPr>
      <w:vertAlign w:val="superscript"/>
    </w:rPr>
  </w:style>
  <w:style w:type="paragraph" w:styleId="702">
    <w:name w:val="endnote text"/>
    <w:basedOn w:val="714"/>
    <w:link w:val="743"/>
    <w:uiPriority w:val="99"/>
    <w:semiHidden/>
    <w:unhideWhenUsed/>
    <w:pPr>
      <w:spacing w:after="0" w:line="240" w:lineRule="auto"/>
    </w:pPr>
    <w:rPr>
      <w:sz w:val="20"/>
    </w:rPr>
  </w:style>
  <w:style w:type="character" w:styleId="703">
    <w:name w:val="endnote reference"/>
    <w:uiPriority w:val="99"/>
    <w:semiHidden/>
    <w:unhideWhenUsed/>
    <w:rPr>
      <w:vertAlign w:val="superscript"/>
    </w:rPr>
  </w:style>
  <w:style w:type="paragraph" w:styleId="704">
    <w:name w:val="toc 1"/>
    <w:basedOn w:val="714"/>
    <w:next w:val="714"/>
    <w:uiPriority w:val="39"/>
    <w:unhideWhenUsed/>
    <w:pPr>
      <w:ind w:left="0" w:right="0" w:firstLine="0"/>
      <w:spacing w:after="57"/>
    </w:pPr>
  </w:style>
  <w:style w:type="paragraph" w:styleId="705">
    <w:name w:val="toc 2"/>
    <w:basedOn w:val="714"/>
    <w:next w:val="714"/>
    <w:uiPriority w:val="39"/>
    <w:unhideWhenUsed/>
    <w:pPr>
      <w:ind w:left="283" w:right="0" w:firstLine="0"/>
      <w:spacing w:after="57"/>
    </w:pPr>
  </w:style>
  <w:style w:type="paragraph" w:styleId="706">
    <w:name w:val="toc 3"/>
    <w:basedOn w:val="714"/>
    <w:next w:val="714"/>
    <w:uiPriority w:val="39"/>
    <w:unhideWhenUsed/>
    <w:pPr>
      <w:ind w:left="567" w:right="0" w:firstLine="0"/>
      <w:spacing w:after="57"/>
    </w:pPr>
  </w:style>
  <w:style w:type="paragraph" w:styleId="707">
    <w:name w:val="toc 4"/>
    <w:basedOn w:val="714"/>
    <w:next w:val="714"/>
    <w:uiPriority w:val="39"/>
    <w:unhideWhenUsed/>
    <w:pPr>
      <w:ind w:left="850" w:right="0" w:firstLine="0"/>
      <w:spacing w:after="57"/>
    </w:pPr>
  </w:style>
  <w:style w:type="paragraph" w:styleId="708">
    <w:name w:val="toc 5"/>
    <w:basedOn w:val="714"/>
    <w:next w:val="714"/>
    <w:uiPriority w:val="39"/>
    <w:unhideWhenUsed/>
    <w:pPr>
      <w:ind w:left="1134" w:right="0" w:firstLine="0"/>
      <w:spacing w:after="57"/>
    </w:pPr>
  </w:style>
  <w:style w:type="paragraph" w:styleId="709">
    <w:name w:val="toc 6"/>
    <w:basedOn w:val="714"/>
    <w:next w:val="714"/>
    <w:uiPriority w:val="39"/>
    <w:unhideWhenUsed/>
    <w:pPr>
      <w:ind w:left="1417" w:right="0" w:firstLine="0"/>
      <w:spacing w:after="57"/>
    </w:pPr>
  </w:style>
  <w:style w:type="paragraph" w:styleId="710">
    <w:name w:val="toc 7"/>
    <w:basedOn w:val="714"/>
    <w:next w:val="714"/>
    <w:uiPriority w:val="39"/>
    <w:unhideWhenUsed/>
    <w:pPr>
      <w:ind w:left="1701" w:right="0" w:firstLine="0"/>
      <w:spacing w:after="57"/>
    </w:pPr>
  </w:style>
  <w:style w:type="paragraph" w:styleId="711">
    <w:name w:val="toc 8"/>
    <w:basedOn w:val="714"/>
    <w:next w:val="714"/>
    <w:uiPriority w:val="39"/>
    <w:unhideWhenUsed/>
    <w:pPr>
      <w:ind w:left="1984" w:right="0" w:firstLine="0"/>
      <w:spacing w:after="57"/>
    </w:pPr>
  </w:style>
  <w:style w:type="paragraph" w:styleId="712">
    <w:name w:val="toc 9"/>
    <w:basedOn w:val="714"/>
    <w:next w:val="714"/>
    <w:uiPriority w:val="39"/>
    <w:unhideWhenUsed/>
    <w:pPr>
      <w:ind w:left="2268" w:right="0" w:firstLine="0"/>
      <w:spacing w:after="57"/>
    </w:pPr>
  </w:style>
  <w:style w:type="paragraph" w:styleId="713">
    <w:name w:val="table of figures"/>
    <w:basedOn w:val="714"/>
    <w:next w:val="714"/>
    <w:uiPriority w:val="99"/>
    <w:unhideWhenUsed/>
    <w:pPr>
      <w:spacing w:after="0" w:afterAutospacing="0"/>
    </w:pPr>
  </w:style>
  <w:style w:type="paragraph" w:styleId="714" w:default="1">
    <w:name w:val="Normal"/>
    <w:next w:val="714"/>
    <w:link w:val="714"/>
    <w:qFormat/>
    <w:pPr>
      <w:jc w:val="center"/>
      <w:widowControl w:val="off"/>
    </w:pPr>
    <w:rPr>
      <w:rFonts w:ascii="Calibri" w:hAnsi="Calibri" w:eastAsia="Arial" w:cs="Times New Roman"/>
      <w:sz w:val="32"/>
      <w:szCs w:val="32"/>
      <w:lang w:val="en-US" w:eastAsia="zh-CN" w:bidi="ar-SA"/>
    </w:rPr>
  </w:style>
  <w:style w:type="paragraph" w:styleId="715">
    <w:name w:val="标题 1"/>
    <w:basedOn w:val="714"/>
    <w:next w:val="726"/>
    <w:link w:val="714"/>
    <w:uiPriority w:val="9"/>
    <w:qFormat/>
    <w:pPr>
      <w:jc w:val="center"/>
      <w:keepLines/>
      <w:keepNext/>
      <w:spacing w:before="340" w:after="330" w:line="578" w:lineRule="auto"/>
      <w:tabs>
        <w:tab w:val="left" w:pos="879" w:leader="none"/>
      </w:tabs>
      <w:outlineLvl w:val="0"/>
    </w:pPr>
    <w:rPr>
      <w:rFonts w:eastAsia="黑体"/>
      <w:b/>
      <w:bCs/>
      <w:spacing w:val="20"/>
      <w:sz w:val="48"/>
      <w:szCs w:val="44"/>
    </w:rPr>
  </w:style>
  <w:style w:type="paragraph" w:styleId="716">
    <w:name w:val="标题 2"/>
    <w:basedOn w:val="714"/>
    <w:next w:val="714"/>
    <w:link w:val="714"/>
    <w:qFormat/>
    <w:pPr>
      <w:spacing w:before="260" w:after="260" w:line="416" w:lineRule="auto"/>
      <w:outlineLvl w:val="1"/>
    </w:pPr>
    <w:rPr>
      <w:rFonts w:ascii="幼圆" w:eastAsia="楷体_GB2312"/>
      <w:b/>
      <w:sz w:val="44"/>
      <w:szCs w:val="20"/>
    </w:rPr>
  </w:style>
  <w:style w:type="paragraph" w:styleId="717">
    <w:name w:val="标题 3"/>
    <w:basedOn w:val="714"/>
    <w:next w:val="714"/>
    <w:link w:val="714"/>
    <w:qFormat/>
    <w:pPr>
      <w:outlineLvl w:val="2"/>
    </w:pPr>
    <w:rPr>
      <w:sz w:val="32"/>
    </w:rPr>
  </w:style>
  <w:style w:type="paragraph" w:styleId="718">
    <w:name w:val="标题 4"/>
    <w:basedOn w:val="714"/>
    <w:next w:val="714"/>
    <w:link w:val="727"/>
    <w:uiPriority w:val="9"/>
    <w:unhideWhenUsed/>
    <w:qFormat/>
    <w:pPr>
      <w:keepLines/>
      <w:keepNext/>
      <w:spacing w:before="320" w:after="200"/>
      <w:outlineLvl w:val="3"/>
    </w:pPr>
    <w:rPr>
      <w:rFonts w:ascii="Arial" w:hAnsi="Arial" w:eastAsia="Arial" w:cs="Arial"/>
      <w:b/>
      <w:bCs/>
      <w:sz w:val="26"/>
      <w:szCs w:val="26"/>
    </w:rPr>
  </w:style>
  <w:style w:type="paragraph" w:styleId="719">
    <w:name w:val="标题 5"/>
    <w:basedOn w:val="714"/>
    <w:next w:val="714"/>
    <w:link w:val="728"/>
    <w:uiPriority w:val="9"/>
    <w:unhideWhenUsed/>
    <w:qFormat/>
    <w:pPr>
      <w:keepLines/>
      <w:keepNext/>
      <w:spacing w:before="320" w:after="200"/>
      <w:outlineLvl w:val="4"/>
    </w:pPr>
    <w:rPr>
      <w:rFonts w:ascii="Arial" w:hAnsi="Arial" w:eastAsia="Arial" w:cs="Arial"/>
      <w:b/>
      <w:bCs/>
      <w:sz w:val="24"/>
      <w:szCs w:val="24"/>
    </w:rPr>
  </w:style>
  <w:style w:type="paragraph" w:styleId="720">
    <w:name w:val="标题 6"/>
    <w:basedOn w:val="714"/>
    <w:next w:val="714"/>
    <w:link w:val="729"/>
    <w:uiPriority w:val="9"/>
    <w:unhideWhenUsed/>
    <w:qFormat/>
    <w:pPr>
      <w:keepLines/>
      <w:keepNext/>
      <w:spacing w:before="320" w:after="200"/>
      <w:outlineLvl w:val="5"/>
    </w:pPr>
    <w:rPr>
      <w:rFonts w:ascii="Arial" w:hAnsi="Arial" w:eastAsia="Arial" w:cs="Arial"/>
      <w:b/>
      <w:bCs/>
      <w:sz w:val="22"/>
      <w:szCs w:val="22"/>
    </w:rPr>
  </w:style>
  <w:style w:type="paragraph" w:styleId="721">
    <w:name w:val="标题 7"/>
    <w:basedOn w:val="714"/>
    <w:next w:val="71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标题 8"/>
    <w:basedOn w:val="714"/>
    <w:next w:val="714"/>
    <w:link w:val="731"/>
    <w:uiPriority w:val="9"/>
    <w:unhideWhenUsed/>
    <w:qFormat/>
    <w:pPr>
      <w:keepLines/>
      <w:keepNext/>
      <w:spacing w:before="320" w:after="200"/>
      <w:outlineLvl w:val="7"/>
    </w:pPr>
    <w:rPr>
      <w:rFonts w:ascii="Arial" w:hAnsi="Arial" w:eastAsia="Arial" w:cs="Arial"/>
      <w:i/>
      <w:iCs/>
      <w:sz w:val="22"/>
      <w:szCs w:val="22"/>
    </w:rPr>
  </w:style>
  <w:style w:type="paragraph" w:styleId="723">
    <w:name w:val="标题 9"/>
    <w:basedOn w:val="714"/>
    <w:next w:val="714"/>
    <w:link w:val="732"/>
    <w:uiPriority w:val="9"/>
    <w:unhideWhenUsed/>
    <w:qFormat/>
    <w:pPr>
      <w:keepLines/>
      <w:keepNext/>
      <w:spacing w:before="320" w:after="200"/>
      <w:outlineLvl w:val="8"/>
    </w:pPr>
    <w:rPr>
      <w:rFonts w:ascii="Arial" w:hAnsi="Arial" w:eastAsia="Arial" w:cs="Arial"/>
      <w:i/>
      <w:iCs/>
      <w:sz w:val="21"/>
      <w:szCs w:val="21"/>
    </w:rPr>
  </w:style>
  <w:style w:type="character" w:styleId="724">
    <w:name w:val="默认段落字体"/>
    <w:next w:val="724"/>
    <w:link w:val="714"/>
    <w:semiHidden/>
    <w:qFormat/>
  </w:style>
  <w:style w:type="table" w:styleId="725">
    <w:name w:val="普通表格"/>
    <w:next w:val="725"/>
    <w:link w:val="714"/>
    <w:semiHidden/>
    <w:qFormat/>
    <w:tblPr/>
  </w:style>
  <w:style w:type="paragraph" w:styleId="726">
    <w:name w:val="正文文本"/>
    <w:basedOn w:val="714"/>
    <w:next w:val="726"/>
    <w:link w:val="714"/>
    <w:qFormat/>
    <w:pPr>
      <w:spacing w:after="120"/>
    </w:pPr>
    <w:rPr>
      <w:rFonts w:ascii="Times New Roman" w:hAnsi="Times New Roman" w:eastAsia="宋体" w:cs="Times New Roman"/>
    </w:rPr>
  </w:style>
  <w:style w:type="character" w:styleId="727">
    <w:name w:val="Heading 4 Char"/>
    <w:basedOn w:val="724"/>
    <w:next w:val="727"/>
    <w:link w:val="718"/>
    <w:uiPriority w:val="9"/>
    <w:qFormat/>
    <w:rPr>
      <w:rFonts w:ascii="Arial" w:hAnsi="Arial" w:eastAsia="Arial" w:cs="Arial"/>
      <w:b/>
      <w:bCs/>
      <w:sz w:val="26"/>
      <w:szCs w:val="26"/>
    </w:rPr>
  </w:style>
  <w:style w:type="character" w:styleId="728">
    <w:name w:val="Heading 5 Char"/>
    <w:basedOn w:val="724"/>
    <w:next w:val="728"/>
    <w:link w:val="719"/>
    <w:uiPriority w:val="9"/>
    <w:qFormat/>
    <w:rPr>
      <w:rFonts w:ascii="Arial" w:hAnsi="Arial" w:eastAsia="Arial" w:cs="Arial"/>
      <w:b/>
      <w:bCs/>
      <w:sz w:val="24"/>
      <w:szCs w:val="24"/>
    </w:rPr>
  </w:style>
  <w:style w:type="character" w:styleId="729">
    <w:name w:val="Heading 6 Char"/>
    <w:basedOn w:val="724"/>
    <w:next w:val="729"/>
    <w:link w:val="720"/>
    <w:uiPriority w:val="9"/>
    <w:qFormat/>
    <w:rPr>
      <w:rFonts w:ascii="Arial" w:hAnsi="Arial" w:eastAsia="Arial" w:cs="Arial"/>
      <w:b/>
      <w:bCs/>
      <w:sz w:val="22"/>
      <w:szCs w:val="22"/>
    </w:rPr>
  </w:style>
  <w:style w:type="character" w:styleId="730">
    <w:name w:val="Heading 7 Char"/>
    <w:basedOn w:val="724"/>
    <w:next w:val="730"/>
    <w:link w:val="721"/>
    <w:uiPriority w:val="9"/>
    <w:qFormat/>
    <w:rPr>
      <w:rFonts w:ascii="Arial" w:hAnsi="Arial" w:eastAsia="Arial" w:cs="Arial"/>
      <w:b/>
      <w:bCs/>
      <w:i/>
      <w:iCs/>
      <w:sz w:val="22"/>
      <w:szCs w:val="22"/>
    </w:rPr>
  </w:style>
  <w:style w:type="character" w:styleId="731">
    <w:name w:val="Heading 8 Char"/>
    <w:basedOn w:val="724"/>
    <w:next w:val="731"/>
    <w:link w:val="722"/>
    <w:uiPriority w:val="9"/>
    <w:qFormat/>
    <w:rPr>
      <w:rFonts w:ascii="Arial" w:hAnsi="Arial" w:eastAsia="Arial" w:cs="Arial"/>
      <w:i/>
      <w:iCs/>
      <w:sz w:val="22"/>
      <w:szCs w:val="22"/>
    </w:rPr>
  </w:style>
  <w:style w:type="character" w:styleId="732">
    <w:name w:val="Heading 9 Char"/>
    <w:basedOn w:val="724"/>
    <w:next w:val="732"/>
    <w:link w:val="723"/>
    <w:uiPriority w:val="9"/>
    <w:qFormat/>
    <w:rPr>
      <w:rFonts w:ascii="Arial" w:hAnsi="Arial" w:eastAsia="Arial" w:cs="Arial"/>
      <w:i/>
      <w:iCs/>
      <w:sz w:val="21"/>
      <w:szCs w:val="21"/>
    </w:rPr>
  </w:style>
  <w:style w:type="paragraph" w:styleId="733">
    <w:name w:val="目录 7"/>
    <w:basedOn w:val="714"/>
    <w:next w:val="714"/>
    <w:link w:val="714"/>
    <w:uiPriority w:val="39"/>
    <w:unhideWhenUsed/>
    <w:qFormat/>
    <w:pPr>
      <w:ind w:left="1701" w:right="0" w:firstLine="0"/>
      <w:spacing w:after="57"/>
    </w:pPr>
  </w:style>
  <w:style w:type="paragraph" w:styleId="734">
    <w:name w:val="注释标题"/>
    <w:basedOn w:val="714"/>
    <w:next w:val="714"/>
    <w:link w:val="714"/>
    <w:qFormat/>
    <w:rPr>
      <w:rFonts w:ascii="Verdana" w:hAnsi="Verdana" w:cs="Times New Roman"/>
      <w:szCs w:val="20"/>
    </w:rPr>
  </w:style>
  <w:style w:type="paragraph" w:styleId="735">
    <w:name w:val="正文缩进"/>
    <w:basedOn w:val="714"/>
    <w:next w:val="735"/>
    <w:link w:val="714"/>
    <w:unhideWhenUsed/>
    <w:qFormat/>
    <w:pPr>
      <w:ind w:firstLine="420"/>
    </w:pPr>
  </w:style>
  <w:style w:type="paragraph" w:styleId="736">
    <w:name w:val="题注"/>
    <w:basedOn w:val="714"/>
    <w:next w:val="714"/>
    <w:link w:val="714"/>
    <w:uiPriority w:val="35"/>
    <w:unhideWhenUsed/>
    <w:qFormat/>
    <w:pPr>
      <w:spacing w:line="276" w:lineRule="auto"/>
    </w:pPr>
    <w:rPr>
      <w:b/>
      <w:bCs/>
      <w:color w:val="4874cb"/>
      <w:sz w:val="18"/>
      <w:szCs w:val="18"/>
    </w:rPr>
  </w:style>
  <w:style w:type="paragraph" w:styleId="737">
    <w:name w:val="正文文本缩进"/>
    <w:basedOn w:val="714"/>
    <w:next w:val="714"/>
    <w:link w:val="714"/>
    <w:uiPriority w:val="99"/>
    <w:qFormat/>
    <w:pPr>
      <w:ind w:firstLine="645"/>
    </w:pPr>
    <w:rPr>
      <w:sz w:val="20"/>
    </w:rPr>
  </w:style>
  <w:style w:type="paragraph" w:styleId="738">
    <w:name w:val="目录 5"/>
    <w:basedOn w:val="714"/>
    <w:next w:val="714"/>
    <w:link w:val="714"/>
    <w:uiPriority w:val="39"/>
    <w:unhideWhenUsed/>
    <w:qFormat/>
    <w:pPr>
      <w:ind w:left="1134" w:right="0" w:firstLine="0"/>
      <w:spacing w:after="57"/>
    </w:pPr>
  </w:style>
  <w:style w:type="paragraph" w:styleId="739">
    <w:name w:val="目录 3"/>
    <w:basedOn w:val="714"/>
    <w:next w:val="714"/>
    <w:link w:val="714"/>
    <w:uiPriority w:val="39"/>
    <w:unhideWhenUsed/>
    <w:qFormat/>
    <w:pPr>
      <w:ind w:left="567" w:right="0" w:firstLine="0"/>
      <w:spacing w:after="57"/>
    </w:pPr>
  </w:style>
  <w:style w:type="paragraph" w:styleId="740">
    <w:name w:val="纯文本"/>
    <w:basedOn w:val="714"/>
    <w:next w:val="740"/>
    <w:link w:val="714"/>
    <w:uiPriority w:val="99"/>
    <w:qFormat/>
    <w:rPr>
      <w:rFonts w:ascii="宋体" w:hAnsi="Courier New"/>
      <w:sz w:val="20"/>
      <w:szCs w:val="21"/>
    </w:rPr>
  </w:style>
  <w:style w:type="paragraph" w:styleId="741">
    <w:name w:val="目录 8"/>
    <w:basedOn w:val="714"/>
    <w:next w:val="714"/>
    <w:link w:val="714"/>
    <w:uiPriority w:val="39"/>
    <w:unhideWhenUsed/>
    <w:qFormat/>
    <w:pPr>
      <w:ind w:left="1984" w:right="0" w:firstLine="0"/>
      <w:spacing w:after="57"/>
    </w:pPr>
  </w:style>
  <w:style w:type="paragraph" w:styleId="742">
    <w:name w:val="尾注文本"/>
    <w:basedOn w:val="714"/>
    <w:next w:val="742"/>
    <w:link w:val="743"/>
    <w:uiPriority w:val="99"/>
    <w:unhideWhenUsed/>
    <w:qFormat/>
    <w:pPr>
      <w:spacing w:after="0" w:line="240" w:lineRule="auto"/>
    </w:pPr>
    <w:rPr>
      <w:sz w:val="20"/>
    </w:rPr>
  </w:style>
  <w:style w:type="character" w:styleId="743">
    <w:name w:val="Endnote Text Char"/>
    <w:next w:val="743"/>
    <w:link w:val="742"/>
    <w:uiPriority w:val="99"/>
    <w:qFormat/>
    <w:rPr>
      <w:sz w:val="20"/>
    </w:rPr>
  </w:style>
  <w:style w:type="paragraph" w:styleId="744">
    <w:name w:val="页脚"/>
    <w:basedOn w:val="714"/>
    <w:next w:val="744"/>
    <w:link w:val="714"/>
    <w:uiPriority w:val="99"/>
    <w:unhideWhenUsed/>
    <w:qFormat/>
    <w:pPr>
      <w:tabs>
        <w:tab w:val="center" w:pos="7143" w:leader="none"/>
        <w:tab w:val="right" w:pos="14287" w:leader="none"/>
      </w:tabs>
    </w:pPr>
  </w:style>
  <w:style w:type="paragraph" w:styleId="745">
    <w:name w:val="页眉"/>
    <w:basedOn w:val="714"/>
    <w:next w:val="745"/>
    <w:link w:val="714"/>
    <w:uiPriority w:val="99"/>
    <w:unhideWhenUsed/>
    <w:qFormat/>
    <w:pPr>
      <w:tabs>
        <w:tab w:val="center" w:pos="7143" w:leader="none"/>
        <w:tab w:val="right" w:pos="14287" w:leader="none"/>
      </w:tabs>
    </w:pPr>
  </w:style>
  <w:style w:type="paragraph" w:styleId="746">
    <w:name w:val="目录 1"/>
    <w:basedOn w:val="714"/>
    <w:next w:val="714"/>
    <w:link w:val="714"/>
    <w:uiPriority w:val="39"/>
    <w:unhideWhenUsed/>
    <w:qFormat/>
    <w:pPr>
      <w:ind w:left="0" w:right="0" w:firstLine="0"/>
      <w:spacing w:after="57"/>
    </w:pPr>
  </w:style>
  <w:style w:type="paragraph" w:styleId="747">
    <w:name w:val="目录 4"/>
    <w:basedOn w:val="714"/>
    <w:next w:val="714"/>
    <w:link w:val="714"/>
    <w:uiPriority w:val="39"/>
    <w:unhideWhenUsed/>
    <w:qFormat/>
    <w:pPr>
      <w:ind w:left="850" w:right="0" w:firstLine="0"/>
      <w:spacing w:after="57"/>
    </w:pPr>
  </w:style>
  <w:style w:type="paragraph" w:styleId="748">
    <w:name w:val="副标题"/>
    <w:basedOn w:val="714"/>
    <w:next w:val="714"/>
    <w:link w:val="749"/>
    <w:uiPriority w:val="11"/>
    <w:qFormat/>
    <w:pPr>
      <w:spacing w:before="200" w:after="200"/>
    </w:pPr>
    <w:rPr>
      <w:sz w:val="24"/>
      <w:szCs w:val="24"/>
    </w:rPr>
  </w:style>
  <w:style w:type="character" w:styleId="749">
    <w:name w:val="Subtitle Char"/>
    <w:basedOn w:val="724"/>
    <w:next w:val="749"/>
    <w:link w:val="748"/>
    <w:uiPriority w:val="11"/>
    <w:qFormat/>
    <w:rPr>
      <w:sz w:val="24"/>
      <w:szCs w:val="24"/>
    </w:rPr>
  </w:style>
  <w:style w:type="paragraph" w:styleId="750">
    <w:name w:val="脚注文本"/>
    <w:basedOn w:val="714"/>
    <w:next w:val="750"/>
    <w:link w:val="751"/>
    <w:uiPriority w:val="99"/>
    <w:unhideWhenUsed/>
    <w:qFormat/>
    <w:pPr>
      <w:spacing w:after="40" w:line="240" w:lineRule="auto"/>
    </w:pPr>
    <w:rPr>
      <w:sz w:val="18"/>
    </w:rPr>
  </w:style>
  <w:style w:type="character" w:styleId="751">
    <w:name w:val="Footnote Text Char"/>
    <w:next w:val="751"/>
    <w:link w:val="750"/>
    <w:uiPriority w:val="99"/>
    <w:qFormat/>
    <w:rPr>
      <w:sz w:val="18"/>
    </w:rPr>
  </w:style>
  <w:style w:type="paragraph" w:styleId="752">
    <w:name w:val="目录 6"/>
    <w:basedOn w:val="714"/>
    <w:next w:val="714"/>
    <w:link w:val="714"/>
    <w:uiPriority w:val="39"/>
    <w:unhideWhenUsed/>
    <w:qFormat/>
    <w:pPr>
      <w:ind w:left="1417" w:right="0" w:firstLine="0"/>
      <w:spacing w:after="57"/>
    </w:pPr>
  </w:style>
  <w:style w:type="paragraph" w:styleId="753">
    <w:name w:val="图表目录"/>
    <w:basedOn w:val="714"/>
    <w:next w:val="714"/>
    <w:link w:val="714"/>
    <w:uiPriority w:val="99"/>
    <w:unhideWhenUsed/>
    <w:qFormat/>
    <w:pPr>
      <w:spacing w:after="0" w:afterAutospacing="0"/>
    </w:pPr>
  </w:style>
  <w:style w:type="paragraph" w:styleId="754">
    <w:name w:val="目录 2"/>
    <w:basedOn w:val="714"/>
    <w:next w:val="714"/>
    <w:link w:val="714"/>
    <w:uiPriority w:val="39"/>
    <w:unhideWhenUsed/>
    <w:qFormat/>
    <w:pPr>
      <w:ind w:left="283" w:right="0" w:firstLine="0"/>
      <w:spacing w:after="57"/>
    </w:pPr>
  </w:style>
  <w:style w:type="paragraph" w:styleId="755">
    <w:name w:val="目录 9"/>
    <w:basedOn w:val="714"/>
    <w:next w:val="714"/>
    <w:link w:val="714"/>
    <w:uiPriority w:val="39"/>
    <w:unhideWhenUsed/>
    <w:qFormat/>
    <w:pPr>
      <w:ind w:left="2268" w:right="0" w:firstLine="0"/>
      <w:spacing w:after="57"/>
    </w:pPr>
  </w:style>
  <w:style w:type="paragraph" w:styleId="756">
    <w:name w:val="普通(网站)"/>
    <w:basedOn w:val="714"/>
    <w:next w:val="756"/>
    <w:link w:val="714"/>
    <w:unhideWhenUsed/>
    <w:qFormat/>
    <w:pPr>
      <w:jc w:val="left"/>
      <w:spacing w:before="100" w:beforeAutospacing="1" w:after="100" w:afterAutospacing="1"/>
      <w:widowControl/>
    </w:pPr>
    <w:rPr>
      <w:rFonts w:ascii="宋体" w:hAnsi="宋体" w:cs="宋体"/>
      <w:sz w:val="24"/>
      <w:szCs w:val="24"/>
    </w:rPr>
  </w:style>
  <w:style w:type="paragraph" w:styleId="757">
    <w:name w:val="标题"/>
    <w:basedOn w:val="714"/>
    <w:next w:val="714"/>
    <w:link w:val="758"/>
    <w:uiPriority w:val="10"/>
    <w:qFormat/>
    <w:pPr>
      <w:contextualSpacing/>
      <w:spacing w:before="300" w:after="200"/>
    </w:pPr>
    <w:rPr>
      <w:sz w:val="48"/>
      <w:szCs w:val="48"/>
    </w:rPr>
  </w:style>
  <w:style w:type="character" w:styleId="758">
    <w:name w:val="Title Char"/>
    <w:basedOn w:val="724"/>
    <w:next w:val="758"/>
    <w:link w:val="757"/>
    <w:uiPriority w:val="10"/>
    <w:qFormat/>
    <w:rPr>
      <w:sz w:val="48"/>
      <w:szCs w:val="48"/>
    </w:rPr>
  </w:style>
  <w:style w:type="table" w:styleId="759">
    <w:name w:val="网格型"/>
    <w:basedOn w:val="725"/>
    <w:next w:val="759"/>
    <w:link w:val="714"/>
    <w:uiPriority w:val="59"/>
    <w:unhideWhenUsed/>
    <w:qFormat/>
    <w:tblPr/>
  </w:style>
  <w:style w:type="character" w:styleId="760">
    <w:name w:val="要点"/>
    <w:basedOn w:val="724"/>
    <w:next w:val="760"/>
    <w:link w:val="714"/>
    <w:uiPriority w:val="22"/>
    <w:qFormat/>
    <w:rPr>
      <w:b/>
    </w:rPr>
  </w:style>
  <w:style w:type="character" w:styleId="761">
    <w:name w:val="尾注引用"/>
    <w:basedOn w:val="724"/>
    <w:next w:val="761"/>
    <w:link w:val="714"/>
    <w:uiPriority w:val="99"/>
    <w:unhideWhenUsed/>
    <w:qFormat/>
    <w:rPr>
      <w:vertAlign w:val="superscript"/>
    </w:rPr>
  </w:style>
  <w:style w:type="character" w:styleId="762">
    <w:name w:val="强调"/>
    <w:basedOn w:val="724"/>
    <w:next w:val="762"/>
    <w:link w:val="714"/>
    <w:uiPriority w:val="20"/>
    <w:qFormat/>
    <w:rPr>
      <w:i/>
    </w:rPr>
  </w:style>
  <w:style w:type="character" w:styleId="763">
    <w:name w:val="超链接"/>
    <w:next w:val="763"/>
    <w:link w:val="714"/>
    <w:uiPriority w:val="99"/>
    <w:unhideWhenUsed/>
    <w:qFormat/>
    <w:rPr>
      <w:color w:val="0026e5"/>
      <w:u w:val="single"/>
    </w:rPr>
  </w:style>
  <w:style w:type="character" w:styleId="764">
    <w:name w:val="脚注引用"/>
    <w:basedOn w:val="724"/>
    <w:next w:val="764"/>
    <w:link w:val="714"/>
    <w:uiPriority w:val="99"/>
    <w:unhideWhenUsed/>
    <w:qFormat/>
    <w:rPr>
      <w:vertAlign w:val="superscript"/>
    </w:rPr>
  </w:style>
  <w:style w:type="character" w:styleId="765">
    <w:name w:val="Heading 1 Char"/>
    <w:basedOn w:val="724"/>
    <w:next w:val="765"/>
    <w:link w:val="714"/>
    <w:uiPriority w:val="9"/>
    <w:qFormat/>
    <w:rPr>
      <w:rFonts w:ascii="Arial" w:hAnsi="Arial" w:eastAsia="Arial" w:cs="Arial"/>
      <w:sz w:val="40"/>
      <w:szCs w:val="40"/>
    </w:rPr>
  </w:style>
  <w:style w:type="character" w:styleId="766">
    <w:name w:val="Heading 2 Char"/>
    <w:basedOn w:val="724"/>
    <w:next w:val="766"/>
    <w:link w:val="714"/>
    <w:uiPriority w:val="9"/>
    <w:qFormat/>
    <w:rPr>
      <w:rFonts w:ascii="Arial" w:hAnsi="Arial" w:eastAsia="Arial" w:cs="Arial"/>
      <w:sz w:val="34"/>
    </w:rPr>
  </w:style>
  <w:style w:type="character" w:styleId="767">
    <w:name w:val="Heading 3 Char"/>
    <w:basedOn w:val="724"/>
    <w:next w:val="767"/>
    <w:link w:val="714"/>
    <w:uiPriority w:val="9"/>
    <w:qFormat/>
    <w:rPr>
      <w:rFonts w:ascii="Arial" w:hAnsi="Arial" w:eastAsia="Arial" w:cs="Arial"/>
      <w:sz w:val="30"/>
      <w:szCs w:val="30"/>
    </w:rPr>
  </w:style>
  <w:style w:type="paragraph" w:styleId="768">
    <w:name w:val="List Paragraph"/>
    <w:basedOn w:val="714"/>
    <w:next w:val="768"/>
    <w:link w:val="714"/>
    <w:uiPriority w:val="34"/>
    <w:qFormat/>
    <w:pPr>
      <w:contextualSpacing/>
      <w:ind w:left="720"/>
    </w:pPr>
  </w:style>
  <w:style w:type="paragraph" w:styleId="769">
    <w:name w:val="No Spacing"/>
    <w:next w:val="769"/>
    <w:link w:val="714"/>
    <w:uiPriority w:val="1"/>
    <w:qFormat/>
    <w:pPr>
      <w:spacing w:before="0" w:after="0" w:line="240" w:lineRule="auto"/>
    </w:pPr>
    <w:rPr>
      <w:rFonts w:ascii="Times New Roman" w:hAnsi="Times New Roman" w:eastAsia="宋体" w:cs="Times New Roman"/>
    </w:rPr>
  </w:style>
  <w:style w:type="paragraph" w:styleId="770">
    <w:name w:val="Quote"/>
    <w:basedOn w:val="714"/>
    <w:next w:val="714"/>
    <w:link w:val="771"/>
    <w:uiPriority w:val="29"/>
    <w:qFormat/>
    <w:pPr>
      <w:ind w:left="720" w:right="720"/>
    </w:pPr>
    <w:rPr>
      <w:i/>
    </w:rPr>
  </w:style>
  <w:style w:type="character" w:styleId="771">
    <w:name w:val="Quote Char"/>
    <w:next w:val="771"/>
    <w:link w:val="770"/>
    <w:uiPriority w:val="29"/>
    <w:qFormat/>
    <w:rPr>
      <w:i/>
    </w:rPr>
  </w:style>
  <w:style w:type="paragraph" w:styleId="772">
    <w:name w:val="Intense Quote"/>
    <w:basedOn w:val="714"/>
    <w:next w:val="714"/>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next w:val="773"/>
    <w:link w:val="772"/>
    <w:uiPriority w:val="30"/>
    <w:qFormat/>
    <w:rPr>
      <w:i/>
    </w:rPr>
  </w:style>
  <w:style w:type="character" w:styleId="774">
    <w:name w:val="Header Char"/>
    <w:basedOn w:val="724"/>
    <w:next w:val="774"/>
    <w:link w:val="714"/>
    <w:uiPriority w:val="99"/>
    <w:qFormat/>
  </w:style>
  <w:style w:type="character" w:styleId="775">
    <w:name w:val="Footer Char"/>
    <w:basedOn w:val="724"/>
    <w:next w:val="775"/>
    <w:link w:val="714"/>
    <w:uiPriority w:val="99"/>
    <w:qFormat/>
  </w:style>
  <w:style w:type="character" w:styleId="776">
    <w:name w:val="Caption Char"/>
    <w:next w:val="776"/>
    <w:link w:val="714"/>
    <w:uiPriority w:val="99"/>
    <w:qFormat/>
  </w:style>
  <w:style w:type="table" w:styleId="777">
    <w:name w:val="Table Grid Light"/>
    <w:basedOn w:val="725"/>
    <w:next w:val="777"/>
    <w:link w:val="714"/>
    <w:uiPriority w:val="59"/>
    <w:qFormat/>
    <w:pPr>
      <w:spacing w:after="0" w:line="240" w:lineRule="auto"/>
    </w:pPr>
    <w:tblPr/>
  </w:style>
  <w:style w:type="table" w:styleId="778">
    <w:name w:val="Plain Table 1"/>
    <w:basedOn w:val="725"/>
    <w:next w:val="778"/>
    <w:link w:val="714"/>
    <w:uiPriority w:val="59"/>
    <w:qFormat/>
    <w:pPr>
      <w:spacing w:after="0" w:line="240" w:lineRule="auto"/>
    </w:pPr>
    <w:tblPr/>
  </w:style>
  <w:style w:type="table" w:styleId="779">
    <w:name w:val="Plain Table 2"/>
    <w:basedOn w:val="725"/>
    <w:next w:val="779"/>
    <w:link w:val="714"/>
    <w:uiPriority w:val="59"/>
    <w:qFormat/>
    <w:pPr>
      <w:spacing w:after="0" w:line="240" w:lineRule="auto"/>
    </w:pPr>
    <w:tblPr/>
  </w:style>
  <w:style w:type="table" w:styleId="780">
    <w:name w:val="Plain Table 3"/>
    <w:basedOn w:val="725"/>
    <w:next w:val="780"/>
    <w:link w:val="714"/>
    <w:uiPriority w:val="99"/>
    <w:qFormat/>
    <w:pPr>
      <w:spacing w:after="0" w:line="240" w:lineRule="auto"/>
    </w:pPr>
    <w:tblPr/>
  </w:style>
  <w:style w:type="table" w:styleId="781">
    <w:name w:val="Plain Table 4"/>
    <w:basedOn w:val="725"/>
    <w:next w:val="781"/>
    <w:link w:val="714"/>
    <w:uiPriority w:val="99"/>
    <w:qFormat/>
    <w:pPr>
      <w:spacing w:after="0" w:line="240" w:lineRule="auto"/>
    </w:pPr>
    <w:tblPr/>
  </w:style>
  <w:style w:type="table" w:styleId="782">
    <w:name w:val="Plain Table 5"/>
    <w:basedOn w:val="725"/>
    <w:next w:val="782"/>
    <w:link w:val="714"/>
    <w:uiPriority w:val="99"/>
    <w:qFormat/>
    <w:pPr>
      <w:spacing w:after="0" w:line="240" w:lineRule="auto"/>
    </w:pPr>
    <w:tblPr/>
  </w:style>
  <w:style w:type="table" w:styleId="783">
    <w:name w:val="Grid Table 1 Light"/>
    <w:basedOn w:val="725"/>
    <w:next w:val="783"/>
    <w:link w:val="714"/>
    <w:uiPriority w:val="99"/>
    <w:qFormat/>
    <w:pPr>
      <w:spacing w:after="0" w:line="240" w:lineRule="auto"/>
    </w:pPr>
    <w:tblPr/>
  </w:style>
  <w:style w:type="table" w:styleId="784">
    <w:name w:val="Grid Table 1 Light - Accent 1"/>
    <w:basedOn w:val="725"/>
    <w:next w:val="784"/>
    <w:link w:val="714"/>
    <w:uiPriority w:val="99"/>
    <w:qFormat/>
    <w:pPr>
      <w:spacing w:after="0" w:line="240" w:lineRule="auto"/>
    </w:pPr>
    <w:tblPr/>
  </w:style>
  <w:style w:type="table" w:styleId="785">
    <w:name w:val="Grid Table 1 Light - Accent 2"/>
    <w:basedOn w:val="725"/>
    <w:next w:val="785"/>
    <w:link w:val="714"/>
    <w:uiPriority w:val="99"/>
    <w:qFormat/>
    <w:pPr>
      <w:spacing w:after="0" w:line="240" w:lineRule="auto"/>
    </w:pPr>
    <w:tblPr/>
  </w:style>
  <w:style w:type="table" w:styleId="786">
    <w:name w:val="Grid Table 1 Light - Accent 3"/>
    <w:basedOn w:val="725"/>
    <w:next w:val="786"/>
    <w:link w:val="714"/>
    <w:uiPriority w:val="99"/>
    <w:qFormat/>
    <w:pPr>
      <w:spacing w:after="0" w:line="240" w:lineRule="auto"/>
    </w:pPr>
    <w:tblPr/>
  </w:style>
  <w:style w:type="table" w:styleId="787">
    <w:name w:val="Grid Table 1 Light - Accent 4"/>
    <w:basedOn w:val="725"/>
    <w:next w:val="787"/>
    <w:link w:val="714"/>
    <w:uiPriority w:val="99"/>
    <w:qFormat/>
    <w:pPr>
      <w:spacing w:after="0" w:line="240" w:lineRule="auto"/>
    </w:pPr>
    <w:tblPr/>
  </w:style>
  <w:style w:type="table" w:styleId="788">
    <w:name w:val="Grid Table 1 Light - Accent 5"/>
    <w:basedOn w:val="725"/>
    <w:next w:val="788"/>
    <w:link w:val="714"/>
    <w:uiPriority w:val="99"/>
    <w:qFormat/>
    <w:pPr>
      <w:spacing w:after="0" w:line="240" w:lineRule="auto"/>
    </w:pPr>
    <w:tblPr/>
  </w:style>
  <w:style w:type="table" w:styleId="789">
    <w:name w:val="Grid Table 1 Light - Accent 6"/>
    <w:basedOn w:val="725"/>
    <w:next w:val="789"/>
    <w:link w:val="714"/>
    <w:uiPriority w:val="99"/>
    <w:qFormat/>
    <w:pPr>
      <w:spacing w:after="0" w:line="240" w:lineRule="auto"/>
    </w:pPr>
    <w:tblPr/>
  </w:style>
  <w:style w:type="table" w:styleId="790">
    <w:name w:val="Grid Table 2"/>
    <w:basedOn w:val="725"/>
    <w:next w:val="790"/>
    <w:link w:val="714"/>
    <w:uiPriority w:val="99"/>
    <w:qFormat/>
    <w:pPr>
      <w:spacing w:after="0" w:line="240" w:lineRule="auto"/>
    </w:pPr>
    <w:tblPr/>
  </w:style>
  <w:style w:type="table" w:styleId="791">
    <w:name w:val="Grid Table 2 - Accent 1"/>
    <w:basedOn w:val="725"/>
    <w:next w:val="791"/>
    <w:link w:val="714"/>
    <w:uiPriority w:val="99"/>
    <w:qFormat/>
    <w:pPr>
      <w:spacing w:after="0" w:line="240" w:lineRule="auto"/>
    </w:pPr>
    <w:tblPr/>
  </w:style>
  <w:style w:type="table" w:styleId="792">
    <w:name w:val="Grid Table 2 - Accent 2"/>
    <w:basedOn w:val="725"/>
    <w:next w:val="792"/>
    <w:link w:val="714"/>
    <w:uiPriority w:val="99"/>
    <w:qFormat/>
    <w:pPr>
      <w:spacing w:after="0" w:line="240" w:lineRule="auto"/>
    </w:pPr>
    <w:tblPr/>
  </w:style>
  <w:style w:type="table" w:styleId="793">
    <w:name w:val="Grid Table 2 - Accent 3"/>
    <w:basedOn w:val="725"/>
    <w:next w:val="793"/>
    <w:link w:val="714"/>
    <w:uiPriority w:val="99"/>
    <w:qFormat/>
    <w:pPr>
      <w:spacing w:after="0" w:line="240" w:lineRule="auto"/>
    </w:pPr>
    <w:tblPr/>
  </w:style>
  <w:style w:type="table" w:styleId="794">
    <w:name w:val="Grid Table 2 - Accent 4"/>
    <w:basedOn w:val="725"/>
    <w:next w:val="794"/>
    <w:link w:val="714"/>
    <w:uiPriority w:val="99"/>
    <w:qFormat/>
    <w:pPr>
      <w:spacing w:after="0" w:line="240" w:lineRule="auto"/>
    </w:pPr>
    <w:tblPr/>
  </w:style>
  <w:style w:type="table" w:styleId="795">
    <w:name w:val="Grid Table 2 - Accent 5"/>
    <w:basedOn w:val="725"/>
    <w:next w:val="795"/>
    <w:link w:val="714"/>
    <w:uiPriority w:val="99"/>
    <w:qFormat/>
    <w:pPr>
      <w:spacing w:after="0" w:line="240" w:lineRule="auto"/>
    </w:pPr>
    <w:tblPr/>
  </w:style>
  <w:style w:type="table" w:styleId="796">
    <w:name w:val="Grid Table 2 - Accent 6"/>
    <w:basedOn w:val="725"/>
    <w:next w:val="796"/>
    <w:link w:val="714"/>
    <w:uiPriority w:val="99"/>
    <w:qFormat/>
    <w:pPr>
      <w:spacing w:after="0" w:line="240" w:lineRule="auto"/>
    </w:pPr>
    <w:tblPr/>
  </w:style>
  <w:style w:type="table" w:styleId="797">
    <w:name w:val="Grid Table 3"/>
    <w:basedOn w:val="725"/>
    <w:next w:val="797"/>
    <w:link w:val="714"/>
    <w:uiPriority w:val="99"/>
    <w:qFormat/>
    <w:pPr>
      <w:spacing w:after="0" w:line="240" w:lineRule="auto"/>
    </w:pPr>
    <w:tblPr/>
  </w:style>
  <w:style w:type="table" w:styleId="798">
    <w:name w:val="Grid Table 3 - Accent 1"/>
    <w:basedOn w:val="725"/>
    <w:next w:val="798"/>
    <w:link w:val="714"/>
    <w:uiPriority w:val="99"/>
    <w:qFormat/>
    <w:pPr>
      <w:spacing w:after="0" w:line="240" w:lineRule="auto"/>
    </w:pPr>
    <w:tblPr/>
  </w:style>
  <w:style w:type="table" w:styleId="799">
    <w:name w:val="Grid Table 3 - Accent 2"/>
    <w:basedOn w:val="725"/>
    <w:next w:val="799"/>
    <w:link w:val="714"/>
    <w:uiPriority w:val="99"/>
    <w:qFormat/>
    <w:pPr>
      <w:spacing w:after="0" w:line="240" w:lineRule="auto"/>
    </w:pPr>
    <w:tblPr/>
  </w:style>
  <w:style w:type="table" w:styleId="800">
    <w:name w:val="Grid Table 3 - Accent 3"/>
    <w:basedOn w:val="725"/>
    <w:next w:val="800"/>
    <w:link w:val="714"/>
    <w:uiPriority w:val="99"/>
    <w:qFormat/>
    <w:pPr>
      <w:spacing w:after="0" w:line="240" w:lineRule="auto"/>
    </w:pPr>
    <w:tblPr/>
  </w:style>
  <w:style w:type="table" w:styleId="801">
    <w:name w:val="Grid Table 3 - Accent 4"/>
    <w:basedOn w:val="725"/>
    <w:next w:val="801"/>
    <w:link w:val="714"/>
    <w:uiPriority w:val="99"/>
    <w:qFormat/>
    <w:pPr>
      <w:spacing w:after="0" w:line="240" w:lineRule="auto"/>
    </w:pPr>
    <w:tblPr/>
  </w:style>
  <w:style w:type="table" w:styleId="802">
    <w:name w:val="Grid Table 3 - Accent 5"/>
    <w:basedOn w:val="725"/>
    <w:next w:val="802"/>
    <w:link w:val="714"/>
    <w:uiPriority w:val="99"/>
    <w:qFormat/>
    <w:pPr>
      <w:spacing w:after="0" w:line="240" w:lineRule="auto"/>
    </w:pPr>
    <w:tblPr/>
  </w:style>
  <w:style w:type="table" w:styleId="803">
    <w:name w:val="Grid Table 3 - Accent 6"/>
    <w:basedOn w:val="725"/>
    <w:next w:val="803"/>
    <w:link w:val="714"/>
    <w:uiPriority w:val="99"/>
    <w:qFormat/>
    <w:pPr>
      <w:spacing w:after="0" w:line="240" w:lineRule="auto"/>
    </w:pPr>
    <w:tblPr/>
  </w:style>
  <w:style w:type="table" w:styleId="804">
    <w:name w:val="Grid Table 4"/>
    <w:basedOn w:val="725"/>
    <w:next w:val="804"/>
    <w:link w:val="714"/>
    <w:uiPriority w:val="59"/>
    <w:qFormat/>
    <w:pPr>
      <w:spacing w:after="0" w:line="240" w:lineRule="auto"/>
    </w:pPr>
    <w:tblPr/>
  </w:style>
  <w:style w:type="table" w:styleId="805">
    <w:name w:val="Grid Table 4 - Accent 1"/>
    <w:basedOn w:val="725"/>
    <w:next w:val="805"/>
    <w:link w:val="714"/>
    <w:uiPriority w:val="59"/>
    <w:qFormat/>
    <w:pPr>
      <w:spacing w:after="0" w:line="240" w:lineRule="auto"/>
    </w:pPr>
    <w:tblPr/>
  </w:style>
  <w:style w:type="table" w:styleId="806">
    <w:name w:val="Grid Table 4 - Accent 2"/>
    <w:basedOn w:val="725"/>
    <w:next w:val="806"/>
    <w:link w:val="714"/>
    <w:uiPriority w:val="59"/>
    <w:qFormat/>
    <w:pPr>
      <w:spacing w:after="0" w:line="240" w:lineRule="auto"/>
    </w:pPr>
    <w:tblPr/>
  </w:style>
  <w:style w:type="table" w:styleId="807">
    <w:name w:val="Grid Table 4 - Accent 3"/>
    <w:basedOn w:val="725"/>
    <w:next w:val="807"/>
    <w:link w:val="714"/>
    <w:uiPriority w:val="59"/>
    <w:qFormat/>
    <w:pPr>
      <w:spacing w:after="0" w:line="240" w:lineRule="auto"/>
    </w:pPr>
    <w:tblPr/>
  </w:style>
  <w:style w:type="table" w:styleId="808">
    <w:name w:val="Grid Table 4 - Accent 4"/>
    <w:basedOn w:val="725"/>
    <w:next w:val="808"/>
    <w:link w:val="714"/>
    <w:uiPriority w:val="59"/>
    <w:qFormat/>
    <w:pPr>
      <w:spacing w:after="0" w:line="240" w:lineRule="auto"/>
    </w:pPr>
    <w:tblPr/>
  </w:style>
  <w:style w:type="table" w:styleId="809">
    <w:name w:val="Grid Table 4 - Accent 5"/>
    <w:basedOn w:val="725"/>
    <w:next w:val="809"/>
    <w:link w:val="714"/>
    <w:uiPriority w:val="59"/>
    <w:qFormat/>
    <w:pPr>
      <w:spacing w:after="0" w:line="240" w:lineRule="auto"/>
    </w:pPr>
    <w:tblPr/>
  </w:style>
  <w:style w:type="table" w:styleId="810">
    <w:name w:val="Grid Table 4 - Accent 6"/>
    <w:basedOn w:val="725"/>
    <w:next w:val="810"/>
    <w:link w:val="714"/>
    <w:uiPriority w:val="59"/>
    <w:qFormat/>
    <w:pPr>
      <w:spacing w:after="0" w:line="240" w:lineRule="auto"/>
    </w:pPr>
    <w:tblPr/>
  </w:style>
  <w:style w:type="table" w:styleId="811">
    <w:name w:val="Grid Table 5 Dark"/>
    <w:basedOn w:val="725"/>
    <w:next w:val="811"/>
    <w:link w:val="714"/>
    <w:uiPriority w:val="99"/>
    <w:qFormat/>
    <w:pPr>
      <w:spacing w:after="0" w:line="240" w:lineRule="auto"/>
    </w:pPr>
    <w:tblPr/>
  </w:style>
  <w:style w:type="table" w:styleId="812">
    <w:name w:val="Grid Table 5 Dark- Accent 1"/>
    <w:basedOn w:val="725"/>
    <w:next w:val="812"/>
    <w:link w:val="714"/>
    <w:uiPriority w:val="99"/>
    <w:qFormat/>
    <w:pPr>
      <w:spacing w:after="0" w:line="240" w:lineRule="auto"/>
    </w:pPr>
    <w:tblPr/>
  </w:style>
  <w:style w:type="table" w:styleId="813">
    <w:name w:val="Grid Table 5 Dark - Accent 2"/>
    <w:basedOn w:val="725"/>
    <w:next w:val="813"/>
    <w:link w:val="714"/>
    <w:uiPriority w:val="99"/>
    <w:qFormat/>
    <w:pPr>
      <w:spacing w:after="0" w:line="240" w:lineRule="auto"/>
    </w:pPr>
    <w:tblPr/>
  </w:style>
  <w:style w:type="table" w:styleId="814">
    <w:name w:val="Grid Table 5 Dark - Accent 3"/>
    <w:basedOn w:val="725"/>
    <w:next w:val="814"/>
    <w:link w:val="714"/>
    <w:uiPriority w:val="99"/>
    <w:qFormat/>
    <w:pPr>
      <w:spacing w:after="0" w:line="240" w:lineRule="auto"/>
    </w:pPr>
    <w:tblPr/>
  </w:style>
  <w:style w:type="table" w:styleId="815">
    <w:name w:val="Grid Table 5 Dark- Accent 4"/>
    <w:basedOn w:val="725"/>
    <w:next w:val="815"/>
    <w:link w:val="714"/>
    <w:uiPriority w:val="99"/>
    <w:qFormat/>
    <w:pPr>
      <w:spacing w:after="0" w:line="240" w:lineRule="auto"/>
    </w:pPr>
    <w:tblPr/>
  </w:style>
  <w:style w:type="table" w:styleId="816">
    <w:name w:val="Grid Table 5 Dark - Accent 5"/>
    <w:basedOn w:val="725"/>
    <w:next w:val="816"/>
    <w:link w:val="714"/>
    <w:uiPriority w:val="99"/>
    <w:qFormat/>
    <w:pPr>
      <w:spacing w:after="0" w:line="240" w:lineRule="auto"/>
    </w:pPr>
    <w:tblPr/>
  </w:style>
  <w:style w:type="table" w:styleId="817">
    <w:name w:val="Grid Table 5 Dark - Accent 6"/>
    <w:basedOn w:val="725"/>
    <w:next w:val="817"/>
    <w:link w:val="714"/>
    <w:uiPriority w:val="99"/>
    <w:qFormat/>
    <w:pPr>
      <w:spacing w:after="0" w:line="240" w:lineRule="auto"/>
    </w:pPr>
    <w:tblPr/>
  </w:style>
  <w:style w:type="table" w:styleId="818">
    <w:name w:val="Grid Table 6 Colorful"/>
    <w:basedOn w:val="725"/>
    <w:next w:val="818"/>
    <w:link w:val="714"/>
    <w:uiPriority w:val="99"/>
    <w:qFormat/>
    <w:pPr>
      <w:spacing w:after="0" w:line="240" w:lineRule="auto"/>
    </w:pPr>
    <w:tblPr/>
  </w:style>
  <w:style w:type="table" w:styleId="819">
    <w:name w:val="Grid Table 6 Colorful - Accent 1"/>
    <w:basedOn w:val="725"/>
    <w:next w:val="819"/>
    <w:link w:val="714"/>
    <w:uiPriority w:val="99"/>
    <w:qFormat/>
    <w:pPr>
      <w:spacing w:after="0" w:line="240" w:lineRule="auto"/>
    </w:pPr>
    <w:tblPr/>
  </w:style>
  <w:style w:type="table" w:styleId="820">
    <w:name w:val="Grid Table 6 Colorful - Accent 2"/>
    <w:basedOn w:val="725"/>
    <w:next w:val="820"/>
    <w:link w:val="714"/>
    <w:uiPriority w:val="99"/>
    <w:qFormat/>
    <w:pPr>
      <w:spacing w:after="0" w:line="240" w:lineRule="auto"/>
    </w:pPr>
    <w:tblPr/>
  </w:style>
  <w:style w:type="table" w:styleId="821">
    <w:name w:val="Grid Table 6 Colorful - Accent 3"/>
    <w:basedOn w:val="725"/>
    <w:next w:val="821"/>
    <w:link w:val="714"/>
    <w:uiPriority w:val="99"/>
    <w:qFormat/>
    <w:pPr>
      <w:spacing w:after="0" w:line="240" w:lineRule="auto"/>
    </w:pPr>
    <w:tblPr/>
  </w:style>
  <w:style w:type="table" w:styleId="822">
    <w:name w:val="Grid Table 6 Colorful - Accent 4"/>
    <w:basedOn w:val="725"/>
    <w:next w:val="822"/>
    <w:link w:val="714"/>
    <w:uiPriority w:val="99"/>
    <w:qFormat/>
    <w:pPr>
      <w:spacing w:after="0" w:line="240" w:lineRule="auto"/>
    </w:pPr>
    <w:tblPr/>
  </w:style>
  <w:style w:type="table" w:styleId="823">
    <w:name w:val="Grid Table 6 Colorful - Accent 5"/>
    <w:basedOn w:val="725"/>
    <w:next w:val="823"/>
    <w:link w:val="714"/>
    <w:uiPriority w:val="99"/>
    <w:qFormat/>
    <w:pPr>
      <w:spacing w:after="0" w:line="240" w:lineRule="auto"/>
    </w:pPr>
    <w:tblPr/>
  </w:style>
  <w:style w:type="table" w:styleId="824">
    <w:name w:val="Grid Table 6 Colorful - Accent 6"/>
    <w:basedOn w:val="725"/>
    <w:next w:val="824"/>
    <w:link w:val="714"/>
    <w:uiPriority w:val="99"/>
    <w:qFormat/>
    <w:pPr>
      <w:spacing w:after="0" w:line="240" w:lineRule="auto"/>
    </w:pPr>
    <w:tblPr/>
  </w:style>
  <w:style w:type="table" w:styleId="825">
    <w:name w:val="Grid Table 7 Colorful"/>
    <w:basedOn w:val="725"/>
    <w:next w:val="825"/>
    <w:link w:val="714"/>
    <w:uiPriority w:val="99"/>
    <w:qFormat/>
    <w:pPr>
      <w:spacing w:after="0" w:line="240" w:lineRule="auto"/>
    </w:pPr>
    <w:tblPr/>
  </w:style>
  <w:style w:type="table" w:styleId="826">
    <w:name w:val="Grid Table 7 Colorful - Accent 1"/>
    <w:basedOn w:val="725"/>
    <w:next w:val="826"/>
    <w:link w:val="714"/>
    <w:uiPriority w:val="99"/>
    <w:qFormat/>
    <w:pPr>
      <w:spacing w:after="0" w:line="240" w:lineRule="auto"/>
    </w:pPr>
    <w:tblPr/>
  </w:style>
  <w:style w:type="table" w:styleId="827">
    <w:name w:val="Grid Table 7 Colorful - Accent 2"/>
    <w:basedOn w:val="725"/>
    <w:next w:val="827"/>
    <w:link w:val="714"/>
    <w:uiPriority w:val="99"/>
    <w:qFormat/>
    <w:pPr>
      <w:spacing w:after="0" w:line="240" w:lineRule="auto"/>
    </w:pPr>
    <w:tblPr/>
  </w:style>
  <w:style w:type="table" w:styleId="828">
    <w:name w:val="Grid Table 7 Colorful - Accent 3"/>
    <w:basedOn w:val="725"/>
    <w:next w:val="828"/>
    <w:link w:val="714"/>
    <w:uiPriority w:val="99"/>
    <w:qFormat/>
    <w:pPr>
      <w:spacing w:after="0" w:line="240" w:lineRule="auto"/>
    </w:pPr>
    <w:tblPr/>
  </w:style>
  <w:style w:type="table" w:styleId="829">
    <w:name w:val="Grid Table 7 Colorful - Accent 4"/>
    <w:basedOn w:val="725"/>
    <w:next w:val="829"/>
    <w:link w:val="714"/>
    <w:uiPriority w:val="99"/>
    <w:qFormat/>
    <w:pPr>
      <w:spacing w:after="0" w:line="240" w:lineRule="auto"/>
    </w:pPr>
    <w:tblPr/>
  </w:style>
  <w:style w:type="table" w:styleId="830">
    <w:name w:val="Grid Table 7 Colorful - Accent 5"/>
    <w:basedOn w:val="725"/>
    <w:next w:val="830"/>
    <w:link w:val="714"/>
    <w:uiPriority w:val="99"/>
    <w:qFormat/>
    <w:pPr>
      <w:spacing w:after="0" w:line="240" w:lineRule="auto"/>
    </w:pPr>
    <w:tblPr/>
  </w:style>
  <w:style w:type="table" w:styleId="831">
    <w:name w:val="Grid Table 7 Colorful - Accent 6"/>
    <w:basedOn w:val="725"/>
    <w:next w:val="831"/>
    <w:link w:val="714"/>
    <w:uiPriority w:val="99"/>
    <w:qFormat/>
    <w:pPr>
      <w:spacing w:after="0" w:line="240" w:lineRule="auto"/>
    </w:pPr>
    <w:tblPr/>
  </w:style>
  <w:style w:type="table" w:styleId="832">
    <w:name w:val="List Table 1 Light"/>
    <w:basedOn w:val="725"/>
    <w:next w:val="832"/>
    <w:link w:val="714"/>
    <w:uiPriority w:val="99"/>
    <w:qFormat/>
    <w:pPr>
      <w:spacing w:after="0" w:line="240" w:lineRule="auto"/>
    </w:pPr>
    <w:tblPr/>
  </w:style>
  <w:style w:type="table" w:styleId="833">
    <w:name w:val="List Table 1 Light - Accent 1"/>
    <w:basedOn w:val="725"/>
    <w:next w:val="833"/>
    <w:link w:val="714"/>
    <w:uiPriority w:val="99"/>
    <w:qFormat/>
    <w:pPr>
      <w:spacing w:after="0" w:line="240" w:lineRule="auto"/>
    </w:pPr>
    <w:tblPr/>
  </w:style>
  <w:style w:type="table" w:styleId="834">
    <w:name w:val="List Table 1 Light - Accent 2"/>
    <w:basedOn w:val="725"/>
    <w:next w:val="834"/>
    <w:link w:val="714"/>
    <w:uiPriority w:val="99"/>
    <w:qFormat/>
    <w:pPr>
      <w:spacing w:after="0" w:line="240" w:lineRule="auto"/>
    </w:pPr>
    <w:tblPr/>
  </w:style>
  <w:style w:type="table" w:styleId="835">
    <w:name w:val="List Table 1 Light - Accent 3"/>
    <w:basedOn w:val="725"/>
    <w:next w:val="835"/>
    <w:link w:val="714"/>
    <w:uiPriority w:val="99"/>
    <w:qFormat/>
    <w:pPr>
      <w:spacing w:after="0" w:line="240" w:lineRule="auto"/>
    </w:pPr>
    <w:tblPr/>
  </w:style>
  <w:style w:type="table" w:styleId="836">
    <w:name w:val="List Table 1 Light - Accent 4"/>
    <w:basedOn w:val="725"/>
    <w:next w:val="836"/>
    <w:link w:val="714"/>
    <w:uiPriority w:val="99"/>
    <w:qFormat/>
    <w:pPr>
      <w:spacing w:after="0" w:line="240" w:lineRule="auto"/>
    </w:pPr>
    <w:tblPr/>
  </w:style>
  <w:style w:type="table" w:styleId="837">
    <w:name w:val="List Table 1 Light - Accent 5"/>
    <w:basedOn w:val="725"/>
    <w:next w:val="837"/>
    <w:link w:val="714"/>
    <w:uiPriority w:val="99"/>
    <w:qFormat/>
    <w:pPr>
      <w:spacing w:after="0" w:line="240" w:lineRule="auto"/>
    </w:pPr>
    <w:tblPr/>
  </w:style>
  <w:style w:type="table" w:styleId="838">
    <w:name w:val="List Table 1 Light - Accent 6"/>
    <w:basedOn w:val="725"/>
    <w:next w:val="838"/>
    <w:link w:val="714"/>
    <w:uiPriority w:val="99"/>
    <w:qFormat/>
    <w:pPr>
      <w:spacing w:after="0" w:line="240" w:lineRule="auto"/>
    </w:pPr>
    <w:tblPr/>
  </w:style>
  <w:style w:type="table" w:styleId="839">
    <w:name w:val="List Table 2"/>
    <w:basedOn w:val="725"/>
    <w:next w:val="839"/>
    <w:link w:val="714"/>
    <w:uiPriority w:val="99"/>
    <w:qFormat/>
    <w:pPr>
      <w:spacing w:after="0" w:line="240" w:lineRule="auto"/>
    </w:pPr>
    <w:tblPr/>
  </w:style>
  <w:style w:type="table" w:styleId="840">
    <w:name w:val="List Table 2 - Accent 1"/>
    <w:basedOn w:val="725"/>
    <w:next w:val="840"/>
    <w:link w:val="714"/>
    <w:uiPriority w:val="99"/>
    <w:qFormat/>
    <w:pPr>
      <w:spacing w:after="0" w:line="240" w:lineRule="auto"/>
    </w:pPr>
    <w:tblPr/>
  </w:style>
  <w:style w:type="table" w:styleId="841">
    <w:name w:val="List Table 2 - Accent 2"/>
    <w:basedOn w:val="725"/>
    <w:next w:val="841"/>
    <w:link w:val="714"/>
    <w:uiPriority w:val="99"/>
    <w:qFormat/>
    <w:pPr>
      <w:spacing w:after="0" w:line="240" w:lineRule="auto"/>
    </w:pPr>
    <w:tblPr/>
  </w:style>
  <w:style w:type="table" w:styleId="842">
    <w:name w:val="List Table 2 - Accent 3"/>
    <w:basedOn w:val="725"/>
    <w:next w:val="842"/>
    <w:link w:val="714"/>
    <w:uiPriority w:val="99"/>
    <w:qFormat/>
    <w:pPr>
      <w:spacing w:after="0" w:line="240" w:lineRule="auto"/>
    </w:pPr>
    <w:tblPr/>
  </w:style>
  <w:style w:type="table" w:styleId="843">
    <w:name w:val="List Table 2 - Accent 4"/>
    <w:basedOn w:val="725"/>
    <w:next w:val="843"/>
    <w:link w:val="714"/>
    <w:uiPriority w:val="99"/>
    <w:qFormat/>
    <w:pPr>
      <w:spacing w:after="0" w:line="240" w:lineRule="auto"/>
    </w:pPr>
    <w:tblPr/>
  </w:style>
  <w:style w:type="table" w:styleId="844">
    <w:name w:val="List Table 2 - Accent 5"/>
    <w:basedOn w:val="725"/>
    <w:next w:val="844"/>
    <w:link w:val="714"/>
    <w:uiPriority w:val="99"/>
    <w:qFormat/>
    <w:pPr>
      <w:spacing w:after="0" w:line="240" w:lineRule="auto"/>
    </w:pPr>
    <w:tblPr/>
  </w:style>
  <w:style w:type="table" w:styleId="845">
    <w:name w:val="List Table 2 - Accent 6"/>
    <w:basedOn w:val="725"/>
    <w:next w:val="845"/>
    <w:link w:val="714"/>
    <w:uiPriority w:val="99"/>
    <w:qFormat/>
    <w:pPr>
      <w:spacing w:after="0" w:line="240" w:lineRule="auto"/>
    </w:pPr>
    <w:tblPr/>
  </w:style>
  <w:style w:type="table" w:styleId="846">
    <w:name w:val="List Table 3"/>
    <w:basedOn w:val="725"/>
    <w:next w:val="846"/>
    <w:link w:val="714"/>
    <w:uiPriority w:val="99"/>
    <w:qFormat/>
    <w:pPr>
      <w:spacing w:after="0" w:line="240" w:lineRule="auto"/>
    </w:pPr>
    <w:tblPr/>
  </w:style>
  <w:style w:type="table" w:styleId="847">
    <w:name w:val="List Table 3 - Accent 1"/>
    <w:basedOn w:val="725"/>
    <w:next w:val="847"/>
    <w:link w:val="714"/>
    <w:uiPriority w:val="99"/>
    <w:qFormat/>
    <w:pPr>
      <w:spacing w:after="0" w:line="240" w:lineRule="auto"/>
    </w:pPr>
    <w:tblPr/>
  </w:style>
  <w:style w:type="table" w:styleId="848">
    <w:name w:val="List Table 3 - Accent 2"/>
    <w:basedOn w:val="725"/>
    <w:next w:val="848"/>
    <w:link w:val="714"/>
    <w:uiPriority w:val="99"/>
    <w:qFormat/>
    <w:pPr>
      <w:spacing w:after="0" w:line="240" w:lineRule="auto"/>
    </w:pPr>
    <w:tblPr/>
  </w:style>
  <w:style w:type="table" w:styleId="849">
    <w:name w:val="List Table 3 - Accent 3"/>
    <w:basedOn w:val="725"/>
    <w:next w:val="849"/>
    <w:link w:val="714"/>
    <w:uiPriority w:val="99"/>
    <w:qFormat/>
    <w:pPr>
      <w:spacing w:after="0" w:line="240" w:lineRule="auto"/>
    </w:pPr>
    <w:tblPr/>
  </w:style>
  <w:style w:type="table" w:styleId="850">
    <w:name w:val="List Table 3 - Accent 4"/>
    <w:basedOn w:val="725"/>
    <w:next w:val="850"/>
    <w:link w:val="714"/>
    <w:uiPriority w:val="99"/>
    <w:qFormat/>
    <w:pPr>
      <w:spacing w:after="0" w:line="240" w:lineRule="auto"/>
    </w:pPr>
    <w:tblPr/>
  </w:style>
  <w:style w:type="table" w:styleId="851">
    <w:name w:val="List Table 3 - Accent 5"/>
    <w:basedOn w:val="725"/>
    <w:next w:val="851"/>
    <w:link w:val="714"/>
    <w:uiPriority w:val="99"/>
    <w:qFormat/>
    <w:pPr>
      <w:spacing w:after="0" w:line="240" w:lineRule="auto"/>
    </w:pPr>
    <w:tblPr/>
  </w:style>
  <w:style w:type="table" w:styleId="852">
    <w:name w:val="List Table 3 - Accent 6"/>
    <w:basedOn w:val="725"/>
    <w:next w:val="852"/>
    <w:link w:val="714"/>
    <w:uiPriority w:val="99"/>
    <w:qFormat/>
    <w:pPr>
      <w:spacing w:after="0" w:line="240" w:lineRule="auto"/>
    </w:pPr>
    <w:tblPr/>
  </w:style>
  <w:style w:type="table" w:styleId="853">
    <w:name w:val="List Table 4"/>
    <w:basedOn w:val="725"/>
    <w:next w:val="853"/>
    <w:link w:val="714"/>
    <w:uiPriority w:val="99"/>
    <w:qFormat/>
    <w:pPr>
      <w:spacing w:after="0" w:line="240" w:lineRule="auto"/>
    </w:pPr>
    <w:tblPr/>
  </w:style>
  <w:style w:type="table" w:styleId="854">
    <w:name w:val="List Table 4 - Accent 1"/>
    <w:basedOn w:val="725"/>
    <w:next w:val="854"/>
    <w:link w:val="714"/>
    <w:uiPriority w:val="99"/>
    <w:qFormat/>
    <w:pPr>
      <w:spacing w:after="0" w:line="240" w:lineRule="auto"/>
    </w:pPr>
    <w:tblPr/>
  </w:style>
  <w:style w:type="table" w:styleId="855">
    <w:name w:val="List Table 4 - Accent 2"/>
    <w:basedOn w:val="725"/>
    <w:next w:val="855"/>
    <w:link w:val="714"/>
    <w:uiPriority w:val="99"/>
    <w:qFormat/>
    <w:pPr>
      <w:spacing w:after="0" w:line="240" w:lineRule="auto"/>
    </w:pPr>
    <w:tblPr/>
  </w:style>
  <w:style w:type="table" w:styleId="856">
    <w:name w:val="List Table 4 - Accent 3"/>
    <w:basedOn w:val="725"/>
    <w:next w:val="856"/>
    <w:link w:val="714"/>
    <w:uiPriority w:val="99"/>
    <w:qFormat/>
    <w:pPr>
      <w:spacing w:after="0" w:line="240" w:lineRule="auto"/>
    </w:pPr>
    <w:tblPr/>
  </w:style>
  <w:style w:type="table" w:styleId="857">
    <w:name w:val="List Table 4 - Accent 4"/>
    <w:basedOn w:val="725"/>
    <w:next w:val="857"/>
    <w:link w:val="714"/>
    <w:uiPriority w:val="99"/>
    <w:qFormat/>
    <w:pPr>
      <w:spacing w:after="0" w:line="240" w:lineRule="auto"/>
    </w:pPr>
    <w:tblPr/>
  </w:style>
  <w:style w:type="table" w:styleId="858">
    <w:name w:val="List Table 4 - Accent 5"/>
    <w:basedOn w:val="725"/>
    <w:next w:val="858"/>
    <w:link w:val="714"/>
    <w:uiPriority w:val="99"/>
    <w:qFormat/>
    <w:pPr>
      <w:spacing w:after="0" w:line="240" w:lineRule="auto"/>
    </w:pPr>
    <w:tblPr/>
  </w:style>
  <w:style w:type="table" w:styleId="859">
    <w:name w:val="List Table 4 - Accent 6"/>
    <w:basedOn w:val="725"/>
    <w:next w:val="859"/>
    <w:link w:val="714"/>
    <w:uiPriority w:val="99"/>
    <w:qFormat/>
    <w:pPr>
      <w:spacing w:after="0" w:line="240" w:lineRule="auto"/>
    </w:pPr>
    <w:tblPr/>
  </w:style>
  <w:style w:type="table" w:styleId="860">
    <w:name w:val="List Table 5 Dark"/>
    <w:basedOn w:val="725"/>
    <w:next w:val="860"/>
    <w:link w:val="714"/>
    <w:uiPriority w:val="99"/>
    <w:qFormat/>
    <w:pPr>
      <w:spacing w:after="0" w:line="240" w:lineRule="auto"/>
    </w:pPr>
    <w:tblPr/>
  </w:style>
  <w:style w:type="table" w:styleId="861">
    <w:name w:val="List Table 5 Dark - Accent 1"/>
    <w:basedOn w:val="725"/>
    <w:next w:val="861"/>
    <w:link w:val="714"/>
    <w:uiPriority w:val="99"/>
    <w:qFormat/>
    <w:pPr>
      <w:spacing w:after="0" w:line="240" w:lineRule="auto"/>
    </w:pPr>
    <w:tblPr/>
  </w:style>
  <w:style w:type="table" w:styleId="862">
    <w:name w:val="List Table 5 Dark - Accent 2"/>
    <w:basedOn w:val="725"/>
    <w:next w:val="862"/>
    <w:link w:val="714"/>
    <w:uiPriority w:val="99"/>
    <w:qFormat/>
    <w:pPr>
      <w:spacing w:after="0" w:line="240" w:lineRule="auto"/>
    </w:pPr>
    <w:tblPr/>
  </w:style>
  <w:style w:type="table" w:styleId="863">
    <w:name w:val="List Table 5 Dark - Accent 3"/>
    <w:basedOn w:val="725"/>
    <w:next w:val="863"/>
    <w:link w:val="714"/>
    <w:uiPriority w:val="99"/>
    <w:qFormat/>
    <w:pPr>
      <w:spacing w:after="0" w:line="240" w:lineRule="auto"/>
    </w:pPr>
    <w:tblPr/>
  </w:style>
  <w:style w:type="table" w:styleId="864">
    <w:name w:val="List Table 5 Dark - Accent 4"/>
    <w:basedOn w:val="725"/>
    <w:next w:val="864"/>
    <w:link w:val="714"/>
    <w:uiPriority w:val="99"/>
    <w:qFormat/>
    <w:pPr>
      <w:spacing w:after="0" w:line="240" w:lineRule="auto"/>
    </w:pPr>
    <w:tblPr/>
  </w:style>
  <w:style w:type="table" w:styleId="865">
    <w:name w:val="List Table 5 Dark - Accent 5"/>
    <w:basedOn w:val="725"/>
    <w:next w:val="865"/>
    <w:link w:val="714"/>
    <w:uiPriority w:val="99"/>
    <w:qFormat/>
    <w:pPr>
      <w:spacing w:after="0" w:line="240" w:lineRule="auto"/>
    </w:pPr>
    <w:tblPr/>
  </w:style>
  <w:style w:type="table" w:styleId="866">
    <w:name w:val="List Table 5 Dark - Accent 6"/>
    <w:basedOn w:val="725"/>
    <w:next w:val="866"/>
    <w:link w:val="714"/>
    <w:uiPriority w:val="99"/>
    <w:qFormat/>
    <w:pPr>
      <w:spacing w:after="0" w:line="240" w:lineRule="auto"/>
    </w:pPr>
    <w:tblPr/>
  </w:style>
  <w:style w:type="table" w:styleId="867">
    <w:name w:val="List Table 6 Colorful"/>
    <w:basedOn w:val="725"/>
    <w:next w:val="867"/>
    <w:link w:val="714"/>
    <w:uiPriority w:val="99"/>
    <w:qFormat/>
    <w:pPr>
      <w:spacing w:after="0" w:line="240" w:lineRule="auto"/>
    </w:pPr>
    <w:tblPr/>
  </w:style>
  <w:style w:type="table" w:styleId="868">
    <w:name w:val="List Table 6 Colorful - Accent 1"/>
    <w:basedOn w:val="725"/>
    <w:next w:val="868"/>
    <w:link w:val="714"/>
    <w:uiPriority w:val="99"/>
    <w:qFormat/>
    <w:pPr>
      <w:spacing w:after="0" w:line="240" w:lineRule="auto"/>
    </w:pPr>
    <w:tblPr/>
  </w:style>
  <w:style w:type="table" w:styleId="869">
    <w:name w:val="List Table 6 Colorful - Accent 2"/>
    <w:basedOn w:val="725"/>
    <w:next w:val="869"/>
    <w:link w:val="714"/>
    <w:uiPriority w:val="99"/>
    <w:qFormat/>
    <w:pPr>
      <w:spacing w:after="0" w:line="240" w:lineRule="auto"/>
    </w:pPr>
    <w:tblPr/>
  </w:style>
  <w:style w:type="table" w:styleId="870">
    <w:name w:val="List Table 6 Colorful - Accent 3"/>
    <w:basedOn w:val="725"/>
    <w:next w:val="870"/>
    <w:link w:val="714"/>
    <w:uiPriority w:val="99"/>
    <w:qFormat/>
    <w:pPr>
      <w:spacing w:after="0" w:line="240" w:lineRule="auto"/>
    </w:pPr>
    <w:tblPr/>
  </w:style>
  <w:style w:type="table" w:styleId="871">
    <w:name w:val="List Table 6 Colorful - Accent 4"/>
    <w:basedOn w:val="725"/>
    <w:next w:val="871"/>
    <w:link w:val="714"/>
    <w:uiPriority w:val="99"/>
    <w:qFormat/>
    <w:pPr>
      <w:spacing w:after="0" w:line="240" w:lineRule="auto"/>
    </w:pPr>
    <w:tblPr/>
  </w:style>
  <w:style w:type="table" w:styleId="872">
    <w:name w:val="List Table 6 Colorful - Accent 5"/>
    <w:basedOn w:val="725"/>
    <w:next w:val="872"/>
    <w:link w:val="714"/>
    <w:uiPriority w:val="99"/>
    <w:qFormat/>
    <w:pPr>
      <w:spacing w:after="0" w:line="240" w:lineRule="auto"/>
    </w:pPr>
    <w:tblPr/>
  </w:style>
  <w:style w:type="table" w:styleId="873">
    <w:name w:val="List Table 6 Colorful - Accent 6"/>
    <w:basedOn w:val="725"/>
    <w:next w:val="873"/>
    <w:link w:val="714"/>
    <w:uiPriority w:val="99"/>
    <w:qFormat/>
    <w:pPr>
      <w:spacing w:after="0" w:line="240" w:lineRule="auto"/>
    </w:pPr>
    <w:tblPr/>
  </w:style>
  <w:style w:type="table" w:styleId="874">
    <w:name w:val="List Table 7 Colorful"/>
    <w:basedOn w:val="725"/>
    <w:next w:val="874"/>
    <w:link w:val="714"/>
    <w:uiPriority w:val="99"/>
    <w:qFormat/>
    <w:pPr>
      <w:spacing w:after="0" w:line="240" w:lineRule="auto"/>
    </w:pPr>
    <w:tblPr/>
  </w:style>
  <w:style w:type="table" w:styleId="875">
    <w:name w:val="List Table 7 Colorful - Accent 1"/>
    <w:basedOn w:val="725"/>
    <w:next w:val="875"/>
    <w:link w:val="714"/>
    <w:uiPriority w:val="99"/>
    <w:qFormat/>
    <w:pPr>
      <w:spacing w:after="0" w:line="240" w:lineRule="auto"/>
    </w:pPr>
    <w:tblPr/>
  </w:style>
  <w:style w:type="table" w:styleId="876">
    <w:name w:val="List Table 7 Colorful - Accent 2"/>
    <w:basedOn w:val="725"/>
    <w:next w:val="876"/>
    <w:link w:val="714"/>
    <w:uiPriority w:val="99"/>
    <w:qFormat/>
    <w:pPr>
      <w:spacing w:after="0" w:line="240" w:lineRule="auto"/>
    </w:pPr>
    <w:tblPr/>
  </w:style>
  <w:style w:type="table" w:styleId="877">
    <w:name w:val="List Table 7 Colorful - Accent 3"/>
    <w:basedOn w:val="725"/>
    <w:next w:val="877"/>
    <w:link w:val="714"/>
    <w:uiPriority w:val="99"/>
    <w:qFormat/>
    <w:pPr>
      <w:spacing w:after="0" w:line="240" w:lineRule="auto"/>
    </w:pPr>
    <w:tblPr/>
  </w:style>
  <w:style w:type="table" w:styleId="878">
    <w:name w:val="List Table 7 Colorful - Accent 4"/>
    <w:basedOn w:val="725"/>
    <w:next w:val="878"/>
    <w:link w:val="714"/>
    <w:uiPriority w:val="99"/>
    <w:qFormat/>
    <w:pPr>
      <w:spacing w:after="0" w:line="240" w:lineRule="auto"/>
    </w:pPr>
    <w:tblPr/>
  </w:style>
  <w:style w:type="table" w:styleId="879">
    <w:name w:val="List Table 7 Colorful - Accent 5"/>
    <w:basedOn w:val="725"/>
    <w:next w:val="879"/>
    <w:link w:val="714"/>
    <w:uiPriority w:val="99"/>
    <w:qFormat/>
    <w:pPr>
      <w:spacing w:after="0" w:line="240" w:lineRule="auto"/>
    </w:pPr>
    <w:tblPr/>
  </w:style>
  <w:style w:type="table" w:styleId="880">
    <w:name w:val="List Table 7 Colorful - Accent 6"/>
    <w:basedOn w:val="725"/>
    <w:next w:val="880"/>
    <w:link w:val="714"/>
    <w:uiPriority w:val="99"/>
    <w:qFormat/>
    <w:pPr>
      <w:spacing w:after="0" w:line="240" w:lineRule="auto"/>
    </w:pPr>
    <w:tblPr/>
  </w:style>
  <w:style w:type="table" w:styleId="881">
    <w:name w:val="Lined - Accent"/>
    <w:basedOn w:val="725"/>
    <w:next w:val="881"/>
    <w:link w:val="714"/>
    <w:uiPriority w:val="99"/>
    <w:qFormat/>
    <w:pPr>
      <w:spacing w:after="0" w:line="240" w:lineRule="auto"/>
    </w:pPr>
    <w:rPr>
      <w:color w:val="404040"/>
    </w:rPr>
    <w:tblPr/>
  </w:style>
  <w:style w:type="table" w:styleId="882">
    <w:name w:val="Lined - Accent 1"/>
    <w:basedOn w:val="725"/>
    <w:next w:val="882"/>
    <w:link w:val="714"/>
    <w:uiPriority w:val="99"/>
    <w:qFormat/>
    <w:pPr>
      <w:spacing w:after="0" w:line="240" w:lineRule="auto"/>
    </w:pPr>
    <w:rPr>
      <w:color w:val="404040"/>
    </w:rPr>
    <w:tblPr/>
  </w:style>
  <w:style w:type="table" w:styleId="883">
    <w:name w:val="Lined - Accent 2"/>
    <w:basedOn w:val="725"/>
    <w:next w:val="883"/>
    <w:link w:val="714"/>
    <w:uiPriority w:val="99"/>
    <w:qFormat/>
    <w:pPr>
      <w:spacing w:after="0" w:line="240" w:lineRule="auto"/>
    </w:pPr>
    <w:rPr>
      <w:color w:val="404040"/>
    </w:rPr>
    <w:tblPr/>
  </w:style>
  <w:style w:type="table" w:styleId="884">
    <w:name w:val="Lined - Accent 3"/>
    <w:basedOn w:val="725"/>
    <w:next w:val="884"/>
    <w:link w:val="714"/>
    <w:uiPriority w:val="99"/>
    <w:qFormat/>
    <w:pPr>
      <w:spacing w:after="0" w:line="240" w:lineRule="auto"/>
    </w:pPr>
    <w:rPr>
      <w:color w:val="404040"/>
    </w:rPr>
    <w:tblPr/>
  </w:style>
  <w:style w:type="table" w:styleId="885">
    <w:name w:val="Lined - Accent 4"/>
    <w:basedOn w:val="725"/>
    <w:next w:val="885"/>
    <w:link w:val="714"/>
    <w:uiPriority w:val="99"/>
    <w:qFormat/>
    <w:pPr>
      <w:spacing w:after="0" w:line="240" w:lineRule="auto"/>
    </w:pPr>
    <w:rPr>
      <w:color w:val="404040"/>
    </w:rPr>
    <w:tblPr/>
  </w:style>
  <w:style w:type="table" w:styleId="886">
    <w:name w:val="Lined - Accent 5"/>
    <w:basedOn w:val="725"/>
    <w:next w:val="886"/>
    <w:link w:val="714"/>
    <w:uiPriority w:val="99"/>
    <w:qFormat/>
    <w:pPr>
      <w:spacing w:after="0" w:line="240" w:lineRule="auto"/>
    </w:pPr>
    <w:rPr>
      <w:color w:val="404040"/>
    </w:rPr>
    <w:tblPr/>
  </w:style>
  <w:style w:type="table" w:styleId="887">
    <w:name w:val="Lined - Accent 6"/>
    <w:basedOn w:val="725"/>
    <w:next w:val="887"/>
    <w:link w:val="714"/>
    <w:uiPriority w:val="99"/>
    <w:qFormat/>
    <w:pPr>
      <w:spacing w:after="0" w:line="240" w:lineRule="auto"/>
    </w:pPr>
    <w:rPr>
      <w:color w:val="404040"/>
    </w:rPr>
    <w:tblPr/>
  </w:style>
  <w:style w:type="table" w:styleId="888">
    <w:name w:val="Bordered &amp; Lined - Accent"/>
    <w:basedOn w:val="725"/>
    <w:next w:val="888"/>
    <w:link w:val="714"/>
    <w:uiPriority w:val="99"/>
    <w:qFormat/>
    <w:pPr>
      <w:spacing w:after="0" w:line="240" w:lineRule="auto"/>
    </w:pPr>
    <w:rPr>
      <w:color w:val="404040"/>
    </w:rPr>
    <w:tblPr/>
  </w:style>
  <w:style w:type="table" w:styleId="889">
    <w:name w:val="Bordered &amp; Lined - Accent 1"/>
    <w:basedOn w:val="725"/>
    <w:next w:val="889"/>
    <w:link w:val="714"/>
    <w:uiPriority w:val="99"/>
    <w:qFormat/>
    <w:pPr>
      <w:spacing w:after="0" w:line="240" w:lineRule="auto"/>
    </w:pPr>
    <w:rPr>
      <w:color w:val="404040"/>
    </w:rPr>
    <w:tblPr/>
  </w:style>
  <w:style w:type="table" w:styleId="890">
    <w:name w:val="Bordered &amp; Lined - Accent 2"/>
    <w:basedOn w:val="725"/>
    <w:next w:val="890"/>
    <w:link w:val="714"/>
    <w:uiPriority w:val="99"/>
    <w:qFormat/>
    <w:pPr>
      <w:spacing w:after="0" w:line="240" w:lineRule="auto"/>
    </w:pPr>
    <w:rPr>
      <w:color w:val="404040"/>
    </w:rPr>
    <w:tblPr/>
  </w:style>
  <w:style w:type="table" w:styleId="891">
    <w:name w:val="Bordered &amp; Lined - Accent 3"/>
    <w:basedOn w:val="725"/>
    <w:next w:val="891"/>
    <w:link w:val="714"/>
    <w:uiPriority w:val="99"/>
    <w:qFormat/>
    <w:pPr>
      <w:spacing w:after="0" w:line="240" w:lineRule="auto"/>
    </w:pPr>
    <w:rPr>
      <w:color w:val="404040"/>
    </w:rPr>
    <w:tblPr/>
  </w:style>
  <w:style w:type="table" w:styleId="892">
    <w:name w:val="Bordered &amp; Lined - Accent 4"/>
    <w:basedOn w:val="725"/>
    <w:next w:val="892"/>
    <w:link w:val="714"/>
    <w:uiPriority w:val="99"/>
    <w:qFormat/>
    <w:pPr>
      <w:spacing w:after="0" w:line="240" w:lineRule="auto"/>
    </w:pPr>
    <w:rPr>
      <w:color w:val="404040"/>
    </w:rPr>
    <w:tblPr/>
  </w:style>
  <w:style w:type="table" w:styleId="893">
    <w:name w:val="Bordered &amp; Lined - Accent 5"/>
    <w:basedOn w:val="725"/>
    <w:next w:val="893"/>
    <w:link w:val="714"/>
    <w:uiPriority w:val="99"/>
    <w:qFormat/>
    <w:pPr>
      <w:spacing w:after="0" w:line="240" w:lineRule="auto"/>
    </w:pPr>
    <w:rPr>
      <w:color w:val="404040"/>
    </w:rPr>
    <w:tblPr/>
  </w:style>
  <w:style w:type="table" w:styleId="894">
    <w:name w:val="Bordered &amp; Lined - Accent 6"/>
    <w:basedOn w:val="725"/>
    <w:next w:val="894"/>
    <w:link w:val="714"/>
    <w:uiPriority w:val="99"/>
    <w:qFormat/>
    <w:pPr>
      <w:spacing w:after="0" w:line="240" w:lineRule="auto"/>
    </w:pPr>
    <w:rPr>
      <w:color w:val="404040"/>
    </w:rPr>
    <w:tblPr/>
  </w:style>
  <w:style w:type="table" w:styleId="895">
    <w:name w:val="Bordered"/>
    <w:basedOn w:val="725"/>
    <w:next w:val="895"/>
    <w:link w:val="714"/>
    <w:uiPriority w:val="99"/>
    <w:qFormat/>
    <w:pPr>
      <w:spacing w:after="0" w:line="240" w:lineRule="auto"/>
    </w:pPr>
    <w:tblPr/>
  </w:style>
  <w:style w:type="table" w:styleId="896">
    <w:name w:val="Bordered - Accent 1"/>
    <w:basedOn w:val="725"/>
    <w:next w:val="896"/>
    <w:link w:val="714"/>
    <w:uiPriority w:val="99"/>
    <w:qFormat/>
    <w:pPr>
      <w:spacing w:after="0" w:line="240" w:lineRule="auto"/>
    </w:pPr>
    <w:tblPr/>
  </w:style>
  <w:style w:type="table" w:styleId="897">
    <w:name w:val="Bordered - Accent 2"/>
    <w:basedOn w:val="725"/>
    <w:next w:val="897"/>
    <w:link w:val="714"/>
    <w:uiPriority w:val="99"/>
    <w:qFormat/>
    <w:pPr>
      <w:spacing w:after="0" w:line="240" w:lineRule="auto"/>
    </w:pPr>
    <w:tblPr/>
  </w:style>
  <w:style w:type="table" w:styleId="898">
    <w:name w:val="Bordered - Accent 3"/>
    <w:basedOn w:val="725"/>
    <w:next w:val="898"/>
    <w:link w:val="714"/>
    <w:uiPriority w:val="99"/>
    <w:qFormat/>
    <w:pPr>
      <w:spacing w:after="0" w:line="240" w:lineRule="auto"/>
    </w:pPr>
    <w:tblPr/>
  </w:style>
  <w:style w:type="table" w:styleId="899">
    <w:name w:val="Bordered - Accent 4"/>
    <w:basedOn w:val="725"/>
    <w:next w:val="899"/>
    <w:link w:val="714"/>
    <w:uiPriority w:val="99"/>
    <w:qFormat/>
    <w:pPr>
      <w:spacing w:after="0" w:line="240" w:lineRule="auto"/>
    </w:pPr>
    <w:tblPr/>
  </w:style>
  <w:style w:type="table" w:styleId="900">
    <w:name w:val="Bordered - Accent 5"/>
    <w:basedOn w:val="725"/>
    <w:next w:val="900"/>
    <w:link w:val="714"/>
    <w:uiPriority w:val="99"/>
    <w:qFormat/>
    <w:pPr>
      <w:spacing w:after="0" w:line="240" w:lineRule="auto"/>
    </w:pPr>
    <w:tblPr/>
  </w:style>
  <w:style w:type="table" w:styleId="901">
    <w:name w:val="Bordered - Accent 6"/>
    <w:basedOn w:val="725"/>
    <w:next w:val="901"/>
    <w:link w:val="714"/>
    <w:uiPriority w:val="99"/>
    <w:qFormat/>
    <w:pPr>
      <w:spacing w:after="0" w:line="240" w:lineRule="auto"/>
    </w:pPr>
    <w:tblPr/>
  </w:style>
  <w:style w:type="paragraph" w:styleId="902">
    <w:name w:val="TOC Heading"/>
    <w:next w:val="902"/>
    <w:link w:val="714"/>
    <w:uiPriority w:val="39"/>
    <w:unhideWhenUsed/>
    <w:qFormat/>
    <w:rPr>
      <w:rFonts w:ascii="Times New Roman" w:hAnsi="Times New Roman" w:eastAsia="宋体" w:cs="Times New Roman"/>
    </w:rPr>
  </w:style>
  <w:style w:type="paragraph" w:styleId="903">
    <w:name w:val="AONormal"/>
    <w:next w:val="903"/>
    <w:link w:val="714"/>
    <w:qFormat/>
    <w:pPr>
      <w:ind w:firstLine="440"/>
      <w:spacing w:line="400" w:lineRule="exact"/>
    </w:pPr>
    <w:rPr>
      <w:rFonts w:ascii="华文楷体" w:hAnsi="华文楷体" w:eastAsia="华文楷体" w:cs="华文楷体"/>
      <w:sz w:val="22"/>
      <w:szCs w:val="21"/>
      <w:lang w:val="en-US" w:eastAsia="zh-CN" w:bidi="ar-SA"/>
    </w:rPr>
  </w:style>
  <w:style w:type="paragraph" w:styleId="904">
    <w:name w:val="Heading 2"/>
    <w:basedOn w:val="905"/>
    <w:next w:val="906"/>
    <w:link w:val="714"/>
    <w:uiPriority w:val="99"/>
    <w:qFormat/>
    <w:pPr>
      <w:jc w:val="center"/>
      <w:keepLines/>
      <w:keepNext/>
      <w:spacing w:before="260" w:after="260" w:line="416" w:lineRule="auto"/>
      <w:outlineLvl w:val="1"/>
    </w:pPr>
    <w:rPr>
      <w:rFonts w:ascii="幼圆" w:hAnsi="Arial" w:eastAsia="楷体_GB2312"/>
      <w:b/>
      <w:sz w:val="44"/>
      <w:szCs w:val="20"/>
    </w:rPr>
  </w:style>
  <w:style w:type="paragraph" w:styleId="905">
    <w:name w:val="Normal_18"/>
    <w:next w:val="905"/>
    <w:link w:val="714"/>
    <w:qFormat/>
    <w:rPr>
      <w:rFonts w:ascii="Times New Roman" w:hAnsi="Times New Roman" w:eastAsia="Times New Roman" w:cs="Times New Roman"/>
      <w:sz w:val="24"/>
      <w:szCs w:val="24"/>
      <w:lang w:val="en-US" w:eastAsia="zh-CN" w:bidi="ar-SA"/>
    </w:rPr>
  </w:style>
  <w:style w:type="paragraph" w:styleId="906">
    <w:name w:val="Normal Indent_0"/>
    <w:basedOn w:val="905"/>
    <w:next w:val="906"/>
    <w:link w:val="714"/>
    <w:unhideWhenUsed/>
    <w:qFormat/>
    <w:pPr>
      <w:ind w:firstLine="420"/>
    </w:pPr>
  </w:style>
  <w:style w:type="paragraph" w:styleId="907">
    <w:name w:val="标题 11"/>
    <w:basedOn w:val="908"/>
    <w:next w:val="908"/>
    <w:link w:val="714"/>
    <w:uiPriority w:val="9"/>
    <w:qFormat/>
    <w:pPr>
      <w:keepLines/>
      <w:keepNext/>
      <w:spacing w:before="340" w:after="330" w:line="578" w:lineRule="atLeast"/>
      <w:outlineLvl w:val="0"/>
    </w:pPr>
    <w:rPr>
      <w:b/>
      <w:bCs/>
      <w:sz w:val="44"/>
      <w:szCs w:val="44"/>
    </w:rPr>
  </w:style>
  <w:style w:type="paragraph" w:styleId="908">
    <w:name w:val="正文2"/>
    <w:next w:val="908"/>
    <w:link w:val="714"/>
    <w:qFormat/>
    <w:pPr>
      <w:jc w:val="both"/>
      <w:widowControl w:val="off"/>
    </w:pPr>
    <w:rPr>
      <w:rFonts w:ascii="Times New Roman" w:hAnsi="Times New Roman" w:eastAsia="宋体" w:cs="Times New Roman"/>
      <w:lang w:val="en-US" w:eastAsia="zh-CN" w:bidi="ar-SA"/>
    </w:rPr>
  </w:style>
  <w:style w:type="paragraph" w:styleId="909">
    <w:name w:val="正文缩进1"/>
    <w:basedOn w:val="714"/>
    <w:next w:val="909"/>
    <w:link w:val="714"/>
    <w:qFormat/>
    <w:pPr>
      <w:ind w:firstLine="420"/>
      <w:spacing w:line="240" w:lineRule="auto"/>
    </w:pPr>
    <w:rPr>
      <w:rFonts w:ascii="Times New Roman" w:hAnsi="Times New Roman"/>
      <w:sz w:val="20"/>
      <w:szCs w:val="20"/>
    </w:rPr>
  </w:style>
  <w:style w:type="paragraph" w:styleId="910">
    <w:name w:val="Heading 3"/>
    <w:basedOn w:val="714"/>
    <w:next w:val="714"/>
    <w:link w:val="714"/>
    <w:qFormat/>
    <w:pPr>
      <w:keepLines/>
      <w:keepNext/>
      <w:spacing w:before="260" w:after="260" w:line="416" w:lineRule="auto"/>
      <w:outlineLvl w:val="2"/>
    </w:pPr>
    <w:rPr>
      <w:b/>
      <w:sz w:val="32"/>
      <w:szCs w:val="20"/>
    </w:rPr>
  </w:style>
  <w:style w:type="paragraph" w:styleId="911">
    <w:name w:val="列出段落1"/>
    <w:basedOn w:val="912"/>
    <w:next w:val="911"/>
    <w:link w:val="714"/>
    <w:uiPriority w:val="34"/>
    <w:qFormat/>
    <w:pPr>
      <w:ind w:firstLine="420"/>
    </w:pPr>
  </w:style>
  <w:style w:type="paragraph" w:styleId="912">
    <w:name w:val="Normal_15"/>
    <w:next w:val="912"/>
    <w:link w:val="714"/>
    <w:qFormat/>
    <w:pPr>
      <w:jc w:val="both"/>
      <w:widowControl w:val="off"/>
    </w:pPr>
    <w:rPr>
      <w:rFonts w:ascii="Calibri" w:hAnsi="Calibri" w:eastAsia="宋体" w:cs="Times New Roman"/>
      <w:sz w:val="21"/>
      <w:szCs w:val="22"/>
      <w:lang w:val="en-US" w:eastAsia="zh-CN" w:bidi="ar-SA"/>
    </w:rPr>
  </w:style>
  <w:style w:type="paragraph" w:styleId="913">
    <w:name w:val="索引 41"/>
    <w:basedOn w:val="714"/>
    <w:next w:val="714"/>
    <w:link w:val="714"/>
    <w:unhideWhenUsed/>
    <w:qFormat/>
    <w:pPr>
      <w:ind w:left="600"/>
    </w:pPr>
  </w:style>
  <w:style w:type="paragraph" w:styleId="914">
    <w:name w:val="Normal_1"/>
    <w:next w:val="914"/>
    <w:link w:val="714"/>
    <w:qFormat/>
    <w:rPr>
      <w:rFonts w:ascii="Times New Roman" w:hAnsi="Times New Roman" w:eastAsia="Times New Roman" w:cs="Times New Roman"/>
      <w:sz w:val="24"/>
      <w:szCs w:val="24"/>
      <w:lang w:val="en-US" w:eastAsia="zh-CN" w:bidi="ar-SA"/>
    </w:rPr>
  </w:style>
  <w:style w:type="character" w:styleId="915">
    <w:name w:val="默认段落字体1"/>
    <w:next w:val="915"/>
    <w:link w:val="714"/>
    <w:qFormat/>
    <w:rPr>
      <w:rFonts w:ascii="Calibri" w:hAnsi="Calibri" w:eastAsia="Arial" w:cs="Times New Roman"/>
      <w:sz w:val="21"/>
      <w:szCs w:val="24"/>
      <w:lang w:val="en-US" w:eastAsia="zh-CN" w:bidi="ar-SA"/>
    </w:rPr>
  </w:style>
  <w:style w:type="paragraph" w:styleId="916">
    <w:name w:val="Normal_0"/>
    <w:next w:val="916"/>
    <w:link w:val="714"/>
    <w:qFormat/>
    <w:rPr>
      <w:rFonts w:ascii="Times New Roman" w:hAnsi="Times New Roman" w:eastAsia="Times New Roman" w:cs="Times New Roman"/>
      <w:sz w:val="24"/>
      <w:szCs w:val="24"/>
      <w:lang w:val="en-US" w:eastAsia="zh-CN" w:bidi="ar-SA"/>
    </w:rPr>
  </w:style>
  <w:style w:type="paragraph" w:styleId="917">
    <w:name w:val="01-标书-标题1"/>
    <w:next w:val="714"/>
    <w:link w:val="714"/>
    <w:qFormat/>
    <w:pPr>
      <w:ind w:firstLine="643"/>
      <w:jc w:val="both"/>
      <w:keepLines/>
      <w:keepNext/>
      <w:pageBreakBefore/>
      <w:widowControl w:val="off"/>
      <w:tabs>
        <w:tab w:val="left" w:pos="425" w:leader="none"/>
      </w:tabs>
      <w:outlineLvl w:val="0"/>
    </w:pPr>
    <w:rPr>
      <w:rFonts w:ascii="Arial" w:hAnsi="Arial" w:eastAsia="Arial" w:cs="Times New Roman"/>
      <w:b/>
      <w:sz w:val="32"/>
      <w:szCs w:val="32"/>
      <w:lang w:val="en-US" w:eastAsia="zh-CN" w:bidi="ar-SA"/>
    </w:rPr>
  </w:style>
  <w:style w:type="paragraph" w:styleId="918">
    <w:name w:val="Normal_0_0"/>
    <w:next w:val="918"/>
    <w:link w:val="714"/>
    <w:qFormat/>
    <w:rPr>
      <w:rFonts w:ascii="Times New Roman" w:hAnsi="Times New Roman" w:eastAsia="Times New Roman" w:cs="Times New Roman"/>
      <w:sz w:val="24"/>
      <w:szCs w:val="24"/>
      <w:lang w:val="en-US" w:eastAsia="zh-CN" w:bidi="ar-SA"/>
    </w:rPr>
  </w:style>
  <w:style w:type="paragraph" w:styleId="919">
    <w:name w:val="Normal_1_0"/>
    <w:next w:val="919"/>
    <w:link w:val="714"/>
    <w:qFormat/>
    <w:pPr>
      <w:jc w:val="center"/>
      <w:spacing w:line="360" w:lineRule="auto"/>
      <w:outlineLvl w:val="1"/>
    </w:pPr>
    <w:rPr>
      <w:rFonts w:ascii="Arial" w:hAnsi="Arial" w:eastAsia="Arial" w:cs="宋体"/>
      <w:b/>
      <w:sz w:val="28"/>
      <w:szCs w:val="28"/>
      <w:lang w:val="en-US" w:eastAsia="zh-CN" w:bidi="ar-SA"/>
    </w:rPr>
  </w:style>
  <w:style w:type="paragraph" w:styleId="920">
    <w:name w:val="Normal_3"/>
    <w:next w:val="920"/>
    <w:link w:val="714"/>
    <w:qFormat/>
    <w:rPr>
      <w:rFonts w:ascii="Times New Roman" w:hAnsi="Times New Roman" w:eastAsia="Times New Roman" w:cs="Times New Roman"/>
      <w:sz w:val="24"/>
      <w:szCs w:val="24"/>
      <w:lang w:val="en-US" w:eastAsia="zh-CN" w:bidi="ar-SA"/>
    </w:rPr>
  </w:style>
  <w:style w:type="paragraph" w:styleId="921">
    <w:name w:val="正文_3"/>
    <w:next w:val="921"/>
    <w:link w:val="714"/>
    <w:qFormat/>
    <w:pPr>
      <w:jc w:val="both"/>
      <w:widowControl w:val="off"/>
    </w:pPr>
    <w:rPr>
      <w:rFonts w:ascii="Calibri" w:hAnsi="Calibri" w:eastAsia="宋体" w:cs="Times New Roman"/>
      <w:sz w:val="21"/>
      <w:szCs w:val="22"/>
      <w:lang w:val="en-US" w:eastAsia="zh-CN" w:bidi="ar-SA"/>
    </w:rPr>
  </w:style>
  <w:style w:type="paragraph" w:styleId="922">
    <w:name w:val="正文_6"/>
    <w:next w:val="922"/>
    <w:link w:val="714"/>
    <w:qFormat/>
    <w:pPr>
      <w:jc w:val="both"/>
      <w:widowControl w:val="off"/>
    </w:pPr>
    <w:rPr>
      <w:rFonts w:ascii="Calibri" w:hAnsi="Calibri" w:eastAsia="宋体" w:cs="Times New Roman"/>
      <w:sz w:val="21"/>
      <w:szCs w:val="22"/>
      <w:lang w:val="en-US" w:eastAsia="zh-CN" w:bidi="ar-SA"/>
    </w:rPr>
  </w:style>
  <w:style w:type="paragraph" w:styleId="923">
    <w:name w:val="Char"/>
    <w:basedOn w:val="714"/>
    <w:next w:val="923"/>
    <w:link w:val="714"/>
    <w:qFormat/>
    <w:pPr>
      <w:ind w:firstLine="200"/>
      <w:tabs>
        <w:tab w:val="left" w:pos="360" w:leader="none"/>
      </w:tabs>
    </w:pPr>
    <w:rPr>
      <w:sz w:val="28"/>
      <w:szCs w:val="30"/>
    </w:rPr>
  </w:style>
  <w:style w:type="paragraph" w:styleId="924">
    <w:name w:val="Normal_8"/>
    <w:next w:val="924"/>
    <w:link w:val="714"/>
    <w:qFormat/>
    <w:pPr>
      <w:ind w:firstLine="883"/>
      <w:jc w:val="center"/>
      <w:outlineLvl w:val="2"/>
    </w:pPr>
    <w:rPr>
      <w:rFonts w:ascii="Times New Roman" w:hAnsi="Times New Roman" w:eastAsia="Arial" w:cs="Times New Roman"/>
      <w:b/>
      <w:sz w:val="44"/>
      <w:szCs w:val="44"/>
      <w:lang w:val="en-US" w:eastAsia="zh-CN" w:bidi="ar-SA"/>
    </w:rPr>
  </w:style>
  <w:style w:type="paragraph" w:styleId="925">
    <w:name w:val="Normal_9"/>
    <w:next w:val="925"/>
    <w:link w:val="714"/>
    <w:qFormat/>
    <w:pPr>
      <w:jc w:val="both"/>
      <w:widowControl w:val="off"/>
    </w:pPr>
    <w:rPr>
      <w:rFonts w:ascii="Calibri" w:hAnsi="Calibri" w:eastAsia="宋体" w:cs="Times New Roman"/>
      <w:sz w:val="21"/>
      <w:szCs w:val="22"/>
      <w:lang w:val="en-US" w:eastAsia="zh-CN" w:bidi="ar-SA"/>
    </w:rPr>
  </w:style>
  <w:style w:type="paragraph" w:styleId="926">
    <w:name w:val="段"/>
    <w:next w:val="714"/>
    <w:link w:val="714"/>
    <w:qFormat/>
    <w:pPr>
      <w:ind w:firstLine="420"/>
      <w:jc w:val="both"/>
      <w:spacing w:after="200" w:line="276" w:lineRule="auto"/>
      <w:tabs>
        <w:tab w:val="center" w:pos="4201" w:leader="none"/>
        <w:tab w:val="right" w:pos="9298" w:leader="dot"/>
      </w:tabs>
    </w:pPr>
    <w:rPr>
      <w:rFonts w:ascii="宋体" w:hAnsi="Calibri" w:eastAsia="Arial" w:cs="Times New Roman"/>
    </w:rPr>
  </w:style>
  <w:style w:type="table" w:styleId="927">
    <w:name w:val="Table Normal"/>
    <w:next w:val="927"/>
    <w:link w:val="714"/>
    <w:unhideWhenUsed/>
    <w:qFormat/>
    <w:tblPr/>
  </w:style>
  <w:style w:type="paragraph" w:styleId="928">
    <w:name w:val="正文首行缩进 21"/>
    <w:basedOn w:val="929"/>
    <w:next w:val="928"/>
    <w:link w:val="714"/>
    <w:unhideWhenUsed/>
    <w:qFormat/>
    <w:pPr>
      <w:ind w:left="0" w:firstLine="420"/>
      <w:jc w:val="left"/>
      <w:spacing w:after="0" w:line="360" w:lineRule="auto"/>
    </w:pPr>
    <w:rPr>
      <w:rFonts w:ascii="宋体" w:hAnsi="宋体"/>
      <w:b/>
      <w:sz w:val="32"/>
      <w:szCs w:val="32"/>
    </w:rPr>
  </w:style>
  <w:style w:type="paragraph" w:styleId="929">
    <w:name w:val="正文文本缩进11"/>
    <w:basedOn w:val="714"/>
    <w:next w:val="929"/>
    <w:link w:val="714"/>
    <w:uiPriority w:val="99"/>
    <w:unhideWhenUsed/>
    <w:qFormat/>
    <w:pPr>
      <w:ind w:left="420"/>
      <w:spacing w:after="120"/>
    </w:pPr>
  </w:style>
  <w:style w:type="character" w:styleId="930">
    <w:name w:val="font91"/>
    <w:basedOn w:val="724"/>
    <w:next w:val="930"/>
    <w:link w:val="714"/>
    <w:qFormat/>
    <w:rPr>
      <w:rFonts w:ascii="Times New Roman" w:hAnsi="Times New Roman" w:cs="Times New Roman"/>
      <w:color w:val="000000"/>
      <w:sz w:val="20"/>
      <w:szCs w:val="20"/>
      <w:u w:val="none"/>
    </w:rPr>
  </w:style>
  <w:style w:type="character" w:styleId="931">
    <w:name w:val="font101"/>
    <w:basedOn w:val="724"/>
    <w:next w:val="931"/>
    <w:link w:val="714"/>
    <w:qFormat/>
    <w:rPr>
      <w:rFonts w:hint="eastAsia" w:ascii="宋体" w:hAnsi="宋体" w:eastAsia="宋体" w:cs="宋体"/>
      <w:color w:val="000000"/>
      <w:sz w:val="20"/>
      <w:szCs w:val="20"/>
      <w:u w:val="none"/>
    </w:rPr>
  </w:style>
  <w:style w:type="character" w:styleId="932">
    <w:name w:val="font31"/>
    <w:basedOn w:val="724"/>
    <w:next w:val="932"/>
    <w:link w:val="714"/>
    <w:qFormat/>
    <w:rPr>
      <w:rFonts w:hint="eastAsia" w:ascii="微软雅黑 Light" w:hAnsi="微软雅黑 Light" w:eastAsia="微软雅黑 Light" w:cs="微软雅黑 Light"/>
      <w:color w:val="000000"/>
      <w:sz w:val="20"/>
      <w:szCs w:val="20"/>
      <w:u w:val="none"/>
    </w:rPr>
  </w:style>
  <w:style w:type="character" w:styleId="933" w:default="1">
    <w:name w:val="Default Paragraph Font"/>
    <w:uiPriority w:val="1"/>
    <w:semiHidden/>
    <w:unhideWhenUsed/>
  </w:style>
  <w:style w:type="numbering" w:styleId="934" w:default="1">
    <w:name w:val="No List"/>
    <w:uiPriority w:val="99"/>
    <w:semiHidden/>
    <w:unhideWhenUsed/>
  </w:style>
  <w:style w:type="table" w:styleId="9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jp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jp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jp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jp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jp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jp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jp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jp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杨晶</cp:lastModifiedBy>
  <cp:revision>8</cp:revision>
  <dcterms:created xsi:type="dcterms:W3CDTF">2025-09-12T00:17:00Z</dcterms:created>
  <dcterms:modified xsi:type="dcterms:W3CDTF">2026-05-29T08:19:50Z</dcterms:modified>
</cp:coreProperties>
</file>