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8"/>
        <w:jc w:val="center"/>
        <w:spacing w:before="120" w:beforeAutospacing="0" w:after="120" w:afterAutospacing="0" w:line="360" w:lineRule="auto"/>
        <w:rPr>
          <w:rFonts w:ascii="Arial" w:hAnsi="Arial" w:cs="Arial"/>
          <w:b/>
          <w:color w:val="000000"/>
          <w:sz w:val="84"/>
          <w:szCs w:val="84"/>
          <w:highlight w:val="none"/>
        </w:rPr>
      </w:pPr>
      <w:r>
        <w:rPr>
          <w:rFonts w:ascii="Arial" w:hAnsi="Arial" w:cs="Arial"/>
          <w:b/>
          <w:color w:val="000000"/>
          <w:sz w:val="84"/>
          <w:szCs w:val="84"/>
          <w:highlight w:val="none"/>
        </w:rPr>
      </w:r>
      <w:r/>
    </w:p>
    <w:p>
      <w:pPr>
        <w:pStyle w:val="698"/>
        <w:jc w:val="center"/>
        <w:spacing w:before="120" w:beforeAutospacing="0" w:after="120" w:afterAutospacing="0" w:line="360" w:lineRule="auto"/>
        <w:rPr>
          <w:rFonts w:ascii="Arial" w:hAnsi="Arial" w:cs="Arial"/>
          <w:b/>
          <w:color w:val="000000"/>
          <w:sz w:val="84"/>
          <w:szCs w:val="84"/>
          <w:highlight w:val="none"/>
        </w:rPr>
      </w:pPr>
      <w:r>
        <w:rPr>
          <w:rFonts w:ascii="Arial" w:hAnsi="Arial" w:cs="Arial"/>
          <w:b/>
          <w:color w:val="000000"/>
          <w:sz w:val="84"/>
          <w:szCs w:val="84"/>
          <w:highlight w:val="none"/>
        </w:rPr>
        <w:t xml:space="preserve">招 标 文 件</w:t>
      </w:r>
      <w:r>
        <w:rPr>
          <w:rFonts w:ascii="Arial" w:hAnsi="Arial" w:cs="Arial"/>
          <w:b/>
          <w:color w:val="000000"/>
          <w:sz w:val="84"/>
          <w:szCs w:val="84"/>
          <w:highlight w:val="none"/>
        </w:rPr>
      </w:r>
      <w:r/>
    </w:p>
    <w:p>
      <w:pPr>
        <w:pStyle w:val="698"/>
        <w:jc w:val="center"/>
        <w:spacing w:before="120" w:beforeAutospacing="0" w:after="120" w:afterAutospacing="0"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98"/>
        <w:jc w:val="center"/>
        <w:spacing w:before="120" w:beforeAutospacing="0" w:after="12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b/>
          <w:color w:val="000000"/>
          <w:sz w:val="32"/>
          <w:szCs w:val="32"/>
          <w:highlight w:val="none"/>
        </w:rPr>
        <w:t xml:space="preserve">项目名称：</w:t>
      </w:r>
      <w:r>
        <w:rPr>
          <w:rFonts w:hint="eastAsia" w:ascii="宋体" w:hAnsi="宋体" w:eastAsia="宋体" w:cs="宋体"/>
          <w:b/>
          <w:color w:val="000000"/>
          <w:sz w:val="32"/>
          <w:szCs w:val="32"/>
          <w:highlight w:val="none"/>
          <w:lang w:eastAsia="zh-CN"/>
        </w:rPr>
        <w:t xml:space="preserve">东沙岛浮标监测系统设备及安装（二次）</w:t>
      </w:r>
      <w:r>
        <w:rPr>
          <w:rFonts w:hint="eastAsia" w:ascii="宋体" w:hAnsi="宋体" w:eastAsia="宋体" w:cs="宋体"/>
          <w:color w:val="000000"/>
          <w:highlight w:val="none"/>
          <w:lang w:val="en-US" w:eastAsia="zh-CN"/>
        </w:rPr>
      </w:r>
      <w:r/>
    </w:p>
    <w:p>
      <w:pPr>
        <w:pStyle w:val="698"/>
        <w:ind w:firstLine="964"/>
        <w:jc w:val="both"/>
        <w:spacing w:before="120" w:beforeAutospacing="0" w:after="120" w:afterAutospacing="0" w:line="360" w:lineRule="auto"/>
        <w:rPr>
          <w:rFonts w:eastAsia="宋体"/>
          <w:highlight w:val="none"/>
          <w:lang w:val="en-US" w:eastAsia="zh-CN"/>
        </w:rPr>
      </w:pPr>
      <w:r>
        <w:rPr>
          <w:rFonts w:ascii="Arial" w:hAnsi="Arial" w:cs="Arial"/>
          <w:b/>
          <w:color w:val="000000"/>
          <w:sz w:val="32"/>
          <w:szCs w:val="32"/>
          <w:highlight w:val="none"/>
        </w:rPr>
        <w:t xml:space="preserve">项目编号：</w:t>
      </w:r>
      <w:r>
        <w:rPr>
          <w:rFonts w:hint="eastAsia" w:ascii="Arial" w:hAnsi="Arial" w:cs="Arial"/>
          <w:b/>
          <w:color w:val="000000"/>
          <w:sz w:val="32"/>
          <w:szCs w:val="32"/>
          <w:highlight w:val="none"/>
          <w:lang w:val="en-US" w:eastAsia="zh-CN"/>
        </w:rPr>
        <w:t xml:space="preserve">JSZC-320000-JDHC-G2026-0006</w:t>
      </w:r>
      <w:r>
        <w:rPr>
          <w:rFonts w:eastAsia="宋体"/>
          <w:highlight w:val="none"/>
          <w:lang w:val="en-US" w:eastAsia="zh-CN"/>
        </w:rPr>
      </w:r>
      <w:r/>
    </w:p>
    <w:p>
      <w:pPr>
        <w:pStyle w:val="698"/>
        <w:spacing w:beforeAutospacing="0" w:afterAutospacing="0" w:line="360" w:lineRule="auto"/>
        <w:rPr>
          <w:highlight w:val="none"/>
        </w:rPr>
      </w:pPr>
      <w:r>
        <w:rPr>
          <w:highlight w:val="none"/>
        </w:rPr>
        <w:t xml:space="preserve"> </w:t>
      </w:r>
      <w:r>
        <w:rPr>
          <w:highlight w:val="none"/>
        </w:rPr>
      </w:r>
      <w:r/>
    </w:p>
    <w:p>
      <w:pPr>
        <w:pStyle w:val="698"/>
        <w:spacing w:beforeAutospacing="0" w:afterAutospacing="0" w:line="360" w:lineRule="auto"/>
        <w:rPr>
          <w:highlight w:val="none"/>
        </w:rPr>
      </w:pPr>
      <w:r>
        <w:rPr>
          <w:highlight w:val="none"/>
        </w:rPr>
        <w:t xml:space="preserve"> </w:t>
      </w:r>
      <w:r>
        <w:rPr>
          <w:highlight w:val="none"/>
        </w:rPr>
      </w:r>
      <w:r/>
    </w:p>
    <w:p>
      <w:pPr>
        <w:pStyle w:val="698"/>
        <w:spacing w:beforeAutospacing="0" w:afterAutospacing="0" w:line="360" w:lineRule="auto"/>
        <w:rPr>
          <w:highlight w:val="none"/>
        </w:rPr>
      </w:pPr>
      <w:r>
        <w:rPr>
          <w:highlight w:val="none"/>
        </w:rPr>
        <w:t xml:space="preserve"> </w:t>
      </w:r>
      <w:r>
        <w:rPr>
          <w:highlight w:val="none"/>
        </w:rPr>
      </w:r>
      <w:r/>
    </w:p>
    <w:p>
      <w:pPr>
        <w:pStyle w:val="698"/>
        <w:spacing w:beforeAutospacing="0" w:afterAutospacing="0" w:line="360" w:lineRule="auto"/>
        <w:rPr>
          <w:highlight w:val="none"/>
        </w:rPr>
      </w:pPr>
      <w:r>
        <w:rPr>
          <w:highlight w:val="none"/>
        </w:rPr>
        <w:t xml:space="preserve"> </w:t>
      </w:r>
      <w:r>
        <w:rPr>
          <w:highlight w:val="none"/>
        </w:rPr>
      </w:r>
      <w:r/>
    </w:p>
    <w:p>
      <w:pPr>
        <w:pStyle w:val="698"/>
        <w:spacing w:beforeAutospacing="0" w:afterAutospacing="0" w:line="360" w:lineRule="auto"/>
        <w:rPr>
          <w:highlight w:val="none"/>
        </w:rPr>
      </w:pPr>
      <w:r>
        <w:rPr>
          <w:highlight w:val="none"/>
        </w:rPr>
        <w:t xml:space="preserve"> </w:t>
      </w:r>
      <w:r>
        <w:rPr>
          <w:highlight w:val="none"/>
        </w:rPr>
      </w:r>
      <w:r/>
    </w:p>
    <w:p>
      <w:pPr>
        <w:pStyle w:val="698"/>
        <w:spacing w:beforeAutospacing="0" w:afterAutospacing="0" w:line="360" w:lineRule="auto"/>
        <w:rPr>
          <w:highlight w:val="none"/>
        </w:rPr>
      </w:pPr>
      <w:r>
        <w:rPr>
          <w:highlight w:val="none"/>
        </w:rPr>
      </w:r>
      <w:r/>
    </w:p>
    <w:p>
      <w:pPr>
        <w:pStyle w:val="698"/>
        <w:spacing w:beforeAutospacing="0" w:afterAutospacing="0" w:line="360" w:lineRule="auto"/>
        <w:rPr>
          <w:highlight w:val="none"/>
        </w:rPr>
      </w:pPr>
      <w:r>
        <w:rPr>
          <w:highlight w:val="none"/>
        </w:rPr>
      </w:r>
      <w:r/>
    </w:p>
    <w:p>
      <w:pPr>
        <w:pStyle w:val="698"/>
        <w:spacing w:beforeAutospacing="0" w:afterAutospacing="0" w:line="360" w:lineRule="auto"/>
        <w:rPr>
          <w:highlight w:val="none"/>
        </w:rPr>
      </w:pPr>
      <w:r>
        <w:rPr>
          <w:highlight w:val="none"/>
        </w:rPr>
        <w:t xml:space="preserve"> </w:t>
      </w:r>
      <w:r>
        <w:rPr>
          <w:highlight w:val="none"/>
        </w:rPr>
      </w:r>
      <w:r/>
    </w:p>
    <w:p>
      <w:pPr>
        <w:pStyle w:val="698"/>
        <w:spacing w:beforeAutospacing="0" w:afterAutospacing="0" w:line="360" w:lineRule="auto"/>
        <w:rPr>
          <w:highlight w:val="none"/>
        </w:rPr>
      </w:pPr>
      <w:r>
        <w:rPr>
          <w:highlight w:val="none"/>
        </w:rPr>
      </w:r>
      <w:r/>
    </w:p>
    <w:p>
      <w:pPr>
        <w:pStyle w:val="698"/>
        <w:spacing w:beforeAutospacing="0" w:afterAutospacing="0" w:line="360" w:lineRule="auto"/>
        <w:rPr>
          <w:highlight w:val="none"/>
        </w:rPr>
      </w:pPr>
      <w:r>
        <w:rPr>
          <w:highlight w:val="none"/>
        </w:rPr>
        <w:t xml:space="preserve"> </w:t>
      </w:r>
      <w:r>
        <w:rPr>
          <w:highlight w:val="none"/>
        </w:rPr>
      </w:r>
      <w:r/>
    </w:p>
    <w:p>
      <w:pPr>
        <w:pStyle w:val="698"/>
        <w:jc w:val="center"/>
        <w:spacing w:before="120" w:beforeAutospacing="0" w:after="120" w:afterAutospacing="0" w:line="360" w:lineRule="auto"/>
        <w:rPr>
          <w:rFonts w:hint="eastAsia" w:ascii="Arial" w:hAnsi="Arial" w:cs="Arial"/>
          <w:b/>
          <w:color w:val="000000"/>
          <w:sz w:val="32"/>
          <w:szCs w:val="32"/>
          <w:highlight w:val="none"/>
          <w:lang w:val="en-US" w:eastAsia="zh-CN"/>
        </w:rPr>
      </w:pPr>
      <w:r>
        <w:rPr>
          <w:rFonts w:hint="eastAsia" w:ascii="Arial" w:hAnsi="Arial" w:cs="Arial"/>
          <w:b/>
          <w:color w:val="000000"/>
          <w:sz w:val="32"/>
          <w:szCs w:val="32"/>
          <w:highlight w:val="none"/>
          <w:lang w:val="en-US" w:eastAsia="zh-CN"/>
        </w:rPr>
        <w:t xml:space="preserve">江苏盐城国家级珍禽自然保护区管理处</w:t>
      </w:r>
      <w:r>
        <w:rPr>
          <w:rFonts w:hint="eastAsia" w:ascii="Arial" w:hAnsi="Arial" w:cs="Arial"/>
          <w:b/>
          <w:color w:val="000000"/>
          <w:sz w:val="32"/>
          <w:szCs w:val="32"/>
          <w:highlight w:val="none"/>
          <w:lang w:val="en-US" w:eastAsia="zh-CN"/>
        </w:rPr>
      </w:r>
      <w:r/>
    </w:p>
    <w:p>
      <w:pPr>
        <w:pStyle w:val="698"/>
        <w:jc w:val="center"/>
        <w:spacing w:before="120" w:beforeAutospacing="0" w:after="120" w:afterAutospacing="0" w:line="360" w:lineRule="auto"/>
        <w:rPr>
          <w:rFonts w:ascii="Arial" w:hAnsi="Arial" w:cs="Arial"/>
          <w:b/>
          <w:color w:val="000000"/>
          <w:sz w:val="32"/>
          <w:szCs w:val="32"/>
          <w:highlight w:val="none"/>
          <w:lang w:val="en-US" w:eastAsia="zh-CN"/>
        </w:rPr>
      </w:pPr>
      <w:r>
        <w:rPr>
          <w:rFonts w:ascii="Arial" w:hAnsi="Arial" w:cs="Arial"/>
          <w:b/>
          <w:color w:val="000000"/>
          <w:sz w:val="32"/>
          <w:szCs w:val="32"/>
          <w:highlight w:val="none"/>
          <w:lang w:val="en-US" w:eastAsia="zh-CN"/>
        </w:rPr>
        <w:t xml:space="preserve">江苏宏才项目管理有限公司</w:t>
      </w:r>
      <w:r>
        <w:rPr>
          <w:rFonts w:ascii="Arial" w:hAnsi="Arial" w:cs="Arial"/>
          <w:b/>
          <w:color w:val="000000"/>
          <w:sz w:val="32"/>
          <w:szCs w:val="32"/>
          <w:highlight w:val="none"/>
          <w:lang w:val="en-US" w:eastAsia="zh-CN"/>
        </w:rPr>
      </w:r>
      <w:r/>
    </w:p>
    <w:p>
      <w:pPr>
        <w:pStyle w:val="698"/>
        <w:jc w:val="center"/>
        <w:spacing w:before="120" w:beforeAutospacing="0" w:after="120" w:afterAutospacing="0" w:line="360" w:lineRule="auto"/>
        <w:rPr>
          <w:rFonts w:eastAsia="宋体"/>
          <w:highlight w:val="none"/>
          <w:lang w:val="en-US" w:eastAsia="zh-CN"/>
        </w:rPr>
      </w:pPr>
      <w:r>
        <w:rPr>
          <w:rFonts w:hint="eastAsia" w:ascii="Arial" w:hAnsi="Arial" w:cs="Arial"/>
          <w:b/>
          <w:color w:val="000000"/>
          <w:sz w:val="32"/>
          <w:szCs w:val="32"/>
          <w:highlight w:val="none"/>
          <w:lang w:val="en-US" w:eastAsia="zh-CN"/>
        </w:rPr>
        <w:t xml:space="preserve">2026</w:t>
      </w:r>
      <w:r>
        <w:rPr>
          <w:rFonts w:ascii="Arial" w:hAnsi="Arial" w:cs="Arial"/>
          <w:b/>
          <w:color w:val="000000"/>
          <w:sz w:val="32"/>
          <w:szCs w:val="32"/>
          <w:highlight w:val="none"/>
        </w:rPr>
        <w:t xml:space="preserve">年</w:t>
      </w:r>
      <w:r>
        <w:rPr>
          <w:rFonts w:hint="eastAsia" w:ascii="Arial" w:hAnsi="Arial" w:cs="Arial"/>
          <w:b/>
          <w:color w:val="000000"/>
          <w:sz w:val="32"/>
          <w:szCs w:val="32"/>
          <w:highlight w:val="none"/>
          <w:lang w:val="en-US" w:eastAsia="zh-CN"/>
        </w:rPr>
        <w:t xml:space="preserve">4</w:t>
      </w:r>
      <w:r>
        <w:rPr>
          <w:rFonts w:ascii="Arial" w:hAnsi="Arial" w:cs="Arial"/>
          <w:b/>
          <w:color w:val="000000"/>
          <w:sz w:val="32"/>
          <w:szCs w:val="32"/>
          <w:highlight w:val="none"/>
        </w:rPr>
        <w:t xml:space="preserve">月</w:t>
      </w:r>
      <w:r>
        <w:rPr>
          <w:rFonts w:hint="eastAsia" w:ascii="Arial" w:hAnsi="Arial" w:cs="Arial"/>
          <w:b/>
          <w:color w:val="000000"/>
          <w:sz w:val="32"/>
          <w:szCs w:val="32"/>
          <w:highlight w:val="none"/>
          <w:lang w:val="en-US" w:eastAsia="zh-CN"/>
        </w:rPr>
        <w:t xml:space="preserve">29日</w:t>
      </w:r>
      <w:r>
        <w:rPr>
          <w:rFonts w:eastAsia="宋体"/>
          <w:highlight w:val="none"/>
          <w:lang w:val="en-US" w:eastAsia="zh-CN"/>
        </w:rPr>
      </w:r>
      <w:r/>
    </w:p>
    <w:p>
      <w:pPr>
        <w:pStyle w:val="698"/>
        <w:spacing w:before="120" w:beforeAutospacing="0" w:after="120" w:afterAutospacing="0" w:line="360" w:lineRule="auto"/>
        <w:rPr>
          <w:highlight w:val="none"/>
        </w:rPr>
      </w:pPr>
      <w:r>
        <w:rPr>
          <w:rFonts w:ascii="Arial" w:hAnsi="Arial" w:cs="Arial"/>
          <w:color w:val="000000"/>
          <w:highlight w:val="none"/>
        </w:rPr>
        <w:t xml:space="preserve">                        </w:t>
      </w:r>
      <w:r>
        <w:rPr>
          <w:highlight w:val="none"/>
        </w:rPr>
      </w:r>
      <w:r/>
    </w:p>
    <w:p>
      <w:pPr>
        <w:pStyle w:val="698"/>
        <w:jc w:val="center"/>
        <w:spacing w:beforeAutospacing="0" w:afterAutospacing="0" w:line="480" w:lineRule="auto"/>
        <w:rPr>
          <w:highlight w:val="none"/>
        </w:rPr>
      </w:pPr>
      <w:r>
        <w:rPr>
          <w:rFonts w:ascii="Times New Roman" w:hAnsi="Times New Roman"/>
          <w:color w:val="000000"/>
          <w:sz w:val="21"/>
          <w:szCs w:val="21"/>
          <w:highlight w:val="none"/>
        </w:rPr>
        <w:br w:type="page" w:clear="all"/>
      </w:r>
      <w:r>
        <w:rPr>
          <w:rFonts w:ascii="Times New Roman" w:hAnsi="Times New Roman"/>
          <w:color w:val="000000"/>
          <w:sz w:val="21"/>
          <w:szCs w:val="21"/>
          <w:highlight w:val="none"/>
        </w:rPr>
        <w:t xml:space="preserve"> </w:t>
      </w:r>
      <w:bookmarkStart w:id="0" w:name="_Toc513029200"/>
      <w:r/>
      <w:bookmarkStart w:id="1" w:name="_Toc523127445"/>
      <w:r/>
      <w:bookmarkStart w:id="2" w:name="_Toc120614210"/>
      <w:r/>
      <w:bookmarkStart w:id="3" w:name="_Toc16938516"/>
      <w:r/>
      <w:bookmarkStart w:id="4" w:name="_Toc20823272"/>
      <w:r/>
      <w:bookmarkStart w:id="5" w:name="_Toc479757206"/>
      <w:r>
        <w:rPr>
          <w:rFonts w:ascii="黑体" w:hAnsi="宋体" w:eastAsia="黑体" w:cs="黑体"/>
          <w:b/>
          <w:color w:val="000000"/>
          <w:sz w:val="44"/>
          <w:szCs w:val="44"/>
          <w:highlight w:val="none"/>
        </w:rPr>
        <w:t xml:space="preserve">总  目  录</w:t>
      </w:r>
      <w:bookmarkEnd w:id="0"/>
      <w:r/>
      <w:bookmarkEnd w:id="1"/>
      <w:r/>
      <w:bookmarkEnd w:id="2"/>
      <w:r/>
      <w:bookmarkEnd w:id="3"/>
      <w:r/>
      <w:bookmarkEnd w:id="4"/>
      <w:r/>
      <w:bookmarkEnd w:id="5"/>
      <w:r>
        <w:rPr>
          <w:highlight w:val="none"/>
        </w:rPr>
      </w:r>
      <w:r/>
    </w:p>
    <w:p>
      <w:pPr>
        <w:pStyle w:val="698"/>
        <w:jc w:val="both"/>
        <w:spacing w:beforeAutospacing="0" w:afterAutospacing="0" w:line="480" w:lineRule="auto"/>
        <w:rPr>
          <w:highlight w:val="none"/>
        </w:rPr>
      </w:pPr>
      <w:r>
        <w:rPr>
          <w:highlight w:val="none"/>
        </w:rPr>
        <w:t xml:space="preserve"> </w:t>
      </w:r>
      <w:r>
        <w:rPr>
          <w:highlight w:val="none"/>
        </w:rPr>
      </w:r>
      <w:r/>
    </w:p>
    <w:p>
      <w:pPr>
        <w:pStyle w:val="698"/>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lang w:val="en-US" w:eastAsia="zh-CN"/>
        </w:rPr>
        <w:t xml:space="preserve">招标公告</w:t>
      </w:r>
      <w:r>
        <w:rPr>
          <w:rFonts w:hint="eastAsia" w:ascii="黑体" w:hAnsi="宋体" w:eastAsia="黑体" w:cs="黑体"/>
          <w:color w:val="000000"/>
          <w:sz w:val="36"/>
          <w:szCs w:val="36"/>
          <w:highlight w:val="none"/>
        </w:rPr>
        <w:t xml:space="preserve">……………………………………</w:t>
      </w:r>
      <w:r>
        <w:rPr>
          <w:rFonts w:hint="eastAsia" w:ascii="黑体" w:hAnsi="宋体" w:eastAsia="黑体" w:cs="黑体"/>
          <w:color w:val="000000"/>
          <w:sz w:val="36"/>
          <w:szCs w:val="36"/>
          <w:highlight w:val="none"/>
          <w:lang w:val="en-US" w:eastAsia="zh-CN"/>
        </w:rPr>
        <w:t xml:space="preserve">1</w:t>
      </w:r>
      <w:r>
        <w:rPr>
          <w:rFonts w:hint="eastAsia" w:ascii="黑体" w:hAnsi="宋体" w:eastAsia="黑体" w:cs="黑体"/>
          <w:color w:val="000000"/>
          <w:sz w:val="36"/>
          <w:szCs w:val="36"/>
          <w:highlight w:val="none"/>
        </w:rPr>
        <w:t xml:space="preserve"> </w:t>
      </w:r>
      <w:r>
        <w:rPr>
          <w:highlight w:val="none"/>
        </w:rPr>
      </w:r>
      <w:r/>
    </w:p>
    <w:p>
      <w:pPr>
        <w:pStyle w:val="698"/>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lang w:eastAsia="zh-CN"/>
        </w:rPr>
        <w:t xml:space="preserve">供应商</w:t>
      </w:r>
      <w:r>
        <w:rPr>
          <w:rFonts w:hint="eastAsia" w:ascii="黑体" w:hAnsi="宋体" w:eastAsia="黑体" w:cs="黑体"/>
          <w:color w:val="000000"/>
          <w:sz w:val="36"/>
          <w:szCs w:val="36"/>
          <w:highlight w:val="none"/>
        </w:rPr>
        <w:t xml:space="preserve">须知…………………………………</w:t>
      </w:r>
      <w:r>
        <w:rPr>
          <w:rFonts w:hint="eastAsia" w:ascii="黑体" w:hAnsi="宋体" w:eastAsia="黑体" w:cs="黑体"/>
          <w:color w:val="000000"/>
          <w:sz w:val="36"/>
          <w:szCs w:val="36"/>
          <w:highlight w:val="none"/>
          <w:lang w:val="en-US" w:eastAsia="zh-CN"/>
        </w:rPr>
        <w:t xml:space="preserve">5</w:t>
      </w:r>
      <w:r>
        <w:rPr>
          <w:rFonts w:hint="eastAsia" w:ascii="黑体" w:hAnsi="宋体" w:eastAsia="黑体" w:cs="黑体"/>
          <w:color w:val="000000"/>
          <w:sz w:val="36"/>
          <w:szCs w:val="36"/>
          <w:highlight w:val="none"/>
        </w:rPr>
        <w:t xml:space="preserve">  </w:t>
      </w:r>
      <w:r>
        <w:rPr>
          <w:highlight w:val="none"/>
        </w:rPr>
      </w:r>
      <w:r/>
    </w:p>
    <w:p>
      <w:pPr>
        <w:pStyle w:val="698"/>
        <w:ind w:left="2160" w:hanging="1440"/>
        <w:jc w:val="both"/>
        <w:spacing w:beforeAutospacing="0" w:afterAutospacing="0" w:line="480" w:lineRule="auto"/>
        <w:tabs>
          <w:tab w:val="left" w:pos="1441" w:leader="none"/>
        </w:tabs>
        <w:rPr>
          <w:rFonts w:eastAsia="黑体"/>
          <w:highlight w:val="none"/>
          <w:lang w:val="en-US" w:eastAsia="zh-CN"/>
        </w:rPr>
      </w:pPr>
      <w:r>
        <w:rPr>
          <w:rFonts w:hint="eastAsia" w:ascii="黑体" w:hAnsi="宋体" w:eastAsia="黑体" w:cs="黑体"/>
          <w:color w:val="000000"/>
          <w:sz w:val="36"/>
          <w:szCs w:val="36"/>
          <w:highlight w:val="none"/>
        </w:rPr>
        <w:t xml:space="preserve">合同</w:t>
      </w:r>
      <w:r>
        <w:rPr>
          <w:rFonts w:hint="eastAsia" w:ascii="黑体" w:hAnsi="宋体" w:eastAsia="黑体" w:cs="黑体"/>
          <w:color w:val="000000"/>
          <w:sz w:val="36"/>
          <w:szCs w:val="36"/>
          <w:highlight w:val="none"/>
          <w:lang w:eastAsia="zh-CN"/>
        </w:rPr>
        <w:t xml:space="preserve">条款</w:t>
      </w:r>
      <w:r>
        <w:rPr>
          <w:rFonts w:hint="eastAsia" w:ascii="黑体" w:hAnsi="宋体" w:eastAsia="黑体" w:cs="黑体"/>
          <w:color w:val="000000"/>
          <w:sz w:val="36"/>
          <w:szCs w:val="36"/>
          <w:highlight w:val="none"/>
        </w:rPr>
        <w:t xml:space="preserve">……………………………………</w:t>
      </w:r>
      <w:r>
        <w:rPr>
          <w:rFonts w:hint="eastAsia" w:ascii="黑体" w:hAnsi="宋体" w:eastAsia="黑体" w:cs="黑体"/>
          <w:color w:val="000000"/>
          <w:sz w:val="36"/>
          <w:szCs w:val="36"/>
          <w:highlight w:val="none"/>
          <w:lang w:val="en-US" w:eastAsia="zh-CN"/>
        </w:rPr>
        <w:t xml:space="preserve">19</w:t>
      </w:r>
      <w:r>
        <w:rPr>
          <w:rFonts w:eastAsia="黑体"/>
          <w:highlight w:val="none"/>
          <w:lang w:val="en-US" w:eastAsia="zh-CN"/>
        </w:rPr>
      </w:r>
      <w:r/>
    </w:p>
    <w:p>
      <w:pPr>
        <w:pStyle w:val="698"/>
        <w:ind w:left="2160" w:hanging="1440"/>
        <w:jc w:val="both"/>
        <w:spacing w:beforeAutospacing="0" w:afterAutospacing="0" w:line="480" w:lineRule="auto"/>
        <w:tabs>
          <w:tab w:val="left" w:pos="1441" w:leader="none"/>
        </w:tabs>
        <w:rPr>
          <w:rFonts w:eastAsia="黑体"/>
          <w:highlight w:val="none"/>
          <w:lang w:val="en-US" w:eastAsia="zh-CN"/>
        </w:rPr>
      </w:pPr>
      <w:r>
        <w:rPr>
          <w:rFonts w:hint="eastAsia" w:ascii="黑体" w:hAnsi="宋体" w:eastAsia="黑体" w:cs="黑体"/>
          <w:color w:val="000000"/>
          <w:sz w:val="36"/>
          <w:szCs w:val="36"/>
          <w:highlight w:val="none"/>
        </w:rPr>
        <w:t xml:space="preserve">采购需求……………………………………</w:t>
      </w:r>
      <w:r>
        <w:rPr>
          <w:rFonts w:hint="eastAsia" w:ascii="黑体" w:hAnsi="宋体" w:eastAsia="黑体" w:cs="黑体"/>
          <w:color w:val="000000"/>
          <w:sz w:val="36"/>
          <w:szCs w:val="36"/>
          <w:highlight w:val="none"/>
          <w:lang w:val="en-US" w:eastAsia="zh-CN"/>
        </w:rPr>
        <w:t xml:space="preserve">25</w:t>
      </w:r>
      <w:r>
        <w:rPr>
          <w:rFonts w:eastAsia="黑体"/>
          <w:highlight w:val="none"/>
          <w:lang w:val="en-US" w:eastAsia="zh-CN"/>
        </w:rPr>
      </w:r>
      <w:r/>
    </w:p>
    <w:p>
      <w:pPr>
        <w:pStyle w:val="698"/>
        <w:ind w:left="2160" w:hanging="1440"/>
        <w:jc w:val="both"/>
        <w:spacing w:beforeAutospacing="0" w:afterAutospacing="0" w:line="480" w:lineRule="auto"/>
        <w:tabs>
          <w:tab w:val="left" w:pos="1441" w:leader="none"/>
        </w:tabs>
        <w:rPr>
          <w:rFonts w:eastAsia="黑体"/>
          <w:highlight w:val="none"/>
          <w:lang w:val="en-US" w:eastAsia="zh-CN"/>
        </w:rPr>
      </w:pPr>
      <w:r>
        <w:rPr>
          <w:rFonts w:hint="eastAsia" w:ascii="黑体" w:hAnsi="宋体" w:eastAsia="黑体" w:cs="黑体"/>
          <w:color w:val="000000"/>
          <w:sz w:val="36"/>
          <w:szCs w:val="36"/>
          <w:highlight w:val="none"/>
        </w:rPr>
        <w:t xml:space="preserve">评标方法与评标标准………………………</w:t>
      </w:r>
      <w:r>
        <w:rPr>
          <w:rFonts w:hint="eastAsia" w:ascii="黑体" w:hAnsi="宋体" w:eastAsia="黑体" w:cs="黑体"/>
          <w:color w:val="000000"/>
          <w:sz w:val="36"/>
          <w:szCs w:val="36"/>
          <w:highlight w:val="none"/>
          <w:lang w:val="en-US" w:eastAsia="zh-CN"/>
        </w:rPr>
        <w:t xml:space="preserve">28</w:t>
      </w:r>
      <w:r>
        <w:rPr>
          <w:rFonts w:eastAsia="黑体"/>
          <w:highlight w:val="none"/>
          <w:lang w:val="en-US" w:eastAsia="zh-CN"/>
        </w:rPr>
      </w:r>
      <w:r/>
    </w:p>
    <w:p>
      <w:pPr>
        <w:pStyle w:val="698"/>
        <w:ind w:left="2160" w:hanging="1440"/>
        <w:jc w:val="both"/>
        <w:spacing w:beforeAutospacing="0" w:afterAutospacing="0" w:line="480" w:lineRule="auto"/>
        <w:tabs>
          <w:tab w:val="left" w:pos="1441" w:leader="none"/>
        </w:tabs>
        <w:rPr>
          <w:rFonts w:eastAsia="黑体"/>
          <w:highlight w:val="none"/>
          <w:lang w:val="en-US" w:eastAsia="zh-CN"/>
        </w:rPr>
      </w:pPr>
      <w:r>
        <w:rPr>
          <w:rFonts w:hint="eastAsia" w:ascii="黑体" w:hAnsi="宋体" w:eastAsia="黑体" w:cs="黑体"/>
          <w:color w:val="000000"/>
          <w:sz w:val="36"/>
          <w:szCs w:val="36"/>
          <w:highlight w:val="none"/>
        </w:rPr>
        <w:t xml:space="preserve">投标文件格式………………………………</w:t>
      </w:r>
      <w:r>
        <w:rPr>
          <w:rFonts w:hint="eastAsia" w:ascii="黑体" w:hAnsi="宋体" w:eastAsia="黑体" w:cs="黑体"/>
          <w:color w:val="000000"/>
          <w:sz w:val="36"/>
          <w:szCs w:val="36"/>
          <w:highlight w:val="none"/>
          <w:lang w:val="en-US" w:eastAsia="zh-CN"/>
        </w:rPr>
        <w:t xml:space="preserve">33</w:t>
      </w:r>
      <w:r>
        <w:rPr>
          <w:rFonts w:eastAsia="黑体"/>
          <w:highlight w:val="none"/>
          <w:lang w:val="en-US" w:eastAsia="zh-CN"/>
        </w:rPr>
      </w:r>
      <w:r/>
    </w:p>
    <w:p>
      <w:pPr>
        <w:pStyle w:val="698"/>
        <w:jc w:val="both"/>
        <w:spacing w:beforeAutospacing="0" w:afterAutospacing="0"/>
        <w:rPr>
          <w:highlight w:val="none"/>
        </w:rPr>
      </w:pPr>
      <w:r>
        <w:rPr>
          <w:highlight w:val="none"/>
        </w:rPr>
        <w:t xml:space="preserve"> </w:t>
      </w:r>
      <w:r>
        <w:rPr>
          <w:highlight w:val="none"/>
        </w:rPr>
      </w:r>
      <w:r/>
    </w:p>
    <w:p>
      <w:pPr>
        <w:pStyle w:val="698"/>
        <w:jc w:val="both"/>
        <w:spacing w:beforeAutospacing="0" w:afterAutospacing="0"/>
        <w:rPr>
          <w:highlight w:val="none"/>
        </w:rPr>
      </w:pPr>
      <w:r>
        <w:rPr>
          <w:highlight w:val="none"/>
        </w:rPr>
        <w:t xml:space="preserve"> </w:t>
      </w:r>
      <w:r>
        <w:rPr>
          <w:highlight w:val="none"/>
        </w:rPr>
      </w:r>
      <w:r/>
    </w:p>
    <w:p>
      <w:pPr>
        <w:pStyle w:val="698"/>
        <w:jc w:val="both"/>
        <w:spacing w:beforeAutospacing="0" w:afterAutospacing="0"/>
        <w:rPr>
          <w:highlight w:val="none"/>
        </w:rPr>
      </w:pPr>
      <w:r>
        <w:rPr>
          <w:highlight w:val="none"/>
        </w:rPr>
        <w:t xml:space="preserve"> </w:t>
      </w:r>
      <w:r>
        <w:rPr>
          <w:highlight w:val="none"/>
        </w:rPr>
      </w:r>
      <w:r/>
    </w:p>
    <w:p>
      <w:pPr>
        <w:pStyle w:val="698"/>
        <w:jc w:val="both"/>
        <w:spacing w:beforeAutospacing="0" w:afterAutospacing="0"/>
        <w:rPr>
          <w:highlight w:val="none"/>
        </w:rPr>
      </w:pPr>
      <w:r>
        <w:rPr>
          <w:highlight w:val="none"/>
        </w:rPr>
        <w:t xml:space="preserve"> </w:t>
      </w:r>
      <w:r>
        <w:rPr>
          <w:highlight w:val="none"/>
        </w:rPr>
      </w:r>
      <w:r/>
    </w:p>
    <w:p>
      <w:pPr>
        <w:pStyle w:val="698"/>
        <w:jc w:val="both"/>
        <w:spacing w:beforeAutospacing="0" w:afterAutospacing="0"/>
        <w:rPr>
          <w:highlight w:val="none"/>
        </w:rPr>
      </w:pPr>
      <w:r>
        <w:rPr>
          <w:highlight w:val="none"/>
        </w:rPr>
        <w:t xml:space="preserve"> </w:t>
      </w:r>
      <w:r>
        <w:rPr>
          <w:highlight w:val="none"/>
        </w:rPr>
      </w:r>
      <w:r/>
    </w:p>
    <w:p>
      <w:pPr>
        <w:pStyle w:val="698"/>
        <w:jc w:val="both"/>
        <w:spacing w:beforeAutospacing="0" w:afterAutospacing="0"/>
        <w:rPr>
          <w:highlight w:val="none"/>
        </w:rPr>
      </w:pPr>
      <w:r>
        <w:rPr>
          <w:highlight w:val="none"/>
        </w:rPr>
        <w:t xml:space="preserve"> </w:t>
      </w:r>
      <w:r>
        <w:rPr>
          <w:highlight w:val="none"/>
        </w:rPr>
      </w:r>
      <w:r/>
    </w:p>
    <w:p>
      <w:pPr>
        <w:pStyle w:val="698"/>
        <w:jc w:val="both"/>
        <w:spacing w:beforeAutospacing="0" w:afterAutospacing="0"/>
        <w:rPr>
          <w:highlight w:val="none"/>
        </w:rPr>
      </w:pPr>
      <w:r>
        <w:rPr>
          <w:highlight w:val="none"/>
        </w:rPr>
        <w:t xml:space="preserve"> </w:t>
      </w:r>
      <w:r>
        <w:rPr>
          <w:highlight w:val="none"/>
        </w:rPr>
      </w:r>
      <w:r/>
    </w:p>
    <w:p>
      <w:pPr>
        <w:pStyle w:val="698"/>
        <w:jc w:val="both"/>
        <w:spacing w:beforeAutospacing="0" w:afterAutospacing="0"/>
        <w:rPr>
          <w:highlight w:val="none"/>
        </w:rPr>
      </w:pPr>
      <w:r>
        <w:rPr>
          <w:highlight w:val="none"/>
        </w:rPr>
        <w:t xml:space="preserve"> </w:t>
      </w:r>
      <w:r>
        <w:rPr>
          <w:highlight w:val="none"/>
        </w:rPr>
      </w:r>
      <w:r/>
    </w:p>
    <w:p>
      <w:pPr>
        <w:pStyle w:val="698"/>
        <w:jc w:val="both"/>
        <w:spacing w:beforeAutospacing="0" w:afterAutospacing="0"/>
        <w:rPr>
          <w:highlight w:val="none"/>
        </w:rPr>
      </w:pPr>
      <w:r>
        <w:rPr>
          <w:highlight w:val="none"/>
        </w:rPr>
        <w:t xml:space="preserve"> </w:t>
      </w:r>
      <w:r>
        <w:rPr>
          <w:highlight w:val="none"/>
        </w:rPr>
      </w:r>
      <w:r/>
    </w:p>
    <w:p>
      <w:pPr>
        <w:pStyle w:val="698"/>
        <w:jc w:val="both"/>
        <w:spacing w:beforeAutospacing="0" w:afterAutospacing="0"/>
        <w:rPr>
          <w:highlight w:val="none"/>
        </w:rPr>
      </w:pPr>
      <w:r>
        <w:rPr>
          <w:highlight w:val="none"/>
        </w:rPr>
        <w:t xml:space="preserve"> </w:t>
      </w:r>
      <w:r>
        <w:rPr>
          <w:highlight w:val="none"/>
        </w:rPr>
      </w:r>
      <w:r/>
    </w:p>
    <w:p>
      <w:pPr>
        <w:pStyle w:val="698"/>
        <w:jc w:val="both"/>
        <w:spacing w:beforeAutospacing="0" w:afterAutospacing="0"/>
        <w:rPr>
          <w:highlight w:val="none"/>
        </w:rPr>
      </w:pPr>
      <w:r>
        <w:rPr>
          <w:highlight w:val="none"/>
        </w:rPr>
        <w:t xml:space="preserve"> </w:t>
      </w:r>
      <w:r>
        <w:rPr>
          <w:highlight w:val="none"/>
        </w:rPr>
      </w:r>
      <w:r/>
    </w:p>
    <w:p>
      <w:pPr>
        <w:pStyle w:val="698"/>
        <w:jc w:val="both"/>
        <w:spacing w:beforeAutospacing="0" w:afterAutospacing="0"/>
        <w:rPr>
          <w:highlight w:val="none"/>
        </w:rPr>
      </w:pPr>
      <w:r>
        <w:rPr>
          <w:highlight w:val="none"/>
        </w:rPr>
        <w:t xml:space="preserve"> </w:t>
      </w:r>
      <w:r>
        <w:rPr>
          <w:highlight w:val="none"/>
        </w:rPr>
      </w:r>
      <w:r/>
    </w:p>
    <w:p>
      <w:pPr>
        <w:pStyle w:val="698"/>
        <w:jc w:val="both"/>
        <w:spacing w:beforeAutospacing="0" w:afterAutospacing="0"/>
        <w:rPr>
          <w:highlight w:val="none"/>
        </w:rPr>
      </w:pPr>
      <w:r>
        <w:rPr>
          <w:highlight w:val="none"/>
        </w:rPr>
        <w:t xml:space="preserve"> </w:t>
      </w:r>
      <w:r>
        <w:rPr>
          <w:highlight w:val="none"/>
        </w:rPr>
      </w:r>
      <w:r/>
    </w:p>
    <w:p>
      <w:pPr>
        <w:pStyle w:val="698"/>
        <w:jc w:val="both"/>
        <w:spacing w:beforeAutospacing="0" w:afterAutospacing="0"/>
        <w:rPr>
          <w:highlight w:val="none"/>
        </w:rPr>
      </w:pPr>
      <w:r>
        <w:rPr>
          <w:highlight w:val="none"/>
        </w:rPr>
        <w:t xml:space="preserve"> </w:t>
      </w:r>
      <w:r>
        <w:rPr>
          <w:highlight w:val="none"/>
        </w:rPr>
      </w:r>
      <w:r/>
    </w:p>
    <w:p>
      <w:pPr>
        <w:pStyle w:val="698"/>
        <w:jc w:val="both"/>
        <w:spacing w:beforeAutospacing="0" w:afterAutospacing="0"/>
        <w:rPr>
          <w:highlight w:val="none"/>
        </w:rPr>
      </w:pPr>
      <w:r>
        <w:rPr>
          <w:highlight w:val="none"/>
        </w:rPr>
        <w:t xml:space="preserve"> </w:t>
      </w:r>
      <w:r>
        <w:rPr>
          <w:highlight w:val="none"/>
        </w:rPr>
      </w:r>
      <w:r/>
    </w:p>
    <w:p>
      <w:pPr>
        <w:pStyle w:val="698"/>
        <w:jc w:val="both"/>
        <w:spacing w:beforeAutospacing="0" w:afterAutospacing="0"/>
        <w:rPr>
          <w:highlight w:val="none"/>
        </w:rPr>
      </w:pPr>
      <w:r>
        <w:rPr>
          <w:highlight w:val="none"/>
        </w:rPr>
        <w:t xml:space="preserve"> </w:t>
      </w:r>
      <w:r>
        <w:rPr>
          <w:highlight w:val="none"/>
        </w:rPr>
      </w:r>
      <w:r/>
    </w:p>
    <w:p>
      <w:pPr>
        <w:pStyle w:val="698"/>
        <w:jc w:val="both"/>
        <w:spacing w:beforeAutospacing="0" w:afterAutospacing="0"/>
        <w:rPr>
          <w:highlight w:val="none"/>
        </w:rPr>
      </w:pPr>
      <w:r>
        <w:rPr>
          <w:highlight w:val="none"/>
        </w:rPr>
        <w:t xml:space="preserve"> </w:t>
      </w:r>
      <w:r>
        <w:rPr>
          <w:highlight w:val="none"/>
        </w:rPr>
      </w:r>
      <w:r/>
    </w:p>
    <w:p>
      <w:pPr>
        <w:pStyle w:val="698"/>
        <w:jc w:val="both"/>
        <w:spacing w:beforeAutospacing="0" w:afterAutospacing="0"/>
        <w:rPr>
          <w:highlight w:val="none"/>
        </w:rPr>
      </w:pPr>
      <w:r>
        <w:rPr>
          <w:highlight w:val="none"/>
        </w:rPr>
        <w:t xml:space="preserve"> </w:t>
      </w:r>
      <w:r>
        <w:rPr>
          <w:highlight w:val="none"/>
        </w:rPr>
      </w:r>
      <w:r/>
    </w:p>
    <w:p>
      <w:pPr>
        <w:pStyle w:val="698"/>
        <w:jc w:val="both"/>
        <w:spacing w:beforeAutospacing="0" w:afterAutospacing="0"/>
        <w:rPr>
          <w:highlight w:val="none"/>
        </w:rPr>
      </w:pPr>
      <w:r>
        <w:rPr>
          <w:highlight w:val="none"/>
        </w:rPr>
        <w:t xml:space="preserve"> </w:t>
      </w:r>
      <w:r>
        <w:rPr>
          <w:highlight w:val="none"/>
        </w:rPr>
      </w:r>
      <w:r/>
    </w:p>
    <w:p>
      <w:pPr>
        <w:pStyle w:val="698"/>
        <w:jc w:val="both"/>
        <w:spacing w:beforeAutospacing="0" w:afterAutospacing="0"/>
        <w:rPr>
          <w:highlight w:val="none"/>
        </w:rPr>
      </w:pPr>
      <w:r>
        <w:rPr>
          <w:highlight w:val="none"/>
        </w:rPr>
        <w:t xml:space="preserve"> </w:t>
      </w:r>
      <w:r>
        <w:rPr>
          <w:highlight w:val="none"/>
        </w:rPr>
      </w:r>
      <w:r/>
    </w:p>
    <w:p>
      <w:pPr>
        <w:pStyle w:val="698"/>
        <w:jc w:val="both"/>
        <w:spacing w:beforeAutospacing="0" w:afterAutospacing="0"/>
        <w:rPr>
          <w:highlight w:val="none"/>
        </w:rPr>
      </w:pPr>
      <w:r>
        <w:rPr>
          <w:highlight w:val="none"/>
        </w:rPr>
        <w:t xml:space="preserve"> </w:t>
      </w:r>
      <w:r>
        <w:rPr>
          <w:highlight w:val="none"/>
        </w:rPr>
      </w:r>
      <w:r/>
    </w:p>
    <w:p>
      <w:pPr>
        <w:pStyle w:val="698"/>
        <w:jc w:val="both"/>
        <w:spacing w:beforeAutospacing="0" w:afterAutospacing="0"/>
        <w:rPr>
          <w:highlight w:val="none"/>
        </w:rPr>
      </w:pPr>
      <w:r>
        <w:rPr>
          <w:highlight w:val="none"/>
        </w:rPr>
        <w:t xml:space="preserve"> </w:t>
      </w:r>
      <w:r>
        <w:rPr>
          <w:highlight w:val="none"/>
        </w:rPr>
      </w:r>
      <w:r/>
    </w:p>
    <w:p>
      <w:pPr>
        <w:pStyle w:val="698"/>
        <w:jc w:val="both"/>
        <w:spacing w:beforeAutospacing="0" w:afterAutospacing="0"/>
        <w:rPr>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highlight w:val="none"/>
        </w:rPr>
      </w:r>
      <w:r/>
    </w:p>
    <w:p>
      <w:pPr>
        <w:pStyle w:val="698"/>
        <w:jc w:val="both"/>
        <w:spacing w:beforeAutospacing="0" w:afterAutospacing="0"/>
        <w:rPr>
          <w:highlight w:val="none"/>
        </w:rPr>
      </w:pPr>
      <w:r>
        <w:rPr>
          <w:highlight w:val="none"/>
        </w:rPr>
        <w:t xml:space="preserve"> </w:t>
      </w:r>
      <w:r>
        <w:rPr>
          <w:highlight w:val="none"/>
        </w:rPr>
      </w:r>
      <w:r/>
    </w:p>
    <w:p>
      <w:pPr>
        <w:pStyle w:val="698"/>
        <w:jc w:val="center"/>
        <w:keepNext/>
        <w:spacing w:beforeAutospacing="0" w:afterAutospacing="0"/>
        <w:rPr>
          <w:rFonts w:eastAsia="黑体"/>
          <w:highlight w:val="none"/>
          <w:lang w:val="en-US" w:eastAsia="zh-CN"/>
        </w:rPr>
      </w:pPr>
      <w:r/>
      <w:bookmarkStart w:id="6" w:name="_Toc28359086"/>
      <w:r>
        <w:rPr>
          <w:rFonts w:hint="eastAsia" w:ascii="黑体" w:hAnsi="宋体" w:eastAsia="黑体" w:cs="黑体"/>
          <w:color w:val="000000"/>
          <w:sz w:val="44"/>
          <w:szCs w:val="44"/>
          <w:highlight w:val="none"/>
        </w:rPr>
        <w:t xml:space="preserve">第一章 </w:t>
      </w:r>
      <w:r>
        <w:rPr>
          <w:rFonts w:hint="eastAsia" w:ascii="黑体" w:hAnsi="宋体" w:eastAsia="黑体" w:cs="黑体"/>
          <w:color w:val="000000"/>
          <w:sz w:val="44"/>
          <w:szCs w:val="44"/>
          <w:highlight w:val="none"/>
          <w:lang w:val="en-US" w:eastAsia="zh-CN"/>
        </w:rPr>
        <w:t xml:space="preserve">招标公告</w:t>
      </w:r>
      <w:r>
        <w:rPr>
          <w:rFonts w:eastAsia="黑体"/>
          <w:highlight w:val="none"/>
          <w:lang w:val="en-US" w:eastAsia="zh-CN"/>
        </w:rPr>
      </w:r>
      <w:r/>
    </w:p>
    <w:p>
      <w:pPr>
        <w:pStyle w:val="698"/>
        <w:jc w:val="both"/>
        <w:spacing w:beforeAutospacing="0" w:afterAutospacing="0"/>
        <w:rPr>
          <w:rFonts w:hint="eastAsia" w:ascii="宋体" w:hAnsi="宋体" w:eastAsia="宋体" w:cs="宋体"/>
          <w:sz w:val="24"/>
          <w:szCs w:val="24"/>
          <w:highlight w:val="none"/>
          <w:lang w:eastAsia="zh-CN"/>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rPr>
        <w:t xml:space="preserve">项目概况</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highlight w:val="none"/>
          <w:lang w:eastAsia="zh-CN"/>
        </w:rPr>
      </w:r>
      <w:r/>
    </w:p>
    <w:p>
      <w:pPr>
        <w:pStyle w:val="698"/>
        <w:ind w:firstLine="480"/>
        <w:jc w:val="both"/>
        <w:spacing w:beforeAutospacing="0" w:afterAutospacing="0"/>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lang w:eastAsia="zh-CN"/>
        </w:rPr>
        <w:t xml:space="preserve">东沙岛浮标监测系统设备及安装（二次）</w:t>
      </w:r>
      <w:r>
        <w:rPr>
          <w:rFonts w:hint="eastAsia" w:ascii="宋体" w:hAnsi="宋体" w:eastAsia="宋体" w:cs="宋体"/>
          <w:color w:val="000000"/>
        </w:rPr>
        <w:t xml:space="preserve">的潜在</w:t>
      </w:r>
      <w:r>
        <w:rPr>
          <w:rFonts w:hint="eastAsia" w:ascii="宋体" w:hAnsi="宋体" w:cs="宋体"/>
          <w:color w:val="000000"/>
          <w:lang w:val="en-US" w:eastAsia="zh-CN"/>
        </w:rPr>
        <w:t xml:space="preserve">供应商</w:t>
      </w:r>
      <w:r>
        <w:rPr>
          <w:rFonts w:hint="eastAsia" w:ascii="宋体" w:hAnsi="宋体" w:eastAsia="宋体" w:cs="宋体"/>
          <w:color w:val="000000"/>
          <w:highlight w:val="none"/>
          <w:lang w:eastAsia="zh-CN"/>
        </w:rPr>
        <w:t xml:space="preserve">应</w:t>
      </w:r>
      <w:r>
        <w:rPr>
          <w:rFonts w:hint="eastAsia" w:ascii="宋体" w:hAnsi="宋体" w:eastAsia="宋体" w:cs="宋体"/>
          <w:color w:val="000000"/>
        </w:rPr>
        <w:t xml:space="preserve">在</w:t>
      </w:r>
      <w:r>
        <w:rPr>
          <w:rFonts w:hint="eastAsia" w:ascii="宋体" w:hAnsi="宋体" w:eastAsia="宋体" w:cs="宋体"/>
          <w:color w:val="333333"/>
          <w:shd w:val="clear" w:color="auto" w:fill="ffffff"/>
        </w:rPr>
        <w:t xml:space="preserve">“苏采云”系统内免费下载（</w:t>
      </w:r>
      <w:r>
        <w:rPr>
          <w:rFonts w:hint="eastAsia" w:ascii="宋体" w:hAnsi="宋体" w:eastAsia="宋体" w:cs="宋体"/>
          <w:i w:val="0"/>
          <w:iCs w:val="0"/>
          <w:caps w:val="0"/>
          <w:color w:val="000000"/>
          <w:spacing w:val="0"/>
          <w:sz w:val="24"/>
          <w:szCs w:val="24"/>
          <w:highlight w:val="none"/>
          <w:shd w:val="clear" w:color="auto" w:fill="ffffff"/>
          <w:lang w:eastAsia="zh-CN"/>
        </w:rPr>
        <w:t xml:space="preserve">供应商</w:t>
      </w:r>
      <w:r>
        <w:rPr>
          <w:rFonts w:hint="eastAsia" w:ascii="宋体" w:hAnsi="宋体" w:eastAsia="宋体" w:cs="宋体"/>
          <w:i w:val="0"/>
          <w:iCs w:val="0"/>
          <w:caps w:val="0"/>
          <w:color w:val="000000"/>
          <w:spacing w:val="0"/>
          <w:sz w:val="24"/>
          <w:szCs w:val="24"/>
          <w:highlight w:val="none"/>
          <w:shd w:val="clear" w:color="auto" w:fill="ffffff"/>
        </w:rPr>
        <w:t xml:space="preserve">必须在苏采云系统中获取采购文件，方能参与政府采购项目</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，并于</w:t>
      </w:r>
      <w:r>
        <w:rPr>
          <w:rFonts w:hint="eastAsia" w:ascii="宋体" w:hAnsi="宋体" w:eastAsia="宋体" w:cs="宋体"/>
          <w:color w:val="000000"/>
          <w:highlight w:val="none"/>
          <w:lang w:val="en-US" w:eastAsia="zh-CN"/>
        </w:rPr>
        <w:t xml:space="preserve">202</w:t>
      </w:r>
      <w:r>
        <w:rPr>
          <w:rFonts w:hint="eastAsia" w:ascii="宋体" w:hAnsi="宋体" w:cs="宋体"/>
          <w:color w:val="000000"/>
          <w:highlight w:val="none"/>
          <w:lang w:val="en-US" w:eastAsia="zh-CN"/>
        </w:rPr>
        <w:t xml:space="preserve">6</w:t>
      </w:r>
      <w:r>
        <w:rPr>
          <w:rFonts w:hint="eastAsia" w:ascii="宋体" w:hAnsi="宋体" w:eastAsia="宋体" w:cs="宋体"/>
          <w:color w:val="000000"/>
          <w:highlight w:val="none"/>
        </w:rPr>
        <w:t xml:space="preserve">-</w:t>
      </w:r>
      <w:r>
        <w:rPr>
          <w:rFonts w:hint="eastAsia" w:ascii="宋体" w:hAnsi="宋体" w:cs="宋体"/>
          <w:color w:val="000000"/>
          <w:highlight w:val="none"/>
          <w:lang w:val="en-US" w:eastAsia="zh-CN"/>
        </w:rPr>
        <w:t xml:space="preserve">05</w:t>
      </w:r>
      <w:r>
        <w:rPr>
          <w:rFonts w:hint="eastAsia" w:ascii="宋体" w:hAnsi="宋体" w:eastAsia="宋体" w:cs="宋体"/>
          <w:color w:val="000000"/>
          <w:highlight w:val="none"/>
        </w:rPr>
        <w:t xml:space="preserve">-</w:t>
      </w:r>
      <w:r>
        <w:rPr>
          <w:rFonts w:hint="eastAsia" w:ascii="宋体" w:hAnsi="宋体" w:cs="宋体"/>
          <w:color w:val="000000"/>
          <w:highlight w:val="none"/>
          <w:lang w:val="en-US" w:eastAsia="zh-CN"/>
        </w:rPr>
        <w:t xml:space="preserve">20 </w:t>
      </w:r>
      <w:r>
        <w:rPr>
          <w:rFonts w:hint="eastAsia" w:ascii="宋体" w:hAnsi="宋体" w:cs="宋体"/>
          <w:color w:val="000000"/>
          <w:sz w:val="24"/>
          <w:highlight w:val="none"/>
          <w:lang w:val="en-US" w:eastAsia="zh-CN"/>
        </w:rPr>
        <w:t xml:space="preserve">10</w:t>
      </w:r>
      <w:r>
        <w:rPr>
          <w:rFonts w:hint="eastAsia" w:ascii="宋体" w:hAnsi="宋体" w:eastAsia="宋体" w:cs="宋体"/>
          <w:color w:val="000000"/>
          <w:sz w:val="24"/>
          <w:highlight w:val="none"/>
          <w:lang w:val="en-US" w:eastAsia="zh-CN"/>
        </w:rPr>
        <w:t xml:space="preserve">:</w:t>
      </w:r>
      <w:r>
        <w:rPr>
          <w:rFonts w:hint="eastAsia" w:ascii="宋体" w:hAnsi="宋体" w:cs="宋体"/>
          <w:color w:val="000000"/>
          <w:sz w:val="24"/>
          <w:highlight w:val="none"/>
          <w:lang w:val="en-US" w:eastAsia="zh-CN"/>
        </w:rPr>
        <w:t xml:space="preserve">0</w:t>
      </w:r>
      <w:r>
        <w:rPr>
          <w:rFonts w:hint="eastAsia" w:ascii="宋体" w:hAnsi="宋体" w:eastAsia="宋体" w:cs="宋体"/>
          <w:color w:val="000000"/>
          <w:sz w:val="24"/>
          <w:highlight w:val="none"/>
          <w:lang w:val="en-US" w:eastAsia="zh-CN"/>
        </w:rPr>
        <w:t xml:space="preserve">0</w:t>
      </w:r>
      <w:r>
        <w:rPr>
          <w:rFonts w:hint="eastAsia" w:ascii="宋体" w:hAnsi="宋体" w:eastAsia="宋体" w:cs="宋体"/>
          <w:color w:val="000000"/>
        </w:rPr>
        <w:t xml:space="preserve">（北京时间）前递交投标文件</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r>
      <w:r/>
    </w:p>
    <w:p>
      <w:pPr>
        <w:pStyle w:val="698"/>
        <w:ind w:firstLine="482"/>
        <w:jc w:val="both"/>
        <w:keepLines/>
        <w:keepNext/>
        <w:pageBreakBefore w:val="0"/>
        <w:spacing w:beforeAutospacing="0" w:afterAutospacing="0" w:line="400" w:lineRule="exact"/>
        <w:rPr>
          <w:rFonts w:hint="eastAsia" w:ascii="宋体" w:hAnsi="宋体" w:eastAsia="宋体" w:cs="宋体"/>
          <w:sz w:val="24"/>
          <w:szCs w:val="24"/>
          <w:highlight w:val="none"/>
        </w:rPr>
      </w:pPr>
      <w:r/>
      <w:bookmarkStart w:id="7" w:name="_Toc38985263"/>
      <w:r/>
      <w:bookmarkStart w:id="8" w:name="_Toc28359002"/>
      <w:r/>
      <w:bookmarkStart w:id="9" w:name="_Toc28359079"/>
      <w:r/>
      <w:bookmarkStart w:id="10" w:name="_Hlk24379207"/>
      <w:r/>
      <w:bookmarkStart w:id="11" w:name="_Toc35393621"/>
      <w:r/>
      <w:bookmarkStart w:id="12" w:name="_Toc35393790"/>
      <w:r>
        <w:rPr>
          <w:rFonts w:hint="eastAsia" w:ascii="宋体" w:hAnsi="宋体" w:eastAsia="宋体" w:cs="宋体"/>
          <w:b/>
          <w:color w:val="000000"/>
          <w:sz w:val="24"/>
          <w:szCs w:val="24"/>
          <w:highlight w:val="none"/>
        </w:rPr>
        <w:t xml:space="preserve">一、项目基本情况</w:t>
      </w:r>
      <w:bookmarkEnd w:id="7"/>
      <w:r/>
      <w:bookmarkEnd w:id="8"/>
      <w:r/>
      <w:bookmarkEnd w:id="9"/>
      <w:r/>
      <w:bookmarkEnd w:id="10"/>
      <w:r/>
      <w:bookmarkEnd w:id="11"/>
      <w:r/>
      <w:bookmarkEnd w:id="12"/>
      <w:r>
        <w:rPr>
          <w:rFonts w:hint="eastAsia" w:ascii="宋体" w:hAnsi="宋体" w:eastAsia="宋体" w:cs="宋体"/>
          <w:sz w:val="24"/>
          <w:szCs w:val="24"/>
          <w:highlight w:val="none"/>
        </w:rPr>
      </w:r>
      <w:r/>
    </w:p>
    <w:p>
      <w:pPr>
        <w:pStyle w:val="698"/>
        <w:ind w:firstLine="480"/>
        <w:jc w:val="both"/>
        <w:keepLines w:val="0"/>
        <w:keepNext w:val="0"/>
        <w:pageBreakBefore w:val="0"/>
        <w:spacing w:beforeAutospacing="0" w:afterAutospacing="0" w:line="400" w:lineRule="exact"/>
        <w:widowControl w:val="off"/>
        <w:rPr>
          <w:rFonts w:hint="eastAsia" w:ascii="宋体" w:hAnsi="宋体" w:eastAsia="宋体" w:cs="宋体"/>
          <w:i w:val="0"/>
          <w:iCs w:val="0"/>
          <w:caps w:val="0"/>
          <w:color w:val="333333"/>
          <w:spacing w:val="0"/>
          <w:sz w:val="24"/>
          <w:szCs w:val="24"/>
          <w:highlight w:val="none"/>
          <w:shd w:val="clear" w:color="auto" w:fill="ffffff"/>
        </w:rPr>
      </w:pPr>
      <w:r>
        <w:rPr>
          <w:rFonts w:hint="eastAsia" w:ascii="宋体" w:hAnsi="宋体" w:eastAsia="宋体" w:cs="宋体"/>
          <w:i w:val="0"/>
          <w:iCs w:val="0"/>
          <w:caps w:val="0"/>
          <w:color w:val="333333"/>
          <w:spacing w:val="0"/>
          <w:sz w:val="24"/>
          <w:szCs w:val="24"/>
          <w:highlight w:val="none"/>
          <w:shd w:val="clear" w:color="auto" w:fill="ffffff"/>
        </w:rPr>
        <w:t xml:space="preserve">1.项目编号：</w:t>
      </w:r>
      <w:r>
        <w:rPr>
          <w:rFonts w:hint="eastAsia" w:ascii="宋体" w:hAnsi="宋体" w:cs="宋体"/>
          <w:color w:val="000000"/>
          <w:highlight w:val="none"/>
          <w:lang w:eastAsia="zh-CN"/>
        </w:rPr>
        <w:t xml:space="preserve">JSZC-320000-JDHC-G2026-0006</w:t>
      </w:r>
      <w:r>
        <w:rPr>
          <w:rFonts w:hint="eastAsia" w:ascii="宋体" w:hAnsi="宋体" w:eastAsia="宋体" w:cs="宋体"/>
          <w:i w:val="0"/>
          <w:iCs w:val="0"/>
          <w:caps w:val="0"/>
          <w:color w:val="333333"/>
          <w:spacing w:val="0"/>
          <w:sz w:val="24"/>
          <w:szCs w:val="24"/>
          <w:highlight w:val="none"/>
          <w:shd w:val="clear" w:color="auto" w:fill="ffffff"/>
        </w:rPr>
      </w:r>
      <w:r/>
    </w:p>
    <w:p>
      <w:pPr>
        <w:pStyle w:val="698"/>
        <w:ind w:firstLine="480"/>
        <w:jc w:val="both"/>
        <w:keepLines w:val="0"/>
        <w:keepNext w:val="0"/>
        <w:pageBreakBefore w:val="0"/>
        <w:spacing w:beforeAutospacing="0" w:afterAutospacing="0" w:line="400" w:lineRule="exact"/>
        <w:widowControl w:val="off"/>
        <w:rPr>
          <w:rFonts w:hint="eastAsia" w:ascii="宋体" w:hAnsi="宋体" w:eastAsia="宋体" w:cs="宋体"/>
          <w:color w:val="000000"/>
          <w:sz w:val="24"/>
          <w:szCs w:val="24"/>
          <w:highlight w:val="none"/>
          <w:shd w:val="clear" w:color="auto" w:fill="auto"/>
          <w:lang w:eastAsia="zh-CN"/>
        </w:rPr>
      </w:pPr>
      <w:r>
        <w:rPr>
          <w:rFonts w:hint="eastAsia" w:ascii="宋体" w:hAnsi="宋体" w:eastAsia="宋体" w:cs="宋体"/>
          <w:color w:val="000000"/>
          <w:sz w:val="24"/>
          <w:szCs w:val="24"/>
          <w:highlight w:val="none"/>
        </w:rPr>
        <w:t xml:space="preserve">2.项</w:t>
      </w:r>
      <w:r>
        <w:rPr>
          <w:rFonts w:hint="eastAsia" w:ascii="宋体" w:hAnsi="宋体" w:eastAsia="宋体" w:cs="宋体"/>
          <w:color w:val="000000"/>
          <w:sz w:val="24"/>
          <w:szCs w:val="24"/>
          <w:highlight w:val="none"/>
          <w:shd w:val="clear" w:color="auto" w:fill="auto"/>
        </w:rPr>
        <w:t xml:space="preserve">目名称：</w:t>
      </w:r>
      <w:r>
        <w:rPr>
          <w:rFonts w:hint="eastAsia" w:ascii="宋体" w:hAnsi="宋体" w:eastAsia="宋体" w:cs="宋体"/>
          <w:color w:val="000000"/>
          <w:sz w:val="24"/>
          <w:szCs w:val="24"/>
          <w:highlight w:val="none"/>
          <w:shd w:val="clear" w:color="auto" w:fill="auto"/>
          <w:lang w:eastAsia="zh-CN"/>
        </w:rPr>
        <w:t xml:space="preserve">东沙岛浮标监测系统设备及安装（二次）</w:t>
      </w:r>
      <w:r>
        <w:rPr>
          <w:rFonts w:hint="eastAsia" w:ascii="宋体" w:hAnsi="宋体" w:eastAsia="宋体" w:cs="宋体"/>
          <w:color w:val="000000"/>
          <w:sz w:val="24"/>
          <w:szCs w:val="24"/>
          <w:highlight w:val="none"/>
          <w:shd w:val="clear" w:color="auto" w:fill="auto"/>
          <w:lang w:eastAsia="zh-CN"/>
        </w:rPr>
      </w:r>
      <w:r/>
    </w:p>
    <w:p>
      <w:pPr>
        <w:pStyle w:val="698"/>
        <w:ind w:firstLine="480"/>
        <w:jc w:val="both"/>
        <w:keepLines w:val="0"/>
        <w:keepNext w:val="0"/>
        <w:pageBreakBefore w:val="0"/>
        <w:spacing w:beforeAutospacing="0" w:afterAutospacing="0"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333333"/>
          <w:spacing w:val="0"/>
          <w:sz w:val="24"/>
          <w:szCs w:val="24"/>
          <w:highlight w:val="none"/>
          <w:shd w:val="clear" w:color="auto" w:fill="ffffff"/>
        </w:rPr>
        <w:t xml:space="preserve">采购方式：</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公开招标</w:t>
      </w:r>
      <w:r>
        <w:rPr>
          <w:rFonts w:hint="eastAsia" w:ascii="宋体" w:hAnsi="宋体" w:eastAsia="宋体" w:cs="宋体"/>
          <w:color w:val="000000"/>
          <w:sz w:val="24"/>
          <w:szCs w:val="24"/>
          <w:highlight w:val="none"/>
          <w:lang w:val="en-US" w:eastAsia="zh-CN"/>
        </w:rPr>
      </w:r>
      <w:r/>
    </w:p>
    <w:p>
      <w:pPr>
        <w:pStyle w:val="698"/>
        <w:ind w:firstLine="480"/>
        <w:jc w:val="both"/>
        <w:keepLines w:val="0"/>
        <w:keepNext w:val="0"/>
        <w:pageBreakBefore w:val="0"/>
        <w:spacing w:beforeAutospacing="0" w:afterAutospacing="0" w:line="4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.预算金额：</w:t>
      </w:r>
      <w:r>
        <w:rPr>
          <w:rFonts w:hint="eastAsia" w:ascii="宋体" w:hAnsi="宋体" w:eastAsia="宋体" w:cs="宋体"/>
          <w:color w:val="000000"/>
          <w:sz w:val="24"/>
          <w:szCs w:val="24"/>
          <w:highlight w:val="none"/>
          <w:lang w:val="en-US" w:eastAsia="zh-CN"/>
        </w:rPr>
        <w:t xml:space="preserve">254.5万</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shd w:val="clear" w:color="auto" w:fill="auto"/>
        </w:rPr>
      </w:r>
      <w:r/>
    </w:p>
    <w:p>
      <w:pPr>
        <w:pStyle w:val="698"/>
        <w:ind w:firstLine="480"/>
        <w:jc w:val="both"/>
        <w:keepLines w:val="0"/>
        <w:keepNext w:val="0"/>
        <w:pageBreakBefore w:val="0"/>
        <w:spacing w:beforeAutospacing="0" w:afterAutospacing="0"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5.</w:t>
      </w:r>
      <w:r>
        <w:rPr>
          <w:rFonts w:hint="eastAsia" w:ascii="宋体" w:hAnsi="宋体" w:eastAsia="宋体" w:cs="宋体"/>
          <w:i w:val="0"/>
          <w:iCs w:val="0"/>
          <w:caps w:val="0"/>
          <w:color w:val="333333"/>
          <w:spacing w:val="0"/>
          <w:sz w:val="24"/>
          <w:szCs w:val="24"/>
          <w:highlight w:val="none"/>
          <w:shd w:val="clear" w:color="auto" w:fill="ffffff"/>
        </w:rPr>
        <w:t xml:space="preserve">最高限价（如有）：</w:t>
      </w:r>
      <w:r>
        <w:rPr>
          <w:rFonts w:hint="eastAsia" w:ascii="宋体" w:hAnsi="宋体" w:eastAsia="宋体" w:cs="宋体"/>
          <w:color w:val="000000"/>
          <w:sz w:val="24"/>
          <w:szCs w:val="24"/>
          <w:highlight w:val="none"/>
          <w:lang w:val="en-US" w:eastAsia="zh-CN"/>
        </w:rPr>
        <w:t xml:space="preserve">242.042万</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投标人投标报价不得超过该最高限价，否则按无效投标处理。</w:t>
      </w:r>
      <w:r>
        <w:rPr>
          <w:rFonts w:hint="eastAsia" w:ascii="宋体" w:hAnsi="宋体" w:eastAsia="宋体" w:cs="宋体"/>
          <w:color w:val="000000"/>
          <w:sz w:val="24"/>
          <w:szCs w:val="24"/>
          <w:highlight w:val="none"/>
          <w:lang w:val="en-US" w:eastAsia="zh-CN"/>
        </w:rPr>
      </w:r>
      <w:r/>
    </w:p>
    <w:p>
      <w:pPr>
        <w:pStyle w:val="698"/>
        <w:ind w:firstLine="480"/>
        <w:jc w:val="both"/>
        <w:keepLines w:val="0"/>
        <w:keepNext w:val="0"/>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shd w:val="clear" w:color="auto" w:fill="auto"/>
          <w:lang w:val="en-US" w:eastAsia="zh-CN"/>
        </w:rPr>
        <w:t xml:space="preserve">6</w:t>
      </w:r>
      <w:r>
        <w:rPr>
          <w:rFonts w:hint="eastAsia" w:ascii="宋体" w:hAnsi="宋体" w:eastAsia="宋体" w:cs="宋体"/>
          <w:color w:val="000000"/>
          <w:sz w:val="24"/>
          <w:szCs w:val="24"/>
          <w:highlight w:val="none"/>
          <w:shd w:val="clear" w:color="auto" w:fill="auto"/>
        </w:rPr>
        <w:t xml:space="preserve">.采购需求：东沙浮标监测系统的采购及安装调试（包括安装浮标所需许可办理），并开展2年配套监测与维护，监测的数据需接入保护区数据平台。详见项目需求，招标人保留调整部分工程量的权利。</w:t>
      </w:r>
      <w:r>
        <w:rPr>
          <w:rFonts w:hint="eastAsia" w:ascii="宋体" w:hAnsi="宋体" w:eastAsia="宋体" w:cs="宋体"/>
          <w:sz w:val="24"/>
          <w:szCs w:val="24"/>
          <w:highlight w:val="none"/>
        </w:rPr>
      </w:r>
      <w:r/>
    </w:p>
    <w:p>
      <w:pPr>
        <w:pStyle w:val="698"/>
        <w:ind w:firstLine="480"/>
        <w:jc w:val="both"/>
        <w:keepLines w:val="0"/>
        <w:keepNext w:val="0"/>
        <w:pageBreakBefore w:val="0"/>
        <w:spacing w:beforeAutospacing="0" w:afterAutospacing="0"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.合同履行期限：</w:t>
      </w:r>
      <w:r>
        <w:rPr>
          <w:rFonts w:hint="eastAsia" w:ascii="宋体" w:hAnsi="宋体" w:eastAsia="宋体" w:cs="宋体"/>
          <w:color w:val="000000"/>
          <w:sz w:val="24"/>
          <w:szCs w:val="24"/>
          <w:highlight w:val="none"/>
          <w:lang w:eastAsia="zh-CN"/>
        </w:rPr>
        <w:t xml:space="preserve">签订合同后150日历天内，按招标人要求，在招标人指定地点完成供货、安装调试等相关伴随服务，并交付采购人使用。</w:t>
      </w:r>
      <w:r>
        <w:rPr>
          <w:rFonts w:hint="eastAsia" w:ascii="宋体" w:hAnsi="宋体" w:eastAsia="宋体" w:cs="宋体"/>
          <w:color w:val="000000"/>
          <w:sz w:val="24"/>
          <w:szCs w:val="24"/>
          <w:highlight w:val="none"/>
          <w:lang w:eastAsia="zh-CN"/>
        </w:rPr>
      </w:r>
      <w:r/>
    </w:p>
    <w:p>
      <w:pPr>
        <w:pStyle w:val="698"/>
        <w:ind w:firstLine="480"/>
        <w:jc w:val="both"/>
        <w:keepLines w:val="0"/>
        <w:keepNext w:val="0"/>
        <w:pageBreakBefore w:val="0"/>
        <w:spacing w:beforeAutospacing="0" w:afterAutospacing="0" w:line="40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8.质量标准：完成项目需求约定的全部内容，满足采购人需求，质量合格，并通过采购人组织的专家验收。</w:t>
      </w:r>
      <w:r>
        <w:rPr>
          <w:rFonts w:ascii="宋体" w:hAnsi="宋体" w:eastAsia="宋体" w:cs="宋体"/>
          <w:color w:val="000000"/>
          <w:sz w:val="24"/>
          <w:szCs w:val="24"/>
          <w:highlight w:val="none"/>
          <w:lang w:val="en-US" w:eastAsia="zh-CN"/>
        </w:rPr>
      </w:r>
      <w:r/>
    </w:p>
    <w:p>
      <w:pPr>
        <w:pStyle w:val="698"/>
        <w:ind w:firstLine="480"/>
        <w:jc w:val="both"/>
        <w:keepLines w:val="0"/>
        <w:keepNext w:val="0"/>
        <w:pageBreakBefore w:val="0"/>
        <w:spacing w:beforeAutospacing="0" w:afterAutospacing="0" w:line="400" w:lineRule="exact"/>
        <w:widowControl w:val="off"/>
        <w:rPr>
          <w:rFonts w:hint="eastAsia" w:ascii="宋体" w:hAnsi="宋体" w:eastAsia="宋体" w:cs="宋体"/>
          <w:color w:val="000000"/>
          <w:sz w:val="24"/>
          <w:szCs w:val="24"/>
          <w:highlight w:val="none"/>
          <w:shd w:val="clear" w:color="auto" w:fill="ffff00"/>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9.</w:t>
      </w:r>
      <w:r>
        <w:rPr>
          <w:rFonts w:hint="eastAsia" w:ascii="宋体" w:hAnsi="宋体" w:eastAsia="宋体" w:cs="宋体"/>
          <w:i w:val="0"/>
          <w:iCs w:val="0"/>
          <w:caps w:val="0"/>
          <w:color w:val="333333"/>
          <w:spacing w:val="0"/>
          <w:sz w:val="24"/>
          <w:szCs w:val="24"/>
          <w:highlight w:val="none"/>
          <w:shd w:val="clear" w:color="auto" w:fill="ffffff"/>
        </w:rPr>
        <w:t xml:space="preserve">本项目（是/否）接受联合体投标：否</w:t>
      </w:r>
      <w:r>
        <w:rPr>
          <w:rFonts w:hint="eastAsia" w:ascii="宋体" w:hAnsi="宋体" w:eastAsia="宋体" w:cs="宋体"/>
          <w:color w:val="000000"/>
          <w:sz w:val="24"/>
          <w:szCs w:val="24"/>
          <w:highlight w:val="none"/>
          <w:shd w:val="clear" w:color="auto" w:fill="ffff00"/>
        </w:rPr>
      </w:r>
      <w:r/>
    </w:p>
    <w:p>
      <w:pPr>
        <w:pStyle w:val="698"/>
        <w:ind w:firstLine="482"/>
        <w:jc w:val="both"/>
        <w:keepLines/>
        <w:keepNext/>
        <w:pageBreakBefore w:val="0"/>
        <w:spacing w:beforeAutospacing="0" w:afterAutospacing="0" w:line="400" w:lineRule="exact"/>
        <w:rPr>
          <w:rFonts w:hint="eastAsia" w:ascii="宋体" w:hAnsi="宋体" w:eastAsia="宋体" w:cs="宋体"/>
          <w:sz w:val="24"/>
          <w:szCs w:val="24"/>
          <w:highlight w:val="none"/>
        </w:rPr>
      </w:pPr>
      <w:r/>
      <w:bookmarkStart w:id="13" w:name="_Toc35393622"/>
      <w:r/>
      <w:bookmarkStart w:id="14" w:name="_Toc28359080"/>
      <w:r/>
      <w:bookmarkStart w:id="15" w:name="_Toc38985264"/>
      <w:r/>
      <w:bookmarkStart w:id="16" w:name="_Toc35393791"/>
      <w:r/>
      <w:bookmarkStart w:id="17" w:name="_Toc28359003"/>
      <w:r>
        <w:rPr>
          <w:rFonts w:hint="eastAsia" w:ascii="宋体" w:hAnsi="宋体" w:eastAsia="宋体" w:cs="宋体"/>
          <w:b/>
          <w:color w:val="000000"/>
          <w:sz w:val="24"/>
          <w:szCs w:val="24"/>
          <w:highlight w:val="none"/>
        </w:rPr>
        <w:t xml:space="preserve">二、申请人的资格要求：</w:t>
      </w:r>
      <w:bookmarkEnd w:id="13"/>
      <w:r/>
      <w:bookmarkEnd w:id="14"/>
      <w:r/>
      <w:bookmarkEnd w:id="15"/>
      <w:r/>
      <w:bookmarkEnd w:id="16"/>
      <w:r/>
      <w:bookmarkEnd w:id="17"/>
      <w:r>
        <w:rPr>
          <w:rFonts w:hint="eastAsia" w:ascii="宋体" w:hAnsi="宋体" w:eastAsia="宋体" w:cs="宋体"/>
          <w:sz w:val="24"/>
          <w:szCs w:val="24"/>
          <w:highlight w:val="none"/>
        </w:rPr>
      </w:r>
      <w:r/>
    </w:p>
    <w:p>
      <w:pPr>
        <w:pStyle w:val="698"/>
        <w:ind w:right="0" w:firstLine="480"/>
        <w:jc w:val="both"/>
        <w:pageBreakBefore w:val="0"/>
        <w:spacing w:beforeAutospacing="0" w:afterAutospacing="0"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（一）满足《中华人民共和国政府采购法》第二十二条规定：</w:t>
      </w:r>
      <w:r>
        <w:rPr>
          <w:rFonts w:hint="eastAsia" w:ascii="宋体" w:hAnsi="宋体" w:eastAsia="宋体" w:cs="宋体"/>
          <w:color w:val="000000"/>
          <w:sz w:val="24"/>
          <w:szCs w:val="24"/>
          <w:highlight w:val="none"/>
        </w:rPr>
      </w:r>
      <w:r/>
    </w:p>
    <w:p>
      <w:pPr>
        <w:pStyle w:val="698"/>
        <w:ind w:right="0" w:firstLine="480"/>
        <w:jc w:val="both"/>
        <w:pageBreakBefore w:val="0"/>
        <w:spacing w:beforeAutospacing="0" w:afterAutospacing="0"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1.法人或者其他组织的营业执照等证明文件，自然人的身份证明；</w:t>
      </w:r>
      <w:r>
        <w:rPr>
          <w:rFonts w:hint="eastAsia" w:ascii="宋体" w:hAnsi="宋体" w:eastAsia="宋体" w:cs="宋体"/>
          <w:color w:val="000000"/>
          <w:sz w:val="24"/>
          <w:szCs w:val="24"/>
          <w:highlight w:val="none"/>
        </w:rPr>
      </w:r>
      <w:r/>
    </w:p>
    <w:p>
      <w:pPr>
        <w:pStyle w:val="698"/>
        <w:ind w:right="0" w:firstLine="480"/>
        <w:jc w:val="both"/>
        <w:pageBreakBefore w:val="0"/>
        <w:spacing w:beforeAutospacing="0" w:afterAutospacing="0"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2.上一年度的财务状况报</w:t>
      </w:r>
      <w:r>
        <w:rPr>
          <w:rFonts w:hint="eastAsia" w:ascii="宋体" w:hAnsi="宋体" w:cs="宋体"/>
          <w:color w:val="000000"/>
          <w:sz w:val="24"/>
          <w:szCs w:val="24"/>
          <w:highlight w:val="none"/>
          <w:lang w:val="en-US" w:eastAsia="zh-CN"/>
        </w:rPr>
        <w:t xml:space="preserve">表</w:t>
      </w:r>
      <w:r>
        <w:rPr>
          <w:rFonts w:hint="eastAsia" w:ascii="宋体" w:hAnsi="宋体" w:eastAsia="宋体" w:cs="宋体"/>
          <w:color w:val="000000"/>
          <w:sz w:val="24"/>
          <w:szCs w:val="24"/>
          <w:highlight w:val="none"/>
        </w:rPr>
        <w:t xml:space="preserve">（成立不满一年不需提供，提供2024年度或2025年度均可）；</w:t>
      </w:r>
      <w:r>
        <w:rPr>
          <w:rFonts w:hint="eastAsia" w:ascii="宋体" w:hAnsi="宋体" w:eastAsia="宋体" w:cs="宋体"/>
          <w:color w:val="000000"/>
          <w:sz w:val="24"/>
          <w:szCs w:val="24"/>
          <w:highlight w:val="none"/>
        </w:rPr>
      </w:r>
      <w:r/>
    </w:p>
    <w:p>
      <w:pPr>
        <w:pStyle w:val="698"/>
        <w:ind w:right="0" w:firstLine="480"/>
        <w:jc w:val="both"/>
        <w:pageBreakBefore w:val="0"/>
        <w:spacing w:beforeAutospacing="0" w:afterAutospacing="0"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3.具备履行合同所必需的设备和专业技术能力的书面声明；</w:t>
      </w:r>
      <w:r>
        <w:rPr>
          <w:rFonts w:hint="eastAsia" w:ascii="宋体" w:hAnsi="宋体" w:eastAsia="宋体" w:cs="宋体"/>
          <w:color w:val="000000"/>
          <w:sz w:val="24"/>
          <w:szCs w:val="24"/>
          <w:highlight w:val="none"/>
        </w:rPr>
      </w:r>
      <w:r/>
    </w:p>
    <w:p>
      <w:pPr>
        <w:pStyle w:val="698"/>
        <w:ind w:right="0" w:firstLine="480"/>
        <w:jc w:val="both"/>
        <w:pageBreakBefore w:val="0"/>
        <w:spacing w:beforeAutospacing="0" w:afterAutospacing="0"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4.依法缴纳税收和社会保障资金的相关材料（提供提交响应文件截止时间前一年内至少一个月依法缴纳税收</w:t>
      </w:r>
      <w:r>
        <w:rPr>
          <w:rFonts w:hint="eastAsia" w:ascii="宋体" w:hAnsi="宋体" w:eastAsia="宋体" w:cs="宋体"/>
          <w:color w:val="000000"/>
          <w:sz w:val="24"/>
          <w:szCs w:val="24"/>
          <w:highlight w:val="none"/>
          <w:lang w:eastAsia="zh-CN"/>
        </w:rPr>
        <w:t xml:space="preserve">及</w:t>
      </w:r>
      <w:r>
        <w:rPr>
          <w:rFonts w:hint="eastAsia" w:ascii="宋体" w:hAnsi="宋体" w:eastAsia="宋体" w:cs="宋体"/>
          <w:color w:val="000000"/>
          <w:sz w:val="24"/>
          <w:szCs w:val="24"/>
          <w:highlight w:val="none"/>
        </w:rPr>
        <w:t xml:space="preserve">社会保障资金的证明材料。供应商依法享受缓缴、免缴税收、社会保障资金的</w:t>
      </w:r>
      <w:r>
        <w:rPr>
          <w:rFonts w:hint="eastAsia" w:ascii="宋体" w:hAnsi="宋体" w:eastAsia="宋体" w:cs="宋体"/>
          <w:color w:val="000000"/>
          <w:sz w:val="24"/>
          <w:szCs w:val="24"/>
          <w:highlight w:val="none"/>
          <w:lang w:eastAsia="zh-CN"/>
        </w:rPr>
        <w:t xml:space="preserve">，提供</w:t>
      </w:r>
      <w:r>
        <w:rPr>
          <w:rFonts w:hint="eastAsia" w:ascii="宋体" w:hAnsi="宋体" w:eastAsia="宋体" w:cs="宋体"/>
          <w:color w:val="000000"/>
          <w:sz w:val="24"/>
          <w:szCs w:val="24"/>
          <w:highlight w:val="none"/>
        </w:rPr>
        <w:t xml:space="preserve">证明材料）；</w:t>
      </w:r>
      <w:r>
        <w:rPr>
          <w:rFonts w:hint="eastAsia" w:ascii="宋体" w:hAnsi="宋体" w:eastAsia="宋体" w:cs="宋体"/>
          <w:color w:val="000000"/>
          <w:sz w:val="24"/>
          <w:szCs w:val="24"/>
          <w:highlight w:val="none"/>
        </w:rPr>
      </w:r>
      <w:r/>
    </w:p>
    <w:p>
      <w:pPr>
        <w:pStyle w:val="698"/>
        <w:ind w:right="0" w:firstLine="480"/>
        <w:jc w:val="both"/>
        <w:pageBreakBefore w:val="0"/>
        <w:spacing w:beforeAutospacing="0" w:afterAutospacing="0"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5.参加政府采购活动前3年内在经营活动中没有重大违法记录的书面声明；</w:t>
      </w:r>
      <w:r>
        <w:rPr>
          <w:rFonts w:hint="eastAsia" w:ascii="宋体" w:hAnsi="宋体" w:eastAsia="宋体" w:cs="宋体"/>
          <w:color w:val="000000"/>
          <w:sz w:val="24"/>
          <w:szCs w:val="24"/>
          <w:highlight w:val="none"/>
        </w:rPr>
      </w:r>
      <w:r/>
    </w:p>
    <w:p>
      <w:pPr>
        <w:pStyle w:val="698"/>
        <w:ind w:right="0" w:firstLine="480"/>
        <w:jc w:val="both"/>
        <w:pageBreakBefore w:val="0"/>
        <w:spacing w:beforeAutospacing="0" w:afterAutospacing="0"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宋体" w:hAnsi="宋体" w:eastAsia="宋体" w:cs="宋体"/>
          <w:color w:val="000000"/>
          <w:sz w:val="24"/>
          <w:szCs w:val="24"/>
          <w:highlight w:val="none"/>
        </w:rPr>
      </w:r>
      <w:r/>
    </w:p>
    <w:p>
      <w:pPr>
        <w:pStyle w:val="698"/>
        <w:ind w:firstLine="480"/>
        <w:jc w:val="both"/>
        <w:pageBreakBefore w:val="0"/>
        <w:spacing w:beforeAutospacing="0" w:afterAutospacing="0" w:line="40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rPr>
        <w:t xml:space="preserve">7.单位负责人为同一人或者存在直接控股、管理关系的不同供应商，不得参加同一合同项下的政府采购活动。</w:t>
      </w:r>
      <w:r>
        <w:rPr>
          <w:rFonts w:hint="eastAsia" w:ascii="宋体" w:hAnsi="宋体" w:eastAsia="宋体" w:cs="宋体"/>
          <w:color w:val="000000"/>
          <w:sz w:val="24"/>
          <w:szCs w:val="24"/>
          <w:highlight w:val="none"/>
          <w:shd w:val="clear" w:color="auto" w:fill="auto"/>
        </w:rPr>
      </w:r>
      <w:r/>
    </w:p>
    <w:p>
      <w:pPr>
        <w:pStyle w:val="698"/>
        <w:ind w:right="0" w:firstLine="480"/>
        <w:jc w:val="both"/>
        <w:pageBreakBefore w:val="0"/>
        <w:spacing w:beforeAutospacing="0" w:afterAutospacing="0"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（二）落实政府采购政策需满足的资格要求：</w:t>
      </w:r>
      <w:r>
        <w:rPr>
          <w:rFonts w:hint="eastAsia" w:ascii="宋体" w:hAnsi="宋体" w:eastAsia="宋体" w:cs="宋体"/>
          <w:color w:val="000000"/>
          <w:sz w:val="24"/>
          <w:szCs w:val="24"/>
          <w:highlight w:val="none"/>
        </w:rPr>
      </w:r>
      <w:r/>
    </w:p>
    <w:p>
      <w:pPr>
        <w:pStyle w:val="698"/>
        <w:numPr>
          <w:ilvl w:val="0"/>
          <w:numId w:val="0"/>
        </w:numPr>
        <w:ind w:right="0" w:firstLine="480"/>
        <w:jc w:val="both"/>
        <w:keepLines/>
        <w:keepNext/>
        <w:pageBreakBefore w:val="0"/>
        <w:spacing w:beforeAutospacing="0" w:afterAutospacing="0"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采购标的所属行业为工业，为非预留份额的采购项目，执行价格扣除优惠政策，给予小微型企业、监狱企业或残疾人福利性单位报价20%的扣除，用扣除后的价格参加评审。价格扣除比例对小型企业和微型企业同等对待，不作区分。监狱企业、残疾人福利单位属于小型、微型企业的，不重复享受政策。2、本项目实施本国产品价格评审优惠政策，提供《关于符合本国产品标准的声明函》。</w:t>
      </w:r>
      <w:r>
        <w:rPr>
          <w:rFonts w:hint="eastAsia" w:ascii="宋体" w:hAnsi="宋体" w:eastAsia="宋体" w:cs="宋体"/>
          <w:color w:val="000000"/>
          <w:sz w:val="24"/>
          <w:szCs w:val="24"/>
          <w:highlight w:val="none"/>
        </w:rPr>
      </w:r>
      <w:r/>
    </w:p>
    <w:p>
      <w:pPr>
        <w:pStyle w:val="698"/>
        <w:numPr>
          <w:ilvl w:val="0"/>
          <w:numId w:val="0"/>
        </w:numPr>
        <w:ind w:right="0" w:firstLine="480"/>
        <w:jc w:val="both"/>
        <w:keepLines/>
        <w:keepNext/>
        <w:pageBreakBefore w:val="0"/>
        <w:spacing w:beforeAutospacing="0" w:afterAutospacing="0"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本项目的特定资格要求：</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r>
      <w:r/>
    </w:p>
    <w:p>
      <w:pPr>
        <w:pStyle w:val="698"/>
        <w:ind w:firstLine="480"/>
        <w:jc w:val="both"/>
        <w:keepLines/>
        <w:keepNext/>
        <w:pageBreakBefore w:val="0"/>
        <w:spacing w:beforeAutospacing="0" w:afterAutospacing="0" w:line="40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项目负责人从本工程响应文件递交截止之日起必须满足下列条件：</w:t>
      </w:r>
      <w:r>
        <w:rPr>
          <w:rFonts w:hint="eastAsia" w:ascii="宋体" w:hAnsi="宋体" w:cs="宋体"/>
          <w:color w:val="000000"/>
          <w:sz w:val="24"/>
          <w:szCs w:val="24"/>
          <w:highlight w:val="none"/>
          <w:lang w:val="en-US" w:eastAsia="zh-CN"/>
        </w:rPr>
      </w:r>
      <w:r/>
    </w:p>
    <w:p>
      <w:pPr>
        <w:pStyle w:val="698"/>
        <w:ind w:firstLine="480"/>
        <w:jc w:val="both"/>
        <w:keepLines/>
        <w:keepNext/>
        <w:pageBreakBefore w:val="0"/>
        <w:spacing w:beforeAutospacing="0" w:afterAutospacing="0" w:line="40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投标申请人须保证项目负责人为本单位的正式职工，并确保从投标截止之日当月向前连续3个月均已在本单位缴纳养老保险（例：如开标日期为2021年10月的某一天，则投标单位需保证以上人员2021年6月-2021年9月任意连续3个月的养老保险均在本单位缴纳），投标时需提供从投标截止之日当月向前连续3个月缴费记录证明（如投标单位成立不满一年，则提供项目负责人从投标截止之日当月向前连续3个月中至少1个月的养老保险缴费记录证明）。</w:t>
      </w:r>
      <w:r>
        <w:rPr>
          <w:rFonts w:hint="eastAsia" w:ascii="宋体" w:hAnsi="宋体" w:cs="宋体"/>
          <w:color w:val="000000"/>
          <w:sz w:val="24"/>
          <w:szCs w:val="24"/>
          <w:highlight w:val="none"/>
          <w:lang w:val="en-US" w:eastAsia="zh-CN"/>
        </w:rPr>
      </w:r>
      <w:r/>
    </w:p>
    <w:p>
      <w:pPr>
        <w:pStyle w:val="698"/>
        <w:ind w:firstLine="482"/>
        <w:jc w:val="both"/>
        <w:keepLines/>
        <w:keepNext/>
        <w:pageBreakBefore w:val="0"/>
        <w:spacing w:beforeAutospacing="0" w:afterAutospacing="0" w:line="400" w:lineRule="exact"/>
        <w:rPr>
          <w:rFonts w:hint="eastAsia" w:ascii="宋体" w:hAnsi="宋体" w:eastAsia="宋体" w:cs="宋体"/>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三、获取招标文件</w:t>
      </w:r>
      <w:r>
        <w:rPr>
          <w:rFonts w:hint="eastAsia" w:ascii="宋体" w:hAnsi="宋体" w:eastAsia="宋体" w:cs="宋体"/>
          <w:sz w:val="24"/>
          <w:szCs w:val="24"/>
          <w:highlight w:val="none"/>
          <w:shd w:val="clear" w:color="auto" w:fill="auto"/>
        </w:rPr>
      </w:r>
      <w:r/>
    </w:p>
    <w:p>
      <w:pPr>
        <w:pStyle w:val="680"/>
        <w:ind w:firstLine="480"/>
        <w:keepLines w:val="0"/>
        <w:keepNext w:val="0"/>
        <w:pageBreakBefore w:val="0"/>
        <w:spacing w:line="400" w:lineRule="exact"/>
        <w:widowControl w:val="off"/>
        <w:rPr>
          <w:rFonts w:hint="eastAsia"/>
          <w:sz w:val="24"/>
          <w:szCs w:val="32"/>
        </w:rPr>
      </w:pPr>
      <w:r/>
      <w:bookmarkStart w:id="18" w:name="_Toc28359082"/>
      <w:r/>
      <w:bookmarkStart w:id="19" w:name="_Toc35393793"/>
      <w:r/>
      <w:bookmarkStart w:id="20" w:name="_Toc38985266"/>
      <w:r/>
      <w:bookmarkStart w:id="21" w:name="_Toc35393624"/>
      <w:r/>
      <w:bookmarkStart w:id="22" w:name="_Toc28359005"/>
      <w:r>
        <w:rPr>
          <w:rFonts w:hint="eastAsia"/>
          <w:sz w:val="24"/>
          <w:szCs w:val="32"/>
        </w:rPr>
        <w:t xml:space="preserve">1.时间：</w:t>
      </w:r>
      <w:bookmarkEnd w:id="18"/>
      <w:r/>
      <w:bookmarkEnd w:id="19"/>
      <w:r/>
      <w:bookmarkEnd w:id="20"/>
      <w:r/>
      <w:bookmarkEnd w:id="21"/>
      <w:r/>
      <w:bookmarkEnd w:id="22"/>
      <w:r>
        <w:rPr>
          <w:rFonts w:hint="eastAsia"/>
          <w:sz w:val="24"/>
          <w:szCs w:val="32"/>
          <w:lang w:val="en-US" w:eastAsia="zh-CN"/>
        </w:rPr>
        <w:t xml:space="preserve">自招标文件公告发布之日起5个工作日</w:t>
      </w:r>
      <w:r>
        <w:rPr>
          <w:rFonts w:hint="eastAsia"/>
          <w:sz w:val="24"/>
          <w:szCs w:val="32"/>
        </w:rPr>
      </w:r>
      <w:r/>
    </w:p>
    <w:p>
      <w:pPr>
        <w:pStyle w:val="680"/>
        <w:ind w:firstLine="480"/>
        <w:keepLines w:val="0"/>
        <w:keepNext w:val="0"/>
        <w:pageBreakBefore w:val="0"/>
        <w:spacing w:line="400" w:lineRule="exact"/>
        <w:widowControl w:val="off"/>
        <w:rPr>
          <w:rFonts w:hint="eastAsia"/>
          <w:sz w:val="24"/>
          <w:szCs w:val="32"/>
          <w:lang w:val="en-US" w:eastAsia="zh-CN"/>
        </w:rPr>
      </w:pPr>
      <w:r>
        <w:rPr>
          <w:rFonts w:hint="eastAsia"/>
          <w:sz w:val="24"/>
          <w:szCs w:val="32"/>
          <w:lang w:val="en-US" w:eastAsia="zh-CN"/>
        </w:rPr>
        <w:t xml:space="preserve">2.地点：“苏采云”系统内免费下载（供应商必须在苏采云系统中获取采购文件，方能参与政府采购项目）</w:t>
      </w:r>
      <w:r>
        <w:rPr>
          <w:rFonts w:hint="eastAsia"/>
          <w:sz w:val="24"/>
          <w:szCs w:val="32"/>
          <w:lang w:val="en-US" w:eastAsia="zh-CN"/>
        </w:rPr>
      </w:r>
      <w:r/>
    </w:p>
    <w:p>
      <w:pPr>
        <w:pStyle w:val="680"/>
        <w:ind w:firstLine="480"/>
        <w:keepLines w:val="0"/>
        <w:keepNext w:val="0"/>
        <w:pageBreakBefore w:val="0"/>
        <w:spacing w:line="400" w:lineRule="exact"/>
        <w:widowControl w:val="off"/>
        <w:rPr>
          <w:rFonts w:hint="eastAsia"/>
          <w:sz w:val="24"/>
          <w:szCs w:val="32"/>
          <w:lang w:val="en-US" w:eastAsia="zh-CN"/>
        </w:rPr>
      </w:pPr>
      <w:r>
        <w:rPr>
          <w:rFonts w:hint="eastAsia"/>
          <w:sz w:val="24"/>
          <w:szCs w:val="32"/>
          <w:lang w:val="en-US" w:eastAsia="zh-CN"/>
        </w:rPr>
        <w:t xml:space="preserve">3.方式：本项目采用网上注册登记方式</w:t>
      </w:r>
      <w:r>
        <w:rPr>
          <w:rFonts w:hint="eastAsia"/>
          <w:sz w:val="24"/>
          <w:szCs w:val="32"/>
          <w:lang w:val="en-US" w:eastAsia="zh-CN"/>
        </w:rPr>
      </w:r>
      <w:r/>
    </w:p>
    <w:p>
      <w:pPr>
        <w:pStyle w:val="680"/>
        <w:ind w:firstLine="480"/>
        <w:keepLines w:val="0"/>
        <w:keepNext w:val="0"/>
        <w:pageBreakBefore w:val="0"/>
        <w:spacing w:line="400" w:lineRule="exact"/>
        <w:widowControl w:val="off"/>
        <w:rPr>
          <w:rFonts w:hint="eastAsia"/>
          <w:sz w:val="24"/>
          <w:szCs w:val="32"/>
        </w:rPr>
      </w:pPr>
      <w:r>
        <w:rPr>
          <w:rFonts w:hint="eastAsia"/>
          <w:sz w:val="24"/>
          <w:szCs w:val="32"/>
          <w:lang w:val="en-US" w:eastAsia="zh-CN"/>
        </w:rPr>
        <w:t xml:space="preserve">4.售价：0元</w:t>
      </w:r>
      <w:r>
        <w:rPr>
          <w:rFonts w:hint="eastAsia"/>
          <w:sz w:val="24"/>
          <w:szCs w:val="32"/>
        </w:rPr>
      </w:r>
      <w:r/>
    </w:p>
    <w:p>
      <w:pPr>
        <w:pStyle w:val="698"/>
        <w:ind w:firstLine="482"/>
        <w:jc w:val="both"/>
        <w:keepLines/>
        <w:keepNext/>
        <w:pageBreakBefore w:val="0"/>
        <w:spacing w:beforeAutospacing="0" w:afterAutospacing="0" w:line="400" w:lineRule="exact"/>
        <w:rPr>
          <w:rFonts w:hint="eastAsia" w:ascii="宋体" w:hAnsi="宋体" w:eastAsia="宋体" w:cs="宋体"/>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四、提交投标文件截止时间、开标时间和地点</w:t>
      </w:r>
      <w:r>
        <w:rPr>
          <w:rFonts w:hint="eastAsia" w:ascii="宋体" w:hAnsi="宋体" w:eastAsia="宋体" w:cs="宋体"/>
          <w:sz w:val="24"/>
          <w:szCs w:val="24"/>
          <w:highlight w:val="none"/>
          <w:shd w:val="clear" w:color="auto" w:fill="auto"/>
        </w:rPr>
      </w:r>
      <w:r/>
    </w:p>
    <w:p>
      <w:pPr>
        <w:pStyle w:val="680"/>
        <w:ind w:firstLine="480"/>
        <w:keepLines w:val="0"/>
        <w:keepNext w:val="0"/>
        <w:pageBreakBefore w:val="0"/>
        <w:spacing w:line="400" w:lineRule="exact"/>
        <w:widowControl w:val="off"/>
        <w:rPr>
          <w:rFonts w:hint="eastAsia"/>
          <w:sz w:val="24"/>
          <w:szCs w:val="32"/>
          <w:highlight w:val="none"/>
          <w:lang w:val="en-US" w:eastAsia="zh-CN"/>
        </w:rPr>
      </w:pPr>
      <w:r>
        <w:rPr>
          <w:rFonts w:hint="eastAsia"/>
          <w:sz w:val="24"/>
          <w:szCs w:val="32"/>
          <w:highlight w:val="none"/>
          <w:lang w:val="en-US" w:eastAsia="zh-CN"/>
        </w:rPr>
        <w:t xml:space="preserve">1.时间：</w:t>
      </w:r>
      <w:r>
        <w:rPr>
          <w:rFonts w:hint="eastAsia" w:ascii="宋体" w:hAnsi="宋体" w:eastAsia="宋体" w:cs="宋体"/>
          <w:color w:val="000000"/>
          <w:sz w:val="24"/>
          <w:highlight w:val="none"/>
          <w:u w:val="single"/>
          <w:lang w:val="en-US" w:eastAsia="zh-CN"/>
        </w:rPr>
        <w:t xml:space="preserve">2026-</w:t>
      </w:r>
      <w:r>
        <w:rPr>
          <w:rFonts w:hint="eastAsia" w:ascii="宋体" w:hAnsi="宋体" w:cs="宋体"/>
          <w:color w:val="000000"/>
          <w:sz w:val="24"/>
          <w:highlight w:val="none"/>
          <w:u w:val="single"/>
          <w:lang w:val="en-US" w:eastAsia="zh-CN"/>
        </w:rPr>
        <w:t xml:space="preserve">05</w:t>
      </w:r>
      <w:r>
        <w:rPr>
          <w:rFonts w:hint="eastAsia" w:ascii="宋体" w:hAnsi="宋体" w:eastAsia="宋体" w:cs="宋体"/>
          <w:color w:val="000000"/>
          <w:sz w:val="24"/>
          <w:highlight w:val="none"/>
          <w:u w:val="single"/>
          <w:lang w:val="en-US" w:eastAsia="zh-CN"/>
        </w:rPr>
        <w:t xml:space="preserve">-</w:t>
      </w:r>
      <w:r>
        <w:rPr>
          <w:rFonts w:hint="eastAsia" w:ascii="宋体" w:hAnsi="宋体" w:cs="宋体"/>
          <w:color w:val="000000"/>
          <w:sz w:val="24"/>
          <w:highlight w:val="none"/>
          <w:u w:val="single"/>
          <w:lang w:val="en-US" w:eastAsia="zh-CN"/>
        </w:rPr>
        <w:t xml:space="preserve">20 10</w:t>
      </w:r>
      <w:r>
        <w:rPr>
          <w:rFonts w:hint="eastAsia" w:ascii="宋体" w:hAnsi="宋体" w:eastAsia="宋体" w:cs="宋体"/>
          <w:color w:val="000000"/>
          <w:sz w:val="24"/>
          <w:highlight w:val="none"/>
          <w:u w:val="single"/>
          <w:lang w:val="en-US" w:eastAsia="zh-CN"/>
        </w:rPr>
        <w:t xml:space="preserve">:</w:t>
      </w:r>
      <w:r>
        <w:rPr>
          <w:rFonts w:hint="eastAsia" w:ascii="宋体" w:hAnsi="宋体" w:cs="宋体"/>
          <w:color w:val="000000"/>
          <w:sz w:val="24"/>
          <w:highlight w:val="none"/>
          <w:u w:val="single"/>
          <w:lang w:val="en-US" w:eastAsia="zh-CN"/>
        </w:rPr>
        <w:t xml:space="preserve">0</w:t>
      </w:r>
      <w:r>
        <w:rPr>
          <w:rFonts w:hint="eastAsia" w:ascii="宋体" w:hAnsi="宋体" w:eastAsia="宋体" w:cs="宋体"/>
          <w:color w:val="000000"/>
          <w:sz w:val="24"/>
          <w:highlight w:val="none"/>
          <w:u w:val="single"/>
          <w:lang w:val="en-US" w:eastAsia="zh-CN"/>
        </w:rPr>
        <w:t xml:space="preserve">0</w:t>
      </w:r>
      <w:r>
        <w:rPr>
          <w:rFonts w:hint="eastAsia" w:ascii="宋体" w:hAnsi="宋体" w:eastAsia="宋体" w:cs="宋体"/>
          <w:color w:val="000000"/>
          <w:sz w:val="24"/>
          <w:highlight w:val="none"/>
          <w:lang w:val="en-US" w:eastAsia="zh-CN"/>
        </w:rPr>
        <w:t xml:space="preserve">（北京时间）</w:t>
      </w:r>
      <w:r>
        <w:rPr>
          <w:rFonts w:hint="eastAsia"/>
          <w:sz w:val="24"/>
          <w:szCs w:val="32"/>
          <w:highlight w:val="none"/>
          <w:lang w:val="en-US" w:eastAsia="zh-CN"/>
        </w:rPr>
      </w:r>
      <w:r/>
    </w:p>
    <w:p>
      <w:pPr>
        <w:pStyle w:val="680"/>
        <w:ind w:firstLine="480"/>
        <w:keepLines w:val="0"/>
        <w:keepNext w:val="0"/>
        <w:pageBreakBefore w:val="0"/>
        <w:spacing w:line="400" w:lineRule="exact"/>
        <w:widowControl w:val="off"/>
        <w:rPr>
          <w:rFonts w:hint="eastAsia"/>
          <w:sz w:val="24"/>
          <w:szCs w:val="32"/>
          <w:lang w:val="en-US" w:eastAsia="zh-CN"/>
        </w:rPr>
      </w:pPr>
      <w:r>
        <w:rPr>
          <w:rFonts w:hint="eastAsia"/>
          <w:sz w:val="24"/>
          <w:szCs w:val="32"/>
          <w:lang w:val="en-US" w:eastAsia="zh-CN"/>
        </w:rPr>
        <w:t xml:space="preserve">2.地点：苏采云“不见面”开标大厅 </w:t>
      </w:r>
      <w:r>
        <w:rPr>
          <w:rFonts w:hint="eastAsia"/>
          <w:sz w:val="24"/>
          <w:szCs w:val="32"/>
          <w:lang w:val="en-US" w:eastAsia="zh-CN"/>
        </w:rPr>
      </w:r>
      <w:r/>
    </w:p>
    <w:p>
      <w:pPr>
        <w:pStyle w:val="698"/>
        <w:ind w:firstLine="482"/>
        <w:jc w:val="both"/>
        <w:keepLines/>
        <w:keepNext/>
        <w:pageBreakBefore w:val="0"/>
        <w:spacing w:beforeAutospacing="0" w:afterAutospacing="0" w:line="400" w:lineRule="exact"/>
        <w:rPr>
          <w:rFonts w:hint="eastAsia" w:ascii="宋体" w:hAnsi="宋体" w:eastAsia="宋体" w:cs="宋体"/>
          <w:sz w:val="24"/>
          <w:szCs w:val="24"/>
          <w:highlight w:val="none"/>
        </w:rPr>
      </w:pPr>
      <w:r/>
      <w:bookmarkStart w:id="23" w:name="_Toc38985267"/>
      <w:r/>
      <w:bookmarkStart w:id="24" w:name="_Toc35393625"/>
      <w:r/>
      <w:bookmarkStart w:id="25" w:name="_Toc28359007"/>
      <w:r/>
      <w:bookmarkStart w:id="26" w:name="_Toc35393794"/>
      <w:r/>
      <w:bookmarkStart w:id="27" w:name="_Toc28359084"/>
      <w:r>
        <w:rPr>
          <w:rFonts w:hint="eastAsia" w:ascii="宋体" w:hAnsi="宋体" w:eastAsia="宋体" w:cs="宋体"/>
          <w:b/>
          <w:color w:val="000000"/>
          <w:sz w:val="24"/>
          <w:szCs w:val="24"/>
          <w:highlight w:val="none"/>
        </w:rPr>
        <w:t xml:space="preserve">五、公告期限</w:t>
      </w:r>
      <w:bookmarkEnd w:id="23"/>
      <w:r/>
      <w:bookmarkEnd w:id="24"/>
      <w:r/>
      <w:bookmarkEnd w:id="25"/>
      <w:r/>
      <w:bookmarkEnd w:id="26"/>
      <w:r/>
      <w:bookmarkEnd w:id="27"/>
      <w:r>
        <w:rPr>
          <w:rFonts w:hint="eastAsia" w:ascii="宋体" w:hAnsi="宋体" w:eastAsia="宋体" w:cs="宋体"/>
          <w:sz w:val="24"/>
          <w:szCs w:val="24"/>
          <w:highlight w:val="none"/>
        </w:rPr>
      </w:r>
      <w:r/>
    </w:p>
    <w:p>
      <w:pPr>
        <w:pStyle w:val="698"/>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bookmarkStart w:id="28" w:name="_Toc35393626"/>
      <w:r/>
      <w:bookmarkStart w:id="29" w:name="_Toc38985268"/>
      <w:r/>
      <w:bookmarkStart w:id="30" w:name="_Toc35393795"/>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自本公告发布之日起5个工作日。</w:t>
      </w:r>
      <w:bookmarkEnd w:id="28"/>
      <w:r/>
      <w:bookmarkEnd w:id="29"/>
      <w:r/>
      <w:bookmarkEnd w:id="30"/>
      <w:r>
        <w:rPr>
          <w:rFonts w:hint="eastAsia" w:ascii="宋体" w:hAnsi="宋体" w:eastAsia="宋体" w:cs="宋体"/>
          <w:i w:val="0"/>
          <w:iCs w:val="0"/>
          <w:caps w:val="0"/>
          <w:color w:val="333333"/>
          <w:spacing w:val="0"/>
          <w:sz w:val="24"/>
          <w:szCs w:val="24"/>
          <w:highlight w:val="none"/>
          <w:shd w:val="clear" w:color="auto" w:fill="ffffff"/>
          <w:lang w:val="en-US" w:eastAsia="zh-CN"/>
        </w:rPr>
      </w:r>
      <w:r/>
    </w:p>
    <w:p>
      <w:pPr>
        <w:pStyle w:val="698"/>
        <w:ind w:firstLine="482"/>
        <w:jc w:val="both"/>
        <w:keepLines/>
        <w:keepNext/>
        <w:pageBreakBefore w:val="0"/>
        <w:spacing w:beforeAutospacing="0" w:afterAutospacing="0" w:line="400" w:lineRule="exact"/>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六、其他补充事宜</w:t>
      </w:r>
      <w:r>
        <w:rPr>
          <w:rFonts w:hint="eastAsia" w:ascii="宋体" w:hAnsi="宋体" w:eastAsia="宋体" w:cs="宋体"/>
          <w:sz w:val="24"/>
          <w:szCs w:val="24"/>
          <w:highlight w:val="none"/>
        </w:rPr>
      </w:r>
      <w:r/>
    </w:p>
    <w:p>
      <w:pPr>
        <w:pStyle w:val="681"/>
        <w:ind w:left="0" w:right="0" w:firstLine="48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bookmarkStart w:id="31" w:name="_Toc28359018"/>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r>
      <w:r/>
    </w:p>
    <w:p>
      <w:pPr>
        <w:pStyle w:val="681"/>
        <w:ind w:left="0" w:right="0" w:firstLine="48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领取CA和办理电子签章（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r>
      <w:r/>
    </w:p>
    <w:p>
      <w:pPr>
        <w:pStyle w:val="681"/>
        <w:ind w:left="0" w:right="0" w:firstLine="48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其他地区客服热线详见江苏政府采购网http://www.ccgp-jiangsu.gov.cn/jiangsu/bridge_page.html?_t=1775731692511</w:t>
      </w: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r>
      <w:r/>
    </w:p>
    <w:p>
      <w:pPr>
        <w:pStyle w:val="681"/>
        <w:ind w:left="0" w:right="0" w:firstLine="48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2. 潜在供应商访问电子招标响应交易平台的网络地址和方法：</w:t>
      </w: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r>
      <w:r/>
    </w:p>
    <w:p>
      <w:pPr>
        <w:pStyle w:val="681"/>
        <w:ind w:left="0" w:right="0" w:firstLine="48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r>
      <w:r/>
    </w:p>
    <w:p>
      <w:pPr>
        <w:pStyle w:val="681"/>
        <w:ind w:left="0" w:right="0" w:firstLine="48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2.2 潜在投标人访问“苏采云”系统方法：江苏省政府采购网首页-“苏采云”链接。</w:t>
      </w: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r>
      <w:r/>
    </w:p>
    <w:p>
      <w:pPr>
        <w:pStyle w:val="681"/>
        <w:ind w:left="0" w:right="0" w:firstLine="48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2.3 采购文件（后缀名为“.kedt”）、供应商操作手册及政府采购客户端工具可通过“苏采云”系统相应链接进行下载。</w:t>
      </w: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r>
      <w:r/>
    </w:p>
    <w:p>
      <w:pPr>
        <w:pStyle w:val="681"/>
        <w:ind w:left="0" w:right="0" w:firstLine="48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2.4 采购代理机构将数据电文形式的采购文件加载至“苏采云”系统，供潜在供应商下载或者查阅。</w:t>
      </w: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r>
      <w:r/>
    </w:p>
    <w:p>
      <w:pPr>
        <w:pStyle w:val="681"/>
        <w:ind w:left="0" w:right="0" w:firstLine="48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2.5 请潜在投标单位提前安装相应的控件（详见《“苏采云”系统供应商操作手册》）并使用谷歌浏览器登录“苏采云”系统参与不见面开评标。</w:t>
      </w: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r>
      <w:r/>
    </w:p>
    <w:p>
      <w:pPr>
        <w:pStyle w:val="681"/>
        <w:ind w:left="0" w:right="0" w:firstLine="48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如潜在投标人未按上述要求操作，将自行承担所产生的风险。</w:t>
      </w: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r>
      <w:r/>
    </w:p>
    <w:p>
      <w:pPr>
        <w:pStyle w:val="681"/>
        <w:ind w:left="0" w:right="0" w:firstLine="48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3.有关本次招标的事项若存在变动或修改，敬请及时关注采购代理机构在“中国政府采购网”“江苏政府采购网”发布的更正公告。</w:t>
      </w: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r>
      <w:r/>
    </w:p>
    <w:p>
      <w:pPr>
        <w:pStyle w:val="681"/>
        <w:ind w:left="0" w:right="0" w:firstLine="48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4.本次招标不收取投标保证金，不收取质量保证金。</w:t>
      </w: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r>
      <w:r/>
    </w:p>
    <w:p>
      <w:pPr>
        <w:pStyle w:val="681"/>
        <w:ind w:right="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七</w:t>
      </w:r>
      <w:r>
        <w:rPr>
          <w:rFonts w:hint="eastAsia" w:ascii="宋体" w:hAnsi="宋体" w:eastAsia="宋体" w:cs="宋体"/>
          <w:b w:val="0"/>
          <w:bCs w:val="0"/>
          <w:i w:val="0"/>
          <w:iCs w:val="0"/>
          <w:caps w:val="0"/>
          <w:color w:val="333333"/>
          <w:spacing w:val="0"/>
          <w:sz w:val="24"/>
          <w:szCs w:val="24"/>
          <w:highlight w:val="none"/>
          <w:u w:val="none"/>
          <w:shd w:val="clear" w:color="auto" w:fill="ffffff"/>
        </w:rPr>
        <w:t xml:space="preserve">、对本次</w:t>
      </w: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招标</w:t>
      </w:r>
      <w:r>
        <w:rPr>
          <w:rFonts w:hint="eastAsia" w:ascii="宋体" w:hAnsi="宋体" w:eastAsia="宋体" w:cs="宋体"/>
          <w:b w:val="0"/>
          <w:bCs w:val="0"/>
          <w:i w:val="0"/>
          <w:iCs w:val="0"/>
          <w:caps w:val="0"/>
          <w:color w:val="333333"/>
          <w:spacing w:val="0"/>
          <w:sz w:val="24"/>
          <w:szCs w:val="24"/>
          <w:highlight w:val="none"/>
          <w:u w:val="none"/>
          <w:shd w:val="clear" w:color="auto" w:fill="ffffff"/>
        </w:rPr>
        <w:t xml:space="preserve">提出询问，请按以下方式联系。</w:t>
      </w:r>
      <w:bookmarkEnd w:id="31"/>
      <w:r>
        <w:rPr>
          <w:rFonts w:hint="eastAsia" w:ascii="宋体" w:hAnsi="宋体" w:eastAsia="宋体" w:cs="宋体"/>
          <w:b w:val="0"/>
          <w:bCs w:val="0"/>
          <w:i w:val="0"/>
          <w:iCs w:val="0"/>
          <w:caps w:val="0"/>
          <w:color w:val="333333"/>
          <w:spacing w:val="0"/>
          <w:sz w:val="24"/>
          <w:szCs w:val="24"/>
          <w:highlight w:val="none"/>
        </w:rPr>
      </w:r>
      <w:r/>
    </w:p>
    <w:p>
      <w:pPr>
        <w:pStyle w:val="698"/>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1.采购人信息</w:t>
      </w:r>
      <w:r>
        <w:rPr>
          <w:rFonts w:hint="eastAsia" w:ascii="宋体" w:hAnsi="宋体" w:eastAsia="宋体" w:cs="宋体"/>
          <w:i w:val="0"/>
          <w:iCs w:val="0"/>
          <w:caps w:val="0"/>
          <w:color w:val="000000"/>
          <w:spacing w:val="0"/>
          <w:sz w:val="24"/>
          <w:szCs w:val="24"/>
          <w:highlight w:val="none"/>
          <w:shd w:val="clear" w:color="auto" w:fill="ffffff"/>
          <w:lang w:val="en-US" w:eastAsia="zh-CN"/>
        </w:rPr>
      </w:r>
      <w:r/>
    </w:p>
    <w:p>
      <w:pPr>
        <w:pStyle w:val="698"/>
        <w:ind w:right="0" w:firstLine="480"/>
        <w:jc w:val="both"/>
        <w:keepLines w:val="0"/>
        <w:keepNext w:val="0"/>
        <w:pageBreakBefore w:val="0"/>
        <w:spacing w:beforeAutospacing="0" w:afterAutospacing="0" w:line="400" w:lineRule="exact"/>
        <w:shd w:val="clear" w:color="auto" w:fill="ffffff"/>
        <w:widowControl/>
        <w:rPr>
          <w:rFonts w:ascii="宋体" w:hAnsi="宋体" w:eastAsia="宋体" w:cs="宋体"/>
          <w:i w:val="0"/>
          <w:iCs w:val="0"/>
          <w:caps w:val="0"/>
          <w:color w:val="000000"/>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名称：</w:t>
      </w:r>
      <w:r>
        <w:rPr>
          <w:rFonts w:hint="eastAsia" w:ascii="宋体" w:hAnsi="宋体" w:cs="宋体"/>
          <w:i w:val="0"/>
          <w:iCs w:val="0"/>
          <w:caps w:val="0"/>
          <w:color w:val="000000"/>
          <w:spacing w:val="0"/>
          <w:sz w:val="24"/>
          <w:szCs w:val="24"/>
          <w:highlight w:val="none"/>
          <w:shd w:val="clear" w:color="auto" w:fill="ffffff"/>
          <w:lang w:val="en-US" w:eastAsia="zh-CN"/>
        </w:rPr>
        <w:t xml:space="preserve">江苏盐城国家级珍禽自然保护区管理处</w:t>
      </w:r>
      <w:r>
        <w:rPr>
          <w:rFonts w:ascii="宋体" w:hAnsi="宋体" w:eastAsia="宋体" w:cs="宋体"/>
          <w:i w:val="0"/>
          <w:iCs w:val="0"/>
          <w:caps w:val="0"/>
          <w:color w:val="000000"/>
          <w:spacing w:val="0"/>
          <w:sz w:val="24"/>
          <w:szCs w:val="24"/>
          <w:highlight w:val="none"/>
          <w:shd w:val="clear" w:color="auto" w:fill="ffffff"/>
          <w:lang w:val="en-US" w:eastAsia="zh-CN"/>
        </w:rPr>
      </w:r>
      <w:r/>
    </w:p>
    <w:p>
      <w:pPr>
        <w:pStyle w:val="698"/>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地址：</w:t>
      </w:r>
      <w:r>
        <w:rPr>
          <w:rFonts w:hint="eastAsia" w:ascii="宋体" w:hAnsi="宋体" w:cs="宋体"/>
          <w:i w:val="0"/>
          <w:iCs w:val="0"/>
          <w:caps w:val="0"/>
          <w:color w:val="000000"/>
          <w:spacing w:val="0"/>
          <w:sz w:val="24"/>
          <w:szCs w:val="24"/>
          <w:highlight w:val="none"/>
          <w:shd w:val="clear" w:color="auto" w:fill="ffffff"/>
          <w:lang w:val="en-US" w:eastAsia="zh-CN"/>
        </w:rPr>
        <w:t xml:space="preserve">盐城市亭湖区新洋港望鹤路16号</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ffffff"/>
          <w:lang w:val="en-US" w:eastAsia="zh-CN"/>
        </w:rPr>
      </w:r>
      <w:r/>
    </w:p>
    <w:p>
      <w:pPr>
        <w:pStyle w:val="698"/>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联系人：</w:t>
      </w:r>
      <w:r>
        <w:rPr>
          <w:rFonts w:hint="eastAsia" w:ascii="宋体" w:hAnsi="宋体" w:cs="宋体"/>
          <w:i w:val="0"/>
          <w:iCs w:val="0"/>
          <w:caps w:val="0"/>
          <w:color w:val="000000"/>
          <w:spacing w:val="0"/>
          <w:sz w:val="24"/>
          <w:szCs w:val="24"/>
          <w:highlight w:val="none"/>
          <w:shd w:val="clear" w:color="auto" w:fill="ffffff"/>
          <w:lang w:val="en-US" w:eastAsia="zh-CN"/>
        </w:rPr>
        <w:t xml:space="preserve">李先生</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ffffff"/>
          <w:lang w:val="en-US" w:eastAsia="zh-CN"/>
        </w:rPr>
      </w:r>
      <w:r/>
    </w:p>
    <w:p>
      <w:pPr>
        <w:pStyle w:val="698"/>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联系方式：18813010869  </w:t>
      </w:r>
      <w:r>
        <w:rPr>
          <w:rFonts w:hint="eastAsia" w:ascii="宋体" w:hAnsi="宋体" w:eastAsia="宋体" w:cs="宋体"/>
          <w:i w:val="0"/>
          <w:iCs w:val="0"/>
          <w:caps w:val="0"/>
          <w:color w:val="000000"/>
          <w:spacing w:val="0"/>
          <w:sz w:val="24"/>
          <w:szCs w:val="24"/>
          <w:highlight w:val="none"/>
          <w:shd w:val="clear" w:color="auto" w:fill="ffffff"/>
          <w:lang w:val="en-US" w:eastAsia="zh-CN"/>
        </w:rPr>
      </w:r>
      <w:r/>
    </w:p>
    <w:p>
      <w:pPr>
        <w:pStyle w:val="698"/>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2.采购代理机构信息</w:t>
      </w:r>
      <w:r>
        <w:rPr>
          <w:rFonts w:hint="eastAsia" w:ascii="宋体" w:hAnsi="宋体" w:eastAsia="宋体" w:cs="宋体"/>
          <w:i w:val="0"/>
          <w:iCs w:val="0"/>
          <w:caps w:val="0"/>
          <w:color w:val="000000"/>
          <w:spacing w:val="0"/>
          <w:sz w:val="24"/>
          <w:szCs w:val="24"/>
          <w:highlight w:val="none"/>
          <w:shd w:val="clear" w:color="auto" w:fill="ffffff"/>
          <w:lang w:val="en-US" w:eastAsia="zh-CN"/>
        </w:rPr>
      </w:r>
      <w:r/>
    </w:p>
    <w:p>
      <w:pPr>
        <w:pStyle w:val="698"/>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名 称：</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江苏宏才项目管理有限公司</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ffffff"/>
          <w:lang w:val="en-US" w:eastAsia="zh-CN"/>
        </w:rPr>
      </w:r>
      <w:r/>
    </w:p>
    <w:p>
      <w:pPr>
        <w:pStyle w:val="698"/>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地 址：盐城市区希望大道中路22号海韵大厦2幢712室</w:t>
      </w:r>
      <w:r>
        <w:rPr>
          <w:rFonts w:hint="eastAsia" w:ascii="宋体" w:hAnsi="宋体" w:eastAsia="宋体" w:cs="宋体"/>
          <w:i w:val="0"/>
          <w:iCs w:val="0"/>
          <w:caps w:val="0"/>
          <w:color w:val="000000"/>
          <w:spacing w:val="0"/>
          <w:sz w:val="24"/>
          <w:szCs w:val="24"/>
          <w:highlight w:val="none"/>
          <w:shd w:val="clear" w:color="auto" w:fill="ffffff"/>
          <w:lang w:val="en-US" w:eastAsia="zh-CN"/>
        </w:rPr>
      </w:r>
      <w:r/>
    </w:p>
    <w:p>
      <w:pPr>
        <w:pStyle w:val="698"/>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联系人：</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倪先生</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ffffff"/>
          <w:lang w:val="en-US" w:eastAsia="zh-CN"/>
        </w:rPr>
      </w:r>
      <w:r/>
    </w:p>
    <w:p>
      <w:pPr>
        <w:pStyle w:val="698"/>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联系方式：</w:t>
      </w:r>
      <w:bookmarkStart w:id="32" w:name="_Toc28359010"/>
      <w:r/>
      <w:bookmarkStart w:id="33" w:name="_Toc28359087"/>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0515-88231106、17761904627</w:t>
      </w:r>
      <w:bookmarkEnd w:id="32"/>
      <w:r/>
      <w:bookmarkEnd w:id="33"/>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ffffff"/>
          <w:lang w:val="en-US" w:eastAsia="zh-CN"/>
        </w:rPr>
      </w:r>
      <w:r/>
    </w:p>
    <w:p>
      <w:pPr>
        <w:pStyle w:val="698"/>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bookmarkStart w:id="34" w:name="_Toc28359021"/>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3.</w:t>
      </w:r>
      <w:bookmarkEnd w:id="34"/>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项目联系方式</w:t>
      </w:r>
      <w:r>
        <w:rPr>
          <w:rFonts w:hint="eastAsia" w:ascii="宋体" w:hAnsi="宋体" w:eastAsia="宋体" w:cs="宋体"/>
          <w:i w:val="0"/>
          <w:iCs w:val="0"/>
          <w:caps w:val="0"/>
          <w:color w:val="000000"/>
          <w:spacing w:val="0"/>
          <w:sz w:val="24"/>
          <w:szCs w:val="24"/>
          <w:highlight w:val="none"/>
          <w:shd w:val="clear" w:color="auto" w:fill="ffffff"/>
          <w:lang w:val="en-US" w:eastAsia="zh-CN"/>
        </w:rPr>
      </w:r>
      <w:r/>
    </w:p>
    <w:p>
      <w:pPr>
        <w:pStyle w:val="698"/>
        <w:ind w:right="0" w:firstLine="480"/>
        <w:jc w:val="both"/>
        <w:keepLines w:val="0"/>
        <w:keepNext w:val="0"/>
        <w:pageBreakBefore w:val="0"/>
        <w:spacing w:beforeAutospacing="0" w:afterAutospacing="0" w:line="400" w:lineRule="exact"/>
        <w:shd w:val="clear" w:color="auto" w:fill="ffffff"/>
        <w:widowControl/>
        <w:rPr>
          <w:rFonts w:ascii="宋体" w:hAnsi="宋体" w:eastAsia="宋体" w:cs="宋体"/>
          <w:i w:val="0"/>
          <w:iCs w:val="0"/>
          <w:caps w:val="0"/>
          <w:color w:val="000000"/>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项目联系人：</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倪先生</w:t>
      </w:r>
      <w:r>
        <w:rPr>
          <w:rFonts w:ascii="宋体" w:hAnsi="宋体" w:eastAsia="宋体" w:cs="宋体"/>
          <w:i w:val="0"/>
          <w:iCs w:val="0"/>
          <w:caps w:val="0"/>
          <w:color w:val="000000"/>
          <w:spacing w:val="0"/>
          <w:sz w:val="24"/>
          <w:szCs w:val="24"/>
          <w:highlight w:val="none"/>
          <w:shd w:val="clear" w:color="auto" w:fill="ffffff"/>
          <w:lang w:val="en-US" w:eastAsia="zh-CN"/>
        </w:rPr>
      </w:r>
      <w:r/>
    </w:p>
    <w:p>
      <w:pPr>
        <w:pStyle w:val="698"/>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电　　 话：</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0515-88231106、17761904627</w:t>
      </w:r>
      <w:r>
        <w:rPr>
          <w:rFonts w:hint="eastAsia" w:ascii="宋体" w:hAnsi="宋体" w:eastAsia="宋体" w:cs="宋体"/>
          <w:i w:val="0"/>
          <w:iCs w:val="0"/>
          <w:caps w:val="0"/>
          <w:color w:val="333333"/>
          <w:spacing w:val="0"/>
          <w:sz w:val="24"/>
          <w:szCs w:val="24"/>
          <w:highlight w:val="none"/>
          <w:shd w:val="clear" w:color="auto" w:fill="ffffff"/>
          <w:lang w:val="en-US" w:eastAsia="zh-CN"/>
        </w:rPr>
      </w:r>
      <w:r/>
    </w:p>
    <w:p>
      <w:pPr>
        <w:pStyle w:val="680"/>
        <w:jc w:val="center"/>
        <w:pageBreakBefore w:val="0"/>
        <w:spacing w:line="440" w:lineRule="exact"/>
        <w:rPr>
          <w:highlight w:val="none"/>
        </w:rPr>
      </w:pPr>
      <w:r>
        <w:rPr>
          <w:rFonts w:hint="eastAsia" w:ascii="宋体" w:hAnsi="宋体" w:eastAsia="宋体" w:cs="宋体"/>
          <w:color w:val="000000"/>
          <w:sz w:val="24"/>
          <w:szCs w:val="24"/>
          <w:highlight w:val="none"/>
        </w:rPr>
        <w:br w:type="page" w:clear="all"/>
      </w:r>
      <w:bookmarkStart w:id="35" w:name="_Toc120614211"/>
      <w:r>
        <w:rPr>
          <w:rFonts w:hint="eastAsia" w:ascii="黑体" w:hAnsi="宋体" w:eastAsia="黑体" w:cs="黑体"/>
          <w:b/>
          <w:color w:val="000000"/>
          <w:sz w:val="44"/>
          <w:szCs w:val="44"/>
          <w:highlight w:val="none"/>
        </w:rPr>
        <w:t xml:space="preserve">第二章  </w:t>
      </w:r>
      <w:bookmarkEnd w:id="35"/>
      <w:r/>
      <w:bookmarkStart w:id="36" w:name="_Toc16938518"/>
      <w:r/>
      <w:bookmarkStart w:id="37" w:name="_Toc20823274"/>
      <w:r/>
      <w:bookmarkStart w:id="38" w:name="_Toc513029202"/>
      <w:r/>
      <w:bookmarkStart w:id="39" w:name="_Toc120614213"/>
      <w:r>
        <w:rPr>
          <w:rFonts w:hint="eastAsia" w:ascii="黑体" w:hAnsi="宋体" w:eastAsia="黑体" w:cs="黑体"/>
          <w:b/>
          <w:color w:val="000000"/>
          <w:sz w:val="44"/>
          <w:szCs w:val="44"/>
          <w:highlight w:val="none"/>
          <w:lang w:eastAsia="zh-CN"/>
        </w:rPr>
        <w:t xml:space="preserve">供应商</w:t>
      </w:r>
      <w:r>
        <w:rPr>
          <w:rFonts w:hint="eastAsia" w:ascii="黑体" w:hAnsi="宋体" w:eastAsia="黑体" w:cs="黑体"/>
          <w:b/>
          <w:color w:val="000000"/>
          <w:sz w:val="44"/>
          <w:szCs w:val="44"/>
          <w:highlight w:val="none"/>
        </w:rPr>
        <w:t xml:space="preserve">须知</w:t>
      </w:r>
      <w:bookmarkEnd w:id="36"/>
      <w:r/>
      <w:bookmarkEnd w:id="37"/>
      <w:r/>
      <w:bookmarkEnd w:id="38"/>
      <w:r/>
      <w:bookmarkEnd w:id="39"/>
      <w:r>
        <w:rPr>
          <w:highlight w:val="none"/>
        </w:rPr>
      </w:r>
      <w:r/>
    </w:p>
    <w:p>
      <w:pPr>
        <w:pStyle w:val="698"/>
        <w:ind w:left="0" w:firstLine="482"/>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bookmarkStart w:id="40" w:name="_Toc513029203"/>
      <w:r/>
      <w:bookmarkStart w:id="41" w:name="_Toc120614214"/>
      <w:r/>
      <w:bookmarkStart w:id="42" w:name="_Toc20823275"/>
      <w:r/>
      <w:bookmarkStart w:id="43" w:name="_Toc16938519"/>
      <w:r/>
      <w:bookmarkStart w:id="44" w:name="_Hlt26954838"/>
      <w:r/>
      <w:bookmarkStart w:id="45" w:name="_Hlt16619475"/>
      <w:r/>
      <w:bookmarkStart w:id="46" w:name="_Hlt26954846"/>
      <w:r/>
      <w:bookmarkStart w:id="47" w:name="_Hlt26954731"/>
      <w:r/>
      <w:bookmarkStart w:id="48" w:name="_Toc513029226"/>
      <w:r/>
      <w:bookmarkStart w:id="49" w:name="_Hlt26954739"/>
      <w:r/>
      <w:bookmarkStart w:id="50" w:name="_Hlt26954848"/>
      <w:r/>
      <w:bookmarkStart w:id="51" w:name="_Hlt26670486"/>
      <w:r/>
      <w:bookmarkStart w:id="52" w:name="_Hlt26670482"/>
      <w:r/>
      <w:bookmarkStart w:id="53" w:name="_Hlt26670360"/>
      <w:r/>
      <w:bookmarkStart w:id="54" w:name="_Hlt26668975"/>
      <w:r/>
      <w:bookmarkStart w:id="55" w:name="_Hlt26954852"/>
      <w:r>
        <w:rPr>
          <w:rFonts w:hint="eastAsia" w:ascii="宋体" w:hAnsi="宋体" w:eastAsia="宋体" w:cs="宋体"/>
          <w:b/>
          <w:color w:val="000000"/>
          <w:sz w:val="24"/>
          <w:szCs w:val="24"/>
          <w:highlight w:val="none"/>
        </w:rPr>
        <w:t xml:space="preserve">一、总则</w:t>
      </w:r>
      <w:bookmarkEnd w:id="40"/>
      <w:r/>
      <w:bookmarkEnd w:id="41"/>
      <w:r/>
      <w:bookmarkEnd w:id="42"/>
      <w:r/>
      <w:bookmarkEnd w:id="43"/>
      <w:r>
        <w:rPr>
          <w:rFonts w:hint="eastAsia" w:ascii="宋体" w:hAnsi="宋体" w:eastAsia="宋体" w:cs="宋体"/>
          <w:sz w:val="24"/>
          <w:szCs w:val="24"/>
          <w:highlight w:val="none"/>
        </w:rPr>
      </w:r>
      <w:r/>
    </w:p>
    <w:p>
      <w:pPr>
        <w:pStyle w:val="698"/>
        <w:ind w:left="0" w:firstLine="48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bookmarkStart w:id="56" w:name="_Toc20823276"/>
      <w:r/>
      <w:bookmarkStart w:id="57" w:name="_Toc458694821"/>
      <w:r/>
      <w:bookmarkStart w:id="58" w:name="_Toc16938520"/>
      <w:r/>
      <w:bookmarkStart w:id="59" w:name="_Toc513029204"/>
      <w:r>
        <w:rPr>
          <w:rFonts w:hint="eastAsia" w:ascii="宋体" w:hAnsi="宋体" w:eastAsia="宋体" w:cs="宋体"/>
          <w:color w:val="000000"/>
          <w:sz w:val="24"/>
          <w:szCs w:val="24"/>
          <w:highlight w:val="none"/>
        </w:rPr>
        <w:t xml:space="preserve">1</w:t>
      </w:r>
      <w:bookmarkEnd w:id="56"/>
      <w:r>
        <w:rPr>
          <w:rFonts w:hint="eastAsia" w:ascii="宋体" w:hAnsi="宋体" w:eastAsia="宋体" w:cs="宋体"/>
          <w:color w:val="000000"/>
          <w:sz w:val="24"/>
          <w:szCs w:val="24"/>
          <w:highlight w:val="none"/>
        </w:rPr>
        <w:t xml:space="preserve">、招标方式</w:t>
      </w:r>
      <w:bookmarkEnd w:id="57"/>
      <w:r/>
      <w:bookmarkEnd w:id="58"/>
      <w:r/>
      <w:bookmarkEnd w:id="59"/>
      <w:r>
        <w:rPr>
          <w:rFonts w:hint="eastAsia" w:ascii="宋体" w:hAnsi="宋体" w:eastAsia="宋体" w:cs="宋体"/>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 本次招标采取公开招标方式，本招标文件仅适用于招标公告中所述项目。</w:t>
      </w:r>
      <w:r>
        <w:rPr>
          <w:rFonts w:hint="eastAsia" w:ascii="宋体" w:hAnsi="宋体" w:eastAsia="宋体" w:cs="宋体"/>
          <w:sz w:val="24"/>
          <w:szCs w:val="24"/>
          <w:highlight w:val="none"/>
        </w:rPr>
      </w:r>
      <w:r/>
    </w:p>
    <w:p>
      <w:pPr>
        <w:pStyle w:val="698"/>
        <w:ind w:left="0" w:firstLine="480"/>
        <w:jc w:val="both"/>
        <w:keepLines/>
        <w:keepNext/>
        <w:pageBreakBefore w:val="0"/>
        <w:spacing w:beforeAutospacing="0" w:afterAutospacing="0" w:line="400" w:lineRule="exact"/>
        <w:widowControl w:val="off"/>
        <w:rPr>
          <w:rFonts w:hint="eastAsia" w:ascii="宋体" w:hAnsi="宋体" w:eastAsia="宋体" w:cs="宋体"/>
          <w:sz w:val="24"/>
          <w:szCs w:val="24"/>
          <w:highlight w:val="none"/>
          <w:lang w:eastAsia="zh-CN"/>
        </w:rPr>
      </w:pPr>
      <w:r/>
      <w:bookmarkStart w:id="60" w:name="_Toc513029205"/>
      <w:r/>
      <w:bookmarkStart w:id="61" w:name="_Toc16938521"/>
      <w:r/>
      <w:bookmarkStart w:id="62" w:name="_Toc20823277"/>
      <w:r>
        <w:rPr>
          <w:rFonts w:hint="eastAsia" w:ascii="宋体" w:hAnsi="宋体" w:eastAsia="宋体" w:cs="宋体"/>
          <w:color w:val="000000"/>
          <w:sz w:val="24"/>
          <w:szCs w:val="24"/>
          <w:highlight w:val="none"/>
        </w:rPr>
        <w:t xml:space="preserve">2、合格的</w:t>
      </w:r>
      <w:bookmarkEnd w:id="60"/>
      <w:r/>
      <w:bookmarkEnd w:id="61"/>
      <w:r/>
      <w:bookmarkEnd w:id="62"/>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sz w:val="24"/>
          <w:szCs w:val="24"/>
          <w:highlight w:val="none"/>
          <w:lang w:eastAsia="zh-CN"/>
        </w:rPr>
      </w:r>
      <w:r/>
    </w:p>
    <w:p>
      <w:pPr>
        <w:pStyle w:val="698"/>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2.1满足招标公告中供应商的资格要求的规定。</w:t>
      </w:r>
      <w:r>
        <w:rPr>
          <w:rFonts w:hint="eastAsia" w:ascii="宋体" w:hAnsi="宋体" w:eastAsia="宋体" w:cs="宋体"/>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 满足本文件实质性要求和条件的规定。</w:t>
      </w:r>
      <w:r>
        <w:rPr>
          <w:rFonts w:hint="eastAsia" w:ascii="宋体" w:hAnsi="宋体" w:eastAsia="宋体" w:cs="宋体"/>
          <w:sz w:val="24"/>
          <w:szCs w:val="24"/>
          <w:highlight w:val="none"/>
        </w:rPr>
      </w:r>
      <w:r/>
    </w:p>
    <w:p>
      <w:pPr>
        <w:pStyle w:val="698"/>
        <w:ind w:left="0" w:firstLine="48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bookmarkStart w:id="63" w:name="_Toc513029206"/>
      <w:r/>
      <w:bookmarkStart w:id="64" w:name="_Toc16938522"/>
      <w:r/>
      <w:bookmarkStart w:id="65" w:name="_Toc20823278"/>
      <w:r>
        <w:rPr>
          <w:rFonts w:hint="eastAsia" w:ascii="宋体" w:hAnsi="宋体" w:eastAsia="宋体" w:cs="宋体"/>
          <w:color w:val="000000"/>
          <w:sz w:val="24"/>
          <w:szCs w:val="24"/>
          <w:highlight w:val="none"/>
        </w:rPr>
        <w:t xml:space="preserve">3、适用法律</w:t>
      </w:r>
      <w:bookmarkEnd w:id="63"/>
      <w:r/>
      <w:bookmarkEnd w:id="64"/>
      <w:r/>
      <w:bookmarkEnd w:id="65"/>
      <w:r>
        <w:rPr>
          <w:rFonts w:hint="eastAsia" w:ascii="宋体" w:hAnsi="宋体" w:eastAsia="宋体" w:cs="宋体"/>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 本次招标及由此产生的合同受中华人民共和国有关的法律法规制约和保护。</w:t>
      </w:r>
      <w:r>
        <w:rPr>
          <w:rFonts w:hint="eastAsia" w:ascii="宋体" w:hAnsi="宋体" w:eastAsia="宋体" w:cs="宋体"/>
          <w:sz w:val="24"/>
          <w:szCs w:val="24"/>
          <w:highlight w:val="none"/>
        </w:rPr>
      </w:r>
      <w:r/>
    </w:p>
    <w:p>
      <w:pPr>
        <w:pStyle w:val="698"/>
        <w:ind w:left="0" w:firstLine="48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bookmarkStart w:id="66" w:name="_Toc20823279"/>
      <w:r/>
      <w:bookmarkStart w:id="67" w:name="_Toc16938523"/>
      <w:r/>
      <w:bookmarkStart w:id="68" w:name="_Toc462564067"/>
      <w:r/>
      <w:bookmarkStart w:id="69" w:name="_Toc513029207"/>
      <w:r>
        <w:rPr>
          <w:rFonts w:hint="eastAsia" w:ascii="宋体" w:hAnsi="宋体" w:eastAsia="宋体" w:cs="宋体"/>
          <w:color w:val="000000"/>
          <w:sz w:val="24"/>
          <w:szCs w:val="24"/>
          <w:highlight w:val="none"/>
        </w:rPr>
        <w:t xml:space="preserve">4、投标费用</w:t>
      </w:r>
      <w:bookmarkEnd w:id="66"/>
      <w:r/>
      <w:bookmarkEnd w:id="67"/>
      <w:r/>
      <w:bookmarkEnd w:id="68"/>
      <w:r/>
      <w:bookmarkEnd w:id="69"/>
      <w:r>
        <w:rPr>
          <w:rFonts w:hint="eastAsia" w:ascii="宋体" w:hAnsi="宋体" w:eastAsia="宋体" w:cs="宋体"/>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4.1 </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应自行承担所有与参加投标有关的费用，无论投标过程中的做法和结果如何，</w:t>
      </w:r>
      <w:r>
        <w:rPr>
          <w:rFonts w:hint="eastAsia" w:ascii="宋体" w:hAnsi="宋体" w:eastAsia="宋体" w:cs="宋体"/>
          <w:color w:val="000000"/>
          <w:sz w:val="24"/>
          <w:szCs w:val="24"/>
          <w:highlight w:val="none"/>
          <w:lang w:val="en-US" w:eastAsia="zh-CN"/>
        </w:rPr>
        <w:t xml:space="preserve">采购人及采购代理</w:t>
      </w:r>
      <w:r>
        <w:rPr>
          <w:rFonts w:hint="eastAsia" w:ascii="宋体" w:hAnsi="宋体" w:eastAsia="宋体" w:cs="宋体"/>
          <w:color w:val="000000"/>
          <w:sz w:val="24"/>
          <w:szCs w:val="24"/>
          <w:highlight w:val="none"/>
        </w:rPr>
        <w:t xml:space="preserve">在任何情况下均无义务和责任承担这些费用。</w:t>
      </w:r>
      <w:r>
        <w:rPr>
          <w:rFonts w:hint="eastAsia" w:ascii="宋体" w:hAnsi="宋体" w:eastAsia="宋体" w:cs="宋体"/>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4.2本次招标不收取标书工本费。</w:t>
      </w:r>
      <w:r>
        <w:rPr>
          <w:rFonts w:hint="eastAsia" w:ascii="宋体" w:hAnsi="宋体" w:eastAsia="宋体" w:cs="宋体"/>
          <w:sz w:val="24"/>
          <w:szCs w:val="24"/>
          <w:highlight w:val="none"/>
        </w:rPr>
      </w:r>
      <w:r/>
    </w:p>
    <w:p>
      <w:pPr>
        <w:pStyle w:val="698"/>
        <w:ind w:left="0" w:firstLine="48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b w:val="0"/>
          <w:bCs/>
          <w:color w:val="000000"/>
          <w:sz w:val="24"/>
          <w:szCs w:val="24"/>
          <w:highlight w:val="none"/>
        </w:rPr>
        <w:t xml:space="preserve">5、</w:t>
      </w:r>
      <w:r>
        <w:rPr>
          <w:rFonts w:hint="eastAsia" w:ascii="宋体" w:hAnsi="宋体" w:eastAsia="宋体" w:cs="宋体"/>
          <w:color w:val="000000"/>
          <w:sz w:val="24"/>
          <w:szCs w:val="24"/>
          <w:highlight w:val="none"/>
        </w:rPr>
        <w:t xml:space="preserve">招标文件的约束力</w:t>
      </w:r>
      <w:r>
        <w:rPr>
          <w:rFonts w:hint="eastAsia" w:ascii="宋体" w:hAnsi="宋体" w:eastAsia="宋体" w:cs="宋体"/>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5.1 </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一旦参加本项目采购活动，即被认为接受了本招标文件的规定和约束。</w:t>
      </w:r>
      <w:r>
        <w:rPr>
          <w:rFonts w:hint="eastAsia" w:ascii="宋体" w:hAnsi="宋体" w:eastAsia="宋体" w:cs="宋体"/>
          <w:sz w:val="24"/>
          <w:szCs w:val="24"/>
          <w:highlight w:val="none"/>
        </w:rPr>
      </w:r>
      <w:r/>
    </w:p>
    <w:p>
      <w:pPr>
        <w:pStyle w:val="698"/>
        <w:ind w:left="0" w:firstLine="482"/>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bookmarkStart w:id="70" w:name="_Toc20823281"/>
      <w:r/>
      <w:bookmarkStart w:id="71" w:name="_Toc513029209"/>
      <w:r/>
      <w:bookmarkStart w:id="72" w:name="_Toc16938525"/>
      <w:r/>
      <w:bookmarkStart w:id="73" w:name="_Toc120614215"/>
      <w:r>
        <w:rPr>
          <w:rFonts w:hint="eastAsia" w:ascii="宋体" w:hAnsi="宋体" w:eastAsia="宋体" w:cs="宋体"/>
          <w:b/>
          <w:color w:val="000000"/>
          <w:sz w:val="24"/>
          <w:szCs w:val="24"/>
          <w:highlight w:val="none"/>
        </w:rPr>
        <w:t xml:space="preserve">二、招标文件</w:t>
      </w:r>
      <w:bookmarkEnd w:id="70"/>
      <w:r/>
      <w:bookmarkEnd w:id="71"/>
      <w:r/>
      <w:bookmarkEnd w:id="72"/>
      <w:r/>
      <w:bookmarkEnd w:id="73"/>
      <w:r>
        <w:rPr>
          <w:rFonts w:hint="eastAsia" w:ascii="宋体" w:hAnsi="宋体" w:eastAsia="宋体" w:cs="宋体"/>
          <w:sz w:val="24"/>
          <w:szCs w:val="24"/>
          <w:highlight w:val="none"/>
        </w:rPr>
      </w:r>
      <w:r/>
    </w:p>
    <w:p>
      <w:pPr>
        <w:pStyle w:val="698"/>
        <w:ind w:left="0" w:firstLine="48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bookmarkStart w:id="74" w:name="_Toc513029210"/>
      <w:r/>
      <w:bookmarkStart w:id="75" w:name="_Toc20823282"/>
      <w:r/>
      <w:bookmarkStart w:id="76" w:name="_Toc16938526"/>
      <w:r>
        <w:rPr>
          <w:rFonts w:hint="eastAsia" w:ascii="宋体" w:hAnsi="宋体" w:eastAsia="宋体" w:cs="宋体"/>
          <w:color w:val="000000"/>
          <w:sz w:val="24"/>
          <w:szCs w:val="24"/>
          <w:highlight w:val="none"/>
        </w:rPr>
        <w:t xml:space="preserve">6、招标文件构成</w:t>
      </w:r>
      <w:bookmarkEnd w:id="74"/>
      <w:r/>
      <w:bookmarkEnd w:id="75"/>
      <w:r/>
      <w:bookmarkEnd w:id="76"/>
      <w:r>
        <w:rPr>
          <w:rFonts w:hint="eastAsia" w:ascii="宋体" w:hAnsi="宋体" w:eastAsia="宋体" w:cs="宋体"/>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6.1 招标文件由以下部分组成：</w:t>
      </w:r>
      <w:r>
        <w:rPr>
          <w:rFonts w:hint="eastAsia" w:ascii="宋体" w:hAnsi="宋体" w:eastAsia="宋体" w:cs="宋体"/>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招标公告</w:t>
      </w:r>
      <w:r>
        <w:rPr>
          <w:rFonts w:hint="eastAsia" w:ascii="宋体" w:hAnsi="宋体" w:eastAsia="宋体" w:cs="宋体"/>
          <w:color w:val="000000"/>
          <w:sz w:val="24"/>
          <w:szCs w:val="24"/>
          <w:highlight w:val="none"/>
          <w:lang w:val="en-US" w:eastAsia="zh-CN"/>
        </w:rPr>
      </w:r>
      <w:r/>
    </w:p>
    <w:p>
      <w:pPr>
        <w:pStyle w:val="698"/>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须知</w:t>
      </w:r>
      <w:r>
        <w:rPr>
          <w:rFonts w:hint="eastAsia" w:ascii="宋体" w:hAnsi="宋体" w:eastAsia="宋体" w:cs="宋体"/>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（3）合同文本</w:t>
      </w:r>
      <w:r>
        <w:rPr>
          <w:rFonts w:hint="eastAsia" w:ascii="宋体" w:hAnsi="宋体" w:eastAsia="宋体" w:cs="宋体"/>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（4）采购需求</w:t>
      </w:r>
      <w:r>
        <w:rPr>
          <w:rFonts w:hint="eastAsia" w:ascii="宋体" w:hAnsi="宋体" w:eastAsia="宋体" w:cs="宋体"/>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（5）评标方法与评标标准</w:t>
      </w:r>
      <w:r>
        <w:rPr>
          <w:rFonts w:hint="eastAsia" w:ascii="宋体" w:hAnsi="宋体" w:eastAsia="宋体" w:cs="宋体"/>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（6）投标文件格式</w:t>
      </w:r>
      <w:r>
        <w:rPr>
          <w:rFonts w:hint="eastAsia" w:ascii="宋体" w:hAnsi="宋体" w:eastAsia="宋体" w:cs="宋体"/>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请仔细检查招标文件是否齐全，如有缺漏请立即与</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联系解决。</w:t>
      </w:r>
      <w:r>
        <w:rPr>
          <w:rFonts w:hint="eastAsia" w:ascii="宋体" w:hAnsi="宋体" w:eastAsia="宋体" w:cs="宋体"/>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6.2 </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应认真阅读招标文件中所有的事项、格式、条款和规范等要求。按招标文件要求和规定编制投标文件，并保证所提供的全部资料的真实性，以使其投标文件对招标文件作出实质性响应，否则其风险由</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自行承担。</w:t>
      </w:r>
      <w:r>
        <w:rPr>
          <w:rFonts w:hint="eastAsia" w:ascii="宋体" w:hAnsi="宋体" w:eastAsia="宋体" w:cs="宋体"/>
          <w:sz w:val="24"/>
          <w:szCs w:val="24"/>
          <w:highlight w:val="none"/>
        </w:rPr>
      </w:r>
      <w:r/>
    </w:p>
    <w:p>
      <w:pPr>
        <w:pStyle w:val="698"/>
        <w:ind w:left="0" w:firstLine="48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bookmarkStart w:id="77" w:name="_Toc16938527"/>
      <w:r/>
      <w:bookmarkStart w:id="78" w:name="_Toc20823283"/>
      <w:r/>
      <w:bookmarkStart w:id="79" w:name="_Toc462564070"/>
      <w:r/>
      <w:bookmarkStart w:id="80" w:name="_Toc513029211"/>
      <w:r>
        <w:rPr>
          <w:rFonts w:hint="eastAsia" w:ascii="宋体" w:hAnsi="宋体" w:eastAsia="宋体" w:cs="宋体"/>
          <w:color w:val="000000"/>
          <w:sz w:val="24"/>
          <w:szCs w:val="24"/>
          <w:highlight w:val="none"/>
        </w:rPr>
        <w:t xml:space="preserve">7、招标文件的澄清</w:t>
      </w:r>
      <w:bookmarkEnd w:id="77"/>
      <w:r/>
      <w:bookmarkEnd w:id="78"/>
      <w:r/>
      <w:bookmarkEnd w:id="79"/>
      <w:r/>
      <w:bookmarkEnd w:id="80"/>
      <w:r>
        <w:rPr>
          <w:rFonts w:hint="eastAsia" w:ascii="宋体" w:hAnsi="宋体" w:eastAsia="宋体" w:cs="宋体"/>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7.1 任何要求对招标文件进行澄清的</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，应在投标截止期</w:t>
      </w:r>
      <w:r>
        <w:rPr>
          <w:rFonts w:hint="eastAsia" w:ascii="宋体" w:hAnsi="宋体" w:eastAsia="宋体" w:cs="宋体"/>
          <w:b/>
          <w:color w:val="000000"/>
          <w:sz w:val="24"/>
          <w:szCs w:val="24"/>
          <w:highlight w:val="none"/>
        </w:rPr>
        <w:t xml:space="preserve">十日</w:t>
      </w:r>
      <w:r>
        <w:rPr>
          <w:rFonts w:hint="eastAsia" w:ascii="宋体" w:hAnsi="宋体" w:eastAsia="宋体" w:cs="宋体"/>
          <w:color w:val="000000"/>
          <w:sz w:val="24"/>
          <w:szCs w:val="24"/>
          <w:highlight w:val="none"/>
        </w:rPr>
        <w:t xml:space="preserve">前按招标公告中的通讯地址，以书面形式通知</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r>
      <w:r/>
    </w:p>
    <w:p>
      <w:pPr>
        <w:pStyle w:val="698"/>
        <w:ind w:left="0" w:firstLine="48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bookmarkStart w:id="81" w:name="_Toc20823284"/>
      <w:r/>
      <w:bookmarkStart w:id="82" w:name="_Toc513029212"/>
      <w:r/>
      <w:bookmarkStart w:id="83" w:name="_Toc462564071"/>
      <w:r/>
      <w:bookmarkStart w:id="84" w:name="_Toc16938528"/>
      <w:r>
        <w:rPr>
          <w:rFonts w:hint="eastAsia" w:ascii="宋体" w:hAnsi="宋体" w:eastAsia="宋体" w:cs="宋体"/>
          <w:color w:val="000000"/>
          <w:sz w:val="24"/>
          <w:szCs w:val="24"/>
          <w:highlight w:val="none"/>
        </w:rPr>
        <w:t xml:space="preserve">8、招标文件的修改</w:t>
      </w:r>
      <w:bookmarkEnd w:id="81"/>
      <w:r/>
      <w:bookmarkEnd w:id="82"/>
      <w:r/>
      <w:bookmarkEnd w:id="83"/>
      <w:r/>
      <w:bookmarkEnd w:id="84"/>
      <w:r>
        <w:rPr>
          <w:rFonts w:hint="eastAsia" w:ascii="宋体" w:hAnsi="宋体" w:eastAsia="宋体" w:cs="宋体"/>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8.1 在投标截止时间前，</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可以对招标文件进行修改。</w:t>
      </w:r>
      <w:r>
        <w:rPr>
          <w:rFonts w:hint="eastAsia" w:ascii="宋体" w:hAnsi="宋体" w:eastAsia="宋体" w:cs="宋体"/>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8.2 </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有权按照法定的要求推迟投标截止日期和开标日期。</w:t>
      </w:r>
      <w:r>
        <w:rPr>
          <w:rFonts w:hint="eastAsia" w:ascii="宋体" w:hAnsi="宋体" w:eastAsia="宋体" w:cs="宋体"/>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8.3 招标文件的修改将在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color w:val="000000"/>
          <w:sz w:val="24"/>
          <w:szCs w:val="24"/>
          <w:highlight w:val="none"/>
        </w:rPr>
        <w:t xml:space="preserve">公布，补充文件将作为招标文件的组成部分，并对</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具有约束力。</w:t>
      </w:r>
      <w:r>
        <w:rPr>
          <w:rFonts w:hint="eastAsia" w:ascii="宋体" w:hAnsi="宋体" w:eastAsia="宋体" w:cs="宋体"/>
          <w:sz w:val="24"/>
          <w:szCs w:val="24"/>
          <w:highlight w:val="none"/>
        </w:rPr>
      </w:r>
      <w:r/>
    </w:p>
    <w:p>
      <w:pPr>
        <w:pStyle w:val="698"/>
        <w:ind w:left="0" w:firstLine="482"/>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bookmarkStart w:id="85" w:name="_Toc120614216"/>
      <w:r/>
      <w:bookmarkStart w:id="86" w:name="_Toc462564072"/>
      <w:r/>
      <w:bookmarkStart w:id="87" w:name="_Toc20823285"/>
      <w:r/>
      <w:bookmarkStart w:id="88" w:name="_Toc513029213"/>
      <w:r/>
      <w:bookmarkStart w:id="89" w:name="_Toc16938529"/>
      <w:r>
        <w:rPr>
          <w:rFonts w:hint="eastAsia" w:ascii="宋体" w:hAnsi="宋体" w:eastAsia="宋体" w:cs="宋体"/>
          <w:b/>
          <w:color w:val="000000"/>
          <w:sz w:val="24"/>
          <w:szCs w:val="24"/>
          <w:highlight w:val="none"/>
        </w:rPr>
        <w:t xml:space="preserve">三、投标文件的编制</w:t>
      </w:r>
      <w:bookmarkEnd w:id="85"/>
      <w:r/>
      <w:bookmarkEnd w:id="86"/>
      <w:r/>
      <w:bookmarkEnd w:id="87"/>
      <w:r/>
      <w:bookmarkEnd w:id="88"/>
      <w:r/>
      <w:bookmarkEnd w:id="89"/>
      <w:r>
        <w:rPr>
          <w:rFonts w:hint="eastAsia" w:ascii="宋体" w:hAnsi="宋体" w:eastAsia="宋体" w:cs="宋体"/>
          <w:sz w:val="24"/>
          <w:szCs w:val="24"/>
          <w:highlight w:val="none"/>
        </w:rPr>
      </w:r>
      <w:r/>
    </w:p>
    <w:p>
      <w:pPr>
        <w:pStyle w:val="698"/>
        <w:ind w:left="0" w:firstLine="48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bookmarkStart w:id="90" w:name="_Toc462564073"/>
      <w:r/>
      <w:bookmarkStart w:id="91" w:name="_Toc20823286"/>
      <w:r/>
      <w:bookmarkStart w:id="92" w:name="_Toc16938530"/>
      <w:r/>
      <w:bookmarkStart w:id="93" w:name="_Toc513029214"/>
      <w:r>
        <w:rPr>
          <w:rFonts w:hint="eastAsia" w:ascii="宋体" w:hAnsi="宋体" w:eastAsia="宋体" w:cs="宋体"/>
          <w:color w:val="000000"/>
          <w:sz w:val="24"/>
          <w:szCs w:val="24"/>
          <w:highlight w:val="none"/>
        </w:rPr>
        <w:t xml:space="preserve">9、投标文件的语言及度量衡单位</w:t>
      </w:r>
      <w:bookmarkEnd w:id="90"/>
      <w:r/>
      <w:bookmarkEnd w:id="91"/>
      <w:r/>
      <w:bookmarkEnd w:id="92"/>
      <w:r/>
      <w:bookmarkEnd w:id="93"/>
      <w:r>
        <w:rPr>
          <w:rFonts w:hint="eastAsia" w:ascii="宋体" w:hAnsi="宋体" w:eastAsia="宋体" w:cs="宋体"/>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9.1 </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提交的投标文件以及</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与</w:t>
      </w:r>
      <w:r>
        <w:rPr>
          <w:rFonts w:hint="eastAsia" w:ascii="宋体" w:hAnsi="宋体" w:eastAsia="宋体" w:cs="宋体"/>
          <w:color w:val="000000"/>
          <w:sz w:val="24"/>
          <w:szCs w:val="24"/>
          <w:highlight w:val="none"/>
          <w:lang w:eastAsia="zh-CN"/>
        </w:rPr>
        <w:t xml:space="preserve">采购</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就有关投标的所有来往通知、函件和文件均应使用</w:t>
      </w:r>
      <w:r>
        <w:rPr>
          <w:rFonts w:hint="eastAsia" w:ascii="宋体" w:hAnsi="宋体" w:eastAsia="宋体" w:cs="宋体"/>
          <w:b/>
          <w:color w:val="000000"/>
          <w:sz w:val="24"/>
          <w:szCs w:val="24"/>
          <w:highlight w:val="none"/>
        </w:rPr>
        <w:t xml:space="preserve">简体中文</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9.2 除技术性能另有规定外，投标文件所使用的度量衡单位，均须采用国家法定计量单位。</w:t>
      </w:r>
      <w:r>
        <w:rPr>
          <w:rFonts w:hint="eastAsia" w:ascii="宋体" w:hAnsi="宋体" w:eastAsia="宋体" w:cs="宋体"/>
          <w:sz w:val="24"/>
          <w:szCs w:val="24"/>
          <w:highlight w:val="none"/>
        </w:rPr>
      </w:r>
      <w:r/>
    </w:p>
    <w:p>
      <w:pPr>
        <w:pStyle w:val="698"/>
        <w:ind w:left="0" w:firstLine="48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bookmarkStart w:id="94" w:name="_Toc513029215"/>
      <w:r/>
      <w:bookmarkStart w:id="95" w:name="_Toc20823287"/>
      <w:r/>
      <w:bookmarkStart w:id="96" w:name="_Toc16938531"/>
      <w:r/>
      <w:bookmarkStart w:id="97" w:name="_Toc462564074"/>
      <w:r>
        <w:rPr>
          <w:rFonts w:hint="eastAsia" w:ascii="宋体" w:hAnsi="宋体" w:eastAsia="宋体" w:cs="宋体"/>
          <w:color w:val="000000"/>
          <w:sz w:val="24"/>
          <w:szCs w:val="24"/>
          <w:highlight w:val="none"/>
        </w:rPr>
        <w:t xml:space="preserve">10、投标文件构成</w:t>
      </w:r>
      <w:bookmarkEnd w:id="94"/>
      <w:r/>
      <w:bookmarkEnd w:id="95"/>
      <w:r/>
      <w:bookmarkEnd w:id="96"/>
      <w:r/>
      <w:bookmarkEnd w:id="97"/>
      <w:r>
        <w:rPr>
          <w:rFonts w:hint="eastAsia" w:ascii="宋体" w:hAnsi="宋体" w:eastAsia="宋体" w:cs="宋体"/>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10.1 </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编写的投标文件应包括资格证明文件、符合性证明文件、投标分项报价表、技术要求响应及偏离表、商务要求响应及偏离表、其他证明文件、投标函、开标一览表等部分。</w:t>
      </w:r>
      <w:r>
        <w:rPr>
          <w:rFonts w:hint="eastAsia" w:ascii="宋体" w:hAnsi="宋体" w:eastAsia="宋体" w:cs="宋体"/>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10.2 如标书制作工具中格式和内容与</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发布的招标文件不一致，请以</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发布的招标文件为准。</w:t>
      </w:r>
      <w:r>
        <w:rPr>
          <w:rFonts w:hint="eastAsia" w:ascii="宋体" w:hAnsi="宋体" w:eastAsia="宋体" w:cs="宋体"/>
          <w:sz w:val="24"/>
          <w:szCs w:val="24"/>
          <w:highlight w:val="none"/>
        </w:rPr>
      </w:r>
      <w:r/>
    </w:p>
    <w:p>
      <w:pPr>
        <w:pStyle w:val="698"/>
        <w:ind w:left="0" w:firstLine="48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bookmarkStart w:id="98" w:name="_Toc14577354"/>
      <w:r/>
      <w:bookmarkStart w:id="99" w:name="_Toc49090509"/>
      <w:r/>
      <w:bookmarkStart w:id="100" w:name="_Toc513029219"/>
      <w:r/>
      <w:bookmarkStart w:id="101" w:name="_Toc49090507"/>
      <w:r/>
      <w:bookmarkStart w:id="102" w:name="_Toc513029216"/>
      <w:r/>
      <w:bookmarkStart w:id="103" w:name="_Toc14577355"/>
      <w:r/>
      <w:bookmarkStart w:id="104" w:name="_Toc49090508"/>
      <w:r/>
      <w:bookmarkStart w:id="105" w:name="_Toc14577357"/>
      <w:r>
        <w:rPr>
          <w:rFonts w:hint="eastAsia" w:ascii="宋体" w:hAnsi="宋体" w:eastAsia="宋体" w:cs="宋体"/>
          <w:color w:val="000000"/>
          <w:sz w:val="24"/>
          <w:szCs w:val="24"/>
          <w:highlight w:val="none"/>
        </w:rPr>
        <w:t xml:space="preserve">11、证明</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及投标标的符合招标文件规定的文件</w:t>
      </w:r>
      <w:bookmarkEnd w:id="98"/>
      <w:r/>
      <w:bookmarkEnd w:id="99"/>
      <w:r/>
      <w:bookmarkEnd w:id="100"/>
      <w:r/>
      <w:bookmarkEnd w:id="101"/>
      <w:r/>
      <w:bookmarkEnd w:id="102"/>
      <w:r/>
      <w:bookmarkEnd w:id="103"/>
      <w:r/>
      <w:bookmarkEnd w:id="104"/>
      <w:r/>
      <w:bookmarkEnd w:id="105"/>
      <w:r>
        <w:rPr>
          <w:rFonts w:hint="eastAsia" w:ascii="宋体" w:hAnsi="宋体" w:eastAsia="宋体" w:cs="宋体"/>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11.1 </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应按照招标文件要求提交证明文件，证明其及投标标的符合招标文件规定。</w:t>
      </w:r>
      <w:r>
        <w:rPr>
          <w:rFonts w:hint="eastAsia" w:ascii="宋体" w:hAnsi="宋体" w:eastAsia="宋体" w:cs="宋体"/>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11.2招标文件对证明文件无明确形式要求的，证明文件可以以文字资料、图纸和数据等形式提交。</w:t>
      </w:r>
      <w:r>
        <w:rPr>
          <w:rFonts w:hint="eastAsia" w:ascii="宋体" w:hAnsi="宋体" w:eastAsia="宋体" w:cs="宋体"/>
          <w:sz w:val="24"/>
          <w:szCs w:val="24"/>
          <w:highlight w:val="none"/>
        </w:rPr>
      </w:r>
      <w:r/>
    </w:p>
    <w:p>
      <w:pPr>
        <w:pStyle w:val="698"/>
        <w:ind w:left="0" w:firstLine="48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12、投标分项报价表</w:t>
      </w:r>
      <w:r>
        <w:rPr>
          <w:rFonts w:hint="eastAsia" w:ascii="宋体" w:hAnsi="宋体" w:eastAsia="宋体" w:cs="宋体"/>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12.1 </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应按照招标文件规定格式填报投标分项报价表。</w:t>
      </w:r>
      <w:r>
        <w:rPr>
          <w:rFonts w:hint="eastAsia" w:ascii="宋体" w:hAnsi="宋体" w:eastAsia="宋体" w:cs="宋体"/>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12.2投标货币。投标文件中的单价和总价无特殊规定的采用人民币报价，以元为单位标注。招标文件中另有规定的按规定执行。</w:t>
      </w:r>
      <w:r>
        <w:rPr>
          <w:rFonts w:hint="eastAsia" w:ascii="宋体" w:hAnsi="宋体" w:eastAsia="宋体" w:cs="宋体"/>
          <w:sz w:val="24"/>
          <w:szCs w:val="24"/>
          <w:highlight w:val="none"/>
        </w:rPr>
      </w:r>
      <w:r/>
    </w:p>
    <w:p>
      <w:pPr>
        <w:pStyle w:val="698"/>
        <w:ind w:firstLine="42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13、技术要求响应及偏离表、商务要求响应及偏离表</w:t>
      </w:r>
      <w:r>
        <w:rPr>
          <w:rFonts w:hint="eastAsia" w:ascii="宋体" w:hAnsi="宋体" w:eastAsia="宋体" w:cs="宋体"/>
          <w:sz w:val="24"/>
          <w:szCs w:val="24"/>
          <w:highlight w:val="none"/>
        </w:rPr>
      </w:r>
      <w:r/>
    </w:p>
    <w:p>
      <w:pPr>
        <w:pStyle w:val="698"/>
        <w:ind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13.1</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需对招标文件中的技术要求与商务要求逐项作出响应或偏离，并说明原因。</w:t>
      </w:r>
      <w:r>
        <w:rPr>
          <w:rFonts w:hint="eastAsia" w:ascii="宋体" w:hAnsi="宋体" w:eastAsia="宋体" w:cs="宋体"/>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13.2 </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可在投标文件中提供认为需要的其他技术文件或说明。</w:t>
      </w:r>
      <w:r>
        <w:rPr>
          <w:rFonts w:hint="eastAsia" w:ascii="宋体" w:hAnsi="宋体" w:eastAsia="宋体" w:cs="宋体"/>
          <w:sz w:val="24"/>
          <w:szCs w:val="24"/>
          <w:highlight w:val="none"/>
        </w:rPr>
      </w:r>
      <w:r/>
    </w:p>
    <w:p>
      <w:pPr>
        <w:pStyle w:val="698"/>
        <w:ind w:left="0" w:firstLine="48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14、服务承诺、培训计划、人员安排及其他</w:t>
      </w:r>
      <w:r>
        <w:rPr>
          <w:rFonts w:hint="eastAsia" w:ascii="宋体" w:hAnsi="宋体" w:eastAsia="宋体" w:cs="宋体"/>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14.1 </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需根据招标文件要求提供有关售后服务的管理制度，售后服务机构的分布情况，售后服务人员的数量、素质、技术水平及售后服务的反应能力等。</w:t>
      </w:r>
      <w:r>
        <w:rPr>
          <w:rFonts w:hint="eastAsia" w:ascii="宋体" w:hAnsi="宋体" w:eastAsia="宋体" w:cs="宋体"/>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14.2 </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需根据招标文件要求提供培训计划。</w:t>
      </w:r>
      <w:r>
        <w:rPr>
          <w:rFonts w:hint="eastAsia" w:ascii="宋体" w:hAnsi="宋体" w:eastAsia="宋体" w:cs="宋体"/>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14.3</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需根据招标文件要求提供所投标的的主要组成部分、功能设计、实现思路及关键技术等。</w:t>
      </w:r>
      <w:r>
        <w:rPr>
          <w:rFonts w:hint="eastAsia" w:ascii="宋体" w:hAnsi="宋体" w:eastAsia="宋体" w:cs="宋体"/>
          <w:sz w:val="24"/>
          <w:szCs w:val="24"/>
          <w:highlight w:val="none"/>
        </w:rPr>
      </w:r>
      <w:r/>
    </w:p>
    <w:p>
      <w:pPr>
        <w:pStyle w:val="698"/>
        <w:ind w:left="0" w:firstLine="48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bookmarkStart w:id="106" w:name="_Toc14577359"/>
      <w:r/>
      <w:bookmarkStart w:id="107" w:name="_Toc49090510"/>
      <w:r>
        <w:rPr>
          <w:rFonts w:hint="eastAsia" w:ascii="宋体" w:hAnsi="宋体" w:eastAsia="宋体" w:cs="宋体"/>
          <w:color w:val="000000"/>
          <w:sz w:val="24"/>
          <w:szCs w:val="24"/>
          <w:highlight w:val="none"/>
        </w:rPr>
        <w:t xml:space="preserve">15、投标函和开标一览表</w:t>
      </w:r>
      <w:bookmarkEnd w:id="106"/>
      <w:r/>
      <w:bookmarkEnd w:id="107"/>
      <w:r>
        <w:rPr>
          <w:rFonts w:hint="eastAsia" w:ascii="宋体" w:hAnsi="宋体" w:eastAsia="宋体" w:cs="宋体"/>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15.1 </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应按照招标文件中提供的格式完整、正确填写投标函、开标一览表。</w:t>
      </w:r>
      <w:r>
        <w:rPr>
          <w:rFonts w:hint="eastAsia" w:ascii="宋体" w:hAnsi="宋体" w:eastAsia="宋体" w:cs="宋体"/>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15.2 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sz w:val="24"/>
          <w:szCs w:val="24"/>
          <w:highlight w:val="none"/>
        </w:rPr>
      </w:r>
      <w:r/>
    </w:p>
    <w:p>
      <w:pPr>
        <w:pStyle w:val="698"/>
        <w:ind w:left="0" w:firstLine="48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bookmarkStart w:id="108" w:name="_Toc49090511"/>
      <w:r/>
      <w:bookmarkStart w:id="109" w:name="_Toc14577360"/>
      <w:r>
        <w:rPr>
          <w:rFonts w:hint="eastAsia" w:ascii="宋体" w:hAnsi="宋体" w:eastAsia="宋体" w:cs="宋体"/>
          <w:color w:val="000000"/>
          <w:sz w:val="24"/>
          <w:szCs w:val="24"/>
          <w:highlight w:val="none"/>
        </w:rPr>
        <w:t xml:space="preserve">16、投标有效期</w:t>
      </w:r>
      <w:bookmarkEnd w:id="108"/>
      <w:r/>
      <w:bookmarkEnd w:id="109"/>
      <w:r>
        <w:rPr>
          <w:rFonts w:hint="eastAsia" w:ascii="宋体" w:hAnsi="宋体" w:eastAsia="宋体" w:cs="宋体"/>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16.1投标有效期为</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规定的开标之日后</w:t>
      </w:r>
      <w:r>
        <w:rPr>
          <w:rFonts w:hint="eastAsia" w:ascii="宋体" w:hAnsi="宋体" w:eastAsia="宋体" w:cs="宋体"/>
          <w:b/>
          <w:color w:val="000000"/>
          <w:sz w:val="24"/>
          <w:szCs w:val="24"/>
          <w:highlight w:val="none"/>
          <w:u w:val="single"/>
          <w:lang w:val="en-US" w:eastAsia="zh-CN"/>
        </w:rPr>
        <w:t xml:space="preserve">九</w:t>
      </w:r>
      <w:r>
        <w:rPr>
          <w:rFonts w:hint="eastAsia" w:ascii="宋体" w:hAnsi="宋体" w:eastAsia="宋体" w:cs="宋体"/>
          <w:b/>
          <w:color w:val="000000"/>
          <w:sz w:val="24"/>
          <w:szCs w:val="24"/>
          <w:highlight w:val="none"/>
          <w:u w:val="single"/>
        </w:rPr>
        <w:t xml:space="preserve">十（</w:t>
      </w:r>
      <w:r>
        <w:rPr>
          <w:rFonts w:hint="eastAsia" w:ascii="宋体" w:hAnsi="宋体" w:eastAsia="宋体" w:cs="宋体"/>
          <w:b/>
          <w:color w:val="000000"/>
          <w:sz w:val="24"/>
          <w:szCs w:val="24"/>
          <w:highlight w:val="none"/>
          <w:u w:val="single"/>
          <w:lang w:val="en-US" w:eastAsia="zh-CN"/>
        </w:rPr>
        <w:t xml:space="preserve">9</w:t>
      </w:r>
      <w:r>
        <w:rPr>
          <w:rFonts w:hint="eastAsia" w:ascii="宋体" w:hAnsi="宋体" w:eastAsia="宋体" w:cs="宋体"/>
          <w:b/>
          <w:color w:val="000000"/>
          <w:sz w:val="24"/>
          <w:szCs w:val="24"/>
          <w:highlight w:val="none"/>
          <w:u w:val="single"/>
        </w:rPr>
        <w:t xml:space="preserve">0）天</w:t>
      </w:r>
      <w:r>
        <w:rPr>
          <w:rFonts w:hint="eastAsia" w:ascii="宋体" w:hAnsi="宋体" w:eastAsia="宋体" w:cs="宋体"/>
          <w:color w:val="000000"/>
          <w:sz w:val="24"/>
          <w:szCs w:val="24"/>
          <w:highlight w:val="none"/>
        </w:rPr>
        <w:t xml:space="preserve">。投标有效期比规定短的将被视为未实质性响应招标文件而予以拒绝。</w:t>
      </w:r>
      <w:r>
        <w:rPr>
          <w:rFonts w:hint="eastAsia" w:ascii="宋体" w:hAnsi="宋体" w:eastAsia="宋体" w:cs="宋体"/>
          <w:sz w:val="24"/>
          <w:szCs w:val="24"/>
          <w:highlight w:val="none"/>
        </w:rPr>
      </w:r>
      <w:r/>
    </w:p>
    <w:p>
      <w:pPr>
        <w:pStyle w:val="698"/>
        <w:ind w:left="0" w:firstLine="48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17、投标有效期的延长</w:t>
      </w:r>
      <w:r>
        <w:rPr>
          <w:rFonts w:hint="eastAsia" w:ascii="宋体" w:hAnsi="宋体" w:eastAsia="宋体" w:cs="宋体"/>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17.1在特殊情况下，</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于原投标有效期满之前，可向</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提出延长投标有效期的要求。这种要求与答复均应采用书面形式。</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可以拒绝</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的这一要求而放弃投标，同意延长投标有效期的</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既不能要求也不允许修改其投标文件。受投标有效期约束的所有权利与义务均延长至新的有效期。</w:t>
      </w:r>
      <w:r>
        <w:rPr>
          <w:rFonts w:hint="eastAsia" w:ascii="宋体" w:hAnsi="宋体" w:eastAsia="宋体" w:cs="宋体"/>
          <w:sz w:val="24"/>
          <w:szCs w:val="24"/>
          <w:highlight w:val="none"/>
        </w:rPr>
      </w:r>
      <w:r/>
    </w:p>
    <w:p>
      <w:pPr>
        <w:pStyle w:val="698"/>
        <w:ind w:left="0" w:firstLine="482"/>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bookmarkStart w:id="110" w:name="_Toc513029224"/>
      <w:r/>
      <w:bookmarkStart w:id="111" w:name="_Toc120614217"/>
      <w:r/>
      <w:bookmarkStart w:id="112" w:name="_Toc20823296"/>
      <w:r/>
      <w:bookmarkStart w:id="113" w:name="_Toc16938540"/>
      <w:r>
        <w:rPr>
          <w:rFonts w:hint="eastAsia" w:ascii="宋体" w:hAnsi="宋体" w:eastAsia="宋体" w:cs="宋体"/>
          <w:b/>
          <w:color w:val="000000"/>
          <w:sz w:val="24"/>
          <w:szCs w:val="24"/>
          <w:highlight w:val="none"/>
        </w:rPr>
        <w:t xml:space="preserve">四、投标文件的递交</w:t>
      </w:r>
      <w:bookmarkEnd w:id="110"/>
      <w:r/>
      <w:bookmarkEnd w:id="111"/>
      <w:r/>
      <w:bookmarkEnd w:id="112"/>
      <w:r/>
      <w:bookmarkEnd w:id="113"/>
      <w:r>
        <w:rPr>
          <w:rFonts w:hint="eastAsia" w:ascii="宋体" w:hAnsi="宋体" w:eastAsia="宋体" w:cs="宋体"/>
          <w:sz w:val="24"/>
          <w:szCs w:val="24"/>
          <w:highlight w:val="none"/>
        </w:rPr>
      </w:r>
      <w:r/>
    </w:p>
    <w:p>
      <w:pPr>
        <w:pStyle w:val="698"/>
        <w:ind w:left="0" w:firstLine="48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bookmarkStart w:id="114" w:name="_Toc462564084"/>
      <w:r/>
      <w:bookmarkStart w:id="115" w:name="_Toc16938541"/>
      <w:r/>
      <w:bookmarkStart w:id="116" w:name="_Toc20823297"/>
      <w:r/>
      <w:bookmarkStart w:id="117" w:name="_Toc513029225"/>
      <w:r>
        <w:rPr>
          <w:rFonts w:hint="eastAsia" w:ascii="宋体" w:hAnsi="宋体" w:eastAsia="宋体" w:cs="宋体"/>
          <w:color w:val="000000"/>
          <w:sz w:val="24"/>
          <w:szCs w:val="24"/>
          <w:highlight w:val="none"/>
        </w:rPr>
        <w:t xml:space="preserve">18、电子投标文件</w:t>
      </w:r>
      <w:bookmarkEnd w:id="114"/>
      <w:r/>
      <w:bookmarkEnd w:id="115"/>
      <w:r/>
      <w:bookmarkEnd w:id="116"/>
      <w:r/>
      <w:bookmarkEnd w:id="117"/>
      <w:r>
        <w:rPr>
          <w:rFonts w:hint="eastAsia" w:ascii="宋体" w:hAnsi="宋体" w:eastAsia="宋体" w:cs="宋体"/>
          <w:color w:val="000000"/>
          <w:sz w:val="24"/>
          <w:szCs w:val="24"/>
          <w:highlight w:val="none"/>
        </w:rPr>
        <w:t xml:space="preserve">的递交</w:t>
      </w:r>
      <w:r>
        <w:rPr>
          <w:rFonts w:hint="eastAsia" w:ascii="宋体" w:hAnsi="宋体" w:eastAsia="宋体" w:cs="宋体"/>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18.1</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应当按照《操作手册》规定，在投标截止时间前制作并上传电子投标文件。</w:t>
      </w:r>
      <w:bookmarkStart w:id="118" w:name="_Toc16938542"/>
      <w:r/>
      <w:bookmarkEnd w:id="118"/>
      <w:r/>
      <w:bookmarkStart w:id="119" w:name="_Toc20823298"/>
      <w:r/>
      <w:bookmarkEnd w:id="119"/>
      <w:r>
        <w:rPr>
          <w:rFonts w:hint="eastAsia" w:ascii="宋体" w:hAnsi="宋体" w:eastAsia="宋体" w:cs="宋体"/>
          <w:sz w:val="24"/>
          <w:szCs w:val="24"/>
          <w:highlight w:val="none"/>
        </w:rPr>
      </w:r>
      <w:r/>
    </w:p>
    <w:p>
      <w:pPr>
        <w:pStyle w:val="698"/>
        <w:ind w:left="0" w:firstLine="48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19、投标截止日期</w:t>
      </w:r>
      <w:r>
        <w:rPr>
          <w:rFonts w:hint="eastAsia" w:ascii="宋体" w:hAnsi="宋体" w:eastAsia="宋体" w:cs="宋体"/>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i/>
          <w:color w:val="000000"/>
          <w:sz w:val="24"/>
          <w:szCs w:val="24"/>
          <w:highlight w:val="none"/>
          <w:u w:val="single"/>
        </w:rPr>
        <w:t xml:space="preserve">19.1 </w:t>
      </w:r>
      <w:r>
        <w:rPr>
          <w:rFonts w:hint="eastAsia" w:ascii="宋体" w:hAnsi="宋体" w:eastAsia="宋体" w:cs="宋体"/>
          <w:i/>
          <w:color w:val="000000"/>
          <w:sz w:val="24"/>
          <w:szCs w:val="24"/>
          <w:highlight w:val="none"/>
          <w:u w:val="single"/>
          <w:lang w:eastAsia="zh-CN"/>
        </w:rPr>
        <w:t xml:space="preserve">供应商</w:t>
      </w:r>
      <w:r>
        <w:rPr>
          <w:rFonts w:hint="eastAsia" w:ascii="宋体" w:hAnsi="宋体" w:eastAsia="宋体" w:cs="宋体"/>
          <w:i/>
          <w:color w:val="000000"/>
          <w:sz w:val="24"/>
          <w:szCs w:val="24"/>
          <w:highlight w:val="none"/>
          <w:u w:val="single"/>
        </w:rPr>
        <w:t xml:space="preserve">上传电子投标文件的时间不得迟于招标公告中规定的投标截止时间。</w:t>
      </w:r>
      <w:r>
        <w:rPr>
          <w:rFonts w:hint="eastAsia" w:ascii="宋体" w:hAnsi="宋体" w:eastAsia="宋体" w:cs="宋体"/>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应充分考虑到网络环境、网络带宽等风险因素，如因</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自身原因造成的电子投标文件上传不成功的按照本招标文件第二章第27.1.2条规定做无效投标处理。</w:t>
      </w:r>
      <w:r>
        <w:rPr>
          <w:rFonts w:hint="eastAsia" w:ascii="宋体" w:hAnsi="宋体" w:eastAsia="宋体" w:cs="宋体"/>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19.2 </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可以按照规定，通过修改招标文件酌情延长投标截止日期，在此情况下，</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的所有权利和义务以及</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受制的截止日期均应以延长后新的截止日期为准。</w:t>
      </w:r>
      <w:r>
        <w:rPr>
          <w:rFonts w:hint="eastAsia" w:ascii="宋体" w:hAnsi="宋体" w:eastAsia="宋体" w:cs="宋体"/>
          <w:sz w:val="24"/>
          <w:szCs w:val="24"/>
          <w:highlight w:val="none"/>
        </w:rPr>
      </w:r>
      <w:r/>
    </w:p>
    <w:p>
      <w:pPr>
        <w:pStyle w:val="698"/>
        <w:ind w:left="0" w:firstLine="48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bookmarkStart w:id="120" w:name="_Toc513029227"/>
      <w:r/>
      <w:bookmarkStart w:id="121" w:name="_Toc16938543"/>
      <w:r/>
      <w:bookmarkStart w:id="122" w:name="_Toc20823299"/>
      <w:r>
        <w:rPr>
          <w:rFonts w:hint="eastAsia" w:ascii="宋体" w:hAnsi="宋体" w:eastAsia="宋体" w:cs="宋体"/>
          <w:color w:val="000000"/>
          <w:sz w:val="24"/>
          <w:szCs w:val="24"/>
          <w:highlight w:val="none"/>
        </w:rPr>
        <w:t xml:space="preserve">20、投标文件</w:t>
      </w:r>
      <w:bookmarkEnd w:id="120"/>
      <w:r/>
      <w:bookmarkEnd w:id="121"/>
      <w:r/>
      <w:bookmarkEnd w:id="122"/>
      <w:r>
        <w:rPr>
          <w:rFonts w:hint="eastAsia" w:ascii="宋体" w:hAnsi="宋体" w:eastAsia="宋体" w:cs="宋体"/>
          <w:color w:val="000000"/>
          <w:sz w:val="24"/>
          <w:szCs w:val="24"/>
          <w:highlight w:val="none"/>
        </w:rPr>
        <w:t xml:space="preserve">的拒收</w:t>
      </w:r>
      <w:r>
        <w:rPr>
          <w:rFonts w:hint="eastAsia" w:ascii="宋体" w:hAnsi="宋体" w:eastAsia="宋体" w:cs="宋体"/>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20.1 </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eastAsia="宋体" w:cs="宋体"/>
          <w:color w:val="000000"/>
          <w:sz w:val="24"/>
          <w:szCs w:val="24"/>
          <w:highlight w:val="none"/>
        </w:rPr>
        <w:t xml:space="preserve">拒绝接收在其规定的投标截止时间后上传的任何投标文件。</w:t>
      </w:r>
      <w:r>
        <w:rPr>
          <w:rFonts w:hint="eastAsia" w:ascii="宋体" w:hAnsi="宋体" w:eastAsia="宋体" w:cs="宋体"/>
          <w:sz w:val="24"/>
          <w:szCs w:val="24"/>
          <w:highlight w:val="none"/>
        </w:rPr>
      </w:r>
      <w:r/>
    </w:p>
    <w:p>
      <w:pPr>
        <w:pStyle w:val="698"/>
        <w:ind w:left="0" w:firstLine="48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bookmarkStart w:id="123" w:name="_Toc513029228"/>
      <w:r/>
      <w:bookmarkStart w:id="124" w:name="_Toc20823300"/>
      <w:r/>
      <w:bookmarkStart w:id="125" w:name="_Toc16938544"/>
      <w:r>
        <w:rPr>
          <w:rFonts w:hint="eastAsia" w:ascii="宋体" w:hAnsi="宋体" w:eastAsia="宋体" w:cs="宋体"/>
          <w:color w:val="000000"/>
          <w:sz w:val="24"/>
          <w:szCs w:val="24"/>
          <w:highlight w:val="none"/>
        </w:rPr>
        <w:t xml:space="preserve">21、投标文件的撤回和修改</w:t>
      </w:r>
      <w:bookmarkEnd w:id="123"/>
      <w:r/>
      <w:bookmarkEnd w:id="124"/>
      <w:r/>
      <w:bookmarkEnd w:id="125"/>
      <w:r>
        <w:rPr>
          <w:rFonts w:hint="eastAsia" w:ascii="宋体" w:hAnsi="宋体" w:eastAsia="宋体" w:cs="宋体"/>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21.1 投标文件的撤回</w:t>
      </w:r>
      <w:r>
        <w:rPr>
          <w:rFonts w:hint="eastAsia" w:ascii="宋体" w:hAnsi="宋体" w:eastAsia="宋体" w:cs="宋体"/>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21.1.1 电子投标文件的撤回</w:t>
      </w:r>
      <w:r>
        <w:rPr>
          <w:rFonts w:hint="eastAsia" w:ascii="宋体" w:hAnsi="宋体" w:eastAsia="宋体" w:cs="宋体"/>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可在投标截止时间前，撤回其电子投标文件，具体操作方法见《操作手册》。</w:t>
      </w:r>
      <w:r>
        <w:rPr>
          <w:rFonts w:hint="eastAsia" w:ascii="宋体" w:hAnsi="宋体" w:eastAsia="宋体" w:cs="宋体"/>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21.1.2 </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撤回电子投标文件，则认为其不再参与本项目投标活动。</w:t>
      </w:r>
      <w:r>
        <w:rPr>
          <w:rFonts w:hint="eastAsia" w:ascii="宋体" w:hAnsi="宋体" w:eastAsia="宋体" w:cs="宋体"/>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21.2 投标文件的修改</w:t>
      </w:r>
      <w:r>
        <w:rPr>
          <w:rFonts w:hint="eastAsia" w:ascii="宋体" w:hAnsi="宋体" w:eastAsia="宋体" w:cs="宋体"/>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21.2.1</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可在投标截止时间前，对其电子投标文件进行修改，具体操作方法见《操作手册》。</w:t>
      </w:r>
      <w:r>
        <w:rPr>
          <w:rFonts w:hint="eastAsia" w:ascii="宋体" w:hAnsi="宋体" w:eastAsia="宋体" w:cs="宋体"/>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21.2.2 在投标截止时间之后，</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不得对其电子投标文件作任何修改。</w:t>
      </w:r>
      <w:r>
        <w:rPr>
          <w:rFonts w:hint="eastAsia" w:ascii="宋体" w:hAnsi="宋体" w:eastAsia="宋体" w:cs="宋体"/>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21.3 在投标截止时间至招标文件中规定的投标有效期满之间的这段时间内，</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不得撤回其投标。</w:t>
      </w:r>
      <w:r>
        <w:rPr>
          <w:rFonts w:hint="eastAsia" w:ascii="宋体" w:hAnsi="宋体" w:eastAsia="宋体" w:cs="宋体"/>
          <w:sz w:val="24"/>
          <w:szCs w:val="24"/>
          <w:highlight w:val="none"/>
        </w:rPr>
      </w:r>
      <w:r/>
    </w:p>
    <w:p>
      <w:pPr>
        <w:pStyle w:val="698"/>
        <w:ind w:left="0" w:firstLine="482"/>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bookmarkStart w:id="126" w:name="_Toc120614218"/>
      <w:r/>
      <w:bookmarkStart w:id="127" w:name="_Toc20823301"/>
      <w:r/>
      <w:bookmarkStart w:id="128" w:name="_Toc513029229"/>
      <w:r/>
      <w:bookmarkStart w:id="129" w:name="_Toc16938545"/>
      <w:r>
        <w:rPr>
          <w:rFonts w:hint="eastAsia" w:ascii="宋体" w:hAnsi="宋体" w:eastAsia="宋体" w:cs="宋体"/>
          <w:b/>
          <w:color w:val="000000"/>
          <w:sz w:val="24"/>
          <w:szCs w:val="24"/>
          <w:highlight w:val="none"/>
        </w:rPr>
        <w:t xml:space="preserve">五、开标与评标</w:t>
      </w:r>
      <w:bookmarkEnd w:id="126"/>
      <w:r/>
      <w:bookmarkEnd w:id="127"/>
      <w:r/>
      <w:bookmarkEnd w:id="128"/>
      <w:r/>
      <w:bookmarkEnd w:id="129"/>
      <w:r>
        <w:rPr>
          <w:rFonts w:hint="eastAsia" w:ascii="宋体" w:hAnsi="宋体" w:eastAsia="宋体" w:cs="宋体"/>
          <w:sz w:val="24"/>
          <w:szCs w:val="24"/>
          <w:highlight w:val="none"/>
        </w:rPr>
      </w:r>
      <w:r/>
    </w:p>
    <w:p>
      <w:pPr>
        <w:pStyle w:val="698"/>
        <w:ind w:left="0" w:firstLine="48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bookmarkStart w:id="130" w:name="_Toc20823302"/>
      <w:r/>
      <w:bookmarkStart w:id="131" w:name="_Toc16938546"/>
      <w:r/>
      <w:bookmarkStart w:id="132" w:name="_Toc513029230"/>
      <w:r>
        <w:rPr>
          <w:rFonts w:hint="eastAsia" w:ascii="宋体" w:hAnsi="宋体" w:eastAsia="宋体" w:cs="宋体"/>
          <w:color w:val="000000"/>
          <w:sz w:val="24"/>
          <w:szCs w:val="24"/>
          <w:highlight w:val="none"/>
        </w:rPr>
        <w:t xml:space="preserve">22、开标</w:t>
      </w:r>
      <w:bookmarkEnd w:id="130"/>
      <w:r/>
      <w:bookmarkEnd w:id="131"/>
      <w:r/>
      <w:bookmarkEnd w:id="132"/>
      <w:r>
        <w:rPr>
          <w:rFonts w:hint="eastAsia" w:ascii="宋体" w:hAnsi="宋体" w:eastAsia="宋体" w:cs="宋体"/>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 </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将在招标公告中规定的时间和地点组织公开开标。</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应当按照《操作手册》规定，参加开标活动</w:t>
      </w:r>
      <w:r>
        <w:rPr>
          <w:rFonts w:hint="eastAsia" w:ascii="宋体" w:hAnsi="宋体" w:eastAsia="宋体" w:cs="宋体"/>
          <w:color w:val="000000"/>
          <w:sz w:val="24"/>
          <w:szCs w:val="24"/>
          <w:highlight w:val="none"/>
        </w:rPr>
        <w:t xml:space="preserve">和在苏采云系统规定的时间内对投标文件进行解密。</w:t>
      </w:r>
      <w:r>
        <w:rPr>
          <w:rFonts w:hint="eastAsia" w:ascii="宋体" w:hAnsi="宋体" w:eastAsia="宋体" w:cs="宋体"/>
          <w:color w:val="000000"/>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22.2开标仪式由采购</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组织。苏采云系统将自动对项目进行开标，并宣布各</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名称和投标价格。</w:t>
      </w:r>
      <w:r>
        <w:rPr>
          <w:rFonts w:hint="eastAsia" w:ascii="宋体" w:hAnsi="宋体" w:eastAsia="宋体" w:cs="宋体"/>
          <w:color w:val="000000"/>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22.3</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在开标过程中涉及到的投标文件解密、开标结果确认等工作，应按照《操作手册》规定执行。</w:t>
      </w:r>
      <w:r>
        <w:rPr>
          <w:rFonts w:hint="eastAsia" w:ascii="宋体" w:hAnsi="宋体" w:eastAsia="宋体" w:cs="宋体"/>
          <w:color w:val="000000"/>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22.4</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如果对开标过程和开标记录有疑义，应当根据《操作手册》规定提出，如苏采云系统中《开标记录表》宣布后5分钟内未提出的</w:t>
      </w:r>
      <w:r>
        <w:rPr>
          <w:rFonts w:hint="eastAsia" w:ascii="宋体" w:hAnsi="宋体" w:eastAsia="宋体" w:cs="宋体"/>
          <w:color w:val="000000"/>
          <w:sz w:val="24"/>
          <w:szCs w:val="24"/>
          <w:highlight w:val="none"/>
        </w:rPr>
        <w:t xml:space="preserve">，视同认可开标结果。</w:t>
      </w:r>
      <w:r>
        <w:rPr>
          <w:rFonts w:hint="eastAsia" w:ascii="宋体" w:hAnsi="宋体" w:eastAsia="宋体" w:cs="宋体"/>
          <w:sz w:val="24"/>
          <w:szCs w:val="24"/>
          <w:highlight w:val="none"/>
        </w:rPr>
      </w:r>
      <w:r/>
    </w:p>
    <w:p>
      <w:pPr>
        <w:pStyle w:val="698"/>
        <w:ind w:left="0" w:firstLine="48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bookmarkStart w:id="133" w:name="_Toc16938547"/>
      <w:r/>
      <w:bookmarkStart w:id="134" w:name="_Toc513029231"/>
      <w:r/>
      <w:bookmarkStart w:id="135" w:name="_Toc20823303"/>
      <w:r>
        <w:rPr>
          <w:rFonts w:hint="eastAsia" w:ascii="宋体" w:hAnsi="宋体" w:eastAsia="宋体" w:cs="宋体"/>
          <w:color w:val="000000"/>
          <w:sz w:val="24"/>
          <w:szCs w:val="24"/>
          <w:highlight w:val="none"/>
        </w:rPr>
        <w:t xml:space="preserve">23、评标委员会</w:t>
      </w:r>
      <w:bookmarkEnd w:id="133"/>
      <w:r/>
      <w:bookmarkEnd w:id="134"/>
      <w:r/>
      <w:bookmarkEnd w:id="135"/>
      <w:r>
        <w:rPr>
          <w:rFonts w:hint="eastAsia" w:ascii="宋体" w:hAnsi="宋体" w:eastAsia="宋体" w:cs="宋体"/>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23.1</w:t>
      </w: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开标后，</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eastAsia="宋体" w:cs="宋体"/>
          <w:color w:val="000000"/>
          <w:sz w:val="24"/>
          <w:szCs w:val="24"/>
          <w:highlight w:val="none"/>
        </w:rPr>
        <w:t xml:space="preserve">将立即组织评标委员会（以下简称评委会）进行评标。</w:t>
      </w:r>
      <w:r>
        <w:rPr>
          <w:rFonts w:hint="eastAsia" w:ascii="宋体" w:hAnsi="宋体" w:eastAsia="宋体" w:cs="宋体"/>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23.2 评委会由采购人代表和有关技术、经济等方面的专家组成，且人员构成符合政府采购有关规定。</w:t>
      </w:r>
      <w:r>
        <w:rPr>
          <w:rFonts w:hint="eastAsia" w:ascii="宋体" w:hAnsi="宋体" w:eastAsia="宋体" w:cs="宋体"/>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23.3评委会独立工作，负责评审所有投标文件并确定中标</w:t>
      </w:r>
      <w:r>
        <w:rPr>
          <w:rFonts w:hint="eastAsia" w:ascii="宋体" w:hAnsi="宋体" w:eastAsia="宋体" w:cs="宋体"/>
          <w:color w:val="000000"/>
          <w:sz w:val="24"/>
          <w:szCs w:val="24"/>
          <w:highlight w:val="none"/>
          <w:lang w:eastAsia="zh-CN"/>
        </w:rPr>
        <w:t xml:space="preserve">候选人</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r>
      <w:r/>
    </w:p>
    <w:p>
      <w:pPr>
        <w:pStyle w:val="698"/>
        <w:ind w:left="0" w:firstLine="48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24．评标过程的保密与公正</w:t>
      </w:r>
      <w:r>
        <w:rPr>
          <w:rFonts w:hint="eastAsia" w:ascii="宋体" w:hAnsi="宋体" w:eastAsia="宋体" w:cs="宋体"/>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24.1凡是与审查、澄清、评价和比较投标的有关资料以及授标建议等，采购人、评委、</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eastAsia="宋体" w:cs="宋体"/>
          <w:color w:val="000000"/>
          <w:sz w:val="24"/>
          <w:szCs w:val="24"/>
          <w:highlight w:val="none"/>
        </w:rPr>
        <w:t xml:space="preserve">均不得向</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或与评标无关的其他人员透露。</w:t>
      </w:r>
      <w:r>
        <w:rPr>
          <w:rFonts w:hint="eastAsia" w:ascii="宋体" w:hAnsi="宋体" w:eastAsia="宋体" w:cs="宋体"/>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24.2在评标过程中，</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不得以任何行为影响评标过程，否则其投标文件将被作为无效投标文件。</w:t>
      </w:r>
      <w:r>
        <w:rPr>
          <w:rFonts w:hint="eastAsia" w:ascii="宋体" w:hAnsi="宋体" w:eastAsia="宋体" w:cs="宋体"/>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24.3 </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eastAsia="宋体" w:cs="宋体"/>
          <w:color w:val="000000"/>
          <w:sz w:val="24"/>
          <w:szCs w:val="24"/>
          <w:highlight w:val="none"/>
        </w:rPr>
        <w:t xml:space="preserve">和评标委员会不向未中标的</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解释未中标原因，也不公布评标过程中的相关</w:t>
      </w:r>
      <w:r>
        <w:rPr>
          <w:rFonts w:hint="eastAsia" w:ascii="宋体" w:hAnsi="宋体" w:eastAsia="宋体" w:cs="宋体"/>
          <w:color w:val="000000"/>
          <w:sz w:val="24"/>
          <w:szCs w:val="24"/>
          <w:highlight w:val="none"/>
        </w:rPr>
        <w:t xml:space="preserve">细节。</w:t>
      </w:r>
      <w:r>
        <w:rPr>
          <w:rFonts w:hint="eastAsia" w:ascii="宋体" w:hAnsi="宋体" w:eastAsia="宋体" w:cs="宋体"/>
          <w:color w:val="000000"/>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24.4 采用综合评分法的项目，未中标的</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可于中标结果公告期限届满之日起通过苏采云系统查看自己的评审得分及</w:t>
      </w:r>
      <w:r>
        <w:rPr>
          <w:rFonts w:hint="eastAsia" w:ascii="宋体" w:hAnsi="宋体" w:eastAsia="宋体" w:cs="宋体"/>
          <w:color w:val="000000"/>
          <w:sz w:val="24"/>
          <w:szCs w:val="24"/>
          <w:highlight w:val="none"/>
        </w:rPr>
        <w:t xml:space="preserve">排序情况。</w:t>
      </w:r>
      <w:r>
        <w:rPr>
          <w:rFonts w:hint="eastAsia" w:ascii="宋体" w:hAnsi="宋体" w:eastAsia="宋体" w:cs="宋体"/>
          <w:color w:val="000000"/>
          <w:sz w:val="24"/>
          <w:szCs w:val="24"/>
          <w:highlight w:val="none"/>
          <w:shd w:val="clear" w:color="auto" w:fill="auto"/>
        </w:rPr>
        <w:t xml:space="preserve">（提醒：经</w:t>
      </w:r>
      <w:r>
        <w:rPr>
          <w:rFonts w:hint="eastAsia" w:ascii="宋体" w:hAnsi="宋体" w:eastAsia="宋体" w:cs="宋体"/>
          <w:color w:val="000000"/>
          <w:sz w:val="24"/>
          <w:szCs w:val="24"/>
          <w:highlight w:val="none"/>
          <w:shd w:val="clear" w:color="auto" w:fill="auto"/>
        </w:rPr>
        <w:t xml:space="preserve">办人在苏采云系统查询到中标结果公告后，再点击推送。招标文件定稿后该提醒删除）</w:t>
      </w:r>
      <w:r>
        <w:rPr>
          <w:rFonts w:hint="eastAsia" w:ascii="宋体" w:hAnsi="宋体" w:eastAsia="宋体" w:cs="宋体"/>
          <w:color w:val="000000"/>
          <w:sz w:val="24"/>
          <w:szCs w:val="24"/>
          <w:highlight w:val="none"/>
        </w:rPr>
      </w:r>
      <w:r/>
    </w:p>
    <w:p>
      <w:pPr>
        <w:pStyle w:val="698"/>
        <w:ind w:left="0" w:firstLine="48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bookmarkStart w:id="136" w:name="_Toc20823304"/>
      <w:r/>
      <w:bookmarkStart w:id="137" w:name="_Toc16938548"/>
      <w:r/>
      <w:bookmarkStart w:id="138" w:name="_Toc513029232"/>
      <w:r>
        <w:rPr>
          <w:rFonts w:hint="eastAsia" w:ascii="宋体" w:hAnsi="宋体" w:eastAsia="宋体" w:cs="宋体"/>
          <w:color w:val="000000"/>
          <w:sz w:val="24"/>
          <w:szCs w:val="24"/>
          <w:highlight w:val="none"/>
        </w:rPr>
        <w:t xml:space="preserve">25．投标文件的澄清</w:t>
      </w:r>
      <w:bookmarkEnd w:id="136"/>
      <w:r/>
      <w:bookmarkEnd w:id="137"/>
      <w:r/>
      <w:bookmarkEnd w:id="138"/>
      <w:r>
        <w:rPr>
          <w:rFonts w:hint="eastAsia" w:ascii="宋体" w:hAnsi="宋体" w:eastAsia="宋体" w:cs="宋体"/>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bookmarkStart w:id="139" w:name="_Toc20823305"/>
      <w:r/>
      <w:bookmarkStart w:id="140" w:name="_Toc513029233"/>
      <w:r/>
      <w:bookmarkStart w:id="141" w:name="_Toc16938549"/>
      <w:r>
        <w:rPr>
          <w:rFonts w:hint="eastAsia" w:ascii="宋体" w:hAnsi="宋体" w:eastAsia="宋体" w:cs="宋体"/>
          <w:color w:val="000000"/>
          <w:sz w:val="24"/>
          <w:szCs w:val="24"/>
          <w:highlight w:val="none"/>
        </w:rPr>
        <w:t xml:space="preserve">25.1评标期间，评委会对投标文件中含义不明确、同类问题表述不一致或者有明显文字和计算错误的内容，有权要求</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作出必要的澄清、说明或者补正。</w:t>
      </w:r>
      <w:bookmarkEnd w:id="139"/>
      <w:r/>
      <w:bookmarkEnd w:id="140"/>
      <w:r/>
      <w:bookmarkEnd w:id="141"/>
      <w:r>
        <w:rPr>
          <w:rFonts w:hint="eastAsia" w:ascii="宋体" w:hAnsi="宋体" w:eastAsia="宋体" w:cs="宋体"/>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的澄清、说明或者补正不得超出投标文件的范围或者改变投标文件的实质性内容。</w:t>
      </w:r>
      <w:r>
        <w:rPr>
          <w:rFonts w:hint="eastAsia" w:ascii="宋体" w:hAnsi="宋体" w:eastAsia="宋体" w:cs="宋体"/>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评标委员会并非对每个</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都做澄清要求。</w:t>
      </w:r>
      <w:r>
        <w:rPr>
          <w:rFonts w:hint="eastAsia" w:ascii="宋体" w:hAnsi="宋体" w:eastAsia="宋体" w:cs="宋体"/>
          <w:color w:val="000000"/>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25.2需要供应商进行澄清、说明和补正的，评委会将通过苏采云系统向供应商发出“澄清要求函”，接到“澄清要求函”的</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应当按照要求在苏采云系统中提交“澄清响应函”并加盖CA电子公章。澄清、说明和补正的内容作为投标文件的补充部分，具体操作方式见《操作手册》。</w:t>
      </w:r>
      <w:r>
        <w:rPr>
          <w:rFonts w:hint="eastAsia" w:ascii="宋体" w:hAnsi="宋体" w:eastAsia="宋体" w:cs="宋体"/>
          <w:color w:val="000000"/>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25.3 接到评委会澄清、说明和补正要求的</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如未按规定</w:t>
      </w:r>
      <w:r>
        <w:rPr>
          <w:rFonts w:hint="eastAsia" w:ascii="宋体" w:hAnsi="宋体" w:eastAsia="宋体" w:cs="宋体"/>
          <w:color w:val="000000"/>
          <w:sz w:val="24"/>
          <w:szCs w:val="24"/>
          <w:highlight w:val="none"/>
          <w:lang w:val="en-US" w:eastAsia="zh-CN"/>
        </w:rPr>
        <w:t xml:space="preserve">作</w:t>
      </w:r>
      <w:r>
        <w:rPr>
          <w:rFonts w:hint="eastAsia" w:ascii="宋体" w:hAnsi="宋体" w:eastAsia="宋体" w:cs="宋体"/>
          <w:color w:val="000000"/>
          <w:sz w:val="24"/>
          <w:szCs w:val="24"/>
          <w:highlight w:val="none"/>
        </w:rPr>
        <w:t xml:space="preserve">出澄清、</w:t>
      </w:r>
      <w:r>
        <w:rPr>
          <w:rFonts w:hint="eastAsia" w:ascii="宋体" w:hAnsi="宋体" w:eastAsia="宋体" w:cs="宋体"/>
          <w:color w:val="000000"/>
          <w:sz w:val="24"/>
          <w:szCs w:val="24"/>
          <w:highlight w:val="none"/>
        </w:rPr>
        <w:t xml:space="preserve">说明和补正，其风险由</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自行承担。</w:t>
      </w:r>
      <w:r>
        <w:rPr>
          <w:rFonts w:hint="eastAsia" w:ascii="宋体" w:hAnsi="宋体" w:eastAsia="宋体" w:cs="宋体"/>
          <w:sz w:val="24"/>
          <w:szCs w:val="24"/>
          <w:highlight w:val="none"/>
        </w:rPr>
      </w:r>
      <w:r/>
    </w:p>
    <w:p>
      <w:pPr>
        <w:pStyle w:val="698"/>
        <w:ind w:left="0" w:firstLine="48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26、对投标文件的初审</w:t>
      </w:r>
      <w:r>
        <w:rPr>
          <w:rFonts w:hint="eastAsia" w:ascii="宋体" w:hAnsi="宋体" w:eastAsia="宋体" w:cs="宋体"/>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26.1投标文件初审分为资格审查和符合性审查。</w:t>
      </w:r>
      <w:r>
        <w:rPr>
          <w:rFonts w:hint="eastAsia" w:ascii="宋体" w:hAnsi="宋体" w:eastAsia="宋体" w:cs="宋体"/>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26.1.1 资格审查：依据法律法规和招标文件的规定，由采购人对投标文件中的资格证明文件进行审查。资格审查的结论，采购人以书面形式向评委会进行反馈。</w:t>
      </w:r>
      <w:r>
        <w:rPr>
          <w:rFonts w:hint="eastAsia" w:ascii="宋体" w:hAnsi="宋体" w:eastAsia="宋体" w:cs="宋体"/>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采购人在进行资格性审查的同时，将在“信用中国”网站（www.creditchina.gov.cn）查询</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的信用记录，以确定</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是否具备投标资格,查询结果留存并归档。</w:t>
      </w:r>
      <w:r>
        <w:rPr>
          <w:rFonts w:hint="eastAsia" w:ascii="宋体" w:hAnsi="宋体" w:eastAsia="宋体" w:cs="宋体"/>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宋体"/>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26.1.2 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26.1.3 未通过资格审查或符合性审查的</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eastAsia="宋体" w:cs="宋体"/>
          <w:color w:val="000000"/>
          <w:sz w:val="24"/>
          <w:szCs w:val="24"/>
          <w:highlight w:val="none"/>
        </w:rPr>
        <w:t xml:space="preserve">将</w:t>
      </w:r>
      <w:r>
        <w:rPr>
          <w:rFonts w:hint="eastAsia" w:ascii="宋体" w:hAnsi="宋体" w:eastAsia="宋体" w:cs="宋体"/>
          <w:color w:val="000000"/>
          <w:sz w:val="24"/>
          <w:szCs w:val="24"/>
          <w:highlight w:val="none"/>
        </w:rPr>
        <w:t xml:space="preserve">在苏采云系统中告知未通过资格审查或符合性审查的原因，评审结束后，</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eastAsia="宋体" w:cs="宋体"/>
          <w:color w:val="000000"/>
          <w:sz w:val="24"/>
          <w:szCs w:val="24"/>
          <w:highlight w:val="none"/>
        </w:rPr>
        <w:t xml:space="preserve">将不再告知未通过资格审查或符合性审查的原因。</w:t>
      </w:r>
      <w:r>
        <w:rPr>
          <w:rFonts w:hint="eastAsia" w:ascii="宋体" w:hAnsi="宋体" w:eastAsia="宋体" w:cs="宋体"/>
          <w:color w:val="000000"/>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的权利或</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的义务，纠正这些偏离或保留将会对其他实质性响应要求的</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eastAsia="宋体" w:cs="宋体"/>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26.3如果投标文件实质上没有响应招标文件的要求，评委会将予以拒绝，</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不得通过修改或撤销不</w:t>
      </w:r>
      <w:r>
        <w:rPr>
          <w:rFonts w:hint="eastAsia" w:ascii="宋体" w:hAnsi="宋体" w:eastAsia="宋体" w:cs="宋体"/>
          <w:color w:val="000000"/>
          <w:sz w:val="24"/>
          <w:szCs w:val="24"/>
          <w:highlight w:val="none"/>
          <w:lang w:val="en-US" w:eastAsia="zh-CN"/>
        </w:rPr>
        <w:t xml:space="preserve">符</w:t>
      </w:r>
      <w:r>
        <w:rPr>
          <w:rFonts w:hint="eastAsia" w:ascii="宋体" w:hAnsi="宋体" w:eastAsia="宋体" w:cs="宋体"/>
          <w:color w:val="000000"/>
          <w:sz w:val="24"/>
          <w:szCs w:val="24"/>
          <w:highlight w:val="none"/>
        </w:rPr>
        <w:t xml:space="preserve">合要求的偏离或保留而使其投标成为实质性响应的投标。</w:t>
      </w:r>
      <w:r>
        <w:rPr>
          <w:rFonts w:hint="eastAsia" w:ascii="宋体" w:hAnsi="宋体" w:eastAsia="宋体" w:cs="宋体"/>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26.4评委会将对确定为实质性响应的投标进行进一步审核，看其是否有计算上或累加上的算术错误，修正错误的原则如下：</w:t>
      </w:r>
      <w:r>
        <w:rPr>
          <w:rFonts w:hint="eastAsia" w:ascii="宋体" w:hAnsi="宋体" w:eastAsia="宋体" w:cs="宋体"/>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（1）投标文件中开标一览表内容与投标文件中相应内容不一致的，以开标一览表为准。</w:t>
      </w:r>
      <w:r>
        <w:rPr>
          <w:rFonts w:hint="eastAsia" w:ascii="宋体" w:hAnsi="宋体" w:eastAsia="宋体" w:cs="宋体"/>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（2）大写金额和小写金额不一致的，以大写金额为准。</w:t>
      </w:r>
      <w:r>
        <w:rPr>
          <w:rFonts w:hint="eastAsia" w:ascii="宋体" w:hAnsi="宋体" w:eastAsia="宋体" w:cs="宋体"/>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（3）单价金额小数点或者百分比有明显错位的，以开标一览表的总价为准，并修改单价。</w:t>
      </w:r>
      <w:r>
        <w:rPr>
          <w:rFonts w:hint="eastAsia" w:ascii="宋体" w:hAnsi="宋体" w:eastAsia="宋体" w:cs="宋体"/>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（4）总价金额与按单价汇总金额不一致的，以单价金额计算结果为准。</w:t>
      </w:r>
      <w:r>
        <w:rPr>
          <w:rFonts w:hint="eastAsia" w:ascii="宋体" w:hAnsi="宋体" w:eastAsia="宋体" w:cs="宋体"/>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同时出现两种以上错误的，按照前款规定的顺序修正。</w:t>
      </w:r>
      <w:r>
        <w:rPr>
          <w:rFonts w:hint="eastAsia" w:ascii="宋体" w:hAnsi="宋体" w:eastAsia="宋体" w:cs="宋体"/>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26.5评委会将按上述修正错误的方法调整投标文件中的投标报价，并通过苏采云系统告知</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，调整后的价格应对</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具有约束力。如果</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不接受修正后的价格，则其投标将被拒绝。</w:t>
      </w:r>
      <w:r>
        <w:rPr>
          <w:rFonts w:hint="eastAsia" w:ascii="宋体" w:hAnsi="宋体" w:eastAsia="宋体" w:cs="宋体"/>
          <w:color w:val="000000"/>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bookmarkStart w:id="142" w:name="_Toc16938550"/>
      <w:r/>
      <w:bookmarkStart w:id="143" w:name="_Toc20823306"/>
      <w:r/>
      <w:bookmarkStart w:id="144" w:name="_Toc513029234"/>
      <w:r>
        <w:rPr>
          <w:rFonts w:hint="eastAsia" w:ascii="宋体" w:hAnsi="宋体" w:eastAsia="宋体" w:cs="宋体"/>
          <w:color w:val="000000"/>
          <w:sz w:val="24"/>
          <w:szCs w:val="24"/>
          <w:highlight w:val="none"/>
        </w:rPr>
        <w:t xml:space="preserve">26.6采用最低评标价法的采购项目，提供相同品牌产品的不同</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参加同一合同项下投标的，以其中通过资格审查、符合性审查且报价最低的参加评标；报价相同的，由评标委员会按照招标文件规定的方式（招标文件未规定的通过随机抽取的方式）确定一个参加评标的</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，其他投标无效。</w:t>
      </w:r>
      <w:bookmarkEnd w:id="142"/>
      <w:r/>
      <w:bookmarkEnd w:id="143"/>
      <w:r/>
      <w:bookmarkEnd w:id="144"/>
      <w:r>
        <w:rPr>
          <w:rFonts w:hint="eastAsia" w:ascii="宋体" w:hAnsi="宋体" w:eastAsia="宋体" w:cs="宋体"/>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使用综合评分法的采购项目，提供相同品牌产品且通过资格审查、符合性审查的不同</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参加同一合同项下投标的，按一家</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计算，评审后得分最高的同品牌</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获得中标人推荐资格；评审得分相同的，由评标委员会根据招标文件规定的方式（招标文件未规定的采取随机抽取的方式）确定一个中标候选人，其他同品牌</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不作为中标候选人。</w:t>
      </w:r>
      <w:r>
        <w:rPr>
          <w:rFonts w:hint="eastAsia" w:ascii="宋体" w:hAnsi="宋体" w:eastAsia="宋体" w:cs="宋体"/>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非单一产品采购项目，招标文件中将载明其中的核心产品。多家</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提供的核心产品品牌相同的，按前两款规定处理。</w:t>
      </w:r>
      <w:r>
        <w:rPr>
          <w:rFonts w:hint="eastAsia" w:ascii="宋体" w:hAnsi="宋体" w:eastAsia="宋体" w:cs="宋体"/>
          <w:color w:val="000000"/>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26.7</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在开、评标全过程中应</w:t>
      </w:r>
      <w:r>
        <w:rPr>
          <w:rFonts w:hint="eastAsia" w:ascii="宋体" w:hAnsi="宋体" w:eastAsia="宋体" w:cs="宋体"/>
          <w:color w:val="000000"/>
          <w:sz w:val="24"/>
          <w:szCs w:val="24"/>
          <w:highlight w:val="none"/>
          <w:lang w:eastAsia="zh-CN"/>
        </w:rPr>
        <w:t xml:space="preserve">保持通信畅通</w:t>
      </w:r>
      <w:r>
        <w:rPr>
          <w:rFonts w:hint="eastAsia" w:ascii="宋体" w:hAnsi="宋体" w:eastAsia="宋体" w:cs="宋体"/>
          <w:color w:val="000000"/>
          <w:sz w:val="24"/>
          <w:szCs w:val="24"/>
          <w:highlight w:val="none"/>
        </w:rPr>
        <w:t xml:space="preserve">，及时登录苏采云系统查阅、答复相关信息，并安排专人与</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及评标委员会联系。</w:t>
      </w:r>
      <w:r>
        <w:rPr>
          <w:rFonts w:hint="eastAsia" w:ascii="宋体" w:hAnsi="宋体" w:eastAsia="宋体" w:cs="宋体"/>
          <w:color w:val="000000"/>
          <w:sz w:val="24"/>
          <w:szCs w:val="24"/>
          <w:highlight w:val="none"/>
        </w:rPr>
      </w:r>
      <w:r/>
    </w:p>
    <w:p>
      <w:pPr>
        <w:pStyle w:val="698"/>
        <w:ind w:left="0" w:firstLine="480"/>
        <w:jc w:val="both"/>
        <w:keepLines/>
        <w:keepNext/>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27、无效投标条款和废标条款</w:t>
      </w:r>
      <w:r>
        <w:rPr>
          <w:rFonts w:hint="eastAsia" w:ascii="宋体" w:hAnsi="宋体" w:eastAsia="宋体" w:cs="宋体"/>
          <w:color w:val="000000"/>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bookmarkStart w:id="145" w:name="_Toc513029235"/>
      <w:r/>
      <w:bookmarkStart w:id="146" w:name="_Toc20823307"/>
      <w:r/>
      <w:bookmarkStart w:id="147" w:name="_Toc16938551"/>
      <w:r>
        <w:rPr>
          <w:rFonts w:hint="eastAsia" w:ascii="宋体" w:hAnsi="宋体" w:eastAsia="宋体" w:cs="宋体"/>
          <w:color w:val="000000"/>
          <w:sz w:val="24"/>
          <w:szCs w:val="24"/>
          <w:highlight w:val="none"/>
        </w:rPr>
        <w:t xml:space="preserve">27.1无效投标条款</w:t>
      </w:r>
      <w:bookmarkEnd w:id="145"/>
      <w:r/>
      <w:bookmarkEnd w:id="146"/>
      <w:r/>
      <w:bookmarkEnd w:id="147"/>
      <w:r>
        <w:rPr>
          <w:rFonts w:hint="eastAsia" w:ascii="宋体" w:hAnsi="宋体" w:eastAsia="宋体" w:cs="宋体"/>
          <w:color w:val="000000"/>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27.1.1 </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在苏采云系统规定的时间内未成功解密电子投标文件的。</w:t>
      </w:r>
      <w:r>
        <w:rPr>
          <w:rFonts w:hint="eastAsia" w:ascii="宋体" w:hAnsi="宋体" w:eastAsia="宋体" w:cs="宋体"/>
          <w:color w:val="000000"/>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27.1.2 </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未按照招标文件要求上传电子投标文件的。</w:t>
      </w:r>
      <w:r>
        <w:rPr>
          <w:rFonts w:hint="eastAsia" w:ascii="宋体" w:hAnsi="宋体" w:eastAsia="宋体" w:cs="宋体"/>
          <w:color w:val="000000"/>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27.1.3同一</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提交两个（含两个）以上不同的投标报价的。</w:t>
      </w:r>
      <w:r>
        <w:rPr>
          <w:rFonts w:hint="eastAsia" w:ascii="宋体" w:hAnsi="宋体" w:eastAsia="宋体" w:cs="宋体"/>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27.1.4</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不具备招标文件中规定资格要求的。</w:t>
      </w:r>
      <w:r>
        <w:rPr>
          <w:rFonts w:hint="eastAsia" w:ascii="宋体" w:hAnsi="宋体" w:eastAsia="宋体" w:cs="宋体"/>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27.1.5</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的报价超过了采购预算或最高限价的。</w:t>
      </w:r>
      <w:r>
        <w:rPr>
          <w:rFonts w:hint="eastAsia" w:ascii="宋体" w:hAnsi="宋体" w:eastAsia="宋体" w:cs="宋体"/>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27.1.6未通过符合性审查的。</w:t>
      </w:r>
      <w:r>
        <w:rPr>
          <w:rFonts w:hint="eastAsia" w:ascii="宋体" w:hAnsi="宋体" w:eastAsia="宋体" w:cs="宋体"/>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27.1.7不符合招标文件中规定的实质性要求和条件的（</w:t>
      </w:r>
      <w:r>
        <w:rPr>
          <w:rFonts w:hint="eastAsia" w:ascii="宋体" w:hAnsi="宋体" w:eastAsia="宋体" w:cs="宋体"/>
          <w:i/>
          <w:color w:val="000000"/>
          <w:sz w:val="24"/>
          <w:szCs w:val="24"/>
          <w:highlight w:val="none"/>
          <w:u w:val="single"/>
        </w:rPr>
        <w:t xml:space="preserve">本招标文件中斜体且有下划线部分为实质性要求和条件）。</w:t>
      </w:r>
      <w:r>
        <w:rPr>
          <w:rFonts w:hint="eastAsia" w:ascii="宋体" w:hAnsi="宋体" w:eastAsia="宋体" w:cs="宋体"/>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27.1.8 </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被 “信用中国”网站（www.creditchina.gov.cn）列入失信被执行人或重大税收违法案件当事人名单或政府采购严重失信行为记录名单。或查询“信用中国”网站后发现</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存在其他不符合《中华人民共和国政府采购法》第二十二条规定条件的信用记录。</w:t>
      </w:r>
      <w:r>
        <w:rPr>
          <w:rFonts w:hint="eastAsia" w:ascii="宋体" w:hAnsi="宋体" w:eastAsia="宋体" w:cs="宋体"/>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27.1.9投标文件含有采购人不能接受的附加条件的。</w:t>
      </w:r>
      <w:r>
        <w:rPr>
          <w:rFonts w:hint="eastAsia" w:ascii="宋体" w:hAnsi="宋体" w:eastAsia="宋体" w:cs="宋体"/>
          <w:color w:val="000000"/>
          <w:sz w:val="24"/>
          <w:szCs w:val="24"/>
          <w:highlight w:val="none"/>
        </w:rPr>
      </w:r>
      <w:r/>
    </w:p>
    <w:p>
      <w:pPr>
        <w:pStyle w:val="698"/>
        <w:ind w:left="0" w:firstLine="480"/>
        <w:jc w:val="both"/>
        <w:pageBreakBefore w:val="0"/>
        <w:spacing w:beforeAutospacing="0" w:afterAutospacing="0" w:line="40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27.1.10投标人不能证明其报价合理性的，评标委员会应当将其作为无效投标处理。</w:t>
      </w:r>
      <w:r>
        <w:rPr>
          <w:rFonts w:ascii="宋体" w:hAnsi="宋体" w:eastAsia="宋体" w:cs="宋体"/>
          <w:color w:val="000000"/>
          <w:sz w:val="24"/>
          <w:szCs w:val="24"/>
          <w:highlight w:val="none"/>
          <w:lang w:val="en-US" w:eastAsia="zh-CN"/>
        </w:rPr>
      </w:r>
      <w:r/>
    </w:p>
    <w:p>
      <w:pPr>
        <w:pStyle w:val="698"/>
        <w:ind w:left="0" w:firstLine="482"/>
        <w:jc w:val="both"/>
        <w:pageBreakBefore w:val="0"/>
        <w:spacing w:beforeAutospacing="0" w:afterAutospacing="0" w:line="40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（一）评审过程中出现下列情形之一的，评标委员会应当启动异常低价投标审查程序：</w:t>
      </w:r>
      <w:r>
        <w:rPr>
          <w:rFonts w:hint="eastAsia" w:ascii="宋体" w:hAnsi="宋体" w:eastAsia="宋体" w:cs="宋体"/>
          <w:b/>
          <w:bCs/>
          <w:color w:val="ff0000"/>
          <w:sz w:val="24"/>
          <w:szCs w:val="24"/>
          <w:highlight w:val="none"/>
          <w:lang w:val="en-US" w:eastAsia="zh-CN" w:bidi="ar-SA"/>
        </w:rPr>
      </w:r>
      <w:r/>
    </w:p>
    <w:p>
      <w:pPr>
        <w:pStyle w:val="698"/>
        <w:ind w:left="0" w:firstLine="482"/>
        <w:jc w:val="both"/>
        <w:pageBreakBefore w:val="0"/>
        <w:spacing w:beforeAutospacing="0" w:afterAutospacing="0" w:line="40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b/>
          <w:bCs/>
          <w:color w:val="ff0000"/>
          <w:sz w:val="24"/>
          <w:szCs w:val="24"/>
          <w:highlight w:val="none"/>
          <w:lang w:val="en-US" w:eastAsia="zh-CN" w:bidi="ar-SA"/>
        </w:rPr>
      </w:r>
      <w:r/>
    </w:p>
    <w:p>
      <w:pPr>
        <w:pStyle w:val="698"/>
        <w:ind w:left="0" w:firstLine="482"/>
        <w:jc w:val="both"/>
        <w:pageBreakBefore w:val="0"/>
        <w:spacing w:beforeAutospacing="0" w:afterAutospacing="0" w:line="40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b/>
          <w:bCs/>
          <w:color w:val="ff0000"/>
          <w:sz w:val="24"/>
          <w:szCs w:val="24"/>
          <w:highlight w:val="none"/>
          <w:lang w:val="en-US" w:eastAsia="zh-CN" w:bidi="ar-SA"/>
        </w:rPr>
      </w:r>
      <w:r/>
    </w:p>
    <w:p>
      <w:pPr>
        <w:pStyle w:val="698"/>
        <w:ind w:left="0" w:firstLine="482"/>
        <w:jc w:val="both"/>
        <w:pageBreakBefore w:val="0"/>
        <w:spacing w:beforeAutospacing="0" w:afterAutospacing="0" w:line="40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3.投标（响应）报价低于采购项目最高限价45%的，即投标（响应）报价&lt;采购项目最高限价×45%；</w:t>
      </w:r>
      <w:r>
        <w:rPr>
          <w:rFonts w:hint="eastAsia" w:ascii="宋体" w:hAnsi="宋体" w:eastAsia="宋体" w:cs="宋体"/>
          <w:b/>
          <w:bCs/>
          <w:color w:val="ff0000"/>
          <w:sz w:val="24"/>
          <w:szCs w:val="24"/>
          <w:highlight w:val="none"/>
          <w:lang w:val="en-US" w:eastAsia="zh-CN" w:bidi="ar-SA"/>
        </w:rPr>
      </w:r>
      <w:r/>
    </w:p>
    <w:p>
      <w:pPr>
        <w:pStyle w:val="698"/>
        <w:ind w:left="0" w:firstLine="482"/>
        <w:jc w:val="both"/>
        <w:pageBreakBefore w:val="0"/>
        <w:spacing w:beforeAutospacing="0" w:afterAutospacing="0" w:line="40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4.评审委员会基于专业判断，认为供应商报价过低，有可能影响产品质量或者不能诚信履约的其他情形。</w:t>
      </w:r>
      <w:r>
        <w:rPr>
          <w:rFonts w:hint="eastAsia" w:ascii="宋体" w:hAnsi="宋体" w:eastAsia="宋体" w:cs="宋体"/>
          <w:b/>
          <w:bCs/>
          <w:color w:val="ff0000"/>
          <w:sz w:val="24"/>
          <w:szCs w:val="24"/>
          <w:highlight w:val="none"/>
          <w:lang w:val="en-US" w:eastAsia="zh-CN" w:bidi="ar-SA"/>
        </w:rPr>
      </w:r>
      <w:r/>
    </w:p>
    <w:p>
      <w:pPr>
        <w:pStyle w:val="698"/>
        <w:ind w:left="0" w:firstLine="482"/>
        <w:jc w:val="both"/>
        <w:pageBreakBefore w:val="0"/>
        <w:spacing w:beforeAutospacing="0" w:afterAutospacing="0" w:line="40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提醒：采购人可以结合具体项目实际情况，提高上述第1项至第3项中启动异常低价投标（响应）审查的数值标准，但是最高不得超过65%。</w:t>
      </w:r>
      <w:r>
        <w:rPr>
          <w:rFonts w:hint="eastAsia" w:ascii="宋体" w:hAnsi="宋体" w:eastAsia="宋体" w:cs="宋体"/>
          <w:b/>
          <w:bCs/>
          <w:color w:val="ff0000"/>
          <w:sz w:val="24"/>
          <w:szCs w:val="24"/>
          <w:highlight w:val="none"/>
          <w:lang w:val="en-US" w:eastAsia="zh-CN" w:bidi="ar-SA"/>
        </w:rPr>
      </w:r>
      <w:r/>
    </w:p>
    <w:p>
      <w:pPr>
        <w:pStyle w:val="698"/>
        <w:ind w:left="0" w:firstLine="482"/>
        <w:jc w:val="both"/>
        <w:pageBreakBefore w:val="0"/>
        <w:spacing w:beforeAutospacing="0" w:afterAutospacing="0" w:line="40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相关法律法规对供应商报价有规定的，从其规定。</w:t>
      </w:r>
      <w:r>
        <w:rPr>
          <w:rFonts w:hint="eastAsia" w:ascii="宋体" w:hAnsi="宋体" w:eastAsia="宋体" w:cs="宋体"/>
          <w:b/>
          <w:bCs/>
          <w:color w:val="ff0000"/>
          <w:sz w:val="24"/>
          <w:szCs w:val="24"/>
          <w:highlight w:val="none"/>
          <w:lang w:val="en-US" w:eastAsia="zh-CN" w:bidi="ar-SA"/>
        </w:rPr>
      </w:r>
      <w:r/>
    </w:p>
    <w:p>
      <w:pPr>
        <w:pStyle w:val="698"/>
        <w:ind w:left="0" w:firstLine="482"/>
        <w:jc w:val="both"/>
        <w:pageBreakBefore w:val="0"/>
        <w:spacing w:beforeAutospacing="0" w:afterAutospacing="0" w:line="40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
          <w:bCs/>
          <w:color w:val="ff0000"/>
          <w:sz w:val="24"/>
          <w:szCs w:val="24"/>
          <w:highlight w:val="none"/>
          <w:lang w:val="en-US" w:eastAsia="zh-CN" w:bidi="ar-SA"/>
        </w:rPr>
      </w:r>
      <w:r/>
    </w:p>
    <w:p>
      <w:pPr>
        <w:pStyle w:val="698"/>
        <w:ind w:left="0" w:firstLine="482"/>
        <w:jc w:val="both"/>
        <w:pageBreakBefore w:val="0"/>
        <w:spacing w:beforeAutospacing="0" w:afterAutospacing="0" w:line="40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bCs/>
          <w:color w:val="ff0000"/>
          <w:sz w:val="24"/>
          <w:szCs w:val="24"/>
          <w:highlight w:val="none"/>
          <w:lang w:val="en-US" w:eastAsia="zh-CN" w:bidi="ar-SA"/>
        </w:rPr>
      </w:r>
      <w:r/>
    </w:p>
    <w:p>
      <w:pPr>
        <w:pStyle w:val="698"/>
        <w:ind w:left="0" w:firstLine="482"/>
        <w:jc w:val="both"/>
        <w:pageBreakBefore w:val="0"/>
        <w:spacing w:beforeAutospacing="0" w:afterAutospacing="0" w:line="40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b/>
          <w:bCs/>
          <w:color w:val="ff0000"/>
          <w:sz w:val="24"/>
          <w:szCs w:val="24"/>
          <w:highlight w:val="none"/>
          <w:lang w:val="en-US" w:eastAsia="zh-CN" w:bidi="ar-SA"/>
        </w:rPr>
      </w:r>
      <w:r/>
    </w:p>
    <w:p>
      <w:pPr>
        <w:pStyle w:val="698"/>
        <w:ind w:left="0" w:firstLine="482"/>
        <w:jc w:val="both"/>
        <w:pageBreakBefore w:val="0"/>
        <w:spacing w:beforeAutospacing="0" w:afterAutospacing="0" w:line="40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b/>
          <w:bCs/>
          <w:color w:val="ff0000"/>
          <w:sz w:val="24"/>
          <w:szCs w:val="24"/>
          <w:highlight w:val="none"/>
          <w:lang w:val="en-US" w:eastAsia="zh-CN" w:bidi="ar-SA"/>
        </w:rPr>
      </w:r>
      <w:r/>
    </w:p>
    <w:p>
      <w:pPr>
        <w:pStyle w:val="698"/>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27.1.11 本项目采购产品被财政部、</w:t>
      </w:r>
      <w:r>
        <w:rPr>
          <w:rFonts w:hint="eastAsia" w:ascii="宋体" w:hAnsi="宋体" w:eastAsia="宋体" w:cs="宋体"/>
          <w:color w:val="000000"/>
          <w:sz w:val="24"/>
          <w:szCs w:val="24"/>
          <w:highlight w:val="none"/>
          <w:lang w:eastAsia="zh-CN"/>
        </w:rPr>
        <w:t xml:space="preserve">国家发展改革委</w:t>
      </w:r>
      <w:r>
        <w:rPr>
          <w:rFonts w:hint="eastAsia" w:ascii="宋体" w:hAnsi="宋体" w:eastAsia="宋体" w:cs="宋体"/>
          <w:color w:val="000000"/>
          <w:sz w:val="24"/>
          <w:szCs w:val="24"/>
          <w:highlight w:val="none"/>
        </w:rPr>
        <w:t xml:space="preserve">、生态环境部等列入“节能产品品目清单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环境标志产品品目清单”强制采购范围，而</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eastAsia="宋体" w:cs="宋体"/>
          <w:color w:val="000000"/>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27.1.12 投标文件未按照招标文件要求加盖CA电子公章的。</w:t>
      </w:r>
      <w:r>
        <w:rPr>
          <w:rFonts w:hint="eastAsia" w:ascii="宋体" w:hAnsi="宋体" w:eastAsia="宋体" w:cs="宋体"/>
          <w:color w:val="000000"/>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27.1.13其他法律、法规及本招标文件规定的属无效投标的情形。</w:t>
      </w:r>
      <w:r>
        <w:rPr>
          <w:rFonts w:hint="eastAsia" w:ascii="宋体" w:hAnsi="宋体" w:eastAsia="宋体" w:cs="宋体"/>
          <w:color w:val="000000"/>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27.2废标条款</w:t>
      </w:r>
      <w:r>
        <w:rPr>
          <w:rFonts w:hint="eastAsia" w:ascii="宋体" w:hAnsi="宋体" w:eastAsia="宋体" w:cs="宋体"/>
          <w:color w:val="000000"/>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27.2.1符合专业条件的供应商或者对招标文件作实质响应的供应商不足三家的。27.2.2出现影响采购公正的违法、违规行为的。</w:t>
      </w:r>
      <w:r>
        <w:rPr>
          <w:rFonts w:hint="eastAsia" w:ascii="宋体" w:hAnsi="宋体" w:eastAsia="宋体" w:cs="宋体"/>
          <w:color w:val="000000"/>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27.2.3因重大变故，采购任务取消的。</w:t>
      </w:r>
      <w:r>
        <w:rPr>
          <w:rFonts w:hint="eastAsia" w:ascii="宋体" w:hAnsi="宋体" w:eastAsia="宋体" w:cs="宋体"/>
          <w:color w:val="000000"/>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27.2.4评标委员会认定招标文件存在歧义、重大缺陷导致评审工作无法进行。</w:t>
      </w:r>
      <w:r>
        <w:rPr>
          <w:rFonts w:hint="eastAsia" w:ascii="宋体" w:hAnsi="宋体" w:eastAsia="宋体" w:cs="宋体"/>
          <w:color w:val="000000"/>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27.2.5 因苏采云</w:t>
      </w:r>
      <w:r>
        <w:rPr>
          <w:rFonts w:hint="eastAsia" w:ascii="宋体" w:hAnsi="宋体" w:eastAsia="宋体" w:cs="宋体"/>
          <w:color w:val="000000"/>
          <w:sz w:val="24"/>
          <w:szCs w:val="24"/>
          <w:highlight w:val="none"/>
          <w:lang w:eastAsia="zh-CN"/>
        </w:rPr>
        <w:t xml:space="preserve">系统故障</w:t>
      </w:r>
      <w:r>
        <w:rPr>
          <w:rFonts w:hint="eastAsia" w:ascii="宋体" w:hAnsi="宋体" w:eastAsia="宋体" w:cs="宋体"/>
          <w:color w:val="000000"/>
          <w:sz w:val="24"/>
          <w:szCs w:val="24"/>
          <w:highlight w:val="none"/>
        </w:rPr>
        <w:t xml:space="preserve">原因造成开标不成功的。</w:t>
      </w:r>
      <w:r>
        <w:rPr>
          <w:rFonts w:hint="eastAsia" w:ascii="宋体" w:hAnsi="宋体" w:eastAsia="宋体" w:cs="宋体"/>
          <w:color w:val="000000"/>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27.3 投标截止时间结束后参加投标的供应商不足三家的处理：</w:t>
      </w:r>
      <w:r>
        <w:rPr>
          <w:rFonts w:hint="eastAsia" w:ascii="宋体" w:hAnsi="宋体" w:eastAsia="宋体" w:cs="宋体"/>
          <w:color w:val="000000"/>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27.3.1如出现投标截止时间结束后参加投标的供应商或者</w:t>
      </w:r>
      <w:r>
        <w:rPr>
          <w:rFonts w:hint="eastAsia" w:ascii="宋体" w:hAnsi="宋体" w:eastAsia="宋体" w:cs="宋体"/>
          <w:color w:val="000000"/>
          <w:sz w:val="24"/>
          <w:szCs w:val="24"/>
          <w:highlight w:val="none"/>
        </w:rPr>
        <w:t xml:space="preserve">在评标期间对招标文件做出实质响应的供应商不足三家情况，按政府采购相关规定执行。</w:t>
      </w:r>
      <w:r>
        <w:rPr>
          <w:rFonts w:hint="eastAsia" w:ascii="宋体" w:hAnsi="宋体" w:eastAsia="宋体" w:cs="宋体"/>
          <w:sz w:val="24"/>
          <w:szCs w:val="24"/>
          <w:highlight w:val="none"/>
        </w:rPr>
      </w:r>
      <w:r/>
    </w:p>
    <w:p>
      <w:pPr>
        <w:pStyle w:val="698"/>
        <w:ind w:left="0" w:firstLine="482"/>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bookmarkStart w:id="148" w:name="_Toc120614219"/>
      <w:r>
        <w:rPr>
          <w:rFonts w:hint="eastAsia" w:ascii="宋体" w:hAnsi="宋体" w:eastAsia="宋体" w:cs="宋体"/>
          <w:b/>
          <w:color w:val="000000"/>
          <w:sz w:val="24"/>
          <w:szCs w:val="24"/>
          <w:highlight w:val="none"/>
        </w:rPr>
        <w:t xml:space="preserve">六、定标</w:t>
      </w:r>
      <w:bookmarkEnd w:id="148"/>
      <w:r>
        <w:rPr>
          <w:rFonts w:hint="eastAsia" w:ascii="宋体" w:hAnsi="宋体" w:eastAsia="宋体" w:cs="宋体"/>
          <w:sz w:val="24"/>
          <w:szCs w:val="24"/>
          <w:highlight w:val="none"/>
        </w:rPr>
      </w:r>
      <w:r/>
    </w:p>
    <w:p>
      <w:pPr>
        <w:pStyle w:val="698"/>
        <w:ind w:left="0" w:firstLine="48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bookmarkStart w:id="149" w:name="_Toc20823310"/>
      <w:r/>
      <w:bookmarkStart w:id="150" w:name="_Toc513029238"/>
      <w:r/>
      <w:bookmarkStart w:id="151" w:name="_Toc16938554"/>
      <w:r>
        <w:rPr>
          <w:rFonts w:hint="eastAsia" w:ascii="宋体" w:hAnsi="宋体" w:eastAsia="宋体" w:cs="宋体"/>
          <w:color w:val="000000"/>
          <w:sz w:val="24"/>
          <w:szCs w:val="24"/>
          <w:highlight w:val="none"/>
        </w:rPr>
        <w:t xml:space="preserve">28、</w:t>
      </w:r>
      <w:bookmarkEnd w:id="149"/>
      <w:r>
        <w:rPr>
          <w:rFonts w:hint="eastAsia" w:ascii="宋体" w:hAnsi="宋体" w:eastAsia="宋体" w:cs="宋体"/>
          <w:color w:val="000000"/>
          <w:sz w:val="24"/>
          <w:szCs w:val="24"/>
          <w:highlight w:val="none"/>
        </w:rPr>
        <w:t xml:space="preserve">确定</w:t>
      </w:r>
      <w:bookmarkEnd w:id="150"/>
      <w:r/>
      <w:bookmarkEnd w:id="151"/>
      <w:r>
        <w:rPr>
          <w:rFonts w:hint="eastAsia" w:ascii="宋体" w:hAnsi="宋体" w:eastAsia="宋体" w:cs="宋体"/>
          <w:color w:val="000000"/>
          <w:sz w:val="24"/>
          <w:szCs w:val="24"/>
          <w:highlight w:val="none"/>
        </w:rPr>
        <w:t xml:space="preserve">中标单位</w:t>
      </w:r>
      <w:r>
        <w:rPr>
          <w:rFonts w:hint="eastAsia" w:ascii="宋体" w:hAnsi="宋体" w:eastAsia="宋体" w:cs="宋体"/>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28.1中标候选人的选取原则和数量见招标文件第五章规定。 </w:t>
      </w:r>
      <w:r>
        <w:rPr>
          <w:rFonts w:hint="eastAsia" w:ascii="宋体" w:hAnsi="宋体" w:eastAsia="宋体" w:cs="宋体"/>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 采购人应根据评委会推荐的中标候选人确定中标人。</w:t>
      </w:r>
      <w:r>
        <w:rPr>
          <w:rFonts w:hint="eastAsia" w:ascii="宋体" w:hAnsi="宋体" w:eastAsia="宋体" w:cs="宋体"/>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28.3 </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将在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发布中标公告，公告期限为1个工作日。</w:t>
      </w:r>
      <w:r>
        <w:rPr>
          <w:rFonts w:hint="eastAsia" w:ascii="宋体" w:hAnsi="宋体" w:eastAsia="宋体" w:cs="宋体"/>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若有充分证据证明，中标人出现下列情况之一的，一经查实，将被取消中标资格：</w:t>
      </w:r>
      <w:r>
        <w:rPr>
          <w:rFonts w:hint="eastAsia" w:ascii="宋体" w:hAnsi="宋体" w:eastAsia="宋体" w:cs="宋体"/>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28.4.1提供虚假材料谋取中标的。</w:t>
      </w:r>
      <w:r>
        <w:rPr>
          <w:rFonts w:hint="eastAsia" w:ascii="宋体" w:hAnsi="宋体" w:eastAsia="宋体" w:cs="宋体"/>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28.4.2向采购人、</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行贿或者提供其他不正当利益的。</w:t>
      </w:r>
      <w:r>
        <w:rPr>
          <w:rFonts w:hint="eastAsia" w:ascii="宋体" w:hAnsi="宋体" w:eastAsia="宋体" w:cs="宋体"/>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28.4.3属于本文件规定的无效条件，但在评标过程中又未被评委会发现的。</w:t>
      </w:r>
      <w:r>
        <w:rPr>
          <w:rFonts w:hint="eastAsia" w:ascii="宋体" w:hAnsi="宋体" w:eastAsia="宋体" w:cs="宋体"/>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28.4.4与采购人或者其他供应商恶意串通的。</w:t>
      </w:r>
      <w:r>
        <w:rPr>
          <w:rFonts w:hint="eastAsia" w:ascii="宋体" w:hAnsi="宋体" w:eastAsia="宋体" w:cs="宋体"/>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28.4.5采取不正当手段诋毁、排挤其他供应商的。</w:t>
      </w:r>
      <w:r>
        <w:rPr>
          <w:rFonts w:hint="eastAsia" w:ascii="宋体" w:hAnsi="宋体" w:eastAsia="宋体" w:cs="宋体"/>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bookmarkStart w:id="152" w:name="_Toc200451960"/>
      <w:r>
        <w:rPr>
          <w:rFonts w:hint="eastAsia" w:ascii="宋体" w:hAnsi="宋体" w:eastAsia="宋体" w:cs="宋体"/>
          <w:color w:val="000000"/>
          <w:sz w:val="24"/>
          <w:szCs w:val="24"/>
          <w:highlight w:val="none"/>
        </w:rPr>
        <w:t xml:space="preserve">28.5.有下列情形之一的，视为</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串通投标，投标无效：</w:t>
      </w:r>
      <w:bookmarkEnd w:id="152"/>
      <w:r>
        <w:rPr>
          <w:rFonts w:hint="eastAsia" w:ascii="宋体" w:hAnsi="宋体" w:eastAsia="宋体" w:cs="宋体"/>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28.5.1不同</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的投标文件由同一单位或者个人编制；</w:t>
      </w:r>
      <w:r>
        <w:rPr>
          <w:rFonts w:hint="eastAsia" w:ascii="宋体" w:hAnsi="宋体" w:eastAsia="宋体" w:cs="宋体"/>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28.5.2不同</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委托同一单位或者个人办理投标事宜；</w:t>
      </w:r>
      <w:r>
        <w:rPr>
          <w:rFonts w:hint="eastAsia" w:ascii="宋体" w:hAnsi="宋体" w:eastAsia="宋体" w:cs="宋体"/>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28.5.3 不同</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的投标文件载明的项目管理成员或者联系人员为同一人；</w:t>
      </w:r>
      <w:r>
        <w:rPr>
          <w:rFonts w:hint="eastAsia" w:ascii="宋体" w:hAnsi="宋体" w:eastAsia="宋体" w:cs="宋体"/>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28.5.4不同</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的投标文件异常一致或者投标报价呈规律性差异；</w:t>
      </w:r>
      <w:r>
        <w:rPr>
          <w:rFonts w:hint="eastAsia" w:ascii="宋体" w:hAnsi="宋体" w:eastAsia="宋体" w:cs="宋体"/>
          <w:sz w:val="24"/>
          <w:szCs w:val="24"/>
          <w:highlight w:val="none"/>
        </w:rPr>
      </w:r>
      <w:r/>
    </w:p>
    <w:p>
      <w:pPr>
        <w:pStyle w:val="698"/>
        <w:ind w:left="0" w:firstLine="48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29、质疑处理</w:t>
      </w:r>
      <w:r>
        <w:rPr>
          <w:rFonts w:hint="eastAsia" w:ascii="宋体" w:hAnsi="宋体" w:eastAsia="宋体" w:cs="宋体"/>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29.1 提出质疑的供应商应当是参与所质疑项目采购活动的供应商。潜在供应商依法获取其可质疑的采购文件的，可以对采购文件提出质疑。</w:t>
      </w:r>
      <w:r>
        <w:rPr>
          <w:rFonts w:hint="eastAsia" w:ascii="宋体" w:hAnsi="宋体" w:eastAsia="宋体" w:cs="宋体"/>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29.2供应商认为采购文件、采购过程和采购结果使自己的权益受到损害的，可以在知道或应知其权益受到损害之日起七个工作日内，以书面形式根据下述29.4条款的规定向</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或采购人提出质疑。上述应知其权益受到损害之日，是指：</w:t>
      </w:r>
      <w:r>
        <w:rPr>
          <w:rFonts w:hint="eastAsia" w:ascii="宋体" w:hAnsi="宋体" w:eastAsia="宋体" w:cs="宋体"/>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29.2.1对可以质疑的采购文件提出质疑的，为收到采购文件之日或者采购文件公告期限届满之日；</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  29.2.2对采购过程提出质疑的，为各采购程序环节结束之日；</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  29.2.3对中标或者成交结果提出质疑的，为中标或者成交结果公告期限届满之日。</w:t>
      </w:r>
      <w:r>
        <w:rPr>
          <w:rFonts w:hint="eastAsia" w:ascii="宋体" w:hAnsi="宋体" w:eastAsia="宋体" w:cs="宋体"/>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将只对供应商第一次质疑作出答复。</w:t>
      </w:r>
      <w:r>
        <w:rPr>
          <w:rFonts w:hint="eastAsia" w:ascii="宋体" w:hAnsi="宋体" w:eastAsia="宋体" w:cs="宋体"/>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cs="宋体"/>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29.4 供应</w:t>
      </w:r>
      <w:r>
        <w:rPr>
          <w:rFonts w:hint="eastAsia" w:ascii="宋体" w:hAnsi="宋体" w:eastAsia="宋体" w:cs="宋体"/>
          <w:color w:val="000000"/>
          <w:sz w:val="24"/>
          <w:szCs w:val="24"/>
          <w:highlight w:val="none"/>
        </w:rPr>
        <w:t xml:space="preserve">商（含潜在供应商）对采购方式、招标文件中采购需求、供应商资格条件、评标方法和评标标准、合同文本及资格审查结果的询问、质疑请向采购人提出，由采购人负责答复。供应商对其他事项的询问、质疑请向</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提出，由</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负责答复。</w:t>
      </w:r>
      <w:r>
        <w:rPr>
          <w:rFonts w:hint="eastAsia" w:ascii="宋体" w:hAnsi="宋体" w:eastAsia="宋体" w:cs="宋体"/>
          <w:color w:val="000000"/>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采购人及招标代理机构只接收以纸质原件形式送达的质疑,采购人和招标代理机构不接受未填写快递运单的快件。联系地址及联系方式同招标公告。</w:t>
      </w:r>
      <w:r>
        <w:rPr>
          <w:rFonts w:hint="eastAsia" w:ascii="宋体" w:hAnsi="宋体" w:eastAsia="宋体" w:cs="宋体"/>
          <w:color w:val="000000"/>
          <w:sz w:val="24"/>
          <w:szCs w:val="24"/>
          <w:highlight w:val="none"/>
          <w:lang w:val="en-US" w:eastAsia="zh-CN"/>
        </w:rPr>
      </w:r>
      <w:r/>
    </w:p>
    <w:p>
      <w:pPr>
        <w:pStyle w:val="698"/>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 以下情形的质疑不予受理</w:t>
      </w:r>
      <w:r>
        <w:rPr>
          <w:rFonts w:hint="eastAsia" w:ascii="宋体" w:hAnsi="宋体" w:eastAsia="宋体" w:cs="宋体"/>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29.5.1 内容不符合《政府采购质疑和投诉办法》第十二条规定的质疑。</w:t>
      </w:r>
      <w:r>
        <w:rPr>
          <w:rFonts w:hint="eastAsia" w:ascii="宋体" w:hAnsi="宋体" w:eastAsia="宋体" w:cs="宋体"/>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29.5.2 超出政府采购法定期限的质疑。</w:t>
      </w:r>
      <w:r>
        <w:rPr>
          <w:rFonts w:hint="eastAsia" w:ascii="宋体" w:hAnsi="宋体" w:eastAsia="宋体" w:cs="宋体"/>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29.5.3 以传真、电子邮件等方式递交的非原件形式的质疑。</w:t>
      </w:r>
      <w:r>
        <w:rPr>
          <w:rFonts w:hint="eastAsia" w:ascii="宋体" w:hAnsi="宋体" w:eastAsia="宋体" w:cs="宋体"/>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29.5.4 未参加投标活动的供应商或在投标活动中自身权益未受到损害的供应商所提出的质疑。</w:t>
      </w:r>
      <w:r>
        <w:rPr>
          <w:rFonts w:hint="eastAsia" w:ascii="宋体" w:hAnsi="宋体" w:eastAsia="宋体" w:cs="宋体"/>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29.5.5供应商组成联合体参加投标，联合体中任何一方或多方未按要求签字、盖章、加盖公章的质疑。</w:t>
      </w:r>
      <w:r>
        <w:rPr>
          <w:rFonts w:hint="eastAsia" w:ascii="宋体" w:hAnsi="宋体" w:eastAsia="宋体" w:cs="宋体"/>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29.6供应商提出书面质疑必须有理、有据，不得捏造事实、提供虚假材料进行恶意质疑。否则，一经查实，</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有权依据政府采购的有关规定，报请政府采购监管部门对该供应商进行相应的行政处罚和记录该供应商的失信信息。</w:t>
      </w:r>
      <w:r>
        <w:rPr>
          <w:rFonts w:hint="eastAsia" w:ascii="宋体" w:hAnsi="宋体" w:eastAsia="宋体" w:cs="宋体"/>
          <w:sz w:val="24"/>
          <w:szCs w:val="24"/>
          <w:highlight w:val="none"/>
        </w:rPr>
      </w:r>
      <w:r/>
    </w:p>
    <w:p>
      <w:pPr>
        <w:pStyle w:val="698"/>
        <w:ind w:left="0" w:firstLine="48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30、中标通知书</w:t>
      </w:r>
      <w:r>
        <w:rPr>
          <w:rFonts w:hint="eastAsia" w:ascii="宋体" w:hAnsi="宋体" w:eastAsia="宋体" w:cs="宋体"/>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30.l中标结果确定后，</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将向中标人发出中标通知书。请中标人在中标结果公告届满之日起30日内,使用CA数字证书</w:t>
      </w:r>
      <w:r>
        <w:rPr>
          <w:rFonts w:hint="eastAsia" w:ascii="宋体" w:hAnsi="宋体" w:eastAsia="宋体" w:cs="宋体"/>
          <w:color w:val="000000"/>
          <w:sz w:val="24"/>
          <w:szCs w:val="24"/>
          <w:highlight w:val="none"/>
        </w:rPr>
        <w:t xml:space="preserve">登录苏采云系统及时下载中标通知书。因系统存储空间有限，自中标结果公告届满之日起30日后，苏采云系统不再保证提供下载中标通知书服务,因未及时下载而造成的不利后果由中</w:t>
      </w:r>
      <w:r>
        <w:rPr>
          <w:rFonts w:hint="eastAsia" w:ascii="宋体" w:hAnsi="宋体" w:eastAsia="宋体" w:cs="宋体"/>
          <w:color w:val="000000"/>
          <w:sz w:val="24"/>
          <w:szCs w:val="24"/>
          <w:highlight w:val="none"/>
        </w:rPr>
        <w:t xml:space="preserve">标人自行承担。</w:t>
      </w:r>
      <w:r>
        <w:rPr>
          <w:rFonts w:hint="eastAsia" w:ascii="宋体" w:hAnsi="宋体" w:eastAsia="宋体" w:cs="宋体"/>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eastAsia="宋体" w:cs="宋体"/>
          <w:sz w:val="24"/>
          <w:szCs w:val="24"/>
          <w:highlight w:val="none"/>
        </w:rPr>
      </w:r>
      <w:r/>
    </w:p>
    <w:p>
      <w:pPr>
        <w:pStyle w:val="698"/>
        <w:ind w:left="0" w:firstLine="482"/>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bookmarkStart w:id="153" w:name="_Toc20823308"/>
      <w:r/>
      <w:bookmarkStart w:id="154" w:name="_Toc16938552"/>
      <w:r/>
      <w:bookmarkStart w:id="155" w:name="_Toc120614220"/>
      <w:r/>
      <w:bookmarkStart w:id="156" w:name="_Toc513029236"/>
      <w:r>
        <w:rPr>
          <w:rFonts w:hint="eastAsia" w:ascii="宋体" w:hAnsi="宋体" w:eastAsia="宋体" w:cs="宋体"/>
          <w:b/>
          <w:color w:val="000000"/>
          <w:sz w:val="24"/>
          <w:szCs w:val="24"/>
          <w:highlight w:val="none"/>
        </w:rPr>
        <w:t xml:space="preserve">七、授予合同</w:t>
      </w:r>
      <w:bookmarkEnd w:id="153"/>
      <w:r/>
      <w:bookmarkEnd w:id="154"/>
      <w:r/>
      <w:bookmarkEnd w:id="155"/>
      <w:r/>
      <w:bookmarkEnd w:id="156"/>
      <w:r>
        <w:rPr>
          <w:rFonts w:hint="eastAsia" w:ascii="宋体" w:hAnsi="宋体" w:eastAsia="宋体" w:cs="宋体"/>
          <w:sz w:val="24"/>
          <w:szCs w:val="24"/>
          <w:highlight w:val="none"/>
        </w:rPr>
      </w:r>
      <w:r/>
    </w:p>
    <w:p>
      <w:pPr>
        <w:pStyle w:val="698"/>
        <w:ind w:left="0" w:firstLine="48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bookmarkStart w:id="157" w:name="_Toc20823309"/>
      <w:r/>
      <w:bookmarkStart w:id="158" w:name="_Toc16938553"/>
      <w:r/>
      <w:bookmarkStart w:id="159" w:name="_Toc513029237"/>
      <w:r>
        <w:rPr>
          <w:rFonts w:hint="eastAsia" w:ascii="宋体" w:hAnsi="宋体" w:eastAsia="宋体" w:cs="宋体"/>
          <w:color w:val="000000"/>
          <w:sz w:val="24"/>
          <w:szCs w:val="24"/>
          <w:highlight w:val="none"/>
        </w:rPr>
        <w:t xml:space="preserve">31. 签订合同</w:t>
      </w:r>
      <w:bookmarkEnd w:id="157"/>
      <w:r/>
      <w:bookmarkEnd w:id="158"/>
      <w:r/>
      <w:bookmarkEnd w:id="159"/>
      <w:r>
        <w:rPr>
          <w:rFonts w:hint="eastAsia" w:ascii="宋体" w:hAnsi="宋体" w:eastAsia="宋体" w:cs="宋体"/>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31.l中标人应当在中标通知书发出之日起三十日内，按照招标文件确定的事项与采购人签订政府采购合同。</w:t>
      </w:r>
      <w:r>
        <w:rPr>
          <w:rFonts w:hint="eastAsia" w:ascii="宋体" w:hAnsi="宋体" w:eastAsia="宋体" w:cs="宋体"/>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31.2招标文件、中标人的投标文件及招标过程中有关澄清、承诺文件均应作为合同附件。</w:t>
      </w:r>
      <w:r>
        <w:rPr>
          <w:rFonts w:hint="eastAsia" w:ascii="宋体" w:hAnsi="宋体" w:eastAsia="宋体" w:cs="宋体"/>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shd w:val="clear" w:color="auto" w:fill="auto"/>
        </w:rPr>
      </w:pPr>
      <w:r>
        <w:rPr>
          <w:rFonts w:hint="eastAsia" w:ascii="宋体" w:hAnsi="宋体" w:eastAsia="宋体" w:cs="宋体"/>
          <w:color w:val="000000"/>
          <w:sz w:val="24"/>
          <w:szCs w:val="24"/>
          <w:highlight w:val="none"/>
        </w:rPr>
        <w:t xml:space="preserve">31.3 签订合同后，</w:t>
      </w:r>
      <w:r>
        <w:rPr>
          <w:rFonts w:hint="eastAsia" w:ascii="宋体" w:hAnsi="宋体" w:eastAsia="宋体" w:cs="宋体"/>
          <w:i/>
          <w:color w:val="000000"/>
          <w:sz w:val="24"/>
          <w:szCs w:val="24"/>
          <w:highlight w:val="none"/>
          <w:u w:val="single"/>
        </w:rPr>
        <w:t xml:space="preserve">中标人不得将合同标的进行转包</w:t>
      </w:r>
      <w:r>
        <w:rPr>
          <w:rFonts w:hint="eastAsia" w:ascii="宋体" w:hAnsi="宋体" w:eastAsia="宋体" w:cs="宋体"/>
          <w:color w:val="000000"/>
          <w:sz w:val="24"/>
          <w:szCs w:val="24"/>
          <w:highlight w:val="none"/>
        </w:rPr>
        <w:t xml:space="preserve">。未经采购人同意，中标人也不得采用分包的形式履行合同，否则采购人有权终止合同。转包或分包造成采</w:t>
      </w:r>
      <w:r>
        <w:rPr>
          <w:rFonts w:hint="eastAsia" w:ascii="宋体" w:hAnsi="宋体" w:eastAsia="宋体" w:cs="宋体"/>
          <w:color w:val="000000"/>
          <w:sz w:val="24"/>
          <w:szCs w:val="24"/>
          <w:highlight w:val="none"/>
          <w:shd w:val="clear" w:color="auto" w:fill="auto"/>
        </w:rPr>
        <w:t xml:space="preserve">购人损失的，中标人应承担相应赔偿责任。</w:t>
      </w:r>
      <w:r>
        <w:rPr>
          <w:rFonts w:hint="eastAsia" w:ascii="宋体" w:hAnsi="宋体" w:eastAsia="宋体" w:cs="宋体"/>
          <w:sz w:val="24"/>
          <w:szCs w:val="24"/>
          <w:highlight w:val="none"/>
          <w:shd w:val="clear" w:color="auto" w:fill="auto"/>
        </w:rPr>
      </w:r>
      <w:r/>
    </w:p>
    <w:p>
      <w:pPr>
        <w:pStyle w:val="698"/>
        <w:ind w:left="0" w:firstLine="480"/>
        <w:jc w:val="both"/>
        <w:keepLines/>
        <w:keepNext/>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32、货物（包含与货物相关的服务）的追加</w:t>
      </w:r>
      <w:r>
        <w:rPr>
          <w:rFonts w:hint="eastAsia" w:ascii="宋体" w:hAnsi="宋体" w:eastAsia="宋体" w:cs="宋体"/>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宋体" w:hAnsi="宋体" w:eastAsia="宋体" w:cs="宋体"/>
          <w:sz w:val="24"/>
          <w:szCs w:val="24"/>
          <w:highlight w:val="none"/>
        </w:rPr>
      </w:r>
      <w:r/>
    </w:p>
    <w:p>
      <w:pPr>
        <w:pStyle w:val="698"/>
        <w:numPr>
          <w:ilvl w:val="0"/>
          <w:numId w:val="0"/>
        </w:numPr>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33.政府采购政策功能落实</w:t>
      </w:r>
      <w:r>
        <w:rPr>
          <w:rFonts w:hint="eastAsia" w:ascii="宋体" w:hAnsi="宋体" w:eastAsia="宋体" w:cs="宋体"/>
          <w:color w:val="000000"/>
          <w:sz w:val="24"/>
          <w:szCs w:val="24"/>
          <w:highlight w:val="none"/>
          <w:lang w:val="en-US" w:eastAsia="zh-CN"/>
        </w:rPr>
      </w:r>
      <w:r/>
    </w:p>
    <w:p>
      <w:pPr>
        <w:pStyle w:val="698"/>
        <w:ind w:left="0" w:firstLine="480"/>
        <w:jc w:val="both"/>
        <w:keepLines/>
        <w:keepNext/>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33.1</w:t>
      </w:r>
      <w:r>
        <w:rPr>
          <w:rFonts w:hint="eastAsia" w:ascii="宋体" w:hAnsi="宋体" w:eastAsia="宋体" w:cs="宋体"/>
          <w:color w:val="000000"/>
          <w:sz w:val="24"/>
          <w:szCs w:val="24"/>
          <w:highlight w:val="none"/>
        </w:rPr>
        <w:t xml:space="preserve">政府采购</w:t>
      </w:r>
      <w:r>
        <w:rPr>
          <w:rFonts w:hint="eastAsia" w:ascii="宋体" w:hAnsi="宋体" w:eastAsia="宋体" w:cs="宋体"/>
          <w:color w:val="000000"/>
          <w:sz w:val="24"/>
          <w:szCs w:val="24"/>
          <w:highlight w:val="none"/>
          <w:lang w:eastAsia="zh-CN"/>
        </w:rPr>
        <w:t xml:space="preserve">线上合同信用融资</w:t>
      </w:r>
      <w:r>
        <w:rPr>
          <w:rFonts w:hint="eastAsia" w:ascii="宋体" w:hAnsi="宋体" w:eastAsia="宋体" w:cs="宋体"/>
          <w:color w:val="000000"/>
          <w:sz w:val="24"/>
          <w:szCs w:val="24"/>
          <w:highlight w:val="none"/>
        </w:rPr>
        <w:t xml:space="preserve">政策</w:t>
      </w:r>
      <w:r>
        <w:rPr>
          <w:rFonts w:hint="eastAsia" w:ascii="宋体" w:hAnsi="宋体" w:eastAsia="宋体" w:cs="宋体"/>
          <w:color w:val="000000"/>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根据《转发江苏省财政厅 中国人民银行南京分行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关于深入推进政府采购线上合同信用融资工作的通知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的通知》（盐财购〔2021〕20号）规定，中标供应商如有融资需求，可持政府采购合同在线向相关金融机构（具体信息详见</w:t>
      </w:r>
      <w:r>
        <w:rPr>
          <w:rFonts w:hint="eastAsia" w:ascii="宋体" w:hAnsi="宋体" w:eastAsia="宋体" w:cs="宋体"/>
          <w:color w:val="000000"/>
          <w:sz w:val="24"/>
          <w:szCs w:val="24"/>
          <w:highlight w:val="none"/>
          <w:lang w:val="en-US" w:eastAsia="zh-CN"/>
        </w:rPr>
        <w:t xml:space="preserve">江苏省</w:t>
      </w:r>
      <w:r>
        <w:rPr>
          <w:rFonts w:hint="eastAsia" w:ascii="宋体" w:hAnsi="宋体" w:eastAsia="宋体" w:cs="宋体"/>
          <w:color w:val="000000"/>
          <w:sz w:val="24"/>
          <w:szCs w:val="24"/>
          <w:highlight w:val="none"/>
        </w:rPr>
        <w:t xml:space="preserve">政府采购网“政采贷”栏目）申请贷款，相关金融机构按照双方自愿的原则提供便捷、优惠的贷款服务；具体操作流程请参考苏采云系统中操作手册。 </w:t>
      </w:r>
      <w:r>
        <w:rPr>
          <w:rFonts w:hint="eastAsia" w:ascii="宋体" w:hAnsi="宋体" w:eastAsia="宋体" w:cs="宋体"/>
          <w:color w:val="000000"/>
          <w:sz w:val="24"/>
          <w:szCs w:val="24"/>
          <w:highlight w:val="none"/>
        </w:rPr>
      </w:r>
      <w:r/>
    </w:p>
    <w:p>
      <w:pPr>
        <w:pStyle w:val="680"/>
        <w:ind w:left="0" w:firstLine="480"/>
        <w:pageBreakBefore w:val="0"/>
        <w:spacing w:line="400" w:lineRule="exact"/>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33.2进口产品</w:t>
      </w:r>
      <w:r>
        <w:rPr>
          <w:rFonts w:hint="eastAsia" w:ascii="宋体" w:hAnsi="宋体" w:eastAsia="宋体" w:cs="宋体"/>
          <w:color w:val="000000"/>
          <w:sz w:val="24"/>
          <w:szCs w:val="24"/>
          <w:highlight w:val="none"/>
          <w:lang w:val="en-US" w:eastAsia="zh-CN" w:bidi="ar-SA"/>
        </w:rPr>
      </w:r>
      <w:r/>
    </w:p>
    <w:p>
      <w:pPr>
        <w:pStyle w:val="698"/>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进口产品</w:t>
      </w:r>
      <w:r>
        <w:rPr>
          <w:rFonts w:hint="eastAsia" w:ascii="宋体" w:hAnsi="宋体" w:eastAsia="宋体" w:cs="宋体"/>
          <w:color w:val="000000"/>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s="宋体"/>
          <w:color w:val="000000"/>
          <w:sz w:val="24"/>
          <w:szCs w:val="24"/>
          <w:highlight w:val="none"/>
        </w:rPr>
      </w:r>
      <w:r/>
    </w:p>
    <w:p>
      <w:pPr>
        <w:pStyle w:val="680"/>
        <w:ind w:left="0" w:firstLine="480"/>
        <w:pageBreakBefore w:val="0"/>
        <w:spacing w:line="400" w:lineRule="exact"/>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33.3中小企业、监狱企业及残疾人福利性单位</w:t>
      </w:r>
      <w:r>
        <w:rPr>
          <w:rFonts w:hint="eastAsia" w:ascii="宋体" w:hAnsi="宋体" w:eastAsia="宋体" w:cs="宋体"/>
          <w:color w:val="000000"/>
          <w:sz w:val="24"/>
          <w:szCs w:val="24"/>
          <w:highlight w:val="none"/>
          <w:lang w:val="en-US" w:eastAsia="zh-CN" w:bidi="ar-SA"/>
        </w:rPr>
      </w:r>
      <w:r/>
    </w:p>
    <w:p>
      <w:pPr>
        <w:pStyle w:val="680"/>
        <w:ind w:left="0" w:firstLine="48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.3.1中小企业定义：</w:t>
      </w:r>
      <w:r>
        <w:rPr>
          <w:rFonts w:hint="eastAsia" w:ascii="宋体" w:hAnsi="宋体" w:eastAsia="宋体" w:cs="宋体"/>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cs="宋体"/>
          <w:color w:val="000000"/>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.3.2供应商提供的货物、工程或者服务符合下列情形的，享受中小企业扶持政策：</w:t>
      </w:r>
      <w:r>
        <w:rPr>
          <w:rFonts w:hint="eastAsia" w:ascii="宋体" w:hAnsi="宋体" w:eastAsia="宋体" w:cs="宋体"/>
          <w:color w:val="000000"/>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.3.2.1在货物采购项目中，货物由中小企业制造，即货物由中小企业生产且使用该中小企业商号或者注册商标；</w:t>
      </w:r>
      <w:r>
        <w:rPr>
          <w:rFonts w:hint="eastAsia" w:ascii="宋体" w:hAnsi="宋体" w:eastAsia="宋体" w:cs="宋体"/>
          <w:color w:val="000000"/>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.3.2.2在工程采购项目中，工程由中小企业承建，即工程施工单位为中小企业；</w:t>
      </w:r>
      <w:r>
        <w:rPr>
          <w:rFonts w:hint="eastAsia" w:ascii="宋体" w:hAnsi="宋体" w:eastAsia="宋体" w:cs="宋体"/>
          <w:color w:val="000000"/>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.3.2.3在服务采购项目中，服务由中小企业承接，即提供服务的人员为中小企业依照《中华人民共和国劳动合同法》订立劳动合同的从业人员。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.3.3在货物采购项目中，供应商提供的货物既有中小企业制造货物，也有大型企业制造货物的，不享受中小企业扶持政策。</w:t>
      </w:r>
      <w:r>
        <w:rPr>
          <w:rFonts w:hint="eastAsia" w:ascii="宋体" w:hAnsi="宋体" w:eastAsia="宋体" w:cs="宋体"/>
          <w:color w:val="000000"/>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.3.4以联合体形式参加政府采购活动，联合体各方均为中小企业的，联合体视同中小企业。其中，联合体各方均为小微企业的，联合体视同小微企业。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color w:val="000000"/>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.3.6残疾人福利单位定义：享受政府采购支持政策的残疾人福利性单位应当同时满足以下条件：</w:t>
      </w:r>
      <w:r>
        <w:rPr>
          <w:rFonts w:hint="eastAsia" w:ascii="宋体" w:hAnsi="宋体" w:eastAsia="宋体" w:cs="宋体"/>
          <w:color w:val="000000"/>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.3.6.1安置的残疾人占本单位在职职工人数的比例不低于25%（含25%），并且安置的残疾人人数不少于10 人（含10 人）；</w:t>
      </w:r>
      <w:r>
        <w:rPr>
          <w:rFonts w:hint="eastAsia" w:ascii="宋体" w:hAnsi="宋体" w:eastAsia="宋体" w:cs="宋体"/>
          <w:color w:val="000000"/>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.3.6.2依法与安置的每位残疾人签订了一年以上（含一年）的劳动合同或服务协议；</w:t>
      </w:r>
      <w:r>
        <w:rPr>
          <w:rFonts w:hint="eastAsia" w:ascii="宋体" w:hAnsi="宋体" w:eastAsia="宋体" w:cs="宋体"/>
          <w:color w:val="000000"/>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.3.6.3为安置的每位残疾人按月足额缴纳了基本养老保险、基本医疗保险、失业保险、工伤保险和生育保险等社会保险费；</w:t>
      </w:r>
      <w:r>
        <w:rPr>
          <w:rFonts w:hint="eastAsia" w:ascii="宋体" w:hAnsi="宋体" w:eastAsia="宋体" w:cs="宋体"/>
          <w:color w:val="000000"/>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.3.6.4通过银行等金融机构向安置的每位残疾人，按月支付了不低于单位所在区县适用的经省级人民政府批准的月最低工资标准的工资；</w:t>
      </w:r>
      <w:r>
        <w:rPr>
          <w:rFonts w:hint="eastAsia" w:ascii="宋体" w:hAnsi="宋体" w:eastAsia="宋体" w:cs="宋体"/>
          <w:color w:val="000000"/>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.3.6.5提供本单位制造的货物、承担的工程或者服务（以下简称产品），或者提供其他残疾人福利性单位制造的货物（不包括使用非残疾人福利性单位注册商标的货物）；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color w:val="000000"/>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.3.7本项目是否专门面向中小企业预留采购份额见第一章《</w:t>
      </w:r>
      <w:r>
        <w:rPr>
          <w:rFonts w:hint="eastAsia" w:ascii="宋体" w:hAnsi="宋体" w:eastAsia="宋体" w:cs="宋体"/>
          <w:color w:val="000000"/>
          <w:sz w:val="24"/>
          <w:szCs w:val="24"/>
          <w:highlight w:val="none"/>
          <w:lang w:val="en-US" w:eastAsia="zh-CN"/>
        </w:rPr>
        <w:t xml:space="preserve">招标公告</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33</w:t>
      </w:r>
      <w:r>
        <w:rPr>
          <w:rFonts w:hint="eastAsia" w:ascii="宋体" w:hAnsi="宋体" w:eastAsia="宋体" w:cs="宋体"/>
          <w:color w:val="000000"/>
          <w:sz w:val="24"/>
          <w:szCs w:val="24"/>
          <w:highlight w:val="none"/>
        </w:rPr>
        <w:t xml:space="preserve">.3.8采购标的对应的中小企业划分标准所属行业见第四章《采购需求》。</w:t>
      </w:r>
      <w:r>
        <w:rPr>
          <w:rFonts w:hint="eastAsia" w:ascii="宋体" w:hAnsi="宋体" w:eastAsia="宋体" w:cs="宋体"/>
          <w:color w:val="000000"/>
          <w:sz w:val="24"/>
          <w:szCs w:val="24"/>
          <w:highlight w:val="none"/>
        </w:rPr>
      </w:r>
      <w:r/>
    </w:p>
    <w:p>
      <w:pPr>
        <w:pStyle w:val="698"/>
        <w:ind w:left="0"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.3.9小微企业价格评审优惠的政策：见第五章《评标方法和评标标准》。</w:t>
      </w:r>
      <w:r>
        <w:rPr>
          <w:rFonts w:hint="eastAsia" w:ascii="宋体" w:hAnsi="宋体" w:eastAsia="宋体" w:cs="宋体"/>
          <w:color w:val="000000"/>
          <w:sz w:val="24"/>
          <w:szCs w:val="24"/>
          <w:highlight w:val="none"/>
        </w:rPr>
      </w:r>
      <w:r/>
    </w:p>
    <w:p>
      <w:pPr>
        <w:pStyle w:val="680"/>
        <w:ind w:left="0" w:firstLine="480"/>
        <w:pageBreakBefore w:val="0"/>
        <w:spacing w:line="400" w:lineRule="exact"/>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33.4政府采购节能产品、环境标志产品</w:t>
      </w:r>
      <w:r>
        <w:rPr>
          <w:rFonts w:hint="eastAsia" w:ascii="宋体" w:hAnsi="宋体" w:eastAsia="宋体" w:cs="宋体"/>
          <w:color w:val="000000"/>
          <w:sz w:val="24"/>
          <w:szCs w:val="24"/>
          <w:highlight w:val="none"/>
          <w:lang w:val="en-US" w:eastAsia="zh-CN" w:bidi="ar-SA"/>
        </w:rPr>
      </w:r>
      <w:r/>
    </w:p>
    <w:p>
      <w:pPr>
        <w:pStyle w:val="680"/>
        <w:ind w:left="0" w:firstLine="48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.4.1</w:t>
      </w:r>
      <w:r>
        <w:rPr>
          <w:rFonts w:hint="eastAsia" w:ascii="宋体" w:hAnsi="宋体" w:eastAsia="宋体" w:cs="宋体"/>
          <w:color w:val="000000"/>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000000"/>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000000"/>
          <w:sz w:val="24"/>
          <w:szCs w:val="24"/>
          <w:highlight w:val="none"/>
        </w:rPr>
        <w:t xml:space="preserve">。</w:t>
      </w:r>
      <w:r>
        <w:rPr>
          <w:rFonts w:hint="eastAsia" w:ascii="宋体" w:hAnsi="宋体" w:eastAsia="宋体" w:cs="宋体"/>
          <w:color w:val="000000"/>
          <w:sz w:val="24"/>
          <w:szCs w:val="24"/>
          <w:highlight w:val="none"/>
        </w:rPr>
        <w:t xml:space="preserve">其他条件相同情况下，应当优先采购节能产品、环境标志产品。</w:t>
      </w:r>
      <w:r>
        <w:rPr>
          <w:rFonts w:hint="eastAsia" w:ascii="宋体" w:hAnsi="宋体" w:eastAsia="宋体" w:cs="宋体"/>
          <w:color w:val="000000"/>
          <w:sz w:val="24"/>
          <w:szCs w:val="24"/>
          <w:highlight w:val="none"/>
        </w:rPr>
      </w:r>
      <w:r/>
    </w:p>
    <w:p>
      <w:pPr>
        <w:pStyle w:val="680"/>
        <w:ind w:left="0" w:firstLine="48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.4.2</w:t>
      </w:r>
      <w:r>
        <w:rPr>
          <w:rFonts w:hint="eastAsia" w:ascii="宋体" w:hAnsi="宋体" w:eastAsia="宋体" w:cs="宋体"/>
          <w:color w:val="000000"/>
          <w:sz w:val="24"/>
          <w:szCs w:val="24"/>
          <w:highlight w:val="none"/>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hint="eastAsia" w:ascii="宋体" w:hAnsi="宋体" w:eastAsia="宋体" w:cs="宋体"/>
          <w:color w:val="000000"/>
          <w:sz w:val="24"/>
          <w:szCs w:val="24"/>
          <w:highlight w:val="none"/>
        </w:rPr>
      </w:r>
      <w:r/>
    </w:p>
    <w:p>
      <w:pPr>
        <w:pStyle w:val="680"/>
        <w:ind w:left="0" w:firstLine="480"/>
        <w:pageBreakBefore w:val="0"/>
        <w:spacing w:line="400" w:lineRule="exact"/>
        <w:widowControl w:val="off"/>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 xml:space="preserve">注：本项目投标单位投标时无需提供上述相关认证证书。</w:t>
      </w:r>
      <w:r>
        <w:rPr>
          <w:rFonts w:hint="eastAsia" w:ascii="宋体" w:hAnsi="宋体" w:eastAsia="宋体" w:cs="宋体"/>
          <w:color w:val="ff0000"/>
          <w:sz w:val="24"/>
          <w:szCs w:val="24"/>
          <w:highlight w:val="none"/>
        </w:rPr>
      </w:r>
      <w:r/>
    </w:p>
    <w:p>
      <w:pPr>
        <w:pStyle w:val="680"/>
        <w:ind w:left="0" w:firstLine="480"/>
        <w:pageBreakBefore w:val="0"/>
        <w:spacing w:line="400" w:lineRule="exact"/>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33.5绿色包装</w:t>
      </w:r>
      <w:r>
        <w:rPr>
          <w:rFonts w:hint="eastAsia" w:ascii="宋体" w:hAnsi="宋体" w:eastAsia="宋体" w:cs="宋体"/>
          <w:color w:val="000000"/>
          <w:sz w:val="24"/>
          <w:szCs w:val="24"/>
          <w:highlight w:val="none"/>
          <w:lang w:val="en-US" w:eastAsia="zh-CN" w:bidi="ar-SA"/>
        </w:rPr>
      </w:r>
      <w:r/>
    </w:p>
    <w:p>
      <w:pPr>
        <w:pStyle w:val="680"/>
        <w:ind w:left="0" w:firstLine="48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rPr>
          <w:rFonts w:hint="eastAsia" w:ascii="宋体" w:hAnsi="宋体" w:eastAsia="宋体" w:cs="宋体"/>
          <w:color w:val="000000"/>
          <w:sz w:val="24"/>
          <w:szCs w:val="24"/>
          <w:highlight w:val="none"/>
          <w:lang w:val="en-US" w:eastAsia="zh-CN" w:bidi="ar-SA"/>
        </w:rPr>
      </w:r>
      <w:r/>
    </w:p>
    <w:p>
      <w:pPr>
        <w:pStyle w:val="680"/>
        <w:ind w:left="0" w:firstLine="480"/>
        <w:pageBreakBefore w:val="0"/>
        <w:spacing w:line="400" w:lineRule="exact"/>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33.6政府采购创新产品</w:t>
      </w:r>
      <w:r>
        <w:rPr>
          <w:rFonts w:hint="eastAsia" w:ascii="宋体" w:hAnsi="宋体" w:eastAsia="宋体" w:cs="宋体"/>
          <w:color w:val="000000"/>
          <w:sz w:val="24"/>
          <w:szCs w:val="24"/>
          <w:highlight w:val="none"/>
          <w:lang w:val="en-US" w:eastAsia="zh-CN" w:bidi="ar-SA"/>
        </w:rPr>
      </w:r>
      <w:r/>
    </w:p>
    <w:p>
      <w:pPr>
        <w:pStyle w:val="680"/>
        <w:ind w:left="0" w:right="0" w:firstLine="480"/>
        <w:jc w:val="both"/>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80"/>
        <w:ind w:left="0" w:firstLine="480"/>
        <w:pageBreakBefore w:val="0"/>
        <w:spacing w:line="400" w:lineRule="exact"/>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33.7绿色数据中心政策 </w:t>
      </w:r>
      <w:r>
        <w:rPr>
          <w:rFonts w:hint="eastAsia" w:ascii="宋体" w:hAnsi="宋体" w:eastAsia="宋体" w:cs="宋体"/>
          <w:color w:val="000000"/>
          <w:sz w:val="24"/>
          <w:szCs w:val="24"/>
          <w:highlight w:val="none"/>
          <w:lang w:val="en-US" w:eastAsia="zh-CN" w:bidi="ar-SA"/>
        </w:rPr>
      </w:r>
      <w:r/>
    </w:p>
    <w:p>
      <w:pPr>
        <w:pStyle w:val="680"/>
        <w:ind w:left="0" w:firstLine="48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本文件中若涉及到数据中心采购，采购人应依据《绿色数据中心政府采购需求标准（试行）》（财办库〔2023〕7号）文件精神</w:t>
      </w:r>
      <w:r>
        <w:rPr>
          <w:rFonts w:hint="eastAsia" w:ascii="宋体" w:hAnsi="宋体" w:eastAsia="宋体" w:cs="宋体"/>
          <w:color w:val="000000"/>
          <w:sz w:val="24"/>
          <w:szCs w:val="24"/>
          <w:highlight w:val="none"/>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eastAsia="宋体" w:cs="宋体"/>
          <w:color w:val="000000"/>
          <w:sz w:val="24"/>
          <w:szCs w:val="24"/>
          <w:highlight w:val="none"/>
          <w:lang w:val="en-US" w:eastAsia="zh-CN" w:bidi="ar-SA"/>
        </w:rPr>
      </w:r>
      <w:r/>
    </w:p>
    <w:p>
      <w:pPr>
        <w:pStyle w:val="680"/>
        <w:ind w:left="0" w:firstLine="482"/>
        <w:pageBreakBefore w:val="0"/>
        <w:spacing w:line="400" w:lineRule="exact"/>
        <w:widowControl w:val="off"/>
        <w:tabs>
          <w:tab w:val="left" w:pos="1381" w:leader="none"/>
        </w:tabs>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33.8实施本国产品标准及相关政策</w:t>
      </w:r>
      <w:r>
        <w:rPr>
          <w:rFonts w:hint="eastAsia" w:ascii="宋体" w:hAnsi="宋体" w:eastAsia="宋体" w:cs="宋体"/>
          <w:b/>
          <w:bCs/>
          <w:color w:val="ff0000"/>
          <w:sz w:val="24"/>
          <w:szCs w:val="24"/>
          <w:highlight w:val="none"/>
          <w:lang w:val="en-US" w:eastAsia="zh-CN" w:bidi="ar-SA"/>
        </w:rPr>
      </w:r>
      <w:r/>
    </w:p>
    <w:p>
      <w:pPr>
        <w:pStyle w:val="680"/>
        <w:ind w:left="0" w:firstLine="482"/>
        <w:pageBreakBefore w:val="0"/>
        <w:spacing w:line="400" w:lineRule="exact"/>
        <w:widowControl w:val="off"/>
        <w:tabs>
          <w:tab w:val="left" w:pos="1381" w:leader="none"/>
        </w:tabs>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1.本项目对采购本国产品给予政策支持，具体内容见招标文件“第五章 评标方法与评标标准”。</w:t>
      </w:r>
      <w:r>
        <w:rPr>
          <w:rFonts w:hint="eastAsia" w:ascii="宋体" w:hAnsi="宋体" w:eastAsia="宋体" w:cs="宋体"/>
          <w:b/>
          <w:bCs/>
          <w:color w:val="ff0000"/>
          <w:sz w:val="24"/>
          <w:szCs w:val="24"/>
          <w:highlight w:val="none"/>
          <w:lang w:val="en-US" w:eastAsia="zh-CN" w:bidi="ar-SA"/>
        </w:rPr>
      </w:r>
      <w:r/>
    </w:p>
    <w:p>
      <w:pPr>
        <w:pStyle w:val="680"/>
        <w:ind w:left="0" w:firstLine="482"/>
        <w:pageBreakBefore w:val="0"/>
        <w:spacing w:line="400" w:lineRule="exact"/>
        <w:widowControl w:val="off"/>
        <w:tabs>
          <w:tab w:val="left" w:pos="1381" w:leader="none"/>
        </w:tabs>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
          <w:bCs/>
          <w:color w:val="ff0000"/>
          <w:sz w:val="24"/>
          <w:szCs w:val="24"/>
          <w:highlight w:val="none"/>
          <w:lang w:val="en-US" w:eastAsia="zh-CN" w:bidi="ar-SA"/>
        </w:rPr>
      </w:r>
      <w:r/>
    </w:p>
    <w:p>
      <w:pPr>
        <w:pStyle w:val="680"/>
        <w:ind w:left="0" w:firstLine="482"/>
        <w:pageBreakBefore w:val="0"/>
        <w:spacing w:line="400" w:lineRule="exact"/>
        <w:widowControl w:val="off"/>
        <w:tabs>
          <w:tab w:val="left" w:pos="1381" w:leader="none"/>
        </w:tabs>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b/>
          <w:bCs/>
          <w:color w:val="ff0000"/>
          <w:sz w:val="24"/>
          <w:szCs w:val="24"/>
          <w:highlight w:val="none"/>
          <w:lang w:val="en-US" w:eastAsia="zh-CN" w:bidi="ar-SA"/>
        </w:rPr>
      </w:r>
      <w:r/>
    </w:p>
    <w:p>
      <w:pPr>
        <w:pStyle w:val="680"/>
        <w:ind w:left="0" w:firstLine="482"/>
        <w:pageBreakBefore w:val="0"/>
        <w:spacing w:line="400" w:lineRule="exact"/>
        <w:widowControl w:val="off"/>
        <w:tabs>
          <w:tab w:val="left" w:pos="1381" w:leader="none"/>
        </w:tabs>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宋体" w:cs="宋体"/>
          <w:b/>
          <w:bCs/>
          <w:color w:val="ff0000"/>
          <w:sz w:val="24"/>
          <w:szCs w:val="24"/>
          <w:highlight w:val="none"/>
          <w:lang w:val="en-US" w:eastAsia="zh-CN" w:bidi="ar-SA"/>
        </w:rPr>
      </w:r>
      <w:r/>
    </w:p>
    <w:p>
      <w:pPr>
        <w:pStyle w:val="680"/>
        <w:ind w:left="0" w:firstLine="480"/>
        <w:pageBreakBefore w:val="0"/>
        <w:spacing w:line="400" w:lineRule="exact"/>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33.9履约保证金政策</w:t>
      </w:r>
      <w:r>
        <w:rPr>
          <w:rFonts w:hint="eastAsia" w:ascii="宋体" w:hAnsi="宋体" w:eastAsia="宋体" w:cs="宋体"/>
          <w:color w:val="000000"/>
          <w:sz w:val="24"/>
          <w:szCs w:val="24"/>
          <w:highlight w:val="none"/>
          <w:lang w:val="en-US" w:eastAsia="zh-CN" w:bidi="ar-SA"/>
        </w:rPr>
      </w:r>
      <w:r/>
    </w:p>
    <w:p>
      <w:pPr>
        <w:pStyle w:val="680"/>
        <w:ind w:left="0" w:firstLine="480"/>
        <w:pageBreakBefore w:val="0"/>
        <w:spacing w:line="400" w:lineRule="exact"/>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履约保证金为合同价的10%，供应商可自主选择以转账、支票、汇票、本票、履约保函（保险）的形式缴纳或提交，推荐使用银行保函（银行保函须为见索即付保函，其他保函需从省政府采购网-保险保函入口办理）。担保范围覆盖合同签订、交货、安装调试、验收合格及 5 年质保期内的全部合同义务；于 5 年质保期届满、供应商完成全部质保义务且无质量争议后，由乙方向甲方提交履约保证金退还申请，申请后30日内履约保证金无息退回。如乙方在合同履行中出现违约，则按合同约定扣除违约金后，退回剩余履约保证金。</w:t>
      </w:r>
      <w:r>
        <w:rPr>
          <w:rFonts w:hint="eastAsia" w:ascii="宋体" w:hAnsi="宋体" w:eastAsia="宋体" w:cs="宋体"/>
          <w:color w:val="000000"/>
          <w:sz w:val="24"/>
          <w:szCs w:val="24"/>
          <w:highlight w:val="none"/>
          <w:lang w:val="en-US" w:eastAsia="zh-CN" w:bidi="ar-SA"/>
        </w:rPr>
      </w:r>
      <w:r/>
    </w:p>
    <w:p>
      <w:pPr>
        <w:pStyle w:val="680"/>
        <w:ind w:left="0" w:firstLine="480"/>
        <w:pageBreakBefore w:val="0"/>
        <w:spacing w:line="400" w:lineRule="exact"/>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采购人无息一次性退还。</w:t>
      </w:r>
      <w:r>
        <w:rPr>
          <w:rFonts w:hint="eastAsia" w:ascii="宋体" w:hAnsi="宋体" w:eastAsia="宋体" w:cs="宋体"/>
          <w:color w:val="000000"/>
          <w:sz w:val="24"/>
          <w:szCs w:val="24"/>
          <w:highlight w:val="none"/>
          <w:lang w:val="en-US" w:eastAsia="zh-CN" w:bidi="ar-SA"/>
        </w:rPr>
      </w:r>
      <w:r/>
    </w:p>
    <w:p>
      <w:pPr>
        <w:pStyle w:val="680"/>
        <w:ind w:left="0" w:firstLine="480"/>
        <w:pageBreakBefore w:val="0"/>
        <w:spacing w:line="400" w:lineRule="exact"/>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履约保证金用以约束成交供应商在合同履行中的行为，弥补合同执行中由于自身行为可能给采购人带来的各种损失。</w:t>
      </w:r>
      <w:r>
        <w:rPr>
          <w:rFonts w:hint="eastAsia" w:ascii="宋体" w:hAnsi="宋体" w:eastAsia="宋体" w:cs="宋体"/>
          <w:color w:val="000000"/>
          <w:sz w:val="24"/>
          <w:szCs w:val="24"/>
          <w:highlight w:val="none"/>
          <w:lang w:val="en-US" w:eastAsia="zh-CN" w:bidi="ar-SA"/>
        </w:rPr>
      </w:r>
      <w:r/>
    </w:p>
    <w:p>
      <w:pPr>
        <w:pStyle w:val="680"/>
        <w:ind w:left="0" w:firstLine="480"/>
        <w:pageBreakBefore w:val="0"/>
        <w:spacing w:line="400" w:lineRule="exact"/>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34. 预付款制度</w:t>
      </w:r>
      <w:r>
        <w:rPr>
          <w:rFonts w:hint="eastAsia" w:ascii="宋体" w:hAnsi="宋体" w:eastAsia="宋体" w:cs="宋体"/>
          <w:color w:val="000000"/>
          <w:sz w:val="24"/>
          <w:szCs w:val="24"/>
          <w:highlight w:val="none"/>
          <w:lang w:val="en-US" w:eastAsia="zh-CN" w:bidi="ar-SA"/>
        </w:rPr>
      </w:r>
      <w:r/>
    </w:p>
    <w:p>
      <w:pPr>
        <w:pStyle w:val="680"/>
        <w:ind w:firstLine="480"/>
        <w:pageBreakBefore w:val="0"/>
        <w:spacing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本项目落实预付款制度，预付款比例为30%。在签订合同时，中标、成交供应商明确书面表示无需预付款或者主动要求降低预付款比例的，采购人可就预付款比例作相应调整。</w:t>
      </w:r>
      <w:r>
        <w:rPr>
          <w:rFonts w:hint="eastAsia" w:ascii="宋体" w:hAnsi="宋体" w:eastAsia="宋体" w:cs="宋体"/>
          <w:color w:val="000000"/>
          <w:sz w:val="24"/>
          <w:szCs w:val="24"/>
          <w:highlight w:val="none"/>
          <w:lang w:val="en-US" w:eastAsia="zh-CN" w:bidi="ar-SA"/>
        </w:rPr>
      </w:r>
      <w:r/>
    </w:p>
    <w:p>
      <w:pPr>
        <w:pStyle w:val="680"/>
        <w:jc w:val="both"/>
        <w:spacing w:line="360" w:lineRule="auto"/>
        <w:widowControl/>
        <w:rPr>
          <w:sz w:val="36"/>
          <w:szCs w:val="44"/>
          <w:highlight w:val="none"/>
        </w:rPr>
      </w:pPr>
      <w:r/>
      <w:bookmarkStart w:id="160" w:name="_Toc16938590"/>
      <w:r/>
      <w:bookmarkStart w:id="161" w:name="_Toc20823346"/>
      <w:r/>
      <w:bookmarkStart w:id="162" w:name="_Toc120614244"/>
      <w:r/>
      <w:bookmarkStart w:id="163" w:name="_Hlt16619350"/>
      <w:r/>
      <w:bookmarkStart w:id="164" w:name="_Toc462564139"/>
      <w:r/>
      <w:bookmarkStart w:id="165" w:name="_Toc479757211"/>
      <w:r/>
      <w:bookmarkStart w:id="166" w:name="_Hlt16619369"/>
      <w:r>
        <w:rPr>
          <w:sz w:val="36"/>
          <w:szCs w:val="44"/>
          <w:highlight w:val="none"/>
        </w:rPr>
      </w:r>
      <w:r/>
    </w:p>
    <w:p>
      <w:pPr>
        <w:pStyle w:val="680"/>
        <w:jc w:val="center"/>
        <w:spacing w:line="360" w:lineRule="auto"/>
        <w:widowControl/>
        <w:rPr>
          <w:rFonts w:ascii="宋体" w:hAnsi="宋体" w:cs="宋体"/>
          <w:b/>
          <w:sz w:val="48"/>
          <w:szCs w:val="44"/>
          <w:highlight w:val="none"/>
        </w:rPr>
      </w:pPr>
      <w:r>
        <w:rPr>
          <w:rFonts w:hint="eastAsia" w:ascii="宋体" w:hAnsi="宋体" w:cs="宋体"/>
          <w:b/>
          <w:sz w:val="48"/>
          <w:szCs w:val="44"/>
          <w:highlight w:val="none"/>
        </w:rPr>
        <w:t xml:space="preserve">第三</w:t>
      </w:r>
      <w:r>
        <w:rPr>
          <w:rFonts w:hint="eastAsia" w:ascii="宋体" w:hAnsi="宋体" w:cs="宋体"/>
          <w:b/>
          <w:sz w:val="48"/>
          <w:szCs w:val="44"/>
          <w:highlight w:val="none"/>
          <w:lang w:eastAsia="zh-CN"/>
        </w:rPr>
        <w:t xml:space="preserve">章</w:t>
      </w:r>
      <w:r>
        <w:rPr>
          <w:rFonts w:hint="eastAsia" w:ascii="宋体" w:hAnsi="宋体" w:cs="宋体"/>
          <w:b/>
          <w:sz w:val="48"/>
          <w:szCs w:val="44"/>
          <w:highlight w:val="none"/>
        </w:rPr>
        <w:t xml:space="preserve">  合同条款</w:t>
      </w:r>
      <w:r>
        <w:rPr>
          <w:rFonts w:ascii="宋体" w:hAnsi="宋体" w:cs="宋体"/>
          <w:b/>
          <w:sz w:val="48"/>
          <w:szCs w:val="44"/>
          <w:highlight w:val="none"/>
        </w:rPr>
      </w:r>
      <w:r/>
    </w:p>
    <w:p>
      <w:pPr>
        <w:pStyle w:val="680"/>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项目名称：</w:t>
      </w:r>
      <w:r>
        <w:rPr>
          <w:rFonts w:hint="eastAsia" w:ascii="宋体" w:hAnsi="宋体" w:cs="宋体"/>
          <w:color w:val="000000"/>
          <w:sz w:val="24"/>
          <w:szCs w:val="24"/>
          <w:highlight w:val="none"/>
          <w:u w:val="single"/>
          <w:lang w:eastAsia="zh-CN"/>
        </w:rPr>
        <w:t xml:space="preserve">东沙岛浮标监测系统设备及安装（二次）</w:t>
      </w:r>
      <w:r>
        <w:rPr>
          <w:rFonts w:hint="eastAsia" w:ascii="宋体" w:hAnsi="宋体" w:eastAsia="宋体" w:cs="宋体"/>
          <w:color w:val="000000"/>
          <w:sz w:val="24"/>
          <w:szCs w:val="24"/>
          <w:highlight w:val="none"/>
          <w:lang w:eastAsia="zh-CN"/>
        </w:rPr>
      </w:r>
      <w:r/>
    </w:p>
    <w:p>
      <w:pPr>
        <w:pStyle w:val="680"/>
        <w:ind w:firstLine="48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项目编号：</w:t>
      </w:r>
      <w:r>
        <w:rPr>
          <w:rFonts w:ascii="宋体" w:hAnsi="宋体" w:cs="宋体"/>
          <w:color w:val="000000"/>
          <w:sz w:val="24"/>
          <w:szCs w:val="24"/>
          <w:highlight w:val="none"/>
        </w:rPr>
      </w:r>
      <w:r/>
    </w:p>
    <w:p>
      <w:pPr>
        <w:pStyle w:val="680"/>
        <w:ind w:firstLine="480"/>
        <w:jc w:val="left"/>
        <w:spacing w:line="360"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甲方：（买方）</w:t>
      </w:r>
      <w:r>
        <w:rPr>
          <w:rFonts w:hint="eastAsia" w:ascii="宋体" w:hAnsi="宋体" w:cs="宋体"/>
          <w:color w:val="000000"/>
          <w:sz w:val="24"/>
          <w:szCs w:val="24"/>
          <w:highlight w:val="none"/>
          <w:u w:val="single"/>
          <w:lang w:val="en-US" w:eastAsia="zh-CN"/>
        </w:rPr>
        <w:t xml:space="preserve">                                   </w:t>
      </w:r>
      <w:r>
        <w:rPr>
          <w:rFonts w:ascii="宋体" w:hAnsi="宋体" w:eastAsia="宋体" w:cs="宋体"/>
          <w:color w:val="000000"/>
          <w:sz w:val="24"/>
          <w:szCs w:val="24"/>
          <w:highlight w:val="none"/>
          <w:lang w:val="en-US" w:eastAsia="zh-CN"/>
        </w:rPr>
      </w:r>
      <w:r/>
    </w:p>
    <w:p>
      <w:pPr>
        <w:pStyle w:val="680"/>
        <w:ind w:firstLine="480"/>
        <w:jc w:val="left"/>
        <w:spacing w:line="360" w:lineRule="auto"/>
        <w:rPr>
          <w:rFonts w:ascii="宋体" w:hAnsi="宋体" w:eastAsia="宋体" w:cs="宋体"/>
          <w:color w:val="000000"/>
          <w:sz w:val="24"/>
          <w:szCs w:val="24"/>
          <w:highlight w:val="none"/>
          <w:u w:val="single"/>
          <w:lang w:val="en-US" w:eastAsia="zh-CN"/>
        </w:rPr>
      </w:pPr>
      <w:r>
        <w:rPr>
          <w:rFonts w:hint="eastAsia" w:ascii="宋体" w:hAnsi="宋体" w:cs="宋体"/>
          <w:color w:val="000000"/>
          <w:sz w:val="24"/>
          <w:szCs w:val="24"/>
          <w:highlight w:val="none"/>
        </w:rPr>
        <w:t xml:space="preserve">乙方：（卖方）</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ascii="宋体" w:hAnsi="宋体" w:eastAsia="宋体" w:cs="宋体"/>
          <w:color w:val="000000"/>
          <w:sz w:val="24"/>
          <w:szCs w:val="24"/>
          <w:highlight w:val="none"/>
          <w:u w:val="single"/>
          <w:lang w:val="en-US" w:eastAsia="zh-CN"/>
        </w:rPr>
      </w:r>
      <w:r/>
    </w:p>
    <w:p>
      <w:pPr>
        <w:pStyle w:val="680"/>
        <w:ind w:firstLine="480"/>
        <w:jc w:val="left"/>
        <w:spacing w:line="360" w:lineRule="auto"/>
        <w:widowControl/>
        <w:rPr>
          <w:rFonts w:ascii="宋体" w:hAnsi="宋体" w:eastAsia="Arial" w:cs="宋体"/>
          <w:color w:val="000000"/>
          <w:sz w:val="24"/>
          <w:highlight w:val="none"/>
        </w:rPr>
      </w:pPr>
      <w:r>
        <w:rPr>
          <w:rFonts w:hint="eastAsia" w:ascii="宋体" w:hAnsi="宋体" w:cs="宋体"/>
          <w:color w:val="000000"/>
          <w:sz w:val="24"/>
          <w:highlight w:val="none"/>
        </w:rPr>
        <w:t xml:space="preserve">甲、乙双方根据盐城市政府采购</w:t>
      </w:r>
      <w:r>
        <w:rPr>
          <w:rFonts w:hint="eastAsia" w:ascii="宋体" w:hAnsi="宋体" w:cs="宋体"/>
          <w:color w:val="000000"/>
          <w:sz w:val="24"/>
          <w:szCs w:val="24"/>
          <w:highlight w:val="none"/>
          <w:u w:val="single"/>
          <w:lang w:eastAsia="zh-CN"/>
        </w:rPr>
        <w:t xml:space="preserve">东沙岛浮标监测系统设备及安装（二次）</w:t>
      </w:r>
      <w:r>
        <w:rPr>
          <w:rFonts w:hint="eastAsia" w:ascii="宋体" w:hAnsi="宋体" w:cs="宋体"/>
          <w:color w:val="000000"/>
          <w:sz w:val="24"/>
          <w:szCs w:val="24"/>
          <w:highlight w:val="none"/>
        </w:rPr>
        <w:t xml:space="preserve">公开招标</w:t>
      </w:r>
      <w:r>
        <w:rPr>
          <w:rFonts w:hint="eastAsia" w:ascii="宋体" w:hAnsi="宋体" w:cs="宋体"/>
          <w:color w:val="000000"/>
          <w:sz w:val="24"/>
          <w:highlight w:val="none"/>
        </w:rPr>
        <w:t xml:space="preserve">的结果，签署本合同。</w:t>
      </w:r>
      <w:r>
        <w:rPr>
          <w:rFonts w:ascii="宋体" w:hAnsi="宋体" w:eastAsia="Arial" w:cs="宋体"/>
          <w:color w:val="000000"/>
          <w:sz w:val="24"/>
          <w:highlight w:val="none"/>
        </w:rPr>
      </w:r>
      <w:r/>
    </w:p>
    <w:p>
      <w:pPr>
        <w:pStyle w:val="680"/>
        <w:ind w:firstLine="480"/>
        <w:jc w:val="left"/>
        <w:spacing w:line="360" w:lineRule="auto"/>
        <w:widowControl/>
        <w:rPr>
          <w:rFonts w:ascii="宋体" w:hAnsi="宋体" w:eastAsia="Arial" w:cs="宋体"/>
          <w:b/>
          <w:bCs/>
          <w:color w:val="000000"/>
          <w:sz w:val="24"/>
          <w:highlight w:val="none"/>
        </w:rPr>
        <w:outlineLvl w:val="1"/>
      </w:pPr>
      <w:r>
        <w:rPr>
          <w:rFonts w:hint="eastAsia" w:ascii="宋体" w:hAnsi="宋体" w:cs="宋体"/>
          <w:b/>
          <w:bCs/>
          <w:color w:val="000000"/>
          <w:sz w:val="24"/>
          <w:highlight w:val="none"/>
        </w:rPr>
        <w:t xml:space="preserve">一、合同内容</w:t>
      </w:r>
      <w:r>
        <w:rPr>
          <w:rFonts w:ascii="宋体" w:hAnsi="宋体" w:eastAsia="Arial" w:cs="宋体"/>
          <w:b/>
          <w:bCs/>
          <w:color w:val="000000"/>
          <w:sz w:val="24"/>
          <w:highlight w:val="none"/>
        </w:rPr>
      </w:r>
      <w:r/>
    </w:p>
    <w:p>
      <w:pPr>
        <w:pStyle w:val="680"/>
        <w:ind w:firstLine="480"/>
        <w:jc w:val="left"/>
        <w:spacing w:line="360" w:lineRule="auto"/>
        <w:widowControl/>
        <w:rPr>
          <w:rFonts w:hint="eastAsia" w:ascii="宋体" w:hAnsi="宋体" w:eastAsia="宋体" w:cs="宋体"/>
          <w:color w:val="000000"/>
          <w:sz w:val="24"/>
          <w:highlight w:val="none"/>
          <w:lang w:eastAsia="zh-CN"/>
        </w:rPr>
      </w:pPr>
      <w:r>
        <w:rPr>
          <w:rFonts w:hint="eastAsia" w:ascii="宋体" w:hAnsi="宋体" w:eastAsia="Arial" w:cs="宋体"/>
          <w:color w:val="000000"/>
          <w:sz w:val="24"/>
          <w:highlight w:val="none"/>
        </w:rPr>
        <w:t xml:space="preserve">1.1 </w:t>
      </w:r>
      <w:r>
        <w:rPr>
          <w:rFonts w:hint="eastAsia" w:ascii="宋体" w:hAnsi="宋体" w:cs="宋体"/>
          <w:color w:val="000000"/>
          <w:sz w:val="24"/>
          <w:highlight w:val="none"/>
        </w:rPr>
        <w:t xml:space="preserve">标的名称：</w:t>
      </w:r>
      <w:r>
        <w:rPr>
          <w:rFonts w:hint="eastAsia" w:ascii="宋体" w:hAnsi="宋体" w:cs="宋体"/>
          <w:color w:val="000000"/>
          <w:sz w:val="24"/>
          <w:szCs w:val="24"/>
          <w:highlight w:val="none"/>
          <w:u w:val="single"/>
          <w:lang w:eastAsia="zh-CN"/>
        </w:rPr>
        <w:t xml:space="preserve">东沙岛浮标监测系统设备及安装（二次）</w:t>
      </w:r>
      <w:r>
        <w:rPr>
          <w:rFonts w:hint="eastAsia" w:ascii="宋体" w:hAnsi="宋体" w:eastAsia="宋体" w:cs="宋体"/>
          <w:color w:val="000000"/>
          <w:sz w:val="24"/>
          <w:highlight w:val="none"/>
          <w:lang w:eastAsia="zh-CN"/>
        </w:rPr>
      </w:r>
      <w:r/>
    </w:p>
    <w:p>
      <w:pPr>
        <w:pStyle w:val="680"/>
        <w:ind w:firstLine="480"/>
        <w:jc w:val="left"/>
        <w:spacing w:line="360" w:lineRule="auto"/>
        <w:widowControl/>
        <w:rPr>
          <w:rFonts w:hint="eastAsia" w:ascii="宋体" w:hAnsi="宋体" w:eastAsia="宋体" w:cs="宋体"/>
          <w:color w:val="000000"/>
          <w:sz w:val="24"/>
          <w:highlight w:val="none"/>
          <w:lang w:val="en-US" w:eastAsia="zh-CN"/>
        </w:rPr>
      </w:pPr>
      <w:r>
        <w:rPr>
          <w:rFonts w:hint="eastAsia" w:ascii="宋体" w:hAnsi="宋体" w:eastAsia="Arial" w:cs="宋体"/>
          <w:color w:val="000000"/>
          <w:sz w:val="24"/>
          <w:highlight w:val="none"/>
        </w:rPr>
        <w:t xml:space="preserve">1.2 </w:t>
      </w:r>
      <w:r>
        <w:rPr>
          <w:rFonts w:hint="eastAsia" w:ascii="宋体" w:hAnsi="宋体" w:cs="宋体"/>
          <w:color w:val="000000"/>
          <w:sz w:val="24"/>
          <w:highlight w:val="none"/>
        </w:rPr>
        <w:t xml:space="preserve">标的质量：</w:t>
      </w:r>
      <w:r>
        <w:rPr>
          <w:rFonts w:hint="eastAsia" w:ascii="宋体" w:hAnsi="宋体" w:cs="宋体"/>
          <w:color w:val="000000"/>
          <w:sz w:val="24"/>
          <w:highlight w:val="none"/>
          <w:lang w:val="en-US" w:eastAsia="zh-CN"/>
        </w:rPr>
        <w:t xml:space="preserve">完成项目需求约定的全部内容，满足采购人需求，质量合格，并通过采购人组织的专家验收。</w:t>
      </w:r>
      <w:r>
        <w:rPr>
          <w:rFonts w:hint="eastAsia" w:ascii="宋体" w:hAnsi="宋体" w:eastAsia="宋体" w:cs="宋体"/>
          <w:color w:val="000000"/>
          <w:sz w:val="24"/>
          <w:highlight w:val="none"/>
          <w:lang w:val="en-US" w:eastAsia="zh-CN"/>
        </w:rPr>
      </w:r>
      <w:r/>
    </w:p>
    <w:p>
      <w:pPr>
        <w:pStyle w:val="680"/>
        <w:ind w:firstLine="480"/>
        <w:jc w:val="left"/>
        <w:spacing w:line="360" w:lineRule="auto"/>
        <w:widowControl/>
        <w:rPr>
          <w:rFonts w:hint="eastAsia" w:ascii="宋体" w:hAnsi="宋体" w:eastAsia="宋体" w:cs="宋体"/>
          <w:color w:val="000000"/>
          <w:sz w:val="24"/>
          <w:highlight w:val="none"/>
          <w:lang w:val="en-US" w:eastAsia="zh-CN"/>
        </w:rPr>
      </w:pPr>
      <w:r>
        <w:rPr>
          <w:rFonts w:hint="eastAsia" w:ascii="宋体" w:hAnsi="宋体" w:eastAsia="Arial" w:cs="宋体"/>
          <w:color w:val="000000"/>
          <w:sz w:val="24"/>
          <w:highlight w:val="none"/>
        </w:rPr>
        <w:t xml:space="preserve">1.3</w:t>
      </w:r>
      <w:r>
        <w:rPr>
          <w:rFonts w:hint="eastAsia" w:ascii="宋体" w:hAnsi="宋体" w:cs="宋体"/>
          <w:color w:val="000000"/>
          <w:sz w:val="24"/>
          <w:highlight w:val="none"/>
        </w:rPr>
        <w:t xml:space="preserve">合同履行期限：</w:t>
      </w:r>
      <w:r>
        <w:rPr>
          <w:rFonts w:hint="eastAsia" w:ascii="宋体" w:hAnsi="宋体" w:cs="宋体"/>
          <w:color w:val="000000"/>
          <w:sz w:val="24"/>
          <w:highlight w:val="none"/>
          <w:u w:val="single"/>
        </w:rPr>
        <w:t xml:space="preserve">中标单位必须在</w:t>
      </w:r>
      <w:r>
        <w:rPr>
          <w:rFonts w:hint="eastAsia" w:ascii="宋体" w:hAnsi="宋体" w:cs="宋体"/>
          <w:color w:val="000000"/>
          <w:sz w:val="24"/>
          <w:highlight w:val="none"/>
          <w:u w:val="single"/>
          <w:lang w:eastAsia="zh-CN"/>
        </w:rPr>
        <w:t xml:space="preserve">签订合同后</w:t>
      </w:r>
      <w:r>
        <w:rPr>
          <w:rFonts w:hint="eastAsia" w:ascii="宋体" w:hAnsi="宋体" w:cs="宋体"/>
          <w:color w:val="000000"/>
          <w:sz w:val="24"/>
          <w:highlight w:val="none"/>
          <w:u w:val="single"/>
          <w:lang w:val="en-US" w:eastAsia="zh-CN"/>
        </w:rPr>
        <w:t xml:space="preserve">150</w:t>
      </w:r>
      <w:r>
        <w:rPr>
          <w:rFonts w:hint="eastAsia" w:ascii="宋体" w:hAnsi="宋体" w:cs="宋体"/>
          <w:color w:val="000000"/>
          <w:sz w:val="24"/>
          <w:highlight w:val="none"/>
          <w:u w:val="single"/>
          <w:lang w:eastAsia="zh-CN"/>
        </w:rPr>
        <w:t xml:space="preserve">日历天内，按招标人要求，在招标人指定地点完成供货、安装调试等相关伴随服务，并交付采购人使用。</w:t>
      </w:r>
      <w:r>
        <w:rPr>
          <w:rFonts w:hint="eastAsia" w:ascii="宋体" w:hAnsi="宋体" w:eastAsia="宋体" w:cs="宋体"/>
          <w:color w:val="000000"/>
          <w:sz w:val="24"/>
          <w:highlight w:val="none"/>
          <w:lang w:val="en-US" w:eastAsia="zh-CN"/>
        </w:rPr>
      </w:r>
      <w:r/>
    </w:p>
    <w:p>
      <w:pPr>
        <w:pStyle w:val="680"/>
        <w:ind w:firstLine="480"/>
        <w:jc w:val="left"/>
        <w:spacing w:line="360" w:lineRule="auto"/>
        <w:widowControl/>
        <w:rPr>
          <w:rFonts w:hint="eastAsia" w:ascii="宋体" w:hAnsi="宋体" w:eastAsia="宋体" w:cs="宋体"/>
          <w:color w:val="000000"/>
          <w:sz w:val="24"/>
          <w:highlight w:val="none"/>
          <w:lang w:eastAsia="zh-CN"/>
        </w:rPr>
        <w:outlineLvl w:val="2"/>
      </w:pPr>
      <w:r>
        <w:rPr>
          <w:rFonts w:hint="eastAsia" w:ascii="宋体" w:hAnsi="宋体" w:eastAsia="Arial" w:cs="宋体"/>
          <w:color w:val="000000"/>
          <w:sz w:val="24"/>
          <w:highlight w:val="none"/>
        </w:rPr>
        <w:t xml:space="preserve">1.</w:t>
      </w:r>
      <w:r>
        <w:rPr>
          <w:rFonts w:hint="eastAsia" w:ascii="宋体" w:hAnsi="宋体" w:eastAsia="宋体" w:cs="宋体"/>
          <w:color w:val="000000"/>
          <w:sz w:val="24"/>
          <w:highlight w:val="none"/>
          <w:lang w:val="en-US" w:eastAsia="zh-CN"/>
        </w:rPr>
        <w:t xml:space="preserve">4</w:t>
      </w:r>
      <w:r>
        <w:rPr>
          <w:rFonts w:hint="eastAsia" w:ascii="宋体" w:hAnsi="宋体" w:eastAsia="Arial" w:cs="宋体"/>
          <w:color w:val="000000"/>
          <w:sz w:val="24"/>
          <w:highlight w:val="none"/>
        </w:rPr>
        <w:t xml:space="preserve"> </w:t>
      </w:r>
      <w:r>
        <w:rPr>
          <w:rFonts w:hint="eastAsia" w:ascii="宋体" w:hAnsi="宋体" w:cs="宋体"/>
          <w:color w:val="000000"/>
          <w:sz w:val="24"/>
          <w:highlight w:val="none"/>
        </w:rPr>
        <w:t xml:space="preserve">履行地点：江苏盐城湿地珍禽国家级自然保护区</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680"/>
        <w:ind w:firstLine="480"/>
        <w:jc w:val="left"/>
        <w:spacing w:line="360" w:lineRule="auto"/>
        <w:widowControl/>
        <w:rPr>
          <w:rFonts w:ascii="宋体" w:hAnsi="宋体" w:eastAsia="Arial" w:cs="宋体"/>
          <w:b/>
          <w:bCs/>
          <w:color w:val="000000"/>
          <w:sz w:val="24"/>
          <w:highlight w:val="none"/>
        </w:rPr>
        <w:outlineLvl w:val="1"/>
      </w:pPr>
      <w:r>
        <w:rPr>
          <w:rFonts w:hint="eastAsia" w:ascii="宋体" w:hAnsi="宋体" w:cs="宋体"/>
          <w:b/>
          <w:bCs/>
          <w:color w:val="000000"/>
          <w:sz w:val="24"/>
          <w:highlight w:val="none"/>
        </w:rPr>
        <w:t xml:space="preserve">二、合同金额</w:t>
      </w:r>
      <w:r>
        <w:rPr>
          <w:rFonts w:ascii="宋体" w:hAnsi="宋体" w:eastAsia="Arial" w:cs="宋体"/>
          <w:b/>
          <w:bCs/>
          <w:color w:val="000000"/>
          <w:sz w:val="24"/>
          <w:highlight w:val="none"/>
        </w:rPr>
      </w:r>
      <w:r/>
    </w:p>
    <w:p>
      <w:pPr>
        <w:pStyle w:val="680"/>
        <w:ind w:firstLine="480"/>
        <w:jc w:val="left"/>
        <w:spacing w:line="360" w:lineRule="auto"/>
        <w:widowControl/>
        <w:rPr>
          <w:rFonts w:hint="eastAsia" w:ascii="宋体" w:hAnsi="宋体" w:cs="宋体"/>
          <w:color w:val="000000"/>
          <w:sz w:val="24"/>
          <w:highlight w:val="none"/>
        </w:rPr>
      </w:pPr>
      <w:r>
        <w:rPr>
          <w:rFonts w:hint="eastAsia" w:ascii="宋体" w:hAnsi="宋体" w:eastAsia="Arial" w:cs="宋体"/>
          <w:color w:val="000000"/>
          <w:sz w:val="24"/>
          <w:highlight w:val="none"/>
        </w:rPr>
        <w:t xml:space="preserve">2.1 </w:t>
      </w:r>
      <w:r>
        <w:rPr>
          <w:rFonts w:hint="eastAsia" w:ascii="宋体" w:hAnsi="宋体" w:cs="宋体"/>
          <w:color w:val="000000"/>
          <w:sz w:val="24"/>
          <w:highlight w:val="none"/>
        </w:rPr>
        <w:t xml:space="preserve">本合同金额为（大写）：</w:t>
      </w:r>
      <w:r>
        <w:rPr>
          <w:rFonts w:hint="eastAsia" w:ascii="宋体" w:hAnsi="宋体" w:eastAsia="Arial" w:cs="宋体"/>
          <w:color w:val="000000"/>
          <w:sz w:val="24"/>
          <w:highlight w:val="none"/>
        </w:rPr>
        <w:t xml:space="preserve">______________</w:t>
      </w:r>
      <w:r>
        <w:rPr>
          <w:rFonts w:hint="eastAsia" w:ascii="宋体" w:hAnsi="宋体" w:cs="宋体"/>
          <w:color w:val="000000"/>
          <w:sz w:val="24"/>
          <w:highlight w:val="none"/>
        </w:rPr>
        <w:t xml:space="preserve">元（</w:t>
      </w:r>
      <w:r>
        <w:rPr>
          <w:rFonts w:hint="eastAsia" w:ascii="宋体" w:hAnsi="宋体" w:eastAsia="Arial" w:cs="宋体"/>
          <w:color w:val="000000"/>
          <w:sz w:val="24"/>
          <w:highlight w:val="none"/>
        </w:rPr>
        <w:t xml:space="preserve">_______________</w:t>
      </w:r>
      <w:r>
        <w:rPr>
          <w:rFonts w:hint="eastAsia" w:ascii="宋体" w:hAnsi="宋体" w:cs="宋体"/>
          <w:color w:val="000000"/>
          <w:sz w:val="24"/>
          <w:highlight w:val="none"/>
        </w:rPr>
        <w:t xml:space="preserve">元）人民币。</w:t>
      </w:r>
      <w:r>
        <w:rPr>
          <w:rFonts w:hint="eastAsia" w:ascii="宋体" w:hAnsi="宋体" w:cs="宋体"/>
          <w:color w:val="000000"/>
          <w:sz w:val="24"/>
          <w:highlight w:val="none"/>
        </w:rPr>
      </w:r>
      <w:r/>
    </w:p>
    <w:p>
      <w:pPr>
        <w:pStyle w:val="680"/>
        <w:ind w:firstLine="480"/>
        <w:jc w:val="left"/>
        <w:spacing w:line="360" w:lineRule="auto"/>
        <w:widowControl/>
        <w:rPr>
          <w:rFonts w:ascii="宋体" w:hAnsi="宋体" w:eastAsia="Arial" w:cs="宋体"/>
          <w:b/>
          <w:bCs/>
          <w:color w:val="000000"/>
          <w:sz w:val="24"/>
          <w:highlight w:val="none"/>
        </w:rPr>
        <w:outlineLvl w:val="1"/>
      </w:pPr>
      <w:r>
        <w:rPr>
          <w:rFonts w:hint="eastAsia" w:ascii="宋体" w:hAnsi="宋体" w:cs="宋体"/>
          <w:b/>
          <w:bCs/>
          <w:color w:val="000000"/>
          <w:sz w:val="24"/>
          <w:highlight w:val="none"/>
        </w:rPr>
        <w:t xml:space="preserve">三、技术资料</w:t>
      </w:r>
      <w:r>
        <w:rPr>
          <w:rFonts w:ascii="宋体" w:hAnsi="宋体" w:eastAsia="Arial" w:cs="宋体"/>
          <w:b/>
          <w:bCs/>
          <w:color w:val="000000"/>
          <w:sz w:val="24"/>
          <w:highlight w:val="none"/>
        </w:rPr>
      </w:r>
      <w:r/>
    </w:p>
    <w:p>
      <w:pPr>
        <w:pStyle w:val="680"/>
        <w:ind w:firstLine="480"/>
        <w:jc w:val="left"/>
        <w:spacing w:line="360" w:lineRule="auto"/>
        <w:widowControl/>
        <w:rPr>
          <w:rFonts w:ascii="宋体" w:hAnsi="宋体" w:eastAsia="Arial" w:cs="宋体"/>
          <w:color w:val="000000"/>
          <w:sz w:val="24"/>
          <w:highlight w:val="none"/>
        </w:rPr>
      </w:pPr>
      <w:r>
        <w:rPr>
          <w:rFonts w:hint="eastAsia" w:ascii="宋体" w:hAnsi="宋体" w:eastAsia="Arial" w:cs="宋体"/>
          <w:color w:val="000000"/>
          <w:sz w:val="24"/>
          <w:highlight w:val="none"/>
        </w:rPr>
        <w:t xml:space="preserve">3.1</w:t>
      </w:r>
      <w:r>
        <w:rPr>
          <w:rFonts w:hint="eastAsia" w:ascii="宋体" w:hAnsi="宋体" w:cs="宋体"/>
          <w:color w:val="000000"/>
          <w:sz w:val="24"/>
          <w:highlight w:val="none"/>
        </w:rPr>
        <w:t xml:space="preserve">乙方应按招标文件规定的时间向甲方提供服务（包含与服务相关的货物）的有关技术资料。</w:t>
      </w:r>
      <w:r>
        <w:rPr>
          <w:rFonts w:ascii="宋体" w:hAnsi="宋体" w:eastAsia="Arial" w:cs="宋体"/>
          <w:color w:val="000000"/>
          <w:sz w:val="24"/>
          <w:highlight w:val="none"/>
        </w:rPr>
      </w:r>
      <w:r/>
    </w:p>
    <w:p>
      <w:pPr>
        <w:pStyle w:val="680"/>
        <w:ind w:firstLine="480"/>
        <w:jc w:val="left"/>
        <w:spacing w:line="360" w:lineRule="auto"/>
        <w:widowControl/>
        <w:rPr>
          <w:rFonts w:ascii="宋体" w:hAnsi="宋体" w:eastAsia="Arial" w:cs="宋体"/>
          <w:color w:val="000000"/>
          <w:sz w:val="24"/>
          <w:highlight w:val="none"/>
        </w:rPr>
      </w:pPr>
      <w:r>
        <w:rPr>
          <w:rFonts w:hint="eastAsia" w:ascii="宋体" w:hAnsi="宋体" w:eastAsia="Arial" w:cs="宋体"/>
          <w:color w:val="000000"/>
          <w:sz w:val="24"/>
          <w:highlight w:val="none"/>
        </w:rPr>
        <w:t xml:space="preserve">3.2 </w:t>
      </w:r>
      <w:r>
        <w:rPr>
          <w:rFonts w:hint="eastAsia" w:ascii="宋体" w:hAnsi="宋体" w:cs="宋体"/>
          <w:color w:val="000000"/>
          <w:sz w:val="24"/>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hAnsi="宋体" w:eastAsia="Arial" w:cs="宋体"/>
          <w:color w:val="000000"/>
          <w:sz w:val="24"/>
          <w:highlight w:val="none"/>
        </w:rPr>
      </w:r>
      <w:r/>
    </w:p>
    <w:p>
      <w:pPr>
        <w:pStyle w:val="680"/>
        <w:ind w:firstLine="480"/>
        <w:jc w:val="left"/>
        <w:spacing w:line="360" w:lineRule="auto"/>
        <w:widowControl/>
        <w:rPr>
          <w:rFonts w:ascii="宋体" w:hAnsi="宋体" w:eastAsia="Arial" w:cs="宋体"/>
          <w:b/>
          <w:bCs/>
          <w:color w:val="000000"/>
          <w:sz w:val="24"/>
          <w:highlight w:val="none"/>
        </w:rPr>
        <w:outlineLvl w:val="1"/>
      </w:pPr>
      <w:r>
        <w:rPr>
          <w:rFonts w:hint="eastAsia" w:ascii="宋体" w:hAnsi="宋体" w:cs="宋体"/>
          <w:b/>
          <w:bCs/>
          <w:color w:val="000000"/>
          <w:sz w:val="24"/>
          <w:highlight w:val="none"/>
        </w:rPr>
        <w:t xml:space="preserve">四、知识产权</w:t>
      </w:r>
      <w:r>
        <w:rPr>
          <w:rFonts w:ascii="宋体" w:hAnsi="宋体" w:eastAsia="Arial" w:cs="宋体"/>
          <w:b/>
          <w:bCs/>
          <w:color w:val="000000"/>
          <w:sz w:val="24"/>
          <w:highlight w:val="none"/>
        </w:rPr>
      </w:r>
      <w:r/>
    </w:p>
    <w:p>
      <w:pPr>
        <w:pStyle w:val="680"/>
        <w:ind w:left="0" w:firstLine="480"/>
        <w:jc w:val="left"/>
        <w:keepLines w:val="0"/>
        <w:keepNext w:val="0"/>
        <w:pageBreakBefore w:val="0"/>
        <w:spacing w:line="360" w:lineRule="auto"/>
        <w:widowControl/>
        <w:rPr>
          <w:rFonts w:hint="eastAsia" w:ascii="宋体" w:hAnsi="宋体" w:eastAsia="Arial" w:cs="宋体"/>
          <w:i w:val="0"/>
          <w:iCs w:val="0"/>
          <w:caps w:val="0"/>
          <w:color w:val="000000"/>
          <w:spacing w:val="0"/>
          <w:sz w:val="24"/>
          <w:szCs w:val="20"/>
          <w:highlight w:val="none"/>
          <w:u w:val="none"/>
          <w:lang w:val="en-US" w:eastAsia="zh-CN" w:bidi="ar"/>
        </w:rPr>
        <w:outlineLvl w:val="9"/>
        <w:suppressLineNumbers w:val="0"/>
      </w:pPr>
      <w:r>
        <w:rPr>
          <w:rFonts w:hint="eastAsia" w:ascii="宋体" w:hAnsi="宋体" w:eastAsia="Arial" w:cs="宋体"/>
          <w:color w:val="000000"/>
          <w:sz w:val="24"/>
          <w:highlight w:val="none"/>
        </w:rPr>
        <w:t xml:space="preserve">4.1 乙方应保证甲方在使用、接受本合同</w:t>
      </w:r>
      <w:r>
        <w:rPr>
          <w:rFonts w:hint="eastAsia" w:ascii="宋体" w:hAnsi="宋体" w:eastAsia="Arial" w:cs="宋体"/>
          <w:color w:val="000000"/>
          <w:sz w:val="24"/>
          <w:highlight w:val="none"/>
          <w:lang w:val="en-US" w:eastAsia="zh-CN"/>
        </w:rPr>
        <w:t xml:space="preserve">货物</w:t>
      </w:r>
      <w:r>
        <w:rPr>
          <w:rFonts w:hint="eastAsia" w:ascii="宋体" w:hAnsi="宋体" w:eastAsia="Arial" w:cs="宋体"/>
          <w:color w:val="000000"/>
          <w:sz w:val="24"/>
          <w:highlight w:val="none"/>
        </w:rPr>
        <w:t xml:space="preserve">（包含与</w:t>
      </w:r>
      <w:r>
        <w:rPr>
          <w:rFonts w:hint="eastAsia" w:ascii="宋体" w:hAnsi="宋体" w:eastAsia="Arial" w:cs="宋体"/>
          <w:color w:val="000000"/>
          <w:sz w:val="24"/>
          <w:highlight w:val="none"/>
          <w:lang w:val="en-US" w:eastAsia="zh-CN"/>
        </w:rPr>
        <w:t xml:space="preserve">货物</w:t>
      </w:r>
      <w:r>
        <w:rPr>
          <w:rFonts w:hint="eastAsia" w:ascii="宋体" w:hAnsi="宋体" w:eastAsia="Arial" w:cs="宋体"/>
          <w:color w:val="000000"/>
          <w:sz w:val="24"/>
          <w:highlight w:val="none"/>
        </w:rPr>
        <w:t xml:space="preserve">相关的</w:t>
      </w:r>
      <w:r>
        <w:rPr>
          <w:rFonts w:hint="eastAsia" w:ascii="宋体" w:hAnsi="宋体" w:eastAsia="Arial" w:cs="宋体"/>
          <w:color w:val="000000"/>
          <w:sz w:val="24"/>
          <w:highlight w:val="none"/>
          <w:lang w:val="en-US" w:eastAsia="zh-CN"/>
        </w:rPr>
        <w:t xml:space="preserve">服务</w:t>
      </w:r>
      <w:r>
        <w:rPr>
          <w:rFonts w:hint="eastAsia" w:ascii="宋体" w:hAnsi="宋体" w:eastAsia="Arial" w:cs="宋体"/>
          <w:color w:val="000000"/>
          <w:sz w:val="24"/>
          <w:highlight w:val="none"/>
        </w:rPr>
        <w:t xml:space="preserve">）或其任何一部分时不受第三方提出侵犯其专利权、版权、商标权和工业设计权等知识产权的起诉。一旦出现侵权，由乙方负全部责任</w:t>
      </w:r>
      <w:r>
        <w:rPr>
          <w:rFonts w:hint="eastAsia" w:ascii="宋体" w:hAnsi="宋体" w:eastAsia="Arial" w:cs="宋体"/>
          <w:color w:val="000000"/>
          <w:sz w:val="24"/>
          <w:highlight w:val="none"/>
          <w:lang w:eastAsia="zh-CN"/>
        </w:rPr>
        <w:t xml:space="preserve">，</w:t>
      </w:r>
      <w:r>
        <w:rPr>
          <w:rFonts w:hint="eastAsia" w:ascii="宋体" w:hAnsi="宋体" w:eastAsia="Arial" w:cs="宋体"/>
          <w:i w:val="0"/>
          <w:iCs w:val="0"/>
          <w:caps w:val="0"/>
          <w:color w:val="000000"/>
          <w:spacing w:val="0"/>
          <w:sz w:val="24"/>
          <w:szCs w:val="20"/>
          <w:highlight w:val="none"/>
          <w:u w:val="none"/>
          <w:lang w:val="en-US" w:eastAsia="zh-CN" w:bidi="ar"/>
        </w:rPr>
        <w:t xml:space="preserve">包括但不限于承担甲方因此支付的赔偿金、违约金、律师费、诉讼费、保全费及其他相关合理费用。 </w:t>
      </w:r>
      <w:r>
        <w:rPr>
          <w:rFonts w:hint="eastAsia" w:ascii="宋体" w:hAnsi="宋体" w:eastAsia="Arial" w:cs="宋体"/>
          <w:i w:val="0"/>
          <w:iCs w:val="0"/>
          <w:caps w:val="0"/>
          <w:color w:val="000000"/>
          <w:spacing w:val="0"/>
          <w:sz w:val="24"/>
          <w:szCs w:val="20"/>
          <w:highlight w:val="none"/>
          <w:u w:val="none"/>
          <w:lang w:val="en-US" w:eastAsia="zh-CN" w:bidi="ar"/>
        </w:rPr>
      </w:r>
      <w:r/>
    </w:p>
    <w:p>
      <w:pPr>
        <w:pStyle w:val="680"/>
        <w:ind w:firstLine="480"/>
        <w:jc w:val="left"/>
        <w:spacing w:line="360" w:lineRule="auto"/>
        <w:widowControl/>
        <w:rPr>
          <w:rFonts w:hint="eastAsia" w:ascii="宋体" w:hAnsi="宋体" w:eastAsia="Arial" w:cs="宋体"/>
          <w:color w:val="000000"/>
          <w:sz w:val="24"/>
          <w:highlight w:val="none"/>
        </w:rPr>
        <w:outlineLvl w:val="9"/>
      </w:pPr>
      <w:r>
        <w:rPr>
          <w:rFonts w:hint="eastAsia" w:ascii="宋体" w:hAnsi="宋体" w:eastAsia="Arial" w:cs="宋体"/>
          <w:i w:val="0"/>
          <w:iCs w:val="0"/>
          <w:caps w:val="0"/>
          <w:color w:val="000000"/>
          <w:spacing w:val="0"/>
          <w:sz w:val="24"/>
          <w:szCs w:val="20"/>
          <w:highlight w:val="none"/>
          <w:u w:val="none"/>
          <w:lang w:val="en-US" w:eastAsia="zh-CN" w:bidi="ar"/>
        </w:rPr>
        <w:t xml:space="preserve">4.2 在本合同履行过程中，乙方为完成合同义务而新产生的发明创造、技术秘密、计算机软件著作权等知识产权归甲方所有，乙方仅享有在本合同范围内的使用权。</w:t>
      </w:r>
      <w:r>
        <w:rPr>
          <w:rFonts w:hint="eastAsia" w:ascii="宋体" w:hAnsi="宋体" w:eastAsia="Arial" w:cs="宋体"/>
          <w:color w:val="000000"/>
          <w:sz w:val="24"/>
          <w:highlight w:val="none"/>
        </w:rPr>
      </w:r>
      <w:r/>
    </w:p>
    <w:p>
      <w:pPr>
        <w:pStyle w:val="680"/>
        <w:ind w:firstLine="480"/>
        <w:jc w:val="left"/>
        <w:spacing w:line="360" w:lineRule="auto"/>
        <w:widowControl/>
        <w:rPr>
          <w:rFonts w:ascii="宋体" w:hAnsi="宋体" w:eastAsia="Arial" w:cs="宋体"/>
          <w:b/>
          <w:bCs/>
          <w:color w:val="000000"/>
          <w:sz w:val="24"/>
          <w:highlight w:val="none"/>
        </w:rPr>
        <w:outlineLvl w:val="1"/>
      </w:pPr>
      <w:r>
        <w:rPr>
          <w:rFonts w:hint="eastAsia" w:ascii="宋体" w:hAnsi="宋体" w:cs="宋体"/>
          <w:b/>
          <w:bCs/>
          <w:color w:val="000000"/>
          <w:sz w:val="24"/>
          <w:highlight w:val="none"/>
        </w:rPr>
        <w:t xml:space="preserve">五、产权担保</w:t>
      </w:r>
      <w:r>
        <w:rPr>
          <w:rFonts w:ascii="宋体" w:hAnsi="宋体" w:eastAsia="Arial" w:cs="宋体"/>
          <w:b/>
          <w:bCs/>
          <w:color w:val="000000"/>
          <w:sz w:val="24"/>
          <w:highlight w:val="none"/>
        </w:rPr>
      </w:r>
      <w:r/>
    </w:p>
    <w:p>
      <w:pPr>
        <w:pStyle w:val="680"/>
        <w:ind w:firstLine="480"/>
        <w:jc w:val="left"/>
        <w:spacing w:line="360" w:lineRule="auto"/>
        <w:widowControl/>
        <w:rPr>
          <w:rFonts w:ascii="宋体" w:hAnsi="宋体" w:eastAsia="Arial" w:cs="宋体"/>
          <w:color w:val="000000"/>
          <w:sz w:val="24"/>
          <w:highlight w:val="none"/>
        </w:rPr>
      </w:pPr>
      <w:r>
        <w:rPr>
          <w:rFonts w:hint="eastAsia" w:ascii="宋体" w:hAnsi="宋体" w:eastAsia="Arial" w:cs="宋体"/>
          <w:color w:val="000000"/>
          <w:sz w:val="24"/>
          <w:highlight w:val="none"/>
        </w:rPr>
        <w:t xml:space="preserve">5.1乙方保证所交付的货物（包含与货物相关的服务）的所有权完全属于乙方且无任何抵押、查封等产权瑕疵。</w:t>
      </w:r>
      <w:r>
        <w:rPr>
          <w:rFonts w:ascii="宋体" w:hAnsi="宋体" w:eastAsia="Arial" w:cs="宋体"/>
          <w:color w:val="000000"/>
          <w:sz w:val="24"/>
          <w:highlight w:val="none"/>
        </w:rPr>
      </w:r>
      <w:r/>
    </w:p>
    <w:p>
      <w:pPr>
        <w:pStyle w:val="680"/>
        <w:ind w:firstLine="480"/>
        <w:jc w:val="left"/>
        <w:spacing w:line="360" w:lineRule="auto"/>
        <w:widowControl/>
        <w:rPr>
          <w:rFonts w:ascii="宋体" w:hAnsi="宋体" w:eastAsia="Arial" w:cs="宋体"/>
          <w:b/>
          <w:bCs/>
          <w:color w:val="000000"/>
          <w:sz w:val="24"/>
          <w:highlight w:val="none"/>
        </w:rPr>
        <w:outlineLvl w:val="1"/>
      </w:pPr>
      <w:r>
        <w:rPr>
          <w:rFonts w:hint="eastAsia" w:ascii="宋体" w:hAnsi="宋体" w:cs="宋体"/>
          <w:b/>
          <w:bCs/>
          <w:color w:val="000000"/>
          <w:sz w:val="24"/>
          <w:highlight w:val="none"/>
        </w:rPr>
        <w:t xml:space="preserve">六、履约保证金</w:t>
      </w:r>
      <w:r>
        <w:rPr>
          <w:rFonts w:ascii="宋体" w:hAnsi="宋体" w:eastAsia="Arial" w:cs="宋体"/>
          <w:b/>
          <w:bCs/>
          <w:color w:val="000000"/>
          <w:sz w:val="24"/>
          <w:highlight w:val="none"/>
        </w:rPr>
      </w:r>
      <w:r/>
    </w:p>
    <w:p>
      <w:pPr>
        <w:pStyle w:val="680"/>
        <w:ind w:firstLine="480"/>
        <w:jc w:val="left"/>
        <w:spacing w:line="360" w:lineRule="auto"/>
        <w:widowControl/>
        <w:rPr>
          <w:rFonts w:hint="eastAsia" w:ascii="宋体" w:hAnsi="宋体" w:cs="宋体"/>
          <w:color w:val="000000"/>
          <w:sz w:val="24"/>
          <w:highlight w:val="none"/>
        </w:rPr>
        <w:outlineLvl w:val="3"/>
      </w:pPr>
      <w:r>
        <w:rPr>
          <w:rFonts w:hint="eastAsia" w:ascii="宋体" w:hAnsi="宋体" w:eastAsia="Arial" w:cs="宋体"/>
          <w:color w:val="000000"/>
          <w:sz w:val="24"/>
          <w:highlight w:val="none"/>
        </w:rPr>
        <w:t xml:space="preserve">6.1</w:t>
      </w:r>
      <w:r>
        <w:rPr>
          <w:rFonts w:hint="eastAsia" w:ascii="宋体" w:hAnsi="宋体" w:cs="宋体"/>
          <w:color w:val="000000"/>
          <w:sz w:val="24"/>
          <w:highlight w:val="none"/>
        </w:rPr>
        <w:t xml:space="preserve">履约保证金为合同价的10%，供应商可自主选择以转账、支票、汇票、本票、履约保函（保险）的形式缴纳或提交，推荐使用银行保函（银行保函须为见索即付保函，其他保函需从省政府采购网-保险保函入口办理）。担保范围覆盖合同签订、交货、安装调试、验收合格及 5 年质保期内的全部合同义务；</w:t>
      </w:r>
      <w:r>
        <w:rPr>
          <w:rFonts w:ascii="宋体" w:hAnsi="宋体" w:eastAsia="宋体" w:cs="宋体"/>
          <w:sz w:val="24"/>
          <w:szCs w:val="24"/>
          <w:highlight w:val="none"/>
        </w:rPr>
        <w:t xml:space="preserve">于 5 年质保期届满、供应商完成全部质保义务且无质量争议后，</w:t>
      </w:r>
      <w:r>
        <w:rPr>
          <w:rFonts w:hint="eastAsia" w:ascii="宋体" w:hAnsi="宋体" w:cs="宋体"/>
          <w:color w:val="000000"/>
          <w:sz w:val="24"/>
          <w:highlight w:val="none"/>
          <w:lang w:eastAsia="zh-CN"/>
        </w:rPr>
        <w:t xml:space="preserve">由乙方向甲方提交履约保证金退还申请，申请后30日内履约保证金无息退回。如乙方在合同履行中出现违约，则按合同约定扣除违约金后，退回剩余履约保证金</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680"/>
        <w:ind w:firstLine="480"/>
        <w:jc w:val="left"/>
        <w:spacing w:line="360" w:lineRule="auto"/>
        <w:widowControl/>
        <w:rPr>
          <w:rFonts w:hint="eastAsia" w:ascii="宋体" w:hAnsi="宋体" w:cs="宋体"/>
          <w:color w:val="000000"/>
          <w:sz w:val="24"/>
          <w:highlight w:val="none"/>
        </w:rPr>
        <w:outlineLvl w:val="3"/>
      </w:pPr>
      <w:r>
        <w:rPr>
          <w:rFonts w:ascii="宋体" w:hAnsi="宋体" w:eastAsia="宋体" w:cs="宋体"/>
          <w:sz w:val="24"/>
          <w:szCs w:val="24"/>
          <w:highlight w:val="none"/>
        </w:rPr>
        <w:t xml:space="preserve">采购人无息一次性退还。</w:t>
      </w:r>
      <w:r>
        <w:rPr>
          <w:rFonts w:hint="eastAsia" w:ascii="宋体" w:hAnsi="宋体" w:cs="宋体"/>
          <w:color w:val="000000"/>
          <w:sz w:val="24"/>
          <w:highlight w:val="none"/>
        </w:rPr>
      </w:r>
      <w:r/>
    </w:p>
    <w:p>
      <w:pPr>
        <w:pStyle w:val="680"/>
        <w:ind w:firstLine="480"/>
        <w:jc w:val="left"/>
        <w:spacing w:line="360" w:lineRule="auto"/>
        <w:widowControl/>
        <w:rPr>
          <w:rFonts w:hint="eastAsia" w:ascii="宋体" w:hAnsi="宋体" w:eastAsia="宋体" w:cs="宋体"/>
          <w:color w:val="000000"/>
          <w:sz w:val="24"/>
          <w:highlight w:val="none"/>
        </w:rPr>
        <w:outlineLvl w:val="3"/>
      </w:pPr>
      <w:r>
        <w:rPr>
          <w:rFonts w:hint="eastAsia" w:ascii="宋体" w:hAnsi="宋体" w:cs="宋体"/>
          <w:color w:val="000000"/>
          <w:sz w:val="24"/>
          <w:highlight w:val="none"/>
        </w:rPr>
        <w:t xml:space="preserve">履约保证金用以约束成交供应商在合同履行中的行为，弥补合同执行中由于自身行为可能给采购人带来的各种损失。</w:t>
      </w:r>
      <w:r>
        <w:rPr>
          <w:rFonts w:hint="eastAsia" w:ascii="宋体" w:hAnsi="宋体" w:eastAsia="宋体" w:cs="宋体"/>
          <w:color w:val="000000"/>
          <w:sz w:val="24"/>
          <w:highlight w:val="none"/>
        </w:rPr>
      </w:r>
      <w:r/>
    </w:p>
    <w:p>
      <w:pPr>
        <w:pStyle w:val="680"/>
        <w:ind w:firstLine="480"/>
        <w:jc w:val="left"/>
        <w:spacing w:line="360" w:lineRule="auto"/>
        <w:widowControl/>
        <w:rPr>
          <w:rFonts w:ascii="宋体" w:hAnsi="宋体" w:eastAsia="Arial" w:cs="宋体"/>
          <w:color w:val="000000"/>
          <w:sz w:val="24"/>
          <w:highlight w:val="none"/>
        </w:rPr>
        <w:outlineLvl w:val="2"/>
      </w:pPr>
      <w:r>
        <w:rPr>
          <w:rFonts w:hint="eastAsia" w:ascii="宋体" w:hAnsi="宋体" w:eastAsia="Arial" w:cs="宋体"/>
          <w:color w:val="000000"/>
          <w:sz w:val="24"/>
          <w:highlight w:val="none"/>
        </w:rPr>
        <w:t xml:space="preserve">6.</w:t>
      </w:r>
      <w:r>
        <w:rPr>
          <w:rFonts w:hint="eastAsia" w:ascii="宋体" w:hAnsi="宋体" w:eastAsia="宋体" w:cs="宋体"/>
          <w:color w:val="000000"/>
          <w:sz w:val="24"/>
          <w:highlight w:val="none"/>
          <w:lang w:val="en-US" w:eastAsia="zh-CN"/>
        </w:rPr>
        <w:t xml:space="preserve">2</w:t>
      </w:r>
      <w:r>
        <w:rPr>
          <w:rFonts w:hint="eastAsia" w:ascii="宋体" w:hAnsi="宋体"/>
          <w:sz w:val="24"/>
          <w:highlight w:val="none"/>
        </w:rPr>
        <w:t xml:space="preserve">履约保证金不予退还的情形</w:t>
      </w:r>
      <w:r>
        <w:rPr>
          <w:rFonts w:hint="eastAsia" w:ascii="宋体" w:hAnsi="宋体" w:cs="宋体"/>
          <w:color w:val="000000"/>
          <w:sz w:val="24"/>
          <w:highlight w:val="none"/>
        </w:rPr>
        <w:t xml:space="preserve">：</w:t>
      </w:r>
      <w:r>
        <w:rPr>
          <w:rFonts w:ascii="宋体" w:hAnsi="宋体" w:eastAsia="Arial" w:cs="宋体"/>
          <w:color w:val="000000"/>
          <w:sz w:val="24"/>
          <w:highlight w:val="none"/>
        </w:rPr>
      </w:r>
      <w:r/>
    </w:p>
    <w:p>
      <w:pPr>
        <w:pStyle w:val="680"/>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除不可抗力情况外，投标人出现下列情形之一的，其履约保证金，招标人将视情节决定不予退还或部分不予退还。</w:t>
      </w:r>
      <w:r>
        <w:rPr>
          <w:rFonts w:ascii="宋体" w:hAnsi="宋体" w:cs="宋体"/>
          <w:color w:val="000000"/>
          <w:sz w:val="24"/>
          <w:highlight w:val="none"/>
        </w:rPr>
      </w:r>
      <w:r/>
    </w:p>
    <w:p>
      <w:pPr>
        <w:pStyle w:val="680"/>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（1）中标人无正当理由拒绝签订合同的，或者在签订合同时向采购人提出附加条件或者更改合同实质性内容要求的；</w:t>
      </w:r>
      <w:r>
        <w:rPr>
          <w:rFonts w:ascii="宋体" w:hAnsi="宋体" w:cs="宋体"/>
          <w:color w:val="000000"/>
          <w:sz w:val="24"/>
          <w:highlight w:val="none"/>
        </w:rPr>
      </w:r>
      <w:r/>
    </w:p>
    <w:p>
      <w:pPr>
        <w:pStyle w:val="680"/>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（2）中标人不履行与采购人订立的合同的；</w:t>
      </w:r>
      <w:r>
        <w:rPr>
          <w:rFonts w:ascii="宋体" w:hAnsi="宋体" w:cs="宋体"/>
          <w:color w:val="000000"/>
          <w:sz w:val="24"/>
          <w:highlight w:val="none"/>
        </w:rPr>
      </w:r>
      <w:r/>
    </w:p>
    <w:p>
      <w:pPr>
        <w:pStyle w:val="680"/>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（3）中标人所供货物或服务不符合招标文件规定要求的；</w:t>
      </w:r>
      <w:r>
        <w:rPr>
          <w:rFonts w:ascii="宋体" w:hAnsi="宋体" w:cs="宋体"/>
          <w:color w:val="000000"/>
          <w:sz w:val="24"/>
          <w:highlight w:val="none"/>
        </w:rPr>
      </w:r>
      <w:r/>
    </w:p>
    <w:p>
      <w:pPr>
        <w:pStyle w:val="680"/>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（4）中标人采取欺骗、弄虚作假方式投标的或与其它投标人串通投标的；</w:t>
      </w:r>
      <w:r>
        <w:rPr>
          <w:rFonts w:ascii="宋体" w:hAnsi="宋体" w:cs="宋体"/>
          <w:color w:val="000000"/>
          <w:sz w:val="24"/>
          <w:highlight w:val="none"/>
        </w:rPr>
      </w:r>
      <w:r/>
    </w:p>
    <w:p>
      <w:pPr>
        <w:pStyle w:val="680"/>
        <w:ind w:firstLine="480"/>
        <w:jc w:val="left"/>
        <w:spacing w:line="360" w:lineRule="auto"/>
        <w:widowControl/>
        <w:rPr>
          <w:rFonts w:ascii="宋体" w:hAnsi="宋体" w:cs="宋体"/>
          <w:color w:val="000000"/>
          <w:sz w:val="24"/>
          <w:highlight w:val="none"/>
        </w:rPr>
        <w:outlineLvl w:val="3"/>
      </w:pPr>
      <w:r>
        <w:rPr>
          <w:rFonts w:hint="eastAsia" w:ascii="宋体" w:hAnsi="宋体" w:cs="宋体"/>
          <w:color w:val="000000"/>
          <w:sz w:val="24"/>
          <w:highlight w:val="none"/>
        </w:rPr>
        <w:t xml:space="preserve">（5）中标人将合同内容转包、违法分包的；</w:t>
      </w:r>
      <w:r>
        <w:rPr>
          <w:rFonts w:ascii="宋体" w:hAnsi="宋体" w:cs="宋体"/>
          <w:color w:val="000000"/>
          <w:sz w:val="24"/>
          <w:highlight w:val="none"/>
        </w:rPr>
      </w:r>
      <w:r/>
    </w:p>
    <w:p>
      <w:pPr>
        <w:pStyle w:val="680"/>
        <w:ind w:firstLine="480"/>
        <w:jc w:val="left"/>
        <w:spacing w:line="360" w:lineRule="auto"/>
        <w:widowControl/>
        <w:rPr>
          <w:rFonts w:ascii="宋体" w:hAnsi="宋体" w:eastAsia="Arial" w:cs="宋体"/>
          <w:color w:val="000000"/>
          <w:sz w:val="24"/>
          <w:highlight w:val="none"/>
        </w:rPr>
      </w:pPr>
      <w:r>
        <w:rPr>
          <w:rFonts w:hint="eastAsia" w:ascii="宋体" w:hAnsi="宋体" w:cs="宋体"/>
          <w:color w:val="000000"/>
          <w:sz w:val="24"/>
          <w:highlight w:val="none"/>
        </w:rPr>
        <w:t xml:space="preserve">（6）中标人故意捏造事实或伪造证明材料，进行虚假恶意投诉或反映的。</w:t>
      </w:r>
      <w:r>
        <w:rPr>
          <w:rFonts w:ascii="宋体" w:hAnsi="宋体" w:eastAsia="Arial" w:cs="宋体"/>
          <w:color w:val="000000"/>
          <w:sz w:val="24"/>
          <w:highlight w:val="none"/>
        </w:rPr>
      </w:r>
      <w:r/>
    </w:p>
    <w:p>
      <w:pPr>
        <w:pStyle w:val="680"/>
        <w:ind w:firstLine="480"/>
        <w:jc w:val="left"/>
        <w:spacing w:line="360" w:lineRule="auto"/>
        <w:widowControl/>
        <w:rPr>
          <w:rFonts w:ascii="宋体" w:hAnsi="宋体" w:eastAsia="Arial" w:cs="宋体"/>
          <w:b/>
          <w:bCs/>
          <w:color w:val="000000"/>
          <w:sz w:val="24"/>
          <w:highlight w:val="none"/>
        </w:rPr>
        <w:outlineLvl w:val="1"/>
      </w:pPr>
      <w:r>
        <w:rPr>
          <w:rFonts w:hint="eastAsia" w:ascii="宋体" w:hAnsi="宋体" w:cs="宋体"/>
          <w:b/>
          <w:bCs/>
          <w:color w:val="000000"/>
          <w:sz w:val="24"/>
          <w:highlight w:val="none"/>
        </w:rPr>
        <w:t xml:space="preserve">七、合同转包或分包</w:t>
      </w:r>
      <w:r>
        <w:rPr>
          <w:rFonts w:ascii="宋体" w:hAnsi="宋体" w:eastAsia="Arial" w:cs="宋体"/>
          <w:b/>
          <w:bCs/>
          <w:color w:val="000000"/>
          <w:sz w:val="24"/>
          <w:highlight w:val="none"/>
        </w:rPr>
      </w:r>
      <w:r/>
    </w:p>
    <w:p>
      <w:pPr>
        <w:pStyle w:val="680"/>
        <w:ind w:firstLine="480"/>
        <w:jc w:val="left"/>
        <w:spacing w:line="360" w:lineRule="auto"/>
        <w:widowControl/>
        <w:rPr>
          <w:rFonts w:ascii="宋体" w:hAnsi="宋体" w:eastAsia="Arial" w:cs="宋体"/>
          <w:color w:val="000000"/>
          <w:sz w:val="24"/>
          <w:highlight w:val="none"/>
        </w:rPr>
      </w:pPr>
      <w:r>
        <w:rPr>
          <w:rFonts w:hint="eastAsia" w:ascii="宋体" w:hAnsi="宋体" w:cs="宋体"/>
          <w:color w:val="000000"/>
          <w:sz w:val="24"/>
          <w:highlight w:val="none"/>
        </w:rPr>
        <w:t xml:space="preserve">7.1 乙方不得将合同标的转包给他人履行。</w:t>
      </w:r>
      <w:r>
        <w:rPr>
          <w:rFonts w:ascii="宋体" w:hAnsi="宋体" w:eastAsia="Arial" w:cs="宋体"/>
          <w:color w:val="000000"/>
          <w:sz w:val="24"/>
          <w:highlight w:val="none"/>
        </w:rPr>
      </w:r>
      <w:r/>
    </w:p>
    <w:p>
      <w:pPr>
        <w:pStyle w:val="680"/>
        <w:ind w:firstLine="480"/>
        <w:jc w:val="left"/>
        <w:spacing w:line="360" w:lineRule="auto"/>
        <w:widowControl/>
        <w:rPr>
          <w:rFonts w:ascii="宋体" w:hAnsi="宋体" w:eastAsia="Arial" w:cs="宋体"/>
          <w:color w:val="000000"/>
          <w:sz w:val="24"/>
          <w:highlight w:val="none"/>
        </w:rPr>
      </w:pPr>
      <w:r>
        <w:rPr>
          <w:rFonts w:hint="eastAsia" w:ascii="宋体" w:hAnsi="宋体" w:cs="宋体"/>
          <w:color w:val="000000"/>
          <w:sz w:val="24"/>
          <w:highlight w:val="none"/>
        </w:rPr>
        <w:t xml:space="preserve">7.2乙方不得将合同标的分包给他人履行。</w:t>
      </w:r>
      <w:r>
        <w:rPr>
          <w:rFonts w:ascii="宋体" w:hAnsi="宋体" w:eastAsia="Arial" w:cs="宋体"/>
          <w:color w:val="000000"/>
          <w:sz w:val="24"/>
          <w:highlight w:val="none"/>
        </w:rPr>
      </w:r>
      <w:r/>
    </w:p>
    <w:p>
      <w:pPr>
        <w:pStyle w:val="680"/>
        <w:ind w:firstLine="480"/>
        <w:jc w:val="left"/>
        <w:spacing w:line="360" w:lineRule="auto"/>
        <w:widowControl/>
        <w:rPr>
          <w:rFonts w:ascii="宋体" w:hAnsi="宋体" w:eastAsia="Arial" w:cs="宋体"/>
          <w:color w:val="000000"/>
          <w:sz w:val="24"/>
          <w:highlight w:val="none"/>
        </w:rPr>
      </w:pPr>
      <w:r>
        <w:rPr>
          <w:rFonts w:hint="eastAsia" w:ascii="宋体" w:hAnsi="宋体" w:cs="宋体"/>
          <w:color w:val="000000"/>
          <w:sz w:val="24"/>
          <w:highlight w:val="none"/>
        </w:rPr>
        <w:t xml:space="preserve">7.3乙方如有转包或未经甲方同意的分包行为，甲方有权解除合同。 </w:t>
      </w:r>
      <w:r>
        <w:rPr>
          <w:rFonts w:ascii="宋体" w:hAnsi="宋体" w:eastAsia="Arial" w:cs="宋体"/>
          <w:color w:val="000000"/>
          <w:sz w:val="24"/>
          <w:highlight w:val="none"/>
        </w:rPr>
      </w:r>
      <w:r/>
    </w:p>
    <w:p>
      <w:pPr>
        <w:pStyle w:val="680"/>
        <w:ind w:firstLine="480"/>
        <w:jc w:val="left"/>
        <w:spacing w:line="360" w:lineRule="auto"/>
        <w:widowControl/>
        <w:rPr>
          <w:rFonts w:ascii="宋体" w:hAnsi="宋体" w:eastAsia="Arial" w:cs="宋体"/>
          <w:b/>
          <w:bCs/>
          <w:color w:val="000000"/>
          <w:sz w:val="24"/>
          <w:highlight w:val="none"/>
        </w:rPr>
        <w:outlineLvl w:val="1"/>
      </w:pPr>
      <w:r>
        <w:rPr>
          <w:rFonts w:hint="eastAsia" w:ascii="宋体" w:hAnsi="宋体" w:cs="宋体"/>
          <w:b/>
          <w:bCs/>
          <w:color w:val="000000"/>
          <w:sz w:val="24"/>
          <w:highlight w:val="none"/>
        </w:rPr>
        <w:t xml:space="preserve">八、合同款支付</w:t>
      </w:r>
      <w:r>
        <w:rPr>
          <w:rFonts w:ascii="宋体" w:hAnsi="宋体" w:eastAsia="Arial" w:cs="宋体"/>
          <w:b/>
          <w:bCs/>
          <w:color w:val="000000"/>
          <w:sz w:val="24"/>
          <w:highlight w:val="none"/>
        </w:rPr>
      </w:r>
      <w:r/>
    </w:p>
    <w:p>
      <w:pPr>
        <w:pStyle w:val="680"/>
        <w:ind w:firstLine="480"/>
        <w:jc w:val="left"/>
        <w:spacing w:line="360" w:lineRule="auto"/>
        <w:widowControl/>
        <w:rPr>
          <w:rFonts w:ascii="宋体" w:hAnsi="宋体" w:eastAsia="Arial" w:cs="宋体"/>
          <w:color w:val="000000"/>
          <w:sz w:val="24"/>
          <w:highlight w:val="none"/>
        </w:rPr>
        <w:outlineLvl w:val="2"/>
      </w:pPr>
      <w:r>
        <w:rPr>
          <w:rFonts w:hint="eastAsia" w:ascii="宋体" w:hAnsi="宋体" w:eastAsia="Arial" w:cs="宋体"/>
          <w:color w:val="000000"/>
          <w:sz w:val="24"/>
          <w:highlight w:val="none"/>
        </w:rPr>
        <w:t xml:space="preserve">8.1</w:t>
      </w:r>
      <w:r>
        <w:rPr>
          <w:rFonts w:hint="eastAsia" w:ascii="宋体" w:hAnsi="宋体" w:cs="宋体"/>
          <w:color w:val="000000"/>
          <w:sz w:val="24"/>
          <w:highlight w:val="none"/>
        </w:rPr>
        <w:t xml:space="preserve">合同款项的支付方式及进度安排</w:t>
      </w:r>
      <w:r>
        <w:rPr>
          <w:rFonts w:ascii="宋体" w:hAnsi="宋体" w:eastAsia="Arial" w:cs="宋体"/>
          <w:color w:val="000000"/>
          <w:sz w:val="24"/>
          <w:highlight w:val="none"/>
        </w:rPr>
      </w:r>
      <w:r/>
    </w:p>
    <w:p>
      <w:pPr>
        <w:pStyle w:val="680"/>
        <w:numPr>
          <w:ilvl w:val="0"/>
          <w:numId w:val="0"/>
        </w:numPr>
        <w:ind w:firstLine="480"/>
        <w:jc w:val="left"/>
        <w:spacing w:line="360" w:lineRule="auto"/>
        <w:widowControl/>
        <w:rPr>
          <w:rFonts w:hint="eastAsia" w:ascii="宋体" w:hAnsi="宋体" w:eastAsia="Arial" w:cs="宋体"/>
          <w:color w:val="000000"/>
          <w:sz w:val="24"/>
          <w:highlight w:val="none"/>
          <w:u w:val="single"/>
        </w:rPr>
        <w:outlineLvl w:val="1"/>
      </w:pPr>
      <w:r>
        <w:rPr>
          <w:rFonts w:hint="eastAsia" w:ascii="宋体" w:hAnsi="宋体" w:eastAsia="Arial" w:cs="宋体"/>
          <w:color w:val="000000"/>
          <w:sz w:val="24"/>
          <w:highlight w:val="none"/>
          <w:u w:val="single"/>
        </w:rPr>
        <w:t xml:space="preserve">签订合同后，乙方向甲方开具合同总价30%的预付款担保手续(银行或保险公司的保函)，甲方在收到乙方出具的预付款担保手续之日后支付合同总价30%的预付款；项目交货后支付至合同价格的60%（乙方需提供交货清单正本一份；甲方签署的收货清单正本一份；制造商出具的出厂质量合格证正本一份），项目验收合格审计结束后支付至审定价的100%。</w:t>
      </w:r>
      <w:r>
        <w:rPr>
          <w:rFonts w:hint="eastAsia" w:ascii="宋体" w:hAnsi="宋体" w:eastAsia="Arial" w:cs="宋体"/>
          <w:color w:val="000000"/>
          <w:sz w:val="24"/>
          <w:highlight w:val="none"/>
          <w:u w:val="single"/>
        </w:rPr>
      </w:r>
      <w:r/>
    </w:p>
    <w:p>
      <w:pPr>
        <w:pStyle w:val="680"/>
        <w:numPr>
          <w:ilvl w:val="0"/>
          <w:numId w:val="0"/>
        </w:numPr>
        <w:ind w:firstLine="480"/>
        <w:jc w:val="left"/>
        <w:spacing w:line="360" w:lineRule="auto"/>
        <w:widowControl/>
        <w:rPr>
          <w:rFonts w:hint="eastAsia" w:ascii="宋体" w:hAnsi="宋体" w:eastAsia="Arial" w:cs="宋体"/>
          <w:color w:val="000000"/>
          <w:sz w:val="24"/>
          <w:highlight w:val="none"/>
          <w:u w:val="single"/>
        </w:rPr>
        <w:outlineLvl w:val="1"/>
      </w:pPr>
      <w:r>
        <w:rPr>
          <w:rFonts w:hint="eastAsia" w:ascii="宋体" w:hAnsi="宋体" w:eastAsia="Arial" w:cs="宋体"/>
          <w:color w:val="000000"/>
          <w:sz w:val="24"/>
          <w:highlight w:val="none"/>
          <w:u w:val="single"/>
        </w:rPr>
        <w:t xml:space="preserve">按以上付款进度，无任何利息补偿，每次付款</w:t>
      </w:r>
      <w:r>
        <w:rPr>
          <w:rFonts w:hint="eastAsia" w:ascii="宋体" w:hAnsi="宋体" w:eastAsia="宋体" w:cs="宋体"/>
          <w:color w:val="000000"/>
          <w:sz w:val="24"/>
          <w:highlight w:val="none"/>
          <w:u w:val="single"/>
          <w:lang w:val="en-US" w:eastAsia="zh-CN"/>
        </w:rPr>
        <w:t xml:space="preserve">前，</w:t>
      </w:r>
      <w:r>
        <w:rPr>
          <w:rFonts w:hint="eastAsia" w:ascii="宋体" w:hAnsi="宋体" w:eastAsia="Arial" w:cs="宋体"/>
          <w:color w:val="000000"/>
          <w:sz w:val="24"/>
          <w:highlight w:val="none"/>
          <w:u w:val="single"/>
        </w:rPr>
        <w:t xml:space="preserve">提供甲方认可的增值税专用发票，如因乙方未提供发票导致甲方付款迟延或不能付款的，一切责任由乙方自行承担，甲方不构成违约且不承担任何迟延付款或不能付款的法律责任。</w:t>
      </w:r>
      <w:r>
        <w:rPr>
          <w:rFonts w:hint="eastAsia" w:ascii="宋体" w:hAnsi="宋体" w:eastAsia="Arial" w:cs="宋体"/>
          <w:color w:val="000000"/>
          <w:sz w:val="24"/>
          <w:highlight w:val="none"/>
          <w:u w:val="single"/>
        </w:rPr>
      </w:r>
      <w:r/>
    </w:p>
    <w:p>
      <w:pPr>
        <w:pStyle w:val="680"/>
        <w:numPr>
          <w:ilvl w:val="0"/>
          <w:numId w:val="0"/>
        </w:numPr>
        <w:ind w:firstLine="480"/>
        <w:jc w:val="left"/>
        <w:spacing w:line="360" w:lineRule="auto"/>
        <w:widowControl/>
        <w:rPr>
          <w:rFonts w:hint="eastAsia" w:ascii="宋体" w:hAnsi="宋体" w:eastAsia="Arial" w:cs="宋体"/>
          <w:color w:val="000000"/>
          <w:sz w:val="24"/>
          <w:highlight w:val="none"/>
          <w:u w:val="single"/>
        </w:rPr>
        <w:outlineLvl w:val="1"/>
      </w:pPr>
      <w:r>
        <w:rPr>
          <w:rFonts w:hint="eastAsia" w:ascii="宋体" w:hAnsi="宋体" w:eastAsia="Arial" w:cs="宋体"/>
          <w:color w:val="000000"/>
          <w:sz w:val="24"/>
          <w:highlight w:val="none"/>
          <w:u w:val="single"/>
        </w:rPr>
        <w:t xml:space="preserve">如因财政资金支付要求不能在2026年12月15日前完成合同内相应的工程进度（或未满质量保证期）导致无法完成财政资金支付进度，乙方有责任提供未完工程量等额的现金或支付担保(银行或保险公司的保函)配合甲方完成资金支付工作。如不配合导致资金被上级财政部门收回，无法进行工程款支付的，保护区不承担相关责任。</w:t>
      </w:r>
      <w:r>
        <w:rPr>
          <w:rFonts w:hint="eastAsia" w:ascii="宋体" w:hAnsi="宋体" w:eastAsia="Arial" w:cs="宋体"/>
          <w:color w:val="000000"/>
          <w:sz w:val="24"/>
          <w:highlight w:val="none"/>
          <w:u w:val="single"/>
        </w:rPr>
      </w:r>
      <w:r/>
    </w:p>
    <w:p>
      <w:pPr>
        <w:pStyle w:val="680"/>
        <w:numPr>
          <w:ilvl w:val="0"/>
          <w:numId w:val="0"/>
        </w:numPr>
        <w:ind w:firstLine="480"/>
        <w:jc w:val="left"/>
        <w:spacing w:line="360" w:lineRule="auto"/>
        <w:widowControl/>
        <w:rPr>
          <w:rFonts w:hint="eastAsia" w:ascii="宋体" w:hAnsi="宋体" w:eastAsia="Arial" w:cs="宋体"/>
          <w:color w:val="000000"/>
          <w:sz w:val="24"/>
          <w:highlight w:val="none"/>
          <w:u w:val="single"/>
        </w:rPr>
        <w:outlineLvl w:val="1"/>
      </w:pPr>
      <w:r>
        <w:rPr>
          <w:rFonts w:hint="eastAsia" w:ascii="宋体" w:hAnsi="宋体" w:eastAsia="Arial" w:cs="宋体"/>
          <w:color w:val="000000"/>
          <w:sz w:val="24"/>
          <w:highlight w:val="none"/>
          <w:u w:val="single"/>
        </w:rPr>
        <w:t xml:space="preserve">注：如乙方提供的为保险公司保函，需从政府采购网-保险保函入口办理。</w:t>
      </w:r>
      <w:r>
        <w:rPr>
          <w:rFonts w:hint="eastAsia" w:ascii="宋体" w:hAnsi="宋体" w:eastAsia="Arial" w:cs="宋体"/>
          <w:color w:val="000000"/>
          <w:sz w:val="24"/>
          <w:highlight w:val="none"/>
          <w:u w:val="single"/>
        </w:rPr>
      </w:r>
      <w:r/>
    </w:p>
    <w:p>
      <w:pPr>
        <w:pStyle w:val="680"/>
        <w:ind w:firstLine="480"/>
        <w:jc w:val="left"/>
        <w:spacing w:line="360" w:lineRule="auto"/>
        <w:widowControl/>
        <w:rPr>
          <w:rFonts w:hint="eastAsia" w:ascii="宋体" w:hAnsi="宋体" w:cs="宋体"/>
          <w:b/>
          <w:bCs/>
          <w:color w:val="000000"/>
          <w:sz w:val="24"/>
          <w:highlight w:val="none"/>
        </w:rPr>
        <w:outlineLvl w:val="1"/>
      </w:pPr>
      <w:r>
        <w:rPr>
          <w:rFonts w:hint="eastAsia" w:ascii="宋体" w:hAnsi="宋体" w:cs="宋体"/>
          <w:b/>
          <w:bCs/>
          <w:color w:val="000000"/>
          <w:sz w:val="24"/>
          <w:highlight w:val="none"/>
        </w:rPr>
        <w:t xml:space="preserve">九、税费</w:t>
      </w:r>
      <w:r>
        <w:rPr>
          <w:rFonts w:hint="eastAsia" w:ascii="宋体" w:hAnsi="宋体" w:cs="宋体"/>
          <w:b/>
          <w:bCs/>
          <w:color w:val="000000"/>
          <w:sz w:val="24"/>
          <w:highlight w:val="none"/>
        </w:rPr>
      </w:r>
      <w:r/>
    </w:p>
    <w:p>
      <w:pPr>
        <w:pStyle w:val="680"/>
        <w:ind w:firstLine="480"/>
        <w:jc w:val="left"/>
        <w:spacing w:line="360" w:lineRule="auto"/>
        <w:widowControl/>
        <w:rPr>
          <w:rFonts w:ascii="宋体" w:hAnsi="宋体" w:cs="宋体"/>
          <w:color w:val="000000"/>
          <w:sz w:val="24"/>
          <w:szCs w:val="24"/>
          <w:highlight w:val="none"/>
        </w:rPr>
        <w:outlineLvl w:val="2"/>
      </w:pPr>
      <w:r>
        <w:rPr>
          <w:rFonts w:hint="eastAsia" w:ascii="宋体" w:hAnsi="宋体" w:cs="宋体"/>
          <w:color w:val="000000"/>
          <w:sz w:val="24"/>
          <w:szCs w:val="24"/>
          <w:highlight w:val="none"/>
        </w:rPr>
        <w:t xml:space="preserve">9.1本合同执行中相关的一切税费均由乙方负担。</w:t>
      </w:r>
      <w:r>
        <w:rPr>
          <w:rFonts w:ascii="宋体" w:hAnsi="宋体" w:cs="宋体"/>
          <w:color w:val="000000"/>
          <w:sz w:val="24"/>
          <w:szCs w:val="24"/>
          <w:highlight w:val="none"/>
        </w:rPr>
      </w:r>
      <w:r/>
    </w:p>
    <w:p>
      <w:pPr>
        <w:pStyle w:val="680"/>
        <w:numPr>
          <w:ilvl w:val="0"/>
          <w:numId w:val="1"/>
        </w:numPr>
        <w:ind w:firstLine="480"/>
        <w:jc w:val="left"/>
        <w:spacing w:after="200" w:line="360" w:lineRule="auto"/>
        <w:widowControl/>
        <w:rPr>
          <w:rFonts w:ascii="宋体" w:hAnsi="宋体" w:cs="宋体"/>
          <w:b/>
          <w:bCs/>
          <w:color w:val="000000"/>
          <w:sz w:val="24"/>
          <w:szCs w:val="24"/>
          <w:highlight w:val="none"/>
        </w:rPr>
        <w:outlineLvl w:val="1"/>
      </w:pPr>
      <w:r>
        <w:rPr>
          <w:rFonts w:hint="eastAsia" w:ascii="宋体" w:hAnsi="宋体" w:cs="宋体"/>
          <w:b/>
          <w:bCs/>
          <w:color w:val="000000"/>
          <w:sz w:val="24"/>
          <w:szCs w:val="24"/>
          <w:highlight w:val="none"/>
        </w:rPr>
        <w:t xml:space="preserve">质保期</w:t>
      </w:r>
      <w:r>
        <w:rPr>
          <w:rFonts w:ascii="宋体" w:hAnsi="宋体" w:cs="宋体"/>
          <w:b/>
          <w:bCs/>
          <w:color w:val="000000"/>
          <w:sz w:val="24"/>
          <w:szCs w:val="24"/>
          <w:highlight w:val="none"/>
        </w:rPr>
      </w:r>
      <w:r/>
    </w:p>
    <w:p>
      <w:pPr>
        <w:pStyle w:val="680"/>
        <w:ind w:firstLine="480"/>
        <w:jc w:val="left"/>
        <w:spacing w:line="360" w:lineRule="auto"/>
        <w:widowControl/>
        <w:rPr>
          <w:rFonts w:hint="eastAsia" w:ascii="宋体" w:hAnsi="宋体" w:cs="宋体"/>
          <w:color w:val="000000"/>
          <w:sz w:val="24"/>
          <w:szCs w:val="24"/>
          <w:highlight w:val="none"/>
        </w:rPr>
        <w:outlineLvl w:val="2"/>
      </w:pPr>
      <w:r>
        <w:rPr>
          <w:rFonts w:hint="eastAsia" w:ascii="宋体" w:hAnsi="宋体" w:cs="宋体"/>
          <w:color w:val="000000"/>
          <w:sz w:val="24"/>
          <w:szCs w:val="24"/>
          <w:highlight w:val="none"/>
        </w:rPr>
        <w:t xml:space="preserve">10.1 质保</w:t>
      </w:r>
      <w:r>
        <w:rPr>
          <w:rFonts w:hint="eastAsia" w:ascii="宋体" w:hAnsi="宋体" w:cs="宋体"/>
          <w:color w:val="000000"/>
          <w:sz w:val="24"/>
          <w:szCs w:val="24"/>
          <w:highlight w:val="none"/>
          <w:lang w:val="en-US" w:eastAsia="zh-CN"/>
        </w:rPr>
        <w:t xml:space="preserve">期</w:t>
      </w:r>
      <w:r>
        <w:rPr>
          <w:rFonts w:hint="eastAsia" w:ascii="宋体" w:hAnsi="宋体" w:cs="宋体"/>
          <w:color w:val="000000"/>
          <w:sz w:val="24"/>
          <w:szCs w:val="24"/>
          <w:highlight w:val="none"/>
        </w:rPr>
        <w:t xml:space="preserve">为 5 年，自浮标交货并验收合格之日起计算。质保期内，相关责任与义务按如下约定执行：</w:t>
      </w:r>
      <w:r>
        <w:rPr>
          <w:rFonts w:hint="eastAsia" w:ascii="宋体" w:hAnsi="宋体" w:cs="宋体"/>
          <w:color w:val="000000"/>
          <w:sz w:val="24"/>
          <w:szCs w:val="24"/>
          <w:highlight w:val="none"/>
        </w:rPr>
      </w:r>
      <w:r/>
    </w:p>
    <w:p>
      <w:pPr>
        <w:pStyle w:val="680"/>
        <w:ind w:firstLine="480"/>
        <w:jc w:val="left"/>
        <w:spacing w:line="360" w:lineRule="auto"/>
        <w:widowControl/>
        <w:rPr>
          <w:rFonts w:hint="eastAsia" w:ascii="宋体" w:hAnsi="宋体" w:cs="宋体"/>
          <w:color w:val="000000"/>
          <w:sz w:val="24"/>
          <w:szCs w:val="24"/>
          <w:highlight w:val="none"/>
        </w:rPr>
        <w:outlineLvl w:val="2"/>
      </w:pPr>
      <w:r>
        <w:rPr>
          <w:rFonts w:hint="eastAsia" w:ascii="宋体" w:hAnsi="宋体" w:cs="宋体"/>
          <w:color w:val="000000"/>
          <w:sz w:val="24"/>
          <w:szCs w:val="24"/>
          <w:highlight w:val="none"/>
        </w:rPr>
        <w:t xml:space="preserve">质保期内，若浮标因乙方原因丢失的，由乙方承担全部责任，并须在甲方指定期限内将浮标恢复到位。</w:t>
      </w:r>
      <w:r>
        <w:rPr>
          <w:rFonts w:hint="eastAsia" w:ascii="宋体" w:hAnsi="宋体" w:cs="宋体"/>
          <w:color w:val="000000"/>
          <w:sz w:val="24"/>
          <w:szCs w:val="24"/>
          <w:highlight w:val="none"/>
        </w:rPr>
      </w:r>
      <w:r/>
    </w:p>
    <w:p>
      <w:pPr>
        <w:pStyle w:val="680"/>
        <w:ind w:firstLine="480"/>
        <w:jc w:val="left"/>
        <w:spacing w:line="360" w:lineRule="auto"/>
        <w:widowControl/>
        <w:rPr>
          <w:rFonts w:ascii="宋体" w:hAnsi="宋体" w:cs="宋体"/>
          <w:color w:val="000000"/>
          <w:sz w:val="24"/>
          <w:szCs w:val="24"/>
          <w:highlight w:val="none"/>
        </w:rPr>
        <w:outlineLvl w:val="2"/>
      </w:pPr>
      <w:r>
        <w:rPr>
          <w:rFonts w:hint="eastAsia" w:ascii="宋体" w:hAnsi="宋体" w:cs="宋体"/>
          <w:color w:val="000000"/>
          <w:sz w:val="24"/>
          <w:szCs w:val="24"/>
          <w:highlight w:val="none"/>
        </w:rPr>
        <w:t xml:space="preserve">凡因乙方在浮标布设、维护、巡检、管理等环节存在任何过错，导致浮标丢失、损坏，或造成第三方人身、财产</w:t>
      </w:r>
      <w:r>
        <w:rPr>
          <w:rFonts w:hint="eastAsia" w:ascii="宋体" w:hAnsi="宋体" w:cs="宋体"/>
          <w:color w:val="000000"/>
          <w:sz w:val="24"/>
          <w:szCs w:val="24"/>
          <w:highlight w:val="none"/>
          <w:lang w:val="en-US" w:eastAsia="zh-CN"/>
        </w:rPr>
        <w:t xml:space="preserve">等</w:t>
      </w:r>
      <w:r>
        <w:rPr>
          <w:rFonts w:hint="eastAsia" w:ascii="宋体" w:hAnsi="宋体" w:cs="宋体"/>
          <w:color w:val="000000"/>
          <w:sz w:val="24"/>
          <w:szCs w:val="24"/>
          <w:highlight w:val="none"/>
        </w:rPr>
        <w:t xml:space="preserve">侵权事故的，乙方均应承担全部赔偿责任，赔偿范围包括但不限于浮标重置费、安装费、海事处罚款、第三方索赔款、甲方维权支出等全部损失。</w:t>
      </w:r>
      <w:r>
        <w:rPr>
          <w:rFonts w:hint="eastAsia" w:ascii="宋体" w:hAnsi="宋体" w:cs="宋体"/>
          <w:color w:val="000000"/>
          <w:sz w:val="24"/>
          <w:szCs w:val="24"/>
          <w:highlight w:val="none"/>
          <w:lang w:val="en-US" w:eastAsia="zh-CN"/>
        </w:rPr>
        <w:t xml:space="preserve">同时存在</w:t>
      </w:r>
      <w:r>
        <w:rPr>
          <w:rFonts w:hint="eastAsia" w:ascii="宋体" w:hAnsi="宋体" w:cs="宋体"/>
          <w:color w:val="000000"/>
          <w:sz w:val="24"/>
          <w:szCs w:val="24"/>
          <w:highlight w:val="none"/>
        </w:rPr>
        <w:t xml:space="preserve">第三方侵权</w:t>
      </w:r>
      <w:r>
        <w:rPr>
          <w:rFonts w:hint="eastAsia" w:ascii="宋体" w:hAnsi="宋体" w:cs="宋体"/>
          <w:color w:val="000000"/>
          <w:sz w:val="24"/>
          <w:szCs w:val="24"/>
          <w:highlight w:val="none"/>
          <w:lang w:val="en-US" w:eastAsia="zh-CN"/>
        </w:rPr>
        <w:t xml:space="preserve">或</w:t>
      </w:r>
      <w:r>
        <w:rPr>
          <w:rFonts w:hint="eastAsia" w:ascii="宋体" w:hAnsi="宋体" w:cs="宋体"/>
          <w:color w:val="000000"/>
          <w:sz w:val="24"/>
          <w:szCs w:val="24"/>
          <w:highlight w:val="none"/>
        </w:rPr>
        <w:t xml:space="preserve">恶劣天气</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不包括不可抗力因素</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等外部因素</w:t>
      </w:r>
      <w:r>
        <w:rPr>
          <w:rFonts w:hint="eastAsia" w:ascii="宋体" w:hAnsi="宋体" w:cs="宋体"/>
          <w:color w:val="000000"/>
          <w:sz w:val="24"/>
          <w:szCs w:val="24"/>
          <w:highlight w:val="none"/>
          <w:lang w:val="en-US" w:eastAsia="zh-CN"/>
        </w:rPr>
        <w:t xml:space="preserve">的</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不免除乙方因前述过错应当承担的赔偿责任，但乙方赔偿之后，有向第三方追偿的权利。</w:t>
      </w:r>
      <w:r>
        <w:rPr>
          <w:rFonts w:ascii="宋体" w:hAnsi="宋体" w:cs="宋体"/>
          <w:color w:val="000000"/>
          <w:sz w:val="24"/>
          <w:szCs w:val="24"/>
          <w:highlight w:val="none"/>
        </w:rPr>
      </w:r>
      <w:r/>
    </w:p>
    <w:p>
      <w:pPr>
        <w:pStyle w:val="680"/>
        <w:ind w:firstLine="480"/>
        <w:jc w:val="left"/>
        <w:spacing w:line="360" w:lineRule="auto"/>
        <w:widowControl/>
        <w:rPr>
          <w:rFonts w:hint="eastAsia" w:ascii="宋体" w:hAnsi="宋体" w:cs="宋体"/>
          <w:color w:val="000000"/>
          <w:sz w:val="24"/>
          <w:szCs w:val="24"/>
          <w:highlight w:val="none"/>
        </w:rPr>
        <w:outlineLvl w:val="2"/>
      </w:pPr>
      <w:r>
        <w:rPr>
          <w:rFonts w:hint="eastAsia" w:ascii="宋体" w:hAnsi="宋体" w:cs="宋体"/>
          <w:color w:val="000000"/>
          <w:sz w:val="24"/>
          <w:szCs w:val="24"/>
          <w:highlight w:val="none"/>
        </w:rPr>
        <w:t xml:space="preserve">因第三方船舶碰撞、拖锚、故意损毁等外部原因造成浮标丢失、损坏的，由乙方先行</w:t>
      </w:r>
      <w:r>
        <w:rPr>
          <w:rFonts w:hint="eastAsia" w:ascii="宋体" w:hAnsi="宋体" w:cs="宋体"/>
          <w:color w:val="000000"/>
          <w:sz w:val="24"/>
          <w:szCs w:val="24"/>
          <w:highlight w:val="none"/>
          <w:lang w:val="en-US" w:eastAsia="zh-CN"/>
        </w:rPr>
        <w:t xml:space="preserve">采取更换、修复等重置措施以及时恢复浮标功能。然后</w:t>
      </w:r>
      <w:r>
        <w:rPr>
          <w:rFonts w:hint="eastAsia" w:ascii="宋体" w:hAnsi="宋体" w:cs="宋体"/>
          <w:color w:val="000000"/>
          <w:sz w:val="24"/>
          <w:szCs w:val="24"/>
          <w:highlight w:val="none"/>
        </w:rPr>
        <w:t xml:space="preserve">由乙方自行向责任第三方追偿</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甲方予以协助，</w:t>
      </w:r>
      <w:r>
        <w:rPr>
          <w:rFonts w:hint="eastAsia" w:ascii="宋体" w:hAnsi="宋体" w:cs="宋体"/>
          <w:color w:val="000000"/>
          <w:sz w:val="24"/>
          <w:szCs w:val="24"/>
          <w:highlight w:val="none"/>
        </w:rPr>
        <w:t xml:space="preserve">追偿产生的全部风险与成本均由乙方自行承担，甲方不承担任何相关责任。</w:t>
      </w:r>
      <w:r>
        <w:rPr>
          <w:rFonts w:hint="eastAsia" w:ascii="宋体" w:hAnsi="宋体" w:cs="宋体"/>
          <w:color w:val="000000"/>
          <w:sz w:val="24"/>
          <w:szCs w:val="24"/>
          <w:highlight w:val="none"/>
        </w:rPr>
      </w:r>
      <w:r/>
    </w:p>
    <w:p>
      <w:pPr>
        <w:pStyle w:val="680"/>
        <w:ind w:firstLine="480"/>
        <w:jc w:val="left"/>
        <w:spacing w:line="360" w:lineRule="auto"/>
        <w:widowControl/>
        <w:rPr>
          <w:rFonts w:hint="eastAsia" w:ascii="宋体" w:hAnsi="宋体" w:cs="宋体"/>
          <w:color w:val="000000"/>
          <w:sz w:val="24"/>
          <w:szCs w:val="24"/>
          <w:highlight w:val="none"/>
          <w:lang w:eastAsia="zh-CN"/>
        </w:rPr>
        <w:outlineLvl w:val="2"/>
      </w:pPr>
      <w:r>
        <w:rPr>
          <w:rFonts w:hint="eastAsia" w:ascii="宋体" w:hAnsi="宋体" w:cs="宋体"/>
          <w:color w:val="000000"/>
          <w:sz w:val="24"/>
          <w:szCs w:val="24"/>
          <w:highlight w:val="none"/>
        </w:rPr>
        <w:t xml:space="preserve">因不可抗力导致浮标丢失、损坏的，乙方免于承担赔偿责任，但乙方必须第一时间向甲方履行通知义务、提供不可抗力的有效举证材料，并无偿配合甲方完成恢复方案制定及相关协调工作，浮标重置费用由甲方承担。</w:t>
      </w:r>
      <w:r>
        <w:rPr>
          <w:rFonts w:hint="eastAsia" w:ascii="宋体" w:hAnsi="宋体" w:cs="宋体"/>
          <w:color w:val="000000"/>
          <w:sz w:val="24"/>
          <w:szCs w:val="24"/>
          <w:highlight w:val="none"/>
          <w:lang w:eastAsia="zh-CN"/>
        </w:rPr>
      </w:r>
      <w:r/>
    </w:p>
    <w:p>
      <w:pPr>
        <w:pStyle w:val="680"/>
        <w:ind w:firstLine="480"/>
        <w:jc w:val="left"/>
        <w:spacing w:line="360" w:lineRule="auto"/>
        <w:widowControl/>
        <w:rPr>
          <w:rFonts w:hint="eastAsia" w:ascii="宋体" w:hAnsi="宋体" w:cs="宋体"/>
          <w:color w:val="000000"/>
          <w:sz w:val="24"/>
          <w:szCs w:val="24"/>
          <w:highlight w:val="none"/>
          <w:lang w:val="en-US" w:eastAsia="zh-CN"/>
        </w:rPr>
        <w:outlineLvl w:val="2"/>
      </w:pPr>
      <w:r>
        <w:rPr>
          <w:rFonts w:hint="eastAsia" w:ascii="宋体" w:hAnsi="宋体" w:cs="宋体"/>
          <w:color w:val="000000"/>
          <w:sz w:val="24"/>
          <w:szCs w:val="24"/>
          <w:highlight w:val="none"/>
          <w:lang w:val="en-US" w:eastAsia="zh-CN"/>
        </w:rPr>
        <w:t xml:space="preserve">10.2 浮标布设与维护义务</w:t>
      </w:r>
      <w:r>
        <w:rPr>
          <w:rFonts w:hint="eastAsia" w:ascii="宋体" w:hAnsi="宋体" w:cs="宋体"/>
          <w:color w:val="000000"/>
          <w:sz w:val="24"/>
          <w:szCs w:val="24"/>
          <w:highlight w:val="none"/>
          <w:lang w:val="en-US" w:eastAsia="zh-CN"/>
        </w:rPr>
      </w:r>
      <w:r/>
    </w:p>
    <w:p>
      <w:pPr>
        <w:pStyle w:val="680"/>
        <w:ind w:firstLine="480"/>
        <w:jc w:val="left"/>
        <w:spacing w:line="360" w:lineRule="auto"/>
        <w:widowControl/>
        <w:rPr>
          <w:rFonts w:hint="eastAsia" w:ascii="宋体" w:hAnsi="宋体" w:cs="宋体"/>
          <w:color w:val="000000"/>
          <w:sz w:val="24"/>
          <w:szCs w:val="24"/>
          <w:highlight w:val="none"/>
          <w:lang w:val="en-US" w:eastAsia="zh-CN"/>
        </w:rPr>
        <w:outlineLvl w:val="2"/>
      </w:pPr>
      <w:r>
        <w:rPr>
          <w:rFonts w:hint="eastAsia" w:ascii="宋体" w:hAnsi="宋体" w:cs="宋体"/>
          <w:color w:val="000000"/>
          <w:sz w:val="24"/>
          <w:szCs w:val="24"/>
          <w:highlight w:val="none"/>
          <w:lang w:val="en-US" w:eastAsia="zh-CN"/>
        </w:rPr>
        <w:t xml:space="preserve">乙方负责本项目专用浮标的设计、采购、布设、锚泊、系固、巡检、保养、移位复位等全部工作，必须符合国家及海事管理机构规范、标准及审批要求。</w:t>
      </w:r>
      <w:r>
        <w:rPr>
          <w:rFonts w:hint="eastAsia" w:ascii="宋体" w:hAnsi="宋体" w:cs="宋体"/>
          <w:color w:val="000000"/>
          <w:sz w:val="24"/>
          <w:szCs w:val="24"/>
          <w:highlight w:val="none"/>
          <w:lang w:val="en-US" w:eastAsia="zh-CN"/>
        </w:rPr>
      </w:r>
      <w:r/>
    </w:p>
    <w:p>
      <w:pPr>
        <w:pStyle w:val="680"/>
        <w:ind w:firstLine="480"/>
        <w:jc w:val="left"/>
        <w:spacing w:line="360" w:lineRule="auto"/>
        <w:widowControl/>
        <w:rPr>
          <w:rFonts w:hint="eastAsia" w:ascii="宋体" w:hAnsi="宋体" w:cs="宋体"/>
          <w:color w:val="000000"/>
          <w:sz w:val="24"/>
          <w:szCs w:val="24"/>
          <w:highlight w:val="none"/>
          <w:lang w:val="en-US" w:eastAsia="zh-CN"/>
        </w:rPr>
        <w:outlineLvl w:val="2"/>
      </w:pPr>
      <w:r>
        <w:rPr>
          <w:rFonts w:hint="eastAsia" w:ascii="宋体" w:hAnsi="宋体" w:cs="宋体"/>
          <w:color w:val="000000"/>
          <w:sz w:val="24"/>
          <w:szCs w:val="24"/>
          <w:highlight w:val="none"/>
          <w:lang w:val="en-US" w:eastAsia="zh-CN"/>
        </w:rPr>
        <w:t xml:space="preserve">乙方承诺浮标系统具备抵御合同约定区域常规台风（不超过12级台风级，发生有可能导致浮标损坏或丢失风险的恶劣天气时应提前告知甲方，并移至安全地带）、风暴潮的能力，并承担因布设、锚链、锚块、系固、结构强度不足导致的一切风险与责任。</w:t>
      </w:r>
      <w:r>
        <w:rPr>
          <w:rFonts w:hint="eastAsia" w:ascii="宋体" w:hAnsi="宋体" w:cs="宋体"/>
          <w:color w:val="000000"/>
          <w:sz w:val="24"/>
          <w:szCs w:val="24"/>
          <w:highlight w:val="none"/>
          <w:lang w:val="en-US" w:eastAsia="zh-CN"/>
        </w:rPr>
      </w:r>
      <w:r/>
    </w:p>
    <w:p>
      <w:pPr>
        <w:pStyle w:val="680"/>
        <w:ind w:firstLine="480"/>
        <w:jc w:val="left"/>
        <w:spacing w:line="360" w:lineRule="auto"/>
        <w:widowControl/>
        <w:rPr>
          <w:rFonts w:hint="eastAsia" w:ascii="宋体" w:hAnsi="宋体" w:cs="宋体"/>
          <w:color w:val="000000"/>
          <w:sz w:val="24"/>
          <w:szCs w:val="24"/>
          <w:highlight w:val="none"/>
          <w:lang w:val="en-US" w:eastAsia="zh-CN"/>
        </w:rPr>
        <w:outlineLvl w:val="2"/>
      </w:pPr>
      <w:r>
        <w:rPr>
          <w:rFonts w:hint="eastAsia" w:ascii="宋体" w:hAnsi="宋体" w:cs="宋体"/>
          <w:color w:val="000000"/>
          <w:sz w:val="24"/>
          <w:szCs w:val="24"/>
          <w:highlight w:val="none"/>
          <w:lang w:val="en-US" w:eastAsia="zh-CN"/>
        </w:rPr>
        <w:t xml:space="preserve">乙方须建立24小时响应机制，发现浮标异常、移位、损坏、丢失等情况，必须立即报告甲方及海事部门，并在规定时限内完成恢复。</w:t>
      </w:r>
      <w:r>
        <w:rPr>
          <w:rFonts w:hint="eastAsia" w:ascii="宋体" w:hAnsi="宋体" w:cs="宋体"/>
          <w:color w:val="000000"/>
          <w:sz w:val="24"/>
          <w:szCs w:val="24"/>
          <w:highlight w:val="none"/>
          <w:lang w:val="en-US" w:eastAsia="zh-CN"/>
        </w:rPr>
      </w:r>
      <w:r/>
    </w:p>
    <w:p>
      <w:pPr>
        <w:pStyle w:val="680"/>
        <w:ind w:firstLine="480"/>
        <w:jc w:val="left"/>
        <w:spacing w:line="360" w:lineRule="auto"/>
        <w:widowControl/>
        <w:rPr>
          <w:rFonts w:hint="eastAsia" w:ascii="宋体" w:hAnsi="宋体" w:cs="宋体"/>
          <w:color w:val="000000"/>
          <w:sz w:val="24"/>
          <w:szCs w:val="24"/>
          <w:highlight w:val="none"/>
          <w:lang w:val="en-US" w:eastAsia="zh-CN"/>
        </w:rPr>
        <w:outlineLvl w:val="2"/>
      </w:pPr>
      <w:r>
        <w:rPr>
          <w:rFonts w:hint="eastAsia" w:ascii="宋体" w:hAnsi="宋体" w:cs="宋体"/>
          <w:color w:val="000000"/>
          <w:sz w:val="24"/>
          <w:szCs w:val="24"/>
          <w:highlight w:val="none"/>
          <w:lang w:val="en-US" w:eastAsia="zh-CN"/>
        </w:rPr>
        <w:t xml:space="preserve">10.3 浮标失效恢复义务</w:t>
      </w:r>
      <w:r>
        <w:rPr>
          <w:rFonts w:hint="eastAsia" w:ascii="宋体" w:hAnsi="宋体" w:cs="宋体"/>
          <w:color w:val="000000"/>
          <w:sz w:val="24"/>
          <w:szCs w:val="24"/>
          <w:highlight w:val="none"/>
          <w:lang w:val="en-US" w:eastAsia="zh-CN"/>
        </w:rPr>
      </w:r>
      <w:r/>
    </w:p>
    <w:p>
      <w:pPr>
        <w:pStyle w:val="680"/>
        <w:ind w:firstLine="480"/>
        <w:jc w:val="left"/>
        <w:spacing w:line="360" w:lineRule="auto"/>
        <w:widowControl/>
        <w:rPr>
          <w:rFonts w:hint="eastAsia" w:ascii="宋体" w:hAnsi="宋体" w:eastAsia="宋体" w:cs="宋体"/>
          <w:color w:val="000000"/>
          <w:sz w:val="24"/>
          <w:szCs w:val="24"/>
          <w:highlight w:val="none"/>
          <w:lang w:val="en-US" w:eastAsia="zh-CN"/>
        </w:rPr>
        <w:outlineLvl w:val="2"/>
      </w:pPr>
      <w:r>
        <w:rPr>
          <w:rFonts w:hint="eastAsia" w:ascii="宋体" w:hAnsi="宋体" w:cs="宋体"/>
          <w:color w:val="000000"/>
          <w:sz w:val="24"/>
          <w:szCs w:val="24"/>
          <w:highlight w:val="none"/>
          <w:lang w:val="en-US" w:eastAsia="zh-CN"/>
        </w:rPr>
        <w:t xml:space="preserve">海上浮标关系通航安全，无论何种原因导致浮标失效，乙方均负有优先、及时、无偿采取应急措施恢复航标功能的义务，未及时处置造成扩大损失的，由乙方承担。</w:t>
      </w:r>
      <w:r>
        <w:rPr>
          <w:rFonts w:hint="eastAsia" w:ascii="宋体" w:hAnsi="宋体" w:eastAsia="宋体" w:cs="宋体"/>
          <w:color w:val="000000"/>
          <w:sz w:val="24"/>
          <w:szCs w:val="24"/>
          <w:highlight w:val="none"/>
          <w:lang w:val="en-US" w:eastAsia="zh-CN"/>
        </w:rPr>
      </w:r>
      <w:r/>
    </w:p>
    <w:p>
      <w:pPr>
        <w:pStyle w:val="680"/>
        <w:numPr>
          <w:ilvl w:val="0"/>
          <w:numId w:val="1"/>
        </w:numPr>
        <w:ind w:left="0" w:firstLine="480"/>
        <w:jc w:val="left"/>
        <w:spacing w:line="360" w:lineRule="auto"/>
        <w:widowControl/>
        <w:rPr>
          <w:rFonts w:hint="eastAsia" w:ascii="宋体" w:hAnsi="宋体" w:cs="宋体"/>
          <w:b/>
          <w:bCs/>
          <w:color w:val="000000"/>
          <w:sz w:val="24"/>
          <w:highlight w:val="none"/>
        </w:rPr>
        <w:outlineLvl w:val="1"/>
      </w:pPr>
      <w:r>
        <w:rPr>
          <w:rFonts w:hint="eastAsia" w:ascii="宋体" w:hAnsi="宋体" w:cs="宋体"/>
          <w:b/>
          <w:bCs/>
          <w:color w:val="000000"/>
          <w:sz w:val="24"/>
          <w:highlight w:val="none"/>
        </w:rPr>
        <w:t xml:space="preserve">项目验收</w:t>
      </w:r>
      <w:r>
        <w:rPr>
          <w:rFonts w:hint="eastAsia" w:ascii="宋体" w:hAnsi="宋体" w:cs="宋体"/>
          <w:b/>
          <w:bCs/>
          <w:color w:val="000000"/>
          <w:sz w:val="24"/>
          <w:highlight w:val="none"/>
        </w:rPr>
      </w:r>
      <w:r/>
    </w:p>
    <w:p>
      <w:pPr>
        <w:pStyle w:val="680"/>
        <w:ind w:firstLine="480"/>
        <w:jc w:val="left"/>
        <w:spacing w:line="360" w:lineRule="auto"/>
        <w:widowControl/>
        <w:rPr>
          <w:rFonts w:hint="eastAsia" w:ascii="宋体" w:hAnsi="宋体" w:eastAsia="Arial" w:cs="宋体"/>
          <w:color w:val="000000"/>
          <w:sz w:val="24"/>
          <w:highlight w:val="none"/>
        </w:rPr>
        <w:outlineLvl w:val="2"/>
      </w:pPr>
      <w:r>
        <w:rPr>
          <w:rFonts w:hint="eastAsia" w:ascii="宋体" w:hAnsi="宋体" w:eastAsia="Arial" w:cs="宋体"/>
          <w:color w:val="000000"/>
          <w:sz w:val="24"/>
          <w:highlight w:val="none"/>
        </w:rPr>
        <w:t xml:space="preserve">项目交付后，将严格按照以下标准进行验收：货物到进行安装验收，安装结束后进行整体交付验收。</w:t>
      </w:r>
      <w:r>
        <w:rPr>
          <w:rFonts w:hint="eastAsia" w:ascii="宋体" w:hAnsi="宋体" w:eastAsia="Arial" w:cs="宋体"/>
          <w:color w:val="000000"/>
          <w:sz w:val="24"/>
          <w:highlight w:val="none"/>
        </w:rPr>
      </w:r>
      <w:r/>
    </w:p>
    <w:p>
      <w:pPr>
        <w:pStyle w:val="680"/>
        <w:ind w:firstLine="480"/>
        <w:jc w:val="left"/>
        <w:spacing w:line="360" w:lineRule="auto"/>
        <w:widowControl/>
        <w:rPr>
          <w:rFonts w:hint="eastAsia" w:ascii="宋体" w:hAnsi="宋体" w:eastAsia="Arial" w:cs="宋体"/>
          <w:color w:val="000000"/>
          <w:sz w:val="24"/>
          <w:highlight w:val="none"/>
        </w:rPr>
        <w:outlineLvl w:val="2"/>
      </w:pPr>
      <w:r>
        <w:rPr>
          <w:rFonts w:hint="eastAsia" w:ascii="宋体" w:hAnsi="宋体" w:eastAsia="Arial" w:cs="宋体"/>
          <w:color w:val="000000"/>
          <w:sz w:val="24"/>
          <w:highlight w:val="none"/>
          <w:lang w:val="en-US" w:eastAsia="zh-CN"/>
        </w:rPr>
        <w:t xml:space="preserve">11</w:t>
      </w:r>
      <w:r>
        <w:rPr>
          <w:rFonts w:hint="eastAsia" w:ascii="宋体" w:hAnsi="宋体" w:eastAsia="Arial" w:cs="宋体"/>
          <w:color w:val="000000"/>
          <w:sz w:val="24"/>
          <w:highlight w:val="none"/>
        </w:rPr>
        <w:t xml:space="preserve">.1、验收主体：</w:t>
      </w:r>
      <w:r>
        <w:rPr>
          <w:rFonts w:hint="eastAsia" w:ascii="宋体" w:hAnsi="宋体" w:eastAsia="宋体" w:cs="宋体"/>
          <w:color w:val="000000"/>
          <w:sz w:val="24"/>
          <w:highlight w:val="none"/>
          <w:lang w:val="en-US" w:eastAsia="zh-CN"/>
        </w:rPr>
        <w:t xml:space="preserve">江苏盐城国家级珍禽自然保护区</w:t>
      </w:r>
      <w:r>
        <w:rPr>
          <w:rFonts w:hint="eastAsia" w:ascii="宋体" w:hAnsi="宋体" w:eastAsia="Arial" w:cs="宋体"/>
          <w:color w:val="000000"/>
          <w:sz w:val="24"/>
          <w:highlight w:val="none"/>
        </w:rPr>
        <w:t xml:space="preserve">管理处。</w:t>
      </w:r>
      <w:r>
        <w:rPr>
          <w:rFonts w:hint="eastAsia" w:ascii="宋体" w:hAnsi="宋体" w:eastAsia="Arial" w:cs="宋体"/>
          <w:color w:val="000000"/>
          <w:sz w:val="24"/>
          <w:highlight w:val="none"/>
        </w:rPr>
      </w:r>
      <w:r/>
    </w:p>
    <w:p>
      <w:pPr>
        <w:pStyle w:val="680"/>
        <w:ind w:firstLine="480"/>
        <w:jc w:val="left"/>
        <w:spacing w:line="360" w:lineRule="auto"/>
        <w:widowControl/>
        <w:rPr>
          <w:rFonts w:hint="eastAsia" w:ascii="宋体" w:hAnsi="宋体" w:eastAsia="Arial" w:cs="宋体"/>
          <w:color w:val="000000"/>
          <w:sz w:val="24"/>
          <w:highlight w:val="none"/>
        </w:rPr>
        <w:outlineLvl w:val="2"/>
      </w:pPr>
      <w:r>
        <w:rPr>
          <w:rFonts w:hint="eastAsia" w:ascii="宋体" w:hAnsi="宋体" w:eastAsia="Arial" w:cs="宋体"/>
          <w:color w:val="000000"/>
          <w:sz w:val="24"/>
          <w:highlight w:val="none"/>
          <w:lang w:val="en-US" w:eastAsia="zh-CN"/>
        </w:rPr>
        <w:t xml:space="preserve">11</w:t>
      </w:r>
      <w:r>
        <w:rPr>
          <w:rFonts w:hint="eastAsia" w:ascii="宋体" w:hAnsi="宋体" w:eastAsia="Arial" w:cs="宋体"/>
          <w:color w:val="000000"/>
          <w:sz w:val="24"/>
          <w:highlight w:val="none"/>
        </w:rPr>
        <w:t xml:space="preserve">.2、验收流程：到货后7日内完成外观、</w:t>
      </w:r>
      <w:r>
        <w:rPr>
          <w:rFonts w:hint="eastAsia" w:ascii="宋体" w:hAnsi="宋体" w:eastAsia="宋体" w:cs="宋体"/>
          <w:color w:val="000000"/>
          <w:sz w:val="24"/>
          <w:highlight w:val="none"/>
          <w:lang w:val="en-US" w:eastAsia="zh-CN"/>
        </w:rPr>
        <w:t xml:space="preserve">规格型号、</w:t>
      </w:r>
      <w:r>
        <w:rPr>
          <w:rFonts w:hint="eastAsia" w:ascii="宋体" w:hAnsi="宋体" w:eastAsia="Arial" w:cs="宋体"/>
          <w:color w:val="000000"/>
          <w:sz w:val="24"/>
          <w:highlight w:val="none"/>
        </w:rPr>
        <w:t xml:space="preserve">数量核验；安装调试后30日试运行，验收合格出具《验收确认书》</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验收确认书</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签署后，双方办理交付手续</w:t>
      </w:r>
      <w:r>
        <w:rPr>
          <w:rFonts w:hint="eastAsia" w:ascii="宋体" w:hAnsi="宋体" w:eastAsia="Arial" w:cs="宋体"/>
          <w:color w:val="000000"/>
          <w:sz w:val="24"/>
          <w:highlight w:val="none"/>
        </w:rPr>
        <w:t xml:space="preserve">。</w:t>
      </w:r>
      <w:r>
        <w:rPr>
          <w:rFonts w:hint="eastAsia" w:ascii="宋体" w:hAnsi="宋体" w:eastAsia="Arial" w:cs="宋体"/>
          <w:color w:val="000000"/>
          <w:sz w:val="24"/>
          <w:highlight w:val="none"/>
        </w:rPr>
      </w:r>
      <w:r/>
    </w:p>
    <w:p>
      <w:pPr>
        <w:pStyle w:val="680"/>
        <w:ind w:firstLine="480"/>
        <w:jc w:val="left"/>
        <w:spacing w:line="360" w:lineRule="auto"/>
        <w:widowControl/>
        <w:rPr>
          <w:rFonts w:hint="eastAsia" w:ascii="宋体" w:hAnsi="宋体" w:eastAsia="Arial" w:cs="宋体"/>
          <w:color w:val="000000"/>
          <w:sz w:val="24"/>
          <w:highlight w:val="none"/>
        </w:rPr>
        <w:outlineLvl w:val="2"/>
      </w:pPr>
      <w:r>
        <w:rPr>
          <w:rFonts w:hint="eastAsia" w:ascii="宋体" w:hAnsi="宋体" w:eastAsia="Arial" w:cs="宋体"/>
          <w:color w:val="000000"/>
          <w:sz w:val="24"/>
          <w:highlight w:val="none"/>
          <w:lang w:val="en-US" w:eastAsia="zh-CN"/>
        </w:rPr>
        <w:t xml:space="preserve">11</w:t>
      </w:r>
      <w:r>
        <w:rPr>
          <w:rFonts w:hint="eastAsia" w:ascii="宋体" w:hAnsi="宋体" w:eastAsia="Arial" w:cs="宋体"/>
          <w:color w:val="000000"/>
          <w:sz w:val="24"/>
          <w:highlight w:val="none"/>
        </w:rPr>
        <w:t xml:space="preserve">.3、交付：乙方应会同甲方代表根据合同约定对合同设备进行交货前检验并出具交货前检验记录，有关费用由乙方承担。合同设备的所有权和风险自</w:t>
      </w:r>
      <w:r>
        <w:rPr>
          <w:rFonts w:hint="eastAsia" w:ascii="宋体" w:hAnsi="宋体" w:eastAsia="宋体" w:cs="宋体"/>
          <w:color w:val="000000"/>
          <w:sz w:val="24"/>
          <w:highlight w:val="none"/>
          <w:lang w:val="en-US" w:eastAsia="zh-CN"/>
        </w:rPr>
        <w:t xml:space="preserve">验收合格并办理</w:t>
      </w:r>
      <w:r>
        <w:rPr>
          <w:rFonts w:hint="eastAsia" w:ascii="宋体" w:hAnsi="宋体" w:eastAsia="Arial" w:cs="宋体"/>
          <w:color w:val="000000"/>
          <w:sz w:val="24"/>
          <w:highlight w:val="none"/>
        </w:rPr>
        <w:t xml:space="preserve">交付</w:t>
      </w:r>
      <w:r>
        <w:rPr>
          <w:rFonts w:hint="eastAsia" w:ascii="宋体" w:hAnsi="宋体" w:eastAsia="宋体" w:cs="宋体"/>
          <w:color w:val="000000"/>
          <w:sz w:val="24"/>
          <w:highlight w:val="none"/>
          <w:lang w:val="en-US" w:eastAsia="zh-CN"/>
        </w:rPr>
        <w:t xml:space="preserve">手续之日</w:t>
      </w:r>
      <w:r>
        <w:rPr>
          <w:rFonts w:hint="eastAsia" w:ascii="宋体" w:hAnsi="宋体" w:eastAsia="Arial" w:cs="宋体"/>
          <w:color w:val="000000"/>
          <w:sz w:val="24"/>
          <w:highlight w:val="none"/>
        </w:rPr>
        <w:t xml:space="preserve">起由乙方转移至甲方，合同设备交付给甲方之前包括运输在内的所有风险均由乙方承担。</w:t>
      </w:r>
      <w:r>
        <w:rPr>
          <w:rFonts w:hint="eastAsia" w:ascii="宋体" w:hAnsi="宋体" w:eastAsia="Arial" w:cs="宋体"/>
          <w:color w:val="000000"/>
          <w:sz w:val="24"/>
          <w:highlight w:val="none"/>
        </w:rPr>
      </w:r>
      <w:r/>
    </w:p>
    <w:p>
      <w:pPr>
        <w:pStyle w:val="680"/>
        <w:ind w:firstLine="480"/>
        <w:jc w:val="left"/>
        <w:spacing w:line="360" w:lineRule="auto"/>
        <w:widowControl/>
        <w:rPr>
          <w:rFonts w:ascii="宋体" w:hAnsi="宋体" w:eastAsia="Arial" w:cs="宋体"/>
          <w:color w:val="000000"/>
          <w:sz w:val="24"/>
          <w:highlight w:val="none"/>
        </w:rPr>
      </w:pPr>
      <w:r>
        <w:rPr>
          <w:rFonts w:hint="eastAsia" w:ascii="宋体" w:hAnsi="宋体" w:eastAsia="Arial" w:cs="宋体"/>
          <w:color w:val="000000"/>
          <w:sz w:val="24"/>
          <w:highlight w:val="none"/>
        </w:rPr>
        <w:t xml:space="preserve">1</w:t>
      </w:r>
      <w:r>
        <w:rPr>
          <w:rFonts w:hint="eastAsia" w:ascii="宋体" w:hAnsi="宋体" w:cs="宋体"/>
          <w:color w:val="000000"/>
          <w:sz w:val="24"/>
          <w:highlight w:val="none"/>
        </w:rPr>
        <w:t xml:space="preserve">1</w:t>
      </w:r>
      <w:r>
        <w:rPr>
          <w:rFonts w:hint="eastAsia" w:ascii="宋体" w:hAnsi="宋体" w:eastAsia="Arial" w:cs="宋体"/>
          <w:color w:val="000000"/>
          <w:sz w:val="24"/>
          <w:highlight w:val="none"/>
        </w:rPr>
        <w:t xml:space="preserve">.</w:t>
      </w:r>
      <w:r>
        <w:rPr>
          <w:rFonts w:hint="eastAsia" w:ascii="宋体" w:hAnsi="宋体" w:eastAsia="宋体" w:cs="宋体"/>
          <w:color w:val="000000"/>
          <w:sz w:val="24"/>
          <w:highlight w:val="none"/>
          <w:lang w:val="en-US" w:eastAsia="zh-CN"/>
        </w:rPr>
        <w:t xml:space="preserve">4</w:t>
      </w:r>
      <w:r>
        <w:rPr>
          <w:rFonts w:hint="eastAsia" w:ascii="宋体" w:hAnsi="宋体" w:cs="宋体"/>
          <w:color w:val="000000"/>
          <w:sz w:val="24"/>
          <w:highlight w:val="none"/>
        </w:rPr>
        <w:t xml:space="preserve">验收合格的项目</w:t>
      </w:r>
      <w:r>
        <w:rPr>
          <w:rFonts w:hint="eastAsia" w:ascii="宋体" w:hAnsi="宋体" w:eastAsia="Arial" w:cs="宋体"/>
          <w:color w:val="000000"/>
          <w:sz w:val="24"/>
          <w:highlight w:val="none"/>
        </w:rPr>
        <w:t xml:space="preserve">,</w:t>
      </w:r>
      <w:r>
        <w:rPr>
          <w:rFonts w:hint="eastAsia" w:ascii="宋体" w:hAnsi="宋体" w:cs="宋体"/>
          <w:color w:val="000000"/>
          <w:sz w:val="24"/>
          <w:highlight w:val="none"/>
        </w:rPr>
        <w:t xml:space="preserve">甲方根据采购合同的约定及时向乙方支付合同款项。验收不合格的项目，甲方依法及时处理。采购合同的履行、违约责任和解决争议的方式等适用《民法典》。乙方在履约过程中有政府采购法律法规规定的违法违规情形的</w:t>
      </w:r>
      <w:r>
        <w:rPr>
          <w:rFonts w:hint="eastAsia" w:ascii="宋体" w:hAnsi="宋体" w:eastAsia="Arial" w:cs="宋体"/>
          <w:color w:val="000000"/>
          <w:sz w:val="24"/>
          <w:highlight w:val="none"/>
        </w:rPr>
        <w:t xml:space="preserve">,</w:t>
      </w:r>
      <w:r>
        <w:rPr>
          <w:rFonts w:hint="eastAsia" w:ascii="宋体" w:hAnsi="宋体" w:cs="宋体"/>
          <w:color w:val="000000"/>
          <w:sz w:val="24"/>
          <w:highlight w:val="none"/>
        </w:rPr>
        <w:t xml:space="preserve">甲方将及时报告本级财政部门。</w:t>
      </w:r>
      <w:r>
        <w:rPr>
          <w:rFonts w:ascii="宋体" w:hAnsi="宋体" w:eastAsia="Arial" w:cs="宋体"/>
          <w:color w:val="000000"/>
          <w:sz w:val="24"/>
          <w:highlight w:val="none"/>
        </w:rPr>
      </w:r>
      <w:r/>
    </w:p>
    <w:p>
      <w:pPr>
        <w:pStyle w:val="680"/>
        <w:ind w:firstLine="480"/>
        <w:jc w:val="left"/>
        <w:spacing w:line="360" w:lineRule="auto"/>
        <w:widowControl/>
        <w:rPr>
          <w:rFonts w:ascii="宋体" w:hAnsi="宋体" w:eastAsia="Arial" w:cs="宋体"/>
          <w:b/>
          <w:bCs/>
          <w:color w:val="000000"/>
          <w:sz w:val="24"/>
          <w:highlight w:val="none"/>
        </w:rPr>
        <w:outlineLvl w:val="1"/>
      </w:pPr>
      <w:r>
        <w:rPr>
          <w:rFonts w:hint="eastAsia" w:ascii="宋体" w:hAnsi="宋体" w:cs="宋体"/>
          <w:b/>
          <w:bCs/>
          <w:color w:val="000000"/>
          <w:sz w:val="24"/>
          <w:highlight w:val="none"/>
        </w:rPr>
        <w:t xml:space="preserve">十二、违约责任</w:t>
      </w:r>
      <w:r>
        <w:rPr>
          <w:rFonts w:ascii="宋体" w:hAnsi="宋体" w:eastAsia="Arial" w:cs="宋体"/>
          <w:b/>
          <w:bCs/>
          <w:color w:val="000000"/>
          <w:sz w:val="24"/>
          <w:highlight w:val="none"/>
        </w:rPr>
      </w:r>
      <w:r/>
    </w:p>
    <w:p>
      <w:pPr>
        <w:pStyle w:val="680"/>
        <w:ind w:firstLine="480"/>
        <w:jc w:val="left"/>
        <w:spacing w:line="360" w:lineRule="auto"/>
        <w:widowControl/>
        <w:rPr>
          <w:rFonts w:hint="eastAsia" w:ascii="宋体" w:hAnsi="宋体" w:eastAsia="宋体" w:cs="宋体"/>
          <w:color w:val="000000"/>
          <w:sz w:val="24"/>
          <w:highlight w:val="none"/>
          <w:lang w:val="en-US" w:eastAsia="zh-CN"/>
        </w:rPr>
        <w:outlineLvl w:val="1"/>
      </w:pPr>
      <w:r>
        <w:rPr>
          <w:rFonts w:hint="eastAsia" w:ascii="宋体" w:hAnsi="宋体" w:cs="宋体"/>
          <w:color w:val="000000"/>
          <w:sz w:val="24"/>
          <w:highlight w:val="none"/>
          <w:lang w:val="en-US" w:eastAsia="zh-CN"/>
        </w:rPr>
        <w:t xml:space="preserve">12.1</w:t>
      </w:r>
      <w:r>
        <w:rPr>
          <w:rFonts w:hint="eastAsia" w:ascii="宋体" w:hAnsi="宋体" w:eastAsia="宋体" w:cs="宋体"/>
          <w:color w:val="000000"/>
          <w:sz w:val="24"/>
          <w:highlight w:val="none"/>
          <w:lang w:val="en-US" w:eastAsia="zh-CN"/>
        </w:rPr>
        <w:t xml:space="preserve">若设备功能无法满足合同要求，视为严重违约。采购方有权</w:t>
      </w:r>
      <w:r>
        <w:rPr>
          <w:rFonts w:hint="eastAsia" w:ascii="宋体" w:hAnsi="宋体" w:cs="宋体"/>
          <w:color w:val="000000"/>
          <w:sz w:val="24"/>
          <w:highlight w:val="none"/>
          <w:lang w:val="en-US" w:eastAsia="zh-CN"/>
        </w:rPr>
        <w:t xml:space="preserve">单方</w:t>
      </w:r>
      <w:r>
        <w:rPr>
          <w:rFonts w:hint="eastAsia" w:ascii="宋体" w:hAnsi="宋体" w:eastAsia="宋体" w:cs="宋体"/>
          <w:color w:val="000000"/>
          <w:sz w:val="24"/>
          <w:highlight w:val="none"/>
          <w:lang w:val="en-US" w:eastAsia="zh-CN"/>
        </w:rPr>
        <w:t xml:space="preserve">终止合同，并要求供应商全额退款或更换合格设备。</w:t>
      </w:r>
      <w:r>
        <w:rPr>
          <w:rFonts w:hint="eastAsia" w:ascii="宋体" w:hAnsi="宋体" w:eastAsia="宋体" w:cs="宋体"/>
          <w:color w:val="000000"/>
          <w:sz w:val="24"/>
          <w:highlight w:val="none"/>
          <w:lang w:val="en-US" w:eastAsia="zh-CN"/>
        </w:rPr>
      </w:r>
      <w:r/>
    </w:p>
    <w:p>
      <w:pPr>
        <w:pStyle w:val="680"/>
        <w:ind w:firstLine="480"/>
        <w:jc w:val="left"/>
        <w:spacing w:line="360" w:lineRule="auto"/>
        <w:widowControl/>
        <w:rPr>
          <w:rFonts w:hint="eastAsia" w:ascii="宋体" w:hAnsi="宋体" w:eastAsia="宋体" w:cs="宋体"/>
          <w:color w:val="000000"/>
          <w:sz w:val="24"/>
          <w:highlight w:val="none"/>
          <w:lang w:val="en-US" w:eastAsia="zh-CN"/>
        </w:rPr>
        <w:outlineLvl w:val="1"/>
      </w:pPr>
      <w:r>
        <w:rPr>
          <w:rFonts w:hint="eastAsia" w:ascii="宋体" w:hAnsi="宋体" w:cs="宋体"/>
          <w:color w:val="000000"/>
          <w:sz w:val="24"/>
          <w:highlight w:val="none"/>
          <w:lang w:val="en-US" w:eastAsia="zh-CN"/>
        </w:rPr>
        <w:t xml:space="preserve">12.2</w:t>
      </w:r>
      <w:r>
        <w:rPr>
          <w:rFonts w:hint="eastAsia" w:ascii="宋体" w:hAnsi="宋体" w:eastAsia="宋体" w:cs="宋体"/>
          <w:color w:val="000000"/>
          <w:sz w:val="24"/>
          <w:highlight w:val="none"/>
          <w:lang w:val="en-US" w:eastAsia="zh-CN"/>
        </w:rPr>
        <w:t xml:space="preserve">若因乙方原因导致项目延误，从迟交的第1周到第4周，每周迟延交付违约金为迟交合同设备价格的0.5%；从迟交的第5周到第8周，每周迟延交付违约金为迟交合同设备价格的1%；从迟交第9周起，每周迟延交付违约金为迟交合同设备价格的1.5%。（最高不超过10%）。</w:t>
      </w:r>
      <w:r>
        <w:rPr>
          <w:rFonts w:hint="eastAsia" w:ascii="宋体" w:hAnsi="宋体" w:eastAsia="宋体" w:cs="宋体"/>
          <w:color w:val="000000"/>
          <w:sz w:val="24"/>
          <w:highlight w:val="none"/>
          <w:lang w:val="en-US" w:eastAsia="zh-CN"/>
        </w:rPr>
      </w:r>
      <w:r/>
    </w:p>
    <w:p>
      <w:pPr>
        <w:pStyle w:val="680"/>
        <w:ind w:firstLine="480"/>
        <w:jc w:val="left"/>
        <w:spacing w:line="360" w:lineRule="auto"/>
        <w:widowControl/>
        <w:rPr>
          <w:rFonts w:ascii="宋体" w:hAnsi="宋体" w:eastAsia="宋体" w:cs="宋体"/>
          <w:color w:val="000000"/>
          <w:sz w:val="24"/>
          <w:highlight w:val="none"/>
          <w:lang w:val="en-US" w:eastAsia="zh-CN"/>
        </w:rPr>
        <w:outlineLvl w:val="1"/>
      </w:pPr>
      <w:r>
        <w:rPr>
          <w:rFonts w:hint="eastAsia" w:ascii="宋体" w:hAnsi="宋体" w:cs="宋体"/>
          <w:color w:val="000000"/>
          <w:sz w:val="24"/>
          <w:highlight w:val="none"/>
          <w:lang w:val="en-US" w:eastAsia="zh-CN"/>
        </w:rPr>
        <w:t xml:space="preserve">12.3 12.4</w:t>
      </w:r>
      <w:r>
        <w:rPr>
          <w:rFonts w:hint="eastAsia" w:ascii="宋体" w:hAnsi="宋体" w:cs="宋体"/>
          <w:color w:val="000000"/>
          <w:sz w:val="24"/>
          <w:highlight w:val="none"/>
        </w:rPr>
        <w:t xml:space="preserve">乙方</w:t>
      </w:r>
      <w:r>
        <w:rPr>
          <w:rFonts w:hint="eastAsia" w:ascii="宋体" w:hAnsi="宋体" w:cs="宋体"/>
          <w:color w:val="000000"/>
          <w:sz w:val="24"/>
          <w:highlight w:val="none"/>
          <w:lang w:val="en-US" w:eastAsia="zh-CN"/>
        </w:rPr>
        <w:t xml:space="preserve">违约的</w:t>
      </w:r>
      <w:r>
        <w:rPr>
          <w:rFonts w:ascii="宋体" w:hAnsi="宋体" w:eastAsia="宋体" w:cs="宋体"/>
          <w:i w:val="0"/>
          <w:iCs w:val="0"/>
          <w:caps w:val="0"/>
          <w:color w:val="000000"/>
          <w:spacing w:val="0"/>
          <w:sz w:val="24"/>
          <w:szCs w:val="24"/>
          <w:highlight w:val="none"/>
          <w:u w:val="none"/>
          <w:lang w:val="en-US" w:eastAsia="zh-CN" w:bidi="ar"/>
        </w:rPr>
        <w:t xml:space="preserve">，</w:t>
      </w:r>
      <w:r>
        <w:rPr>
          <w:rFonts w:hint="eastAsia" w:ascii="宋体" w:hAnsi="宋体" w:eastAsia="宋体" w:cs="宋体"/>
          <w:i w:val="0"/>
          <w:iCs w:val="0"/>
          <w:caps w:val="0"/>
          <w:color w:val="000000"/>
          <w:spacing w:val="0"/>
          <w:sz w:val="24"/>
          <w:szCs w:val="24"/>
          <w:highlight w:val="none"/>
          <w:u w:val="none"/>
          <w:lang w:val="en-US" w:eastAsia="zh-CN" w:bidi="ar"/>
        </w:rPr>
        <w:t xml:space="preserve">还需</w:t>
      </w:r>
      <w:r>
        <w:rPr>
          <w:rFonts w:ascii="宋体" w:hAnsi="宋体" w:eastAsia="宋体" w:cs="宋体"/>
          <w:i w:val="0"/>
          <w:iCs w:val="0"/>
          <w:caps w:val="0"/>
          <w:color w:val="000000"/>
          <w:spacing w:val="0"/>
          <w:sz w:val="24"/>
          <w:szCs w:val="24"/>
          <w:highlight w:val="none"/>
          <w:u w:val="none"/>
          <w:lang w:val="en-US" w:eastAsia="zh-CN" w:bidi="ar"/>
        </w:rPr>
        <w:t xml:space="preserve">承担甲方因此支付的赔偿金、违约金、律师费、诉讼费、保全费及其他相关合理费用。</w:t>
      </w:r>
      <w:r>
        <w:rPr>
          <w:rFonts w:ascii="宋体" w:hAnsi="宋体" w:eastAsia="宋体" w:cs="宋体"/>
          <w:color w:val="000000"/>
          <w:sz w:val="24"/>
          <w:highlight w:val="none"/>
          <w:lang w:val="en-US" w:eastAsia="zh-CN"/>
        </w:rPr>
      </w:r>
      <w:r/>
    </w:p>
    <w:p>
      <w:pPr>
        <w:pStyle w:val="680"/>
        <w:ind w:firstLine="480"/>
        <w:jc w:val="left"/>
        <w:spacing w:line="360" w:lineRule="auto"/>
        <w:widowControl/>
        <w:rPr>
          <w:rFonts w:ascii="宋体" w:hAnsi="宋体" w:eastAsia="Arial" w:cs="宋体"/>
          <w:b/>
          <w:bCs/>
          <w:color w:val="000000"/>
          <w:sz w:val="24"/>
          <w:highlight w:val="none"/>
        </w:rPr>
        <w:outlineLvl w:val="1"/>
      </w:pPr>
      <w:r>
        <w:rPr>
          <w:rFonts w:hint="eastAsia" w:ascii="宋体" w:hAnsi="宋体" w:cs="宋体"/>
          <w:b/>
          <w:bCs/>
          <w:color w:val="000000"/>
          <w:sz w:val="24"/>
          <w:highlight w:val="none"/>
        </w:rPr>
        <w:t xml:space="preserve">十三、不可抗力事件处理</w:t>
      </w:r>
      <w:r>
        <w:rPr>
          <w:rFonts w:ascii="宋体" w:hAnsi="宋体" w:eastAsia="Arial" w:cs="宋体"/>
          <w:b/>
          <w:bCs/>
          <w:color w:val="000000"/>
          <w:sz w:val="24"/>
          <w:highlight w:val="none"/>
        </w:rPr>
      </w:r>
      <w:r/>
    </w:p>
    <w:p>
      <w:pPr>
        <w:pStyle w:val="680"/>
        <w:ind w:firstLine="480"/>
        <w:jc w:val="left"/>
        <w:spacing w:line="360" w:lineRule="auto"/>
        <w:widowControl/>
        <w:rPr>
          <w:rFonts w:ascii="宋体" w:hAnsi="宋体" w:eastAsia="Arial" w:cs="宋体"/>
          <w:color w:val="000000"/>
          <w:sz w:val="24"/>
          <w:highlight w:val="none"/>
        </w:rPr>
      </w:pPr>
      <w:r>
        <w:rPr>
          <w:rFonts w:hint="eastAsia" w:ascii="宋体" w:hAnsi="宋体" w:eastAsia="Arial" w:cs="宋体"/>
          <w:color w:val="000000"/>
          <w:sz w:val="24"/>
          <w:highlight w:val="none"/>
        </w:rPr>
        <w:t xml:space="preserve">1</w:t>
      </w:r>
      <w:r>
        <w:rPr>
          <w:rFonts w:hint="eastAsia" w:ascii="宋体" w:hAnsi="宋体" w:cs="宋体"/>
          <w:color w:val="000000"/>
          <w:sz w:val="24"/>
          <w:highlight w:val="none"/>
        </w:rPr>
        <w:t xml:space="preserve">3</w:t>
      </w:r>
      <w:r>
        <w:rPr>
          <w:rFonts w:hint="eastAsia" w:ascii="宋体" w:hAnsi="宋体" w:eastAsia="Arial" w:cs="宋体"/>
          <w:color w:val="000000"/>
          <w:sz w:val="24"/>
          <w:highlight w:val="none"/>
        </w:rPr>
        <w:t xml:space="preserve">.1</w:t>
      </w:r>
      <w:r>
        <w:rPr>
          <w:rFonts w:hint="eastAsia" w:ascii="宋体" w:hAnsi="宋体" w:cs="宋体"/>
          <w:color w:val="000000"/>
          <w:sz w:val="24"/>
          <w:highlight w:val="none"/>
        </w:rPr>
        <w:t xml:space="preserve">在合同有效期内，任何一方因不可抗力事件导致不能履行合同，则合同履行期可延长，其延长期与不可抗力影响期相同。</w:t>
      </w:r>
      <w:r>
        <w:rPr>
          <w:rFonts w:ascii="宋体" w:hAnsi="宋体" w:eastAsia="Arial" w:cs="宋体"/>
          <w:color w:val="000000"/>
          <w:sz w:val="24"/>
          <w:highlight w:val="none"/>
        </w:rPr>
      </w:r>
      <w:r/>
    </w:p>
    <w:p>
      <w:pPr>
        <w:pStyle w:val="680"/>
        <w:ind w:firstLine="480"/>
        <w:jc w:val="left"/>
        <w:spacing w:line="360" w:lineRule="auto"/>
        <w:widowControl/>
        <w:rPr>
          <w:rFonts w:ascii="宋体" w:hAnsi="宋体" w:eastAsia="Arial" w:cs="宋体"/>
          <w:color w:val="000000"/>
          <w:sz w:val="24"/>
          <w:highlight w:val="none"/>
        </w:rPr>
      </w:pPr>
      <w:r>
        <w:rPr>
          <w:rFonts w:hint="eastAsia" w:ascii="宋体" w:hAnsi="宋体" w:eastAsia="Arial" w:cs="宋体"/>
          <w:color w:val="000000"/>
          <w:sz w:val="24"/>
          <w:highlight w:val="none"/>
        </w:rPr>
        <w:t xml:space="preserve">1</w:t>
      </w:r>
      <w:r>
        <w:rPr>
          <w:rFonts w:hint="eastAsia" w:ascii="宋体" w:hAnsi="宋体" w:cs="宋体"/>
          <w:color w:val="000000"/>
          <w:sz w:val="24"/>
          <w:highlight w:val="none"/>
        </w:rPr>
        <w:t xml:space="preserve">3</w:t>
      </w:r>
      <w:r>
        <w:rPr>
          <w:rFonts w:hint="eastAsia" w:ascii="宋体" w:hAnsi="宋体" w:eastAsia="Arial" w:cs="宋体"/>
          <w:color w:val="000000"/>
          <w:sz w:val="24"/>
          <w:highlight w:val="none"/>
        </w:rPr>
        <w:t xml:space="preserve">.2</w:t>
      </w:r>
      <w:r>
        <w:rPr>
          <w:rFonts w:hint="eastAsia" w:ascii="宋体" w:hAnsi="宋体" w:cs="宋体"/>
          <w:color w:val="000000"/>
          <w:sz w:val="24"/>
          <w:highlight w:val="none"/>
        </w:rPr>
        <w:t xml:space="preserve">不可抗力事件发生后，应立即通知对方，并寄送有关权威机构出具的证明。</w:t>
      </w:r>
      <w:r>
        <w:rPr>
          <w:rFonts w:ascii="宋体" w:hAnsi="宋体" w:eastAsia="Arial" w:cs="宋体"/>
          <w:color w:val="000000"/>
          <w:sz w:val="24"/>
          <w:highlight w:val="none"/>
        </w:rPr>
      </w:r>
      <w:r/>
    </w:p>
    <w:p>
      <w:pPr>
        <w:pStyle w:val="680"/>
        <w:ind w:firstLine="480"/>
        <w:jc w:val="left"/>
        <w:spacing w:line="360" w:lineRule="auto"/>
        <w:widowControl/>
        <w:rPr>
          <w:rFonts w:hint="eastAsia" w:ascii="宋体" w:hAnsi="宋体" w:cs="宋体"/>
          <w:color w:val="000000"/>
          <w:sz w:val="24"/>
          <w:highlight w:val="none"/>
        </w:rPr>
      </w:pPr>
      <w:r>
        <w:rPr>
          <w:rFonts w:hint="eastAsia" w:ascii="宋体" w:hAnsi="宋体" w:eastAsia="Arial" w:cs="宋体"/>
          <w:color w:val="000000"/>
          <w:sz w:val="24"/>
          <w:highlight w:val="none"/>
        </w:rPr>
        <w:t xml:space="preserve">1</w:t>
      </w:r>
      <w:r>
        <w:rPr>
          <w:rFonts w:hint="eastAsia" w:ascii="宋体" w:hAnsi="宋体" w:cs="宋体"/>
          <w:color w:val="000000"/>
          <w:sz w:val="24"/>
          <w:highlight w:val="none"/>
        </w:rPr>
        <w:t xml:space="preserve">3</w:t>
      </w:r>
      <w:r>
        <w:rPr>
          <w:rFonts w:hint="eastAsia" w:ascii="宋体" w:hAnsi="宋体" w:eastAsia="Arial" w:cs="宋体"/>
          <w:color w:val="000000"/>
          <w:sz w:val="24"/>
          <w:highlight w:val="none"/>
        </w:rPr>
        <w:t xml:space="preserve">.3</w:t>
      </w:r>
      <w:r>
        <w:rPr>
          <w:rFonts w:hint="eastAsia" w:ascii="宋体" w:hAnsi="宋体" w:cs="宋体"/>
          <w:color w:val="000000"/>
          <w:sz w:val="24"/>
          <w:highlight w:val="none"/>
        </w:rPr>
        <w:t xml:space="preserve">不可抗力事件延续</w:t>
      </w:r>
      <w:r>
        <w:rPr>
          <w:rFonts w:hint="eastAsia" w:ascii="宋体" w:hAnsi="宋体" w:eastAsia="Arial" w:cs="宋体"/>
          <w:color w:val="000000"/>
          <w:sz w:val="24"/>
          <w:highlight w:val="none"/>
        </w:rPr>
        <w:t xml:space="preserve">120</w:t>
      </w:r>
      <w:r>
        <w:rPr>
          <w:rFonts w:hint="eastAsia" w:ascii="宋体" w:hAnsi="宋体" w:cs="宋体"/>
          <w:color w:val="000000"/>
          <w:sz w:val="24"/>
          <w:highlight w:val="none"/>
        </w:rPr>
        <w:t xml:space="preserve">天以上，双方应通过友好协商，确定是否继续履行合同。</w:t>
      </w:r>
      <w:r>
        <w:rPr>
          <w:rFonts w:hint="eastAsia" w:ascii="宋体" w:hAnsi="宋体" w:cs="宋体"/>
          <w:color w:val="000000"/>
          <w:sz w:val="24"/>
          <w:highlight w:val="none"/>
        </w:rPr>
      </w:r>
      <w:r/>
    </w:p>
    <w:p>
      <w:pPr>
        <w:pStyle w:val="680"/>
        <w:ind w:firstLine="480"/>
        <w:jc w:val="left"/>
        <w:spacing w:line="360" w:lineRule="auto"/>
        <w:widowControl/>
        <w:rPr>
          <w:rFonts w:ascii="宋体" w:hAnsi="宋体" w:eastAsia="Arial" w:cs="宋体"/>
          <w:color w:val="000000"/>
          <w:sz w:val="24"/>
          <w:highlight w:val="none"/>
          <w:lang w:val="en-US" w:eastAsia="zh-CN"/>
        </w:rPr>
      </w:pPr>
      <w:r>
        <w:rPr>
          <w:rFonts w:hint="eastAsia" w:ascii="宋体" w:hAnsi="宋体" w:eastAsia="Arial" w:cs="宋体"/>
          <w:color w:val="000000"/>
          <w:sz w:val="24"/>
          <w:highlight w:val="none"/>
          <w:lang w:val="en-US" w:eastAsia="zh-CN"/>
        </w:rPr>
        <w:t xml:space="preserve">13.4</w:t>
      </w:r>
      <w:r>
        <w:rPr>
          <w:rFonts w:ascii="宋体" w:hAnsi="宋体" w:eastAsia="Arial" w:cs="宋体"/>
          <w:color w:val="000000"/>
          <w:sz w:val="24"/>
          <w:highlight w:val="none"/>
          <w:lang w:val="en-US" w:eastAsia="zh-CN"/>
        </w:rPr>
        <w:t xml:space="preserve">不可抗力仅指不能预见、不能避免、不能克服的极端事件，且乙方必须提供气象、海事、政府等权威证明。</w:t>
      </w:r>
      <w:r>
        <w:rPr>
          <w:rFonts w:ascii="宋体" w:hAnsi="宋体" w:eastAsia="Arial" w:cs="宋体"/>
          <w:color w:val="000000"/>
          <w:sz w:val="24"/>
          <w:highlight w:val="none"/>
          <w:lang w:val="en-US" w:eastAsia="zh-CN"/>
        </w:rPr>
      </w:r>
      <w:r/>
    </w:p>
    <w:p>
      <w:pPr>
        <w:pStyle w:val="680"/>
        <w:ind w:firstLine="480"/>
        <w:jc w:val="left"/>
        <w:spacing w:line="360" w:lineRule="auto"/>
        <w:widowControl/>
        <w:rPr>
          <w:rFonts w:hint="eastAsia" w:ascii="宋体" w:hAnsi="宋体" w:cs="宋体"/>
          <w:color w:val="000000"/>
          <w:sz w:val="24"/>
          <w:highlight w:val="none"/>
        </w:rPr>
      </w:pPr>
      <w:r>
        <w:rPr>
          <w:rFonts w:hint="eastAsia" w:ascii="宋体" w:hAnsi="宋体" w:eastAsia="Arial" w:cs="宋体"/>
          <w:color w:val="000000"/>
          <w:sz w:val="24"/>
          <w:highlight w:val="none"/>
          <w:lang w:val="en-US" w:eastAsia="zh-CN"/>
        </w:rPr>
        <w:t xml:space="preserve">13.5 </w:t>
      </w:r>
      <w:r>
        <w:rPr>
          <w:rFonts w:ascii="宋体" w:hAnsi="宋体" w:eastAsia="Arial" w:cs="宋体"/>
          <w:color w:val="000000"/>
          <w:sz w:val="24"/>
          <w:highlight w:val="none"/>
          <w:lang w:val="en-US" w:eastAsia="zh-CN"/>
        </w:rPr>
        <w:t xml:space="preserve">乙方维护不到位、防范措施不足、锚泊系统不达标、巡检不及时等自身缺陷在先的，一律不得主张不可抗力免责。</w:t>
      </w:r>
      <w:r>
        <w:rPr>
          <w:rFonts w:hint="eastAsia" w:ascii="宋体" w:hAnsi="宋体" w:cs="宋体"/>
          <w:color w:val="000000"/>
          <w:sz w:val="24"/>
          <w:highlight w:val="none"/>
        </w:rPr>
      </w:r>
      <w:r/>
    </w:p>
    <w:p>
      <w:pPr>
        <w:pStyle w:val="680"/>
        <w:ind w:firstLine="480"/>
        <w:jc w:val="left"/>
        <w:spacing w:line="360" w:lineRule="auto"/>
        <w:widowControl/>
        <w:rPr>
          <w:rFonts w:ascii="宋体" w:hAnsi="宋体" w:eastAsia="Arial" w:cs="宋体"/>
          <w:b/>
          <w:bCs/>
          <w:color w:val="000000"/>
          <w:sz w:val="24"/>
          <w:highlight w:val="none"/>
        </w:rPr>
        <w:outlineLvl w:val="1"/>
      </w:pPr>
      <w:r>
        <w:rPr>
          <w:rFonts w:hint="eastAsia" w:ascii="宋体" w:hAnsi="宋体" w:cs="宋体"/>
          <w:b/>
          <w:bCs/>
          <w:color w:val="000000"/>
          <w:sz w:val="24"/>
          <w:highlight w:val="none"/>
        </w:rPr>
        <w:t xml:space="preserve">十四、解决争议的方法</w:t>
      </w:r>
      <w:r>
        <w:rPr>
          <w:rFonts w:ascii="宋体" w:hAnsi="宋体" w:eastAsia="Arial" w:cs="宋体"/>
          <w:b/>
          <w:bCs/>
          <w:color w:val="000000"/>
          <w:sz w:val="24"/>
          <w:highlight w:val="none"/>
        </w:rPr>
      </w:r>
      <w:r/>
    </w:p>
    <w:p>
      <w:pPr>
        <w:pStyle w:val="680"/>
        <w:ind w:firstLine="480"/>
        <w:jc w:val="left"/>
        <w:spacing w:line="360" w:lineRule="auto"/>
        <w:widowControl/>
        <w:rPr>
          <w:rFonts w:ascii="宋体" w:hAnsi="宋体" w:eastAsia="Arial" w:cs="宋体"/>
          <w:color w:val="000000"/>
          <w:sz w:val="24"/>
          <w:highlight w:val="none"/>
        </w:rPr>
      </w:pPr>
      <w:r>
        <w:rPr>
          <w:rFonts w:hint="eastAsia" w:ascii="宋体" w:hAnsi="宋体" w:eastAsia="Arial" w:cs="宋体"/>
          <w:color w:val="000000"/>
          <w:sz w:val="24"/>
          <w:highlight w:val="none"/>
        </w:rPr>
        <w:t xml:space="preserve">1</w:t>
      </w:r>
      <w:r>
        <w:rPr>
          <w:rFonts w:hint="eastAsia" w:ascii="宋体" w:hAnsi="宋体" w:cs="宋体"/>
          <w:color w:val="000000"/>
          <w:sz w:val="24"/>
          <w:highlight w:val="none"/>
        </w:rPr>
        <w:t xml:space="preserve">4</w:t>
      </w:r>
      <w:r>
        <w:rPr>
          <w:rFonts w:hint="eastAsia" w:ascii="宋体" w:hAnsi="宋体" w:eastAsia="Arial" w:cs="宋体"/>
          <w:color w:val="000000"/>
          <w:sz w:val="24"/>
          <w:highlight w:val="none"/>
        </w:rPr>
        <w:t xml:space="preserve">.1</w:t>
      </w:r>
      <w:r>
        <w:rPr>
          <w:rFonts w:hint="eastAsia" w:ascii="宋体" w:hAnsi="宋体" w:cs="宋体"/>
          <w:color w:val="000000"/>
          <w:sz w:val="24"/>
          <w:highlight w:val="none"/>
        </w:rPr>
        <w:t xml:space="preserve">双方在签订、履行合同中所发生的一切争议，应通过友好协商解决。如协商不成，由甲方住所地人民法院管辖。</w:t>
      </w:r>
      <w:r>
        <w:rPr>
          <w:rFonts w:ascii="宋体" w:hAnsi="宋体" w:eastAsia="Arial" w:cs="宋体"/>
          <w:color w:val="000000"/>
          <w:sz w:val="24"/>
          <w:highlight w:val="none"/>
        </w:rPr>
      </w:r>
      <w:r/>
    </w:p>
    <w:p>
      <w:pPr>
        <w:pStyle w:val="680"/>
        <w:ind w:firstLine="480"/>
        <w:jc w:val="left"/>
        <w:spacing w:line="360" w:lineRule="auto"/>
        <w:widowControl/>
        <w:rPr>
          <w:rFonts w:ascii="宋体" w:hAnsi="宋体" w:eastAsia="Arial" w:cs="宋体"/>
          <w:b/>
          <w:bCs/>
          <w:color w:val="000000"/>
          <w:sz w:val="24"/>
          <w:highlight w:val="none"/>
        </w:rPr>
        <w:outlineLvl w:val="1"/>
      </w:pPr>
      <w:r>
        <w:rPr>
          <w:rFonts w:hint="eastAsia" w:ascii="宋体" w:hAnsi="宋体" w:cs="宋体"/>
          <w:b/>
          <w:bCs/>
          <w:color w:val="000000"/>
          <w:sz w:val="24"/>
          <w:highlight w:val="none"/>
        </w:rPr>
        <w:t xml:space="preserve">十五、合同生效及其它</w:t>
      </w:r>
      <w:r>
        <w:rPr>
          <w:rFonts w:ascii="宋体" w:hAnsi="宋体" w:eastAsia="Arial" w:cs="宋体"/>
          <w:b/>
          <w:bCs/>
          <w:color w:val="000000"/>
          <w:sz w:val="24"/>
          <w:highlight w:val="none"/>
        </w:rPr>
      </w:r>
      <w:r/>
    </w:p>
    <w:p>
      <w:pPr>
        <w:pStyle w:val="680"/>
        <w:ind w:firstLine="480"/>
        <w:jc w:val="left"/>
        <w:spacing w:line="360" w:lineRule="auto"/>
        <w:widowControl/>
        <w:rPr>
          <w:rFonts w:ascii="宋体" w:hAnsi="宋体" w:eastAsia="Arial" w:cs="宋体"/>
          <w:color w:val="000000"/>
          <w:sz w:val="24"/>
          <w:highlight w:val="none"/>
        </w:rPr>
      </w:pPr>
      <w:r>
        <w:rPr>
          <w:rFonts w:hint="eastAsia" w:ascii="宋体" w:hAnsi="宋体" w:eastAsia="Arial" w:cs="宋体"/>
          <w:color w:val="000000"/>
          <w:sz w:val="24"/>
          <w:highlight w:val="none"/>
        </w:rPr>
        <w:t xml:space="preserve">1</w:t>
      </w:r>
      <w:r>
        <w:rPr>
          <w:rFonts w:hint="eastAsia" w:ascii="宋体" w:hAnsi="宋体" w:cs="宋体"/>
          <w:color w:val="000000"/>
          <w:sz w:val="24"/>
          <w:highlight w:val="none"/>
        </w:rPr>
        <w:t xml:space="preserve">5</w:t>
      </w:r>
      <w:r>
        <w:rPr>
          <w:rFonts w:hint="eastAsia" w:ascii="宋体" w:hAnsi="宋体" w:eastAsia="Arial" w:cs="宋体"/>
          <w:color w:val="000000"/>
          <w:sz w:val="24"/>
          <w:highlight w:val="none"/>
        </w:rPr>
        <w:t xml:space="preserve">.1 </w:t>
      </w:r>
      <w:r>
        <w:rPr>
          <w:rFonts w:hint="eastAsia" w:ascii="宋体" w:hAnsi="宋体" w:cs="宋体"/>
          <w:color w:val="000000"/>
          <w:sz w:val="24"/>
          <w:highlight w:val="none"/>
        </w:rPr>
        <w:t xml:space="preserve">合同经双方法定代表人或</w:t>
      </w:r>
      <w:r>
        <w:rPr>
          <w:rFonts w:hint="eastAsia" w:ascii="宋体" w:hAnsi="宋体" w:cs="宋体"/>
          <w:color w:val="000000"/>
          <w:sz w:val="24"/>
          <w:highlight w:val="none"/>
          <w:lang w:val="en-US" w:eastAsia="zh-CN"/>
        </w:rPr>
        <w:t xml:space="preserve">委托代理人</w:t>
      </w:r>
      <w:r>
        <w:rPr>
          <w:rFonts w:hint="eastAsia" w:ascii="宋体" w:hAnsi="宋体" w:cs="宋体"/>
          <w:color w:val="000000"/>
          <w:sz w:val="24"/>
          <w:highlight w:val="none"/>
        </w:rPr>
        <w:t xml:space="preserve">签字并加盖单位公章后生效。</w:t>
      </w:r>
      <w:r>
        <w:rPr>
          <w:rFonts w:ascii="宋体" w:hAnsi="宋体" w:eastAsia="Arial" w:cs="宋体"/>
          <w:color w:val="000000"/>
          <w:sz w:val="24"/>
          <w:highlight w:val="none"/>
        </w:rPr>
      </w:r>
      <w:r/>
    </w:p>
    <w:p>
      <w:pPr>
        <w:pStyle w:val="680"/>
        <w:ind w:firstLine="480"/>
        <w:jc w:val="left"/>
        <w:spacing w:line="360" w:lineRule="auto"/>
        <w:widowControl/>
        <w:rPr>
          <w:rFonts w:ascii="宋体" w:hAnsi="宋体" w:eastAsia="Arial" w:cs="宋体"/>
          <w:color w:val="000000"/>
          <w:sz w:val="24"/>
          <w:highlight w:val="none"/>
        </w:rPr>
      </w:pPr>
      <w:r>
        <w:rPr>
          <w:rFonts w:hint="eastAsia" w:ascii="宋体" w:hAnsi="宋体" w:eastAsia="Arial" w:cs="宋体"/>
          <w:color w:val="000000"/>
          <w:sz w:val="24"/>
          <w:highlight w:val="none"/>
        </w:rPr>
        <w:t xml:space="preserve">1</w:t>
      </w:r>
      <w:r>
        <w:rPr>
          <w:rFonts w:hint="eastAsia" w:ascii="宋体" w:hAnsi="宋体" w:cs="宋体"/>
          <w:color w:val="000000"/>
          <w:sz w:val="24"/>
          <w:highlight w:val="none"/>
        </w:rPr>
        <w:t xml:space="preserve">5</w:t>
      </w:r>
      <w:r>
        <w:rPr>
          <w:rFonts w:hint="eastAsia" w:ascii="宋体" w:hAnsi="宋体" w:eastAsia="Arial" w:cs="宋体"/>
          <w:color w:val="000000"/>
          <w:sz w:val="24"/>
          <w:highlight w:val="none"/>
        </w:rPr>
        <w:t xml:space="preserve">.2</w:t>
      </w:r>
      <w:r>
        <w:rPr>
          <w:rFonts w:hint="eastAsia" w:ascii="宋体" w:hAnsi="宋体" w:cs="宋体"/>
          <w:color w:val="000000"/>
          <w:sz w:val="24"/>
          <w:highlight w:val="none"/>
        </w:rPr>
        <w:t xml:space="preserve">本合同未尽事宜，遵照《民法典》、《政府采购法》有关条文执行。</w:t>
      </w:r>
      <w:r>
        <w:rPr>
          <w:rFonts w:ascii="宋体" w:hAnsi="宋体" w:eastAsia="Arial" w:cs="宋体"/>
          <w:color w:val="000000"/>
          <w:sz w:val="24"/>
          <w:highlight w:val="none"/>
        </w:rPr>
      </w:r>
      <w:r/>
    </w:p>
    <w:p>
      <w:pPr>
        <w:pStyle w:val="680"/>
        <w:ind w:firstLine="480"/>
        <w:jc w:val="left"/>
        <w:spacing w:line="360" w:lineRule="auto"/>
        <w:widowControl/>
        <w:rPr>
          <w:rFonts w:ascii="宋体" w:hAnsi="宋体" w:eastAsia="Arial" w:cs="宋体"/>
          <w:color w:val="000000"/>
          <w:sz w:val="24"/>
          <w:highlight w:val="none"/>
        </w:rPr>
      </w:pPr>
      <w:r>
        <w:rPr>
          <w:rFonts w:hint="eastAsia" w:ascii="宋体" w:hAnsi="宋体" w:eastAsia="Arial" w:cs="宋体"/>
          <w:color w:val="000000"/>
          <w:sz w:val="24"/>
          <w:highlight w:val="none"/>
        </w:rPr>
        <w:t xml:space="preserve">1</w:t>
      </w:r>
      <w:r>
        <w:rPr>
          <w:rFonts w:hint="eastAsia" w:ascii="宋体" w:hAnsi="宋体" w:cs="宋体"/>
          <w:color w:val="000000"/>
          <w:sz w:val="24"/>
          <w:highlight w:val="none"/>
        </w:rPr>
        <w:t xml:space="preserve">5</w:t>
      </w:r>
      <w:r>
        <w:rPr>
          <w:rFonts w:hint="eastAsia" w:ascii="宋体" w:hAnsi="宋体" w:eastAsia="Arial" w:cs="宋体"/>
          <w:color w:val="000000"/>
          <w:sz w:val="24"/>
          <w:highlight w:val="none"/>
        </w:rPr>
        <w:t xml:space="preserve">.3</w:t>
      </w:r>
      <w:r>
        <w:rPr>
          <w:rFonts w:hint="eastAsia" w:ascii="宋体" w:hAnsi="宋体" w:cs="宋体"/>
          <w:color w:val="000000"/>
          <w:sz w:val="24"/>
          <w:highlight w:val="none"/>
        </w:rPr>
        <w:t xml:space="preserve">本合同一式陆份，具有同等法律效力，甲方、乙方各执三份。</w:t>
      </w:r>
      <w:r>
        <w:rPr>
          <w:rFonts w:ascii="宋体" w:hAnsi="宋体" w:eastAsia="Arial" w:cs="宋体"/>
          <w:color w:val="000000"/>
          <w:sz w:val="24"/>
          <w:highlight w:val="none"/>
        </w:rPr>
      </w:r>
      <w:r/>
    </w:p>
    <w:p>
      <w:pPr>
        <w:pStyle w:val="680"/>
        <w:ind w:firstLine="480"/>
        <w:jc w:val="left"/>
        <w:spacing w:line="360" w:lineRule="auto"/>
        <w:widowControl/>
        <w:rPr>
          <w:rFonts w:ascii="宋体" w:hAnsi="宋体" w:eastAsia="Arial" w:cs="宋体"/>
          <w:color w:val="000000"/>
          <w:sz w:val="24"/>
          <w:highlight w:val="none"/>
        </w:rPr>
      </w:pPr>
      <w:r>
        <w:rPr>
          <w:rFonts w:ascii="宋体" w:hAnsi="宋体" w:eastAsia="Arial" w:cs="宋体"/>
          <w:color w:val="000000"/>
          <w:sz w:val="24"/>
          <w:highlight w:val="none"/>
        </w:rPr>
      </w:r>
      <w:r/>
    </w:p>
    <w:p>
      <w:pPr>
        <w:pStyle w:val="680"/>
        <w:ind w:firstLine="480"/>
        <w:jc w:val="left"/>
        <w:spacing w:line="360" w:lineRule="auto"/>
        <w:widowControl/>
        <w:rPr>
          <w:rFonts w:ascii="宋体" w:hAnsi="宋体" w:eastAsia="Arial" w:cs="宋体"/>
          <w:color w:val="000000"/>
          <w:sz w:val="24"/>
          <w:highlight w:val="none"/>
        </w:rPr>
      </w:pPr>
      <w:r>
        <w:rPr>
          <w:rFonts w:hint="eastAsia" w:ascii="宋体" w:hAnsi="宋体" w:cs="宋体"/>
          <w:color w:val="000000"/>
          <w:sz w:val="24"/>
          <w:highlight w:val="none"/>
        </w:rPr>
        <w:t xml:space="preserve">甲方：                          乙方：</w:t>
      </w:r>
      <w:r>
        <w:rPr>
          <w:rFonts w:ascii="宋体" w:hAnsi="宋体" w:eastAsia="Arial" w:cs="宋体"/>
          <w:color w:val="000000"/>
          <w:sz w:val="24"/>
          <w:highlight w:val="none"/>
        </w:rPr>
      </w:r>
      <w:r/>
    </w:p>
    <w:p>
      <w:pPr>
        <w:pStyle w:val="680"/>
        <w:ind w:firstLine="480"/>
        <w:jc w:val="left"/>
        <w:spacing w:line="360" w:lineRule="auto"/>
        <w:widowControl/>
        <w:rPr>
          <w:rFonts w:ascii="宋体" w:hAnsi="宋体" w:eastAsia="Arial" w:cs="宋体"/>
          <w:color w:val="000000"/>
          <w:sz w:val="24"/>
          <w:highlight w:val="none"/>
        </w:rPr>
      </w:pPr>
      <w:r>
        <w:rPr>
          <w:rFonts w:hint="eastAsia" w:ascii="宋体" w:hAnsi="宋体" w:cs="宋体"/>
          <w:color w:val="000000"/>
          <w:sz w:val="24"/>
          <w:highlight w:val="none"/>
        </w:rPr>
        <w:t xml:space="preserve">地址：                          地址：</w:t>
      </w:r>
      <w:r>
        <w:rPr>
          <w:rFonts w:ascii="宋体" w:hAnsi="宋体" w:eastAsia="Arial" w:cs="宋体"/>
          <w:color w:val="000000"/>
          <w:sz w:val="24"/>
          <w:highlight w:val="none"/>
        </w:rPr>
      </w:r>
      <w:r/>
    </w:p>
    <w:p>
      <w:pPr>
        <w:pStyle w:val="680"/>
        <w:ind w:firstLine="480"/>
        <w:jc w:val="left"/>
        <w:spacing w:line="360" w:lineRule="auto"/>
        <w:widowControl/>
        <w:rPr>
          <w:rFonts w:ascii="宋体" w:hAnsi="宋体" w:eastAsia="Arial" w:cs="宋体"/>
          <w:color w:val="000000"/>
          <w:sz w:val="24"/>
          <w:highlight w:val="none"/>
        </w:rPr>
      </w:pPr>
      <w:r>
        <w:rPr>
          <w:rFonts w:hint="eastAsia" w:ascii="宋体" w:hAnsi="宋体" w:cs="宋体"/>
          <w:color w:val="000000"/>
          <w:sz w:val="24"/>
          <w:highlight w:val="none"/>
        </w:rPr>
        <w:t xml:space="preserve">法定代表人或</w:t>
      </w:r>
      <w:r>
        <w:rPr>
          <w:rFonts w:hint="eastAsia" w:ascii="宋体" w:hAnsi="宋体" w:cs="宋体"/>
          <w:color w:val="000000"/>
          <w:sz w:val="24"/>
          <w:highlight w:val="none"/>
          <w:lang w:val="en-US" w:eastAsia="zh-CN"/>
        </w:rPr>
        <w:t xml:space="preserve">委托代理人</w:t>
      </w:r>
      <w:r>
        <w:rPr>
          <w:rFonts w:hint="eastAsia" w:ascii="宋体" w:hAnsi="宋体" w:cs="宋体"/>
          <w:color w:val="000000"/>
          <w:sz w:val="24"/>
          <w:highlight w:val="none"/>
        </w:rPr>
        <w:t xml:space="preserve">：        法定代表人或</w:t>
      </w:r>
      <w:r>
        <w:rPr>
          <w:rFonts w:hint="eastAsia" w:ascii="宋体" w:hAnsi="宋体" w:cs="宋体"/>
          <w:color w:val="000000"/>
          <w:sz w:val="24"/>
          <w:highlight w:val="none"/>
          <w:lang w:val="en-US" w:eastAsia="zh-CN"/>
        </w:rPr>
        <w:t xml:space="preserve">委托代理人</w:t>
      </w:r>
      <w:r>
        <w:rPr>
          <w:rFonts w:hint="eastAsia" w:ascii="宋体" w:hAnsi="宋体" w:cs="宋体"/>
          <w:color w:val="000000"/>
          <w:sz w:val="24"/>
          <w:highlight w:val="none"/>
        </w:rPr>
        <w:t xml:space="preserve">：</w:t>
      </w:r>
      <w:r>
        <w:rPr>
          <w:rFonts w:ascii="宋体" w:hAnsi="宋体" w:eastAsia="Arial" w:cs="宋体"/>
          <w:color w:val="000000"/>
          <w:sz w:val="24"/>
          <w:highlight w:val="none"/>
        </w:rPr>
      </w:r>
      <w:r/>
    </w:p>
    <w:p>
      <w:pPr>
        <w:pStyle w:val="680"/>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联系电话：                      联系电话：</w:t>
      </w:r>
      <w:r>
        <w:rPr>
          <w:rFonts w:ascii="宋体" w:hAnsi="宋体" w:cs="宋体"/>
          <w:color w:val="000000"/>
          <w:sz w:val="24"/>
          <w:highlight w:val="none"/>
        </w:rPr>
      </w:r>
      <w:r/>
    </w:p>
    <w:p>
      <w:pPr>
        <w:pStyle w:val="698"/>
        <w:jc w:val="center"/>
        <w:spacing w:before="145" w:beforeAutospacing="0" w:after="145" w:afterAutospacing="0" w:line="360" w:lineRule="auto"/>
        <w:rPr>
          <w:rFonts w:hint="eastAsia" w:ascii="宋体" w:hAnsi="宋体" w:cs="宋体"/>
          <w:color w:val="000000"/>
          <w:highlight w:val="none"/>
        </w:rPr>
        <w:sectPr>
          <w:footerReference w:type="default" r:id="rId9"/>
          <w:footnotePr/>
          <w:endnotePr/>
          <w:type w:val="nextPage"/>
          <w:pgSz w:w="11906" w:h="16838" w:orient="portrait"/>
          <w:pgMar w:top="1440" w:right="1800" w:bottom="1440" w:left="1800" w:header="851" w:footer="992" w:gutter="0"/>
          <w:pgNumType w:start="1"/>
          <w:cols w:num="1" w:sep="0" w:space="1701" w:equalWidth="1"/>
          <w:docGrid w:linePitch="360"/>
        </w:sectPr>
        <w:outlineLvl w:val="1"/>
      </w:pPr>
      <w:r>
        <w:rPr>
          <w:rFonts w:hint="eastAsia" w:ascii="宋体" w:hAnsi="宋体" w:cs="宋体"/>
          <w:color w:val="000000"/>
          <w:highlight w:val="none"/>
          <w:lang w:val="en-US" w:eastAsia="zh-CN"/>
        </w:rPr>
        <w:t xml:space="preserve">                           </w:t>
      </w:r>
      <w:r>
        <w:rPr>
          <w:rFonts w:hint="eastAsia" w:ascii="宋体" w:hAnsi="宋体" w:cs="宋体"/>
          <w:color w:val="000000"/>
          <w:highlight w:val="none"/>
        </w:rPr>
        <w:t xml:space="preserve">签订日期：   年   月   </w:t>
      </w:r>
      <w:r>
        <w:rPr>
          <w:rFonts w:hint="eastAsia" w:ascii="宋体" w:hAnsi="宋体" w:cs="宋体"/>
          <w:color w:val="000000"/>
          <w:highlight w:val="none"/>
        </w:rPr>
      </w:r>
      <w:r/>
    </w:p>
    <w:p>
      <w:pPr>
        <w:pStyle w:val="698"/>
        <w:jc w:val="both"/>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98"/>
        <w:jc w:val="center"/>
        <w:spacing w:before="120" w:beforeAutospacing="0" w:after="120" w:afterAutospacing="0" w:line="0" w:lineRule="atLeast"/>
        <w:rPr>
          <w:highlight w:val="none"/>
        </w:rPr>
      </w:pPr>
      <w:r>
        <w:rPr>
          <w:rFonts w:hint="eastAsia" w:ascii="黑体" w:hAnsi="宋体" w:eastAsia="黑体" w:cs="黑体"/>
          <w:color w:val="000000"/>
          <w:sz w:val="44"/>
          <w:szCs w:val="44"/>
          <w:highlight w:val="none"/>
        </w:rPr>
        <w:t xml:space="preserve">第</w:t>
      </w:r>
      <w:bookmarkEnd w:id="165"/>
      <w:r>
        <w:rPr>
          <w:rFonts w:hint="eastAsia" w:ascii="黑体" w:hAnsi="宋体" w:eastAsia="黑体" w:cs="黑体"/>
          <w:color w:val="000000"/>
          <w:sz w:val="44"/>
          <w:szCs w:val="44"/>
          <w:highlight w:val="none"/>
        </w:rPr>
        <w:t xml:space="preserve">四章 采购需求</w:t>
      </w:r>
      <w:bookmarkEnd w:id="160"/>
      <w:r/>
      <w:bookmarkEnd w:id="161"/>
      <w:r/>
      <w:bookmarkEnd w:id="162"/>
      <w:r/>
      <w:bookmarkEnd w:id="163"/>
      <w:r/>
      <w:bookmarkEnd w:id="164"/>
      <w:r>
        <w:rPr>
          <w:highlight w:val="none"/>
        </w:rPr>
      </w:r>
      <w:r/>
    </w:p>
    <w:p>
      <w:pPr>
        <w:pStyle w:val="698"/>
        <w:jc w:val="both"/>
        <w:spacing w:beforeAutospacing="0" w:afterAutospacing="0" w:line="0" w:lineRule="atLeast"/>
        <w:rPr>
          <w:rFonts w:hint="eastAsia" w:ascii="宋体" w:hAnsi="宋体" w:eastAsia="宋体" w:cs="宋体"/>
          <w:sz w:val="24"/>
          <w:szCs w:val="24"/>
          <w:highlight w:val="none"/>
          <w:shd w:val="clear" w:color="auto" w:fill="auto"/>
        </w:rPr>
      </w:pPr>
      <w:r/>
      <w:bookmarkStart w:id="167" w:name="_Toc26554093"/>
      <w:r/>
      <w:bookmarkStart w:id="168" w:name="_Toc49090575"/>
      <w:r>
        <w:rPr>
          <w:rFonts w:hint="eastAsia" w:ascii="宋体" w:hAnsi="宋体" w:eastAsia="宋体" w:cs="宋体"/>
          <w:color w:val="000000"/>
          <w:sz w:val="24"/>
          <w:szCs w:val="24"/>
          <w:highlight w:val="none"/>
        </w:rPr>
        <w:t xml:space="preserve">项目属性:货物类项目</w:t>
      </w:r>
      <w:r>
        <w:rPr>
          <w:rFonts w:hint="eastAsia" w:ascii="宋体" w:hAnsi="宋体" w:eastAsia="宋体" w:cs="宋体"/>
          <w:color w:val="000000"/>
          <w:sz w:val="24"/>
          <w:szCs w:val="24"/>
          <w:highlight w:val="none"/>
          <w:shd w:val="clear" w:color="auto" w:fill="auto"/>
        </w:rPr>
        <w:t xml:space="preserve">。</w:t>
      </w:r>
      <w:bookmarkEnd w:id="167"/>
      <w:r/>
      <w:bookmarkEnd w:id="168"/>
      <w:r>
        <w:rPr>
          <w:rFonts w:hint="eastAsia" w:ascii="宋体" w:hAnsi="宋体" w:eastAsia="宋体" w:cs="宋体"/>
          <w:sz w:val="24"/>
          <w:szCs w:val="24"/>
          <w:highlight w:val="none"/>
          <w:shd w:val="clear" w:color="auto" w:fill="auto"/>
        </w:rPr>
      </w:r>
      <w:r/>
    </w:p>
    <w:tbl>
      <w:tblPr>
        <w:tblW w:w="4998"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34"/>
        <w:gridCol w:w="1315"/>
        <w:gridCol w:w="6196"/>
        <w:gridCol w:w="729"/>
        <w:gridCol w:w="636"/>
      </w:tblGrid>
      <w:tr>
        <w:trPr>
          <w:trHeight w:val="840"/>
        </w:trPr>
        <w:tc>
          <w:tcPr>
            <w:tcW w:w="333"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序号</w:t>
            </w:r>
            <w:r>
              <w:rPr>
                <w:rFonts w:hint="eastAsia" w:ascii="宋体" w:hAnsi="宋体" w:eastAsia="宋体" w:cs="宋体"/>
                <w:b w:val="0"/>
                <w:bCs w:val="0"/>
                <w:i w:val="0"/>
                <w:iCs w:val="0"/>
                <w:color w:val="000000"/>
                <w:sz w:val="20"/>
                <w:szCs w:val="20"/>
                <w:highlight w:val="none"/>
                <w:u w:val="none"/>
              </w:rPr>
            </w:r>
            <w:r/>
          </w:p>
        </w:tc>
        <w:tc>
          <w:tcPr>
            <w:tcW w:w="691"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工程内容</w:t>
            </w:r>
            <w:r>
              <w:rPr>
                <w:rFonts w:hint="eastAsia" w:ascii="宋体" w:hAnsi="宋体" w:eastAsia="宋体" w:cs="宋体"/>
                <w:b w:val="0"/>
                <w:bCs w:val="0"/>
                <w:i w:val="0"/>
                <w:iCs w:val="0"/>
                <w:color w:val="000000"/>
                <w:sz w:val="20"/>
                <w:szCs w:val="20"/>
                <w:highlight w:val="none"/>
                <w:u w:val="none"/>
              </w:rPr>
            </w:r>
            <w:r/>
          </w:p>
        </w:tc>
        <w:tc>
          <w:tcPr>
            <w:tcW w:w="3255"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规格参数</w:t>
            </w:r>
            <w:r>
              <w:rPr>
                <w:rFonts w:hint="eastAsia" w:ascii="宋体" w:hAnsi="宋体" w:eastAsia="宋体" w:cs="宋体"/>
                <w:b w:val="0"/>
                <w:bCs w:val="0"/>
                <w:i w:val="0"/>
                <w:iCs w:val="0"/>
                <w:color w:val="000000"/>
                <w:sz w:val="20"/>
                <w:szCs w:val="20"/>
                <w:highlight w:val="none"/>
                <w:u w:val="none"/>
              </w:rPr>
            </w:r>
            <w:r/>
          </w:p>
        </w:tc>
        <w:tc>
          <w:tcPr>
            <w:tcW w:w="383"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单 位</w:t>
            </w:r>
            <w:r>
              <w:rPr>
                <w:rFonts w:hint="eastAsia" w:ascii="宋体" w:hAnsi="宋体" w:eastAsia="宋体" w:cs="宋体"/>
                <w:b w:val="0"/>
                <w:bCs w:val="0"/>
                <w:i w:val="0"/>
                <w:iCs w:val="0"/>
                <w:color w:val="000000"/>
                <w:sz w:val="20"/>
                <w:szCs w:val="20"/>
                <w:highlight w:val="none"/>
                <w:u w:val="none"/>
              </w:rPr>
            </w:r>
            <w:r/>
          </w:p>
        </w:tc>
        <w:tc>
          <w:tcPr>
            <w:tcW w:w="334"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数量</w:t>
            </w:r>
            <w:r>
              <w:rPr>
                <w:rFonts w:hint="eastAsia" w:ascii="宋体" w:hAnsi="宋体" w:eastAsia="宋体" w:cs="宋体"/>
                <w:b w:val="0"/>
                <w:bCs w:val="0"/>
                <w:i w:val="0"/>
                <w:iCs w:val="0"/>
                <w:color w:val="000000"/>
                <w:sz w:val="20"/>
                <w:szCs w:val="20"/>
                <w:highlight w:val="none"/>
                <w:u w:val="none"/>
              </w:rPr>
            </w:r>
            <w:r/>
          </w:p>
        </w:tc>
      </w:tr>
      <w:tr>
        <w:trPr>
          <w:trHeight w:val="2160"/>
        </w:trPr>
        <w:tc>
          <w:tcPr>
            <w:tcW w:w="333"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1</w:t>
            </w:r>
            <w:r>
              <w:rPr>
                <w:rFonts w:hint="eastAsia" w:ascii="宋体" w:hAnsi="宋体" w:eastAsia="宋体" w:cs="宋体"/>
                <w:b w:val="0"/>
                <w:bCs w:val="0"/>
                <w:i w:val="0"/>
                <w:iCs w:val="0"/>
                <w:color w:val="000000"/>
                <w:sz w:val="20"/>
                <w:szCs w:val="20"/>
                <w:highlight w:val="none"/>
                <w:u w:val="none"/>
              </w:rPr>
            </w:r>
            <w:r/>
          </w:p>
        </w:tc>
        <w:tc>
          <w:tcPr>
            <w:tcW w:w="691"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数据采集器(含北斗通讯机)</w:t>
            </w:r>
            <w:r>
              <w:rPr>
                <w:rFonts w:hint="eastAsia" w:ascii="宋体" w:hAnsi="宋体" w:eastAsia="宋体" w:cs="宋体"/>
                <w:b w:val="0"/>
                <w:bCs w:val="0"/>
                <w:i w:val="0"/>
                <w:iCs w:val="0"/>
                <w:color w:val="000000"/>
                <w:sz w:val="20"/>
                <w:szCs w:val="20"/>
                <w:highlight w:val="none"/>
                <w:u w:val="none"/>
              </w:rPr>
            </w:r>
            <w:r/>
          </w:p>
        </w:tc>
        <w:tc>
          <w:tcPr>
            <w:tcW w:w="3255"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1.国产设备,系统包括主板以及存储卡等。能采集海流(单点+剖面:流速、流向)、波浪(</w:t>
            </w:r>
            <w:r>
              <w:rPr>
                <w:rFonts w:hint="eastAsia" w:ascii="宋体" w:hAnsi="宋体" w:eastAsia="宋体" w:cs="宋体"/>
                <w:b w:val="0"/>
                <w:bCs w:val="0"/>
                <w:color w:val="000000"/>
                <w:sz w:val="20"/>
                <w:szCs w:val="20"/>
                <w:highlight w:val="none"/>
                <w:lang w:val="en-US" w:eastAsia="zh-CN"/>
              </w:rPr>
              <w:t xml:space="preserve">流量、沉积物粒度、</w:t>
            </w:r>
            <w:r>
              <w:rPr>
                <w:rFonts w:hint="eastAsia" w:ascii="宋体" w:hAnsi="宋体" w:eastAsia="宋体" w:cs="宋体"/>
                <w:b w:val="0"/>
                <w:bCs w:val="0"/>
                <w:i w:val="0"/>
                <w:iCs w:val="0"/>
                <w:color w:val="000000"/>
                <w:sz w:val="20"/>
                <w:szCs w:val="20"/>
                <w:highlight w:val="none"/>
                <w:u w:val="none"/>
                <w:lang w:val="en-US" w:eastAsia="zh-CN" w:bidi="ar"/>
              </w:rPr>
              <w:t xml:space="preserve">波高、波向、波周期)相对湿度、风速、风向、气压、气温、水质(叶绿素、浊度、溶解氧、PH、水温、盐度)等要素的数据。2.存储卡容量</w:t>
            </w:r>
            <w:r>
              <w:rPr>
                <w:rFonts w:hint="eastAsia" w:ascii="宋体" w:hAnsi="宋体" w:cs="宋体"/>
                <w:b w:val="0"/>
                <w:bCs w:val="0"/>
                <w:i w:val="0"/>
                <w:iCs w:val="0"/>
                <w:color w:val="000000"/>
                <w:sz w:val="20"/>
                <w:szCs w:val="20"/>
                <w:highlight w:val="none"/>
                <w:u w:val="none"/>
                <w:lang w:val="en-US" w:eastAsia="zh-CN" w:bidi="ar"/>
              </w:rPr>
              <w:t xml:space="preserve">16</w:t>
            </w:r>
            <w:r>
              <w:rPr>
                <w:rFonts w:hint="eastAsia" w:ascii="宋体" w:hAnsi="宋体" w:eastAsia="宋体" w:cs="宋体"/>
                <w:b w:val="0"/>
                <w:bCs w:val="0"/>
                <w:i w:val="0"/>
                <w:iCs w:val="0"/>
                <w:color w:val="000000"/>
                <w:sz w:val="20"/>
                <w:szCs w:val="20"/>
                <w:highlight w:val="none"/>
                <w:u w:val="none"/>
                <w:lang w:val="en-US" w:eastAsia="zh-CN" w:bidi="ar"/>
              </w:rPr>
              <w:t xml:space="preserve">GB及以上,应保证能够储存</w:t>
            </w:r>
            <w:r>
              <w:rPr>
                <w:rFonts w:hint="eastAsia" w:ascii="宋体" w:hAnsi="宋体" w:cs="宋体"/>
                <w:b w:val="0"/>
                <w:bCs w:val="0"/>
                <w:i w:val="0"/>
                <w:iCs w:val="0"/>
                <w:color w:val="000000"/>
                <w:sz w:val="20"/>
                <w:szCs w:val="20"/>
                <w:highlight w:val="none"/>
                <w:u w:val="none"/>
                <w:lang w:val="en-US" w:eastAsia="zh-CN" w:bidi="ar"/>
              </w:rPr>
              <w:t xml:space="preserve">5</w:t>
            </w:r>
            <w:r>
              <w:rPr>
                <w:rFonts w:hint="eastAsia" w:ascii="宋体" w:hAnsi="宋体" w:eastAsia="宋体" w:cs="宋体"/>
                <w:b w:val="0"/>
                <w:bCs w:val="0"/>
                <w:i w:val="0"/>
                <w:iCs w:val="0"/>
                <w:color w:val="000000"/>
                <w:sz w:val="20"/>
                <w:szCs w:val="20"/>
                <w:highlight w:val="none"/>
                <w:u w:val="none"/>
                <w:lang w:val="en-US" w:eastAsia="zh-CN" w:bidi="ar"/>
              </w:rPr>
              <w:t xml:space="preserve">年以上的气象数据以及波浪、海流原始采样数据。3.采集处理器应能根据一定的时序控制各类传感器的加、断电,采集及处理各类传感器的信号,浮标实时观测数据及时存储于存储卡中,并将处理后的数据通过北斗卫星通信系统和CDMA(或GPRS)传输系统发送到用户的接收站,将原始数据保存到数据库中。4.系统应预留扩容接口,可提供扩展要素的观测。</w:t>
            </w:r>
            <w:r>
              <w:rPr>
                <w:rFonts w:hint="eastAsia" w:ascii="宋体" w:hAnsi="宋体" w:eastAsia="宋体" w:cs="宋体"/>
                <w:b w:val="0"/>
                <w:bCs w:val="0"/>
                <w:i w:val="0"/>
                <w:iCs w:val="0"/>
                <w:color w:val="000000"/>
                <w:sz w:val="20"/>
                <w:szCs w:val="20"/>
                <w:highlight w:val="none"/>
                <w:u w:val="none"/>
              </w:rPr>
            </w:r>
            <w:r/>
          </w:p>
        </w:tc>
        <w:tc>
          <w:tcPr>
            <w:tcW w:w="383"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套</w:t>
            </w:r>
            <w:r>
              <w:rPr>
                <w:rFonts w:hint="eastAsia" w:ascii="宋体" w:hAnsi="宋体" w:eastAsia="宋体" w:cs="宋体"/>
                <w:b w:val="0"/>
                <w:bCs w:val="0"/>
                <w:i w:val="0"/>
                <w:iCs w:val="0"/>
                <w:color w:val="000000"/>
                <w:sz w:val="20"/>
                <w:szCs w:val="20"/>
                <w:highlight w:val="none"/>
                <w:u w:val="none"/>
              </w:rPr>
            </w:r>
            <w:r/>
          </w:p>
        </w:tc>
        <w:tc>
          <w:tcPr>
            <w:tcW w:w="334"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2</w:t>
            </w:r>
            <w:r>
              <w:rPr>
                <w:rFonts w:hint="eastAsia" w:ascii="宋体" w:hAnsi="宋体" w:eastAsia="宋体" w:cs="宋体"/>
                <w:b w:val="0"/>
                <w:bCs w:val="0"/>
                <w:i w:val="0"/>
                <w:iCs w:val="0"/>
                <w:color w:val="000000"/>
                <w:sz w:val="20"/>
                <w:szCs w:val="20"/>
                <w:highlight w:val="none"/>
                <w:u w:val="none"/>
              </w:rPr>
            </w:r>
            <w:r/>
          </w:p>
        </w:tc>
      </w:tr>
      <w:tr>
        <w:trPr>
          <w:trHeight w:val="840"/>
        </w:trPr>
        <w:tc>
          <w:tcPr>
            <w:tcW w:w="333"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2</w:t>
            </w:r>
            <w:r>
              <w:rPr>
                <w:rFonts w:hint="eastAsia" w:ascii="宋体" w:hAnsi="宋体" w:eastAsia="宋体" w:cs="宋体"/>
                <w:b w:val="0"/>
                <w:bCs w:val="0"/>
                <w:i w:val="0"/>
                <w:iCs w:val="0"/>
                <w:color w:val="000000"/>
                <w:sz w:val="20"/>
                <w:szCs w:val="20"/>
                <w:highlight w:val="none"/>
                <w:u w:val="none"/>
              </w:rPr>
            </w:r>
            <w:r/>
          </w:p>
        </w:tc>
        <w:tc>
          <w:tcPr>
            <w:tcW w:w="691"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胶体铅酸电池</w:t>
            </w:r>
            <w:r>
              <w:rPr>
                <w:rFonts w:hint="eastAsia" w:ascii="宋体" w:hAnsi="宋体" w:eastAsia="宋体" w:cs="宋体"/>
                <w:b w:val="0"/>
                <w:bCs w:val="0"/>
                <w:i w:val="0"/>
                <w:iCs w:val="0"/>
                <w:color w:val="000000"/>
                <w:sz w:val="20"/>
                <w:szCs w:val="20"/>
                <w:highlight w:val="none"/>
                <w:u w:val="none"/>
              </w:rPr>
            </w:r>
            <w:r/>
          </w:p>
        </w:tc>
        <w:tc>
          <w:tcPr>
            <w:tcW w:w="3255"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总电量:≥24千瓦时（kWh）;电池输出:12V;电池容量:≥2000Ah</w:t>
            </w:r>
            <w:r>
              <w:rPr>
                <w:rFonts w:hint="eastAsia" w:ascii="宋体" w:hAnsi="宋体" w:cs="宋体"/>
                <w:b w:val="0"/>
                <w:bCs w:val="0"/>
                <w:i w:val="0"/>
                <w:iCs w:val="0"/>
                <w:color w:val="000000"/>
                <w:sz w:val="20"/>
                <w:szCs w:val="20"/>
                <w:highlight w:val="none"/>
                <w:u w:val="none"/>
                <w:lang w:val="en-US" w:eastAsia="zh-CN" w:bidi="ar"/>
              </w:rPr>
              <w:t xml:space="preserve">。</w:t>
            </w:r>
            <w:r>
              <w:rPr>
                <w:rFonts w:hint="eastAsia"/>
                <w:color w:val="000000"/>
                <w:highlight w:val="none"/>
              </w:rPr>
              <w:t xml:space="preserve">使命寿命不低于5年</w:t>
            </w:r>
            <w:r>
              <w:rPr>
                <w:rFonts w:hint="eastAsia" w:ascii="宋体" w:hAnsi="宋体" w:eastAsia="宋体" w:cs="宋体"/>
                <w:b w:val="0"/>
                <w:bCs w:val="0"/>
                <w:i w:val="0"/>
                <w:iCs w:val="0"/>
                <w:color w:val="000000"/>
                <w:sz w:val="20"/>
                <w:szCs w:val="20"/>
                <w:highlight w:val="none"/>
                <w:u w:val="none"/>
              </w:rPr>
            </w:r>
            <w:r/>
          </w:p>
        </w:tc>
        <w:tc>
          <w:tcPr>
            <w:tcW w:w="383"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套</w:t>
            </w:r>
            <w:r>
              <w:rPr>
                <w:rFonts w:hint="eastAsia" w:ascii="宋体" w:hAnsi="宋体" w:eastAsia="宋体" w:cs="宋体"/>
                <w:b w:val="0"/>
                <w:bCs w:val="0"/>
                <w:i w:val="0"/>
                <w:iCs w:val="0"/>
                <w:color w:val="000000"/>
                <w:sz w:val="20"/>
                <w:szCs w:val="20"/>
                <w:highlight w:val="none"/>
                <w:u w:val="none"/>
              </w:rPr>
            </w:r>
            <w:r/>
          </w:p>
        </w:tc>
        <w:tc>
          <w:tcPr>
            <w:tcW w:w="334"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cs="宋体"/>
                <w:b w:val="0"/>
                <w:bCs w:val="0"/>
                <w:i w:val="0"/>
                <w:iCs w:val="0"/>
                <w:color w:val="000000"/>
                <w:sz w:val="20"/>
                <w:szCs w:val="20"/>
                <w:highlight w:val="none"/>
                <w:u w:val="none"/>
                <w:lang w:val="en-US" w:eastAsia="zh-CN" w:bidi="ar"/>
              </w:rPr>
              <w:t xml:space="preserve">2</w:t>
            </w:r>
            <w:r>
              <w:rPr>
                <w:rFonts w:hint="eastAsia" w:ascii="宋体" w:hAnsi="宋体" w:eastAsia="宋体" w:cs="宋体"/>
                <w:b w:val="0"/>
                <w:bCs w:val="0"/>
                <w:i w:val="0"/>
                <w:iCs w:val="0"/>
                <w:color w:val="000000"/>
                <w:sz w:val="20"/>
                <w:szCs w:val="20"/>
                <w:highlight w:val="none"/>
                <w:u w:val="none"/>
              </w:rPr>
            </w:r>
            <w:r/>
          </w:p>
        </w:tc>
      </w:tr>
      <w:tr>
        <w:trPr>
          <w:trHeight w:val="1380"/>
        </w:trPr>
        <w:tc>
          <w:tcPr>
            <w:tcW w:w="333"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3</w:t>
            </w:r>
            <w:r>
              <w:rPr>
                <w:rFonts w:hint="eastAsia" w:ascii="宋体" w:hAnsi="宋体" w:eastAsia="宋体" w:cs="宋体"/>
                <w:b w:val="0"/>
                <w:bCs w:val="0"/>
                <w:i w:val="0"/>
                <w:iCs w:val="0"/>
                <w:color w:val="000000"/>
                <w:sz w:val="20"/>
                <w:szCs w:val="20"/>
                <w:highlight w:val="none"/>
                <w:u w:val="none"/>
              </w:rPr>
            </w:r>
            <w:r/>
          </w:p>
        </w:tc>
        <w:tc>
          <w:tcPr>
            <w:tcW w:w="691"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岸边站接收系统(含北斗通讯机)</w:t>
            </w:r>
            <w:r>
              <w:rPr>
                <w:rFonts w:hint="eastAsia" w:ascii="宋体" w:hAnsi="宋体" w:eastAsia="宋体" w:cs="宋体"/>
                <w:b w:val="0"/>
                <w:bCs w:val="0"/>
                <w:i w:val="0"/>
                <w:iCs w:val="0"/>
                <w:color w:val="000000"/>
                <w:sz w:val="20"/>
                <w:szCs w:val="20"/>
                <w:highlight w:val="none"/>
                <w:u w:val="none"/>
              </w:rPr>
            </w:r>
            <w:r/>
          </w:p>
        </w:tc>
        <w:tc>
          <w:tcPr>
            <w:tcW w:w="3255"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1.主机机柜,接收器、工控机、系统软件,防护箱具有防潮、防霉、防盐功能。2.机箱由抗腐蚀材料定制,内部装有电风扇和温度调节,箱体外部涂有特殊的油膜保护,适应海边恶劣环境下的长期应用,保护内部仪器不受气候和盐雾环境影响,保持测量数据的准确性。3.室外防护箱内部须放置数据采集器、蓄电池及其它附件(供电、通讯模块、电缆等箱内尺寸应满足要求。</w:t>
            </w:r>
            <w:r>
              <w:rPr>
                <w:rFonts w:hint="eastAsia" w:ascii="宋体" w:hAnsi="宋体" w:eastAsia="宋体" w:cs="宋体"/>
                <w:b w:val="0"/>
                <w:bCs w:val="0"/>
                <w:i w:val="0"/>
                <w:iCs w:val="0"/>
                <w:color w:val="000000"/>
                <w:sz w:val="20"/>
                <w:szCs w:val="20"/>
                <w:highlight w:val="none"/>
                <w:u w:val="none"/>
              </w:rPr>
            </w:r>
            <w:r/>
          </w:p>
        </w:tc>
        <w:tc>
          <w:tcPr>
            <w:tcW w:w="383"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个</w:t>
            </w:r>
            <w:r>
              <w:rPr>
                <w:rFonts w:hint="eastAsia" w:ascii="宋体" w:hAnsi="宋体" w:eastAsia="宋体" w:cs="宋体"/>
                <w:b w:val="0"/>
                <w:bCs w:val="0"/>
                <w:i w:val="0"/>
                <w:iCs w:val="0"/>
                <w:color w:val="000000"/>
                <w:sz w:val="20"/>
                <w:szCs w:val="20"/>
                <w:highlight w:val="none"/>
                <w:u w:val="none"/>
              </w:rPr>
            </w:r>
            <w:r/>
          </w:p>
        </w:tc>
        <w:tc>
          <w:tcPr>
            <w:tcW w:w="334"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1</w:t>
            </w:r>
            <w:r>
              <w:rPr>
                <w:rFonts w:hint="eastAsia" w:ascii="宋体" w:hAnsi="宋体" w:eastAsia="宋体" w:cs="宋体"/>
                <w:b w:val="0"/>
                <w:bCs w:val="0"/>
                <w:i w:val="0"/>
                <w:iCs w:val="0"/>
                <w:color w:val="000000"/>
                <w:sz w:val="20"/>
                <w:szCs w:val="20"/>
                <w:highlight w:val="none"/>
                <w:u w:val="none"/>
              </w:rPr>
            </w:r>
            <w:r/>
          </w:p>
        </w:tc>
      </w:tr>
      <w:tr>
        <w:trPr>
          <w:trHeight w:val="1080"/>
        </w:trPr>
        <w:tc>
          <w:tcPr>
            <w:tcW w:w="333"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4</w:t>
            </w:r>
            <w:r>
              <w:rPr>
                <w:rFonts w:hint="eastAsia" w:ascii="宋体" w:hAnsi="宋体" w:eastAsia="宋体" w:cs="宋体"/>
                <w:b w:val="0"/>
                <w:bCs w:val="0"/>
                <w:i w:val="0"/>
                <w:iCs w:val="0"/>
                <w:color w:val="000000"/>
                <w:sz w:val="20"/>
                <w:szCs w:val="20"/>
                <w:highlight w:val="none"/>
                <w:u w:val="none"/>
              </w:rPr>
            </w:r>
            <w:r/>
          </w:p>
        </w:tc>
        <w:tc>
          <w:tcPr>
            <w:tcW w:w="691"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路基气象百叶箱</w:t>
            </w:r>
            <w:r>
              <w:rPr>
                <w:rFonts w:hint="eastAsia" w:ascii="宋体" w:hAnsi="宋体" w:eastAsia="宋体" w:cs="宋体"/>
                <w:b w:val="0"/>
                <w:bCs w:val="0"/>
                <w:i w:val="0"/>
                <w:iCs w:val="0"/>
                <w:color w:val="000000"/>
                <w:sz w:val="20"/>
                <w:szCs w:val="20"/>
                <w:highlight w:val="none"/>
                <w:u w:val="none"/>
              </w:rPr>
            </w:r>
            <w:r/>
          </w:p>
        </w:tc>
        <w:tc>
          <w:tcPr>
            <w:tcW w:w="3255"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1.百叶箱:箱内容积:470(长)x465(宽)x615(高);2.外形尺寸:720(长)x780(宽)X880(高)(mm)</w:t>
            </w:r>
            <w:r>
              <w:rPr>
                <w:rFonts w:hint="eastAsia" w:ascii="宋体" w:hAnsi="宋体" w:cs="宋体"/>
                <w:b w:val="0"/>
                <w:bCs w:val="0"/>
                <w:i w:val="0"/>
                <w:iCs w:val="0"/>
                <w:color w:val="000000"/>
                <w:sz w:val="20"/>
                <w:szCs w:val="20"/>
                <w:highlight w:val="none"/>
                <w:u w:val="none"/>
                <w:lang w:val="en-US" w:eastAsia="zh-CN" w:bidi="ar"/>
              </w:rPr>
              <w:t xml:space="preserve">，</w:t>
            </w:r>
            <w:r>
              <w:rPr>
                <w:rFonts w:hint="eastAsia" w:ascii="宋体" w:hAnsi="宋体" w:cs="宋体"/>
                <w:color w:val="000000"/>
                <w:sz w:val="20"/>
                <w:highlight w:val="none"/>
                <w:u w:val="none"/>
                <w:lang w:bidi="ar"/>
              </w:rPr>
              <w:t xml:space="preserve">玻璃钢或者木材，通风隔板厚度12毫米</w:t>
            </w:r>
            <w:r>
              <w:rPr>
                <w:rFonts w:hint="eastAsia" w:ascii="宋体" w:hAnsi="宋体" w:eastAsia="宋体" w:cs="宋体"/>
                <w:b w:val="0"/>
                <w:bCs w:val="0"/>
                <w:i w:val="0"/>
                <w:iCs w:val="0"/>
                <w:color w:val="000000"/>
                <w:sz w:val="20"/>
                <w:szCs w:val="20"/>
                <w:highlight w:val="none"/>
                <w:u w:val="none"/>
                <w:lang w:val="en-US" w:eastAsia="zh-CN" w:bidi="ar"/>
              </w:rPr>
              <w:t xml:space="preserve">3.重量:30kg;4.支架:高度1230(mm);重量14kg;5.安装:圆盘底板上安装孔3-中13;6.圆周直径中410,120°等分;7.整体高度:2095mm。监测指标：</w:t>
            </w:r>
            <w:r>
              <w:rPr>
                <w:rFonts w:hint="eastAsia" w:ascii="宋体" w:hAnsi="宋体" w:eastAsia="宋体" w:cs="宋体"/>
                <w:b w:val="0"/>
                <w:bCs w:val="0"/>
                <w:color w:val="000000"/>
                <w:sz w:val="20"/>
                <w:szCs w:val="20"/>
                <w:highlight w:val="none"/>
                <w:lang w:val="en-US" w:eastAsia="zh-CN"/>
              </w:rPr>
              <w:t xml:space="preserve">气温、气压、空气相对湿度、降雨、风速、风向、光照强度</w:t>
            </w:r>
            <w:r>
              <w:rPr>
                <w:rFonts w:hint="eastAsia" w:ascii="宋体" w:hAnsi="宋体" w:eastAsia="宋体" w:cs="宋体"/>
                <w:b w:val="0"/>
                <w:bCs w:val="0"/>
                <w:i w:val="0"/>
                <w:iCs w:val="0"/>
                <w:color w:val="000000"/>
                <w:sz w:val="20"/>
                <w:szCs w:val="20"/>
                <w:highlight w:val="none"/>
                <w:u w:val="none"/>
              </w:rPr>
            </w:r>
            <w:r/>
          </w:p>
        </w:tc>
        <w:tc>
          <w:tcPr>
            <w:tcW w:w="383"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套</w:t>
            </w:r>
            <w:r>
              <w:rPr>
                <w:rFonts w:hint="eastAsia" w:ascii="宋体" w:hAnsi="宋体" w:eastAsia="宋体" w:cs="宋体"/>
                <w:b w:val="0"/>
                <w:bCs w:val="0"/>
                <w:i w:val="0"/>
                <w:iCs w:val="0"/>
                <w:color w:val="000000"/>
                <w:sz w:val="20"/>
                <w:szCs w:val="20"/>
                <w:highlight w:val="none"/>
                <w:u w:val="none"/>
              </w:rPr>
            </w:r>
            <w:r/>
          </w:p>
        </w:tc>
        <w:tc>
          <w:tcPr>
            <w:tcW w:w="334"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1</w:t>
            </w:r>
            <w:r>
              <w:rPr>
                <w:rFonts w:hint="eastAsia" w:ascii="宋体" w:hAnsi="宋体" w:eastAsia="宋体" w:cs="宋体"/>
                <w:b w:val="0"/>
                <w:bCs w:val="0"/>
                <w:i w:val="0"/>
                <w:iCs w:val="0"/>
                <w:color w:val="000000"/>
                <w:sz w:val="20"/>
                <w:szCs w:val="20"/>
                <w:highlight w:val="none"/>
                <w:u w:val="none"/>
              </w:rPr>
            </w:r>
            <w:r/>
          </w:p>
        </w:tc>
      </w:tr>
      <w:tr>
        <w:trPr>
          <w:trHeight w:val="1640"/>
        </w:trPr>
        <w:tc>
          <w:tcPr>
            <w:tcW w:w="333"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5</w:t>
            </w:r>
            <w:r>
              <w:rPr>
                <w:rFonts w:hint="eastAsia" w:ascii="宋体" w:hAnsi="宋体" w:eastAsia="宋体" w:cs="宋体"/>
                <w:b w:val="0"/>
                <w:bCs w:val="0"/>
                <w:i w:val="0"/>
                <w:iCs w:val="0"/>
                <w:color w:val="000000"/>
                <w:sz w:val="20"/>
                <w:szCs w:val="20"/>
                <w:highlight w:val="none"/>
                <w:u w:val="none"/>
              </w:rPr>
            </w:r>
            <w:r/>
          </w:p>
        </w:tc>
        <w:tc>
          <w:tcPr>
            <w:tcW w:w="691"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浮标体</w:t>
            </w:r>
            <w:r>
              <w:rPr>
                <w:rFonts w:hint="eastAsia" w:ascii="宋体" w:hAnsi="宋体" w:eastAsia="宋体" w:cs="宋体"/>
                <w:b w:val="0"/>
                <w:bCs w:val="0"/>
                <w:i w:val="0"/>
                <w:iCs w:val="0"/>
                <w:color w:val="000000"/>
                <w:sz w:val="20"/>
                <w:szCs w:val="20"/>
                <w:highlight w:val="none"/>
                <w:u w:val="none"/>
              </w:rPr>
            </w:r>
            <w:r/>
          </w:p>
        </w:tc>
        <w:tc>
          <w:tcPr>
            <w:tcW w:w="3255"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1.浮标体直径6m,;2.主体及内部支架采用316L不锈钢制作,含专业浮标涂层系统,且具有良好的抗挤压、抗撞击能力,强度高、结构可靠、重量轻,便于安装维护及运输、布设;3.浮标体上方安装警示锚灯等,浮体外表面层具有优异的耐水性、耐气候性和耐腐蚀性,至少有3个水下仪器井,同时预留扩展端口可进行其他要素的观测。4.寿命:浮标体设计寿命大于5年,每两年一次大修;5.工作周期:连续在位工作时间达2年以上</w:t>
            </w:r>
            <w:r>
              <w:rPr>
                <w:rFonts w:hint="eastAsia" w:ascii="宋体" w:hAnsi="宋体" w:eastAsia="宋体" w:cs="宋体"/>
                <w:b w:val="0"/>
                <w:bCs w:val="0"/>
                <w:i w:val="0"/>
                <w:iCs w:val="0"/>
                <w:color w:val="000000"/>
                <w:sz w:val="20"/>
                <w:szCs w:val="20"/>
                <w:highlight w:val="none"/>
                <w:u w:val="none"/>
              </w:rPr>
            </w:r>
            <w:r/>
          </w:p>
        </w:tc>
        <w:tc>
          <w:tcPr>
            <w:tcW w:w="383"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套</w:t>
            </w:r>
            <w:r>
              <w:rPr>
                <w:rFonts w:hint="eastAsia" w:ascii="宋体" w:hAnsi="宋体" w:eastAsia="宋体" w:cs="宋体"/>
                <w:b w:val="0"/>
                <w:bCs w:val="0"/>
                <w:i w:val="0"/>
                <w:iCs w:val="0"/>
                <w:color w:val="000000"/>
                <w:sz w:val="20"/>
                <w:szCs w:val="20"/>
                <w:highlight w:val="none"/>
                <w:u w:val="none"/>
              </w:rPr>
            </w:r>
            <w:r/>
          </w:p>
        </w:tc>
        <w:tc>
          <w:tcPr>
            <w:tcW w:w="334"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2</w:t>
            </w:r>
            <w:r>
              <w:rPr>
                <w:rFonts w:hint="eastAsia" w:ascii="宋体" w:hAnsi="宋体" w:eastAsia="宋体" w:cs="宋体"/>
                <w:b w:val="0"/>
                <w:bCs w:val="0"/>
                <w:i w:val="0"/>
                <w:iCs w:val="0"/>
                <w:color w:val="000000"/>
                <w:sz w:val="20"/>
                <w:szCs w:val="20"/>
                <w:highlight w:val="none"/>
                <w:u w:val="none"/>
              </w:rPr>
            </w:r>
            <w:r/>
          </w:p>
        </w:tc>
      </w:tr>
      <w:tr>
        <w:trPr>
          <w:trHeight w:val="780"/>
        </w:trPr>
        <w:tc>
          <w:tcPr>
            <w:tcW w:w="333"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6</w:t>
            </w:r>
            <w:r>
              <w:rPr>
                <w:rFonts w:hint="eastAsia" w:ascii="宋体" w:hAnsi="宋体" w:eastAsia="宋体" w:cs="宋体"/>
                <w:b w:val="0"/>
                <w:bCs w:val="0"/>
                <w:i w:val="0"/>
                <w:iCs w:val="0"/>
                <w:color w:val="000000"/>
                <w:sz w:val="20"/>
                <w:szCs w:val="20"/>
                <w:highlight w:val="none"/>
                <w:u w:val="none"/>
              </w:rPr>
            </w:r>
            <w:r/>
          </w:p>
        </w:tc>
        <w:tc>
          <w:tcPr>
            <w:tcW w:w="691"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水质传感器</w:t>
            </w:r>
            <w:r>
              <w:rPr>
                <w:rFonts w:hint="eastAsia" w:ascii="宋体" w:hAnsi="宋体" w:eastAsia="宋体" w:cs="宋体"/>
                <w:b w:val="0"/>
                <w:bCs w:val="0"/>
                <w:i w:val="0"/>
                <w:iCs w:val="0"/>
                <w:color w:val="000000"/>
                <w:sz w:val="20"/>
                <w:szCs w:val="20"/>
                <w:highlight w:val="none"/>
                <w:u w:val="none"/>
              </w:rPr>
            </w:r>
            <w:r/>
          </w:p>
        </w:tc>
        <w:tc>
          <w:tcPr>
            <w:tcW w:w="3255"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多参数水质仪:温度、盐度、溶解氧、浊度、叶绿素、蓝绿藻</w:t>
            </w:r>
            <w:r>
              <w:rPr>
                <w:rFonts w:hint="eastAsia" w:ascii="宋体" w:hAnsi="宋体" w:eastAsia="宋体" w:cs="宋体"/>
                <w:b w:val="0"/>
                <w:bCs w:val="0"/>
                <w:i w:val="0"/>
                <w:iCs w:val="0"/>
                <w:color w:val="000000"/>
                <w:sz w:val="20"/>
                <w:szCs w:val="20"/>
                <w:highlight w:val="none"/>
                <w:u w:val="none"/>
                <w:lang w:val="en-US" w:eastAsia="zh-CN" w:bidi="ar"/>
              </w:rPr>
              <w:br w:type="textWrapping" w:clear="all"/>
            </w:r>
            <w:r>
              <w:rPr>
                <w:rFonts w:hint="eastAsia" w:ascii="宋体" w:hAnsi="宋体" w:eastAsia="宋体" w:cs="宋体"/>
                <w:b w:val="0"/>
                <w:bCs w:val="0"/>
                <w:i w:val="0"/>
                <w:iCs w:val="0"/>
                <w:color w:val="000000"/>
                <w:sz w:val="20"/>
                <w:szCs w:val="20"/>
                <w:highlight w:val="none"/>
                <w:u w:val="none"/>
                <w:lang w:val="en-US" w:eastAsia="zh-CN" w:bidi="ar"/>
              </w:rPr>
              <w:t xml:space="preserve">营养盐传感器:氨氮、亚硝酸盐、硝酸盐、磷酸盐、</w:t>
            </w:r>
            <w:r>
              <w:rPr>
                <w:rFonts w:hint="eastAsia" w:ascii="宋体" w:hAnsi="宋体" w:eastAsia="宋体" w:cs="宋体"/>
                <w:b w:val="0"/>
                <w:bCs w:val="0"/>
                <w:color w:val="000000"/>
                <w:sz w:val="20"/>
                <w:szCs w:val="20"/>
                <w:highlight w:val="none"/>
                <w:lang w:val="en-US" w:eastAsia="zh-CN"/>
              </w:rPr>
              <w:t xml:space="preserve">pH、电导率、重金属</w:t>
            </w:r>
            <w:r>
              <w:rPr>
                <w:rFonts w:hint="eastAsia" w:ascii="宋体" w:hAnsi="宋体" w:eastAsia="宋体" w:cs="宋体"/>
                <w:b w:val="0"/>
                <w:bCs w:val="0"/>
                <w:i w:val="0"/>
                <w:iCs w:val="0"/>
                <w:color w:val="000000"/>
                <w:sz w:val="20"/>
                <w:szCs w:val="20"/>
                <w:highlight w:val="none"/>
                <w:u w:val="none"/>
                <w:lang w:val="en-US" w:eastAsia="zh-CN" w:bidi="ar"/>
              </w:rPr>
            </w:r>
            <w:r/>
          </w:p>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b w:val="0"/>
                <w:bCs w:val="0"/>
                <w:i w:val="0"/>
                <w:iCs w:val="0"/>
                <w:color w:val="000000"/>
                <w:sz w:val="20"/>
                <w:szCs w:val="20"/>
                <w:highlight w:val="none"/>
                <w:u w:val="none"/>
                <w:lang w:val="en-US" w:eastAsia="zh-CN" w:bidi="ar"/>
              </w:rPr>
            </w:r>
            <w:r/>
          </w:p>
        </w:tc>
        <w:tc>
          <w:tcPr>
            <w:tcW w:w="383"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套</w:t>
            </w:r>
            <w:r>
              <w:rPr>
                <w:rFonts w:hint="eastAsia" w:ascii="宋体" w:hAnsi="宋体" w:eastAsia="宋体" w:cs="宋体"/>
                <w:b w:val="0"/>
                <w:bCs w:val="0"/>
                <w:i w:val="0"/>
                <w:iCs w:val="0"/>
                <w:color w:val="000000"/>
                <w:sz w:val="20"/>
                <w:szCs w:val="20"/>
                <w:highlight w:val="none"/>
                <w:u w:val="none"/>
              </w:rPr>
            </w:r>
            <w:r/>
          </w:p>
        </w:tc>
        <w:tc>
          <w:tcPr>
            <w:tcW w:w="334"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2</w:t>
            </w:r>
            <w:r>
              <w:rPr>
                <w:rFonts w:hint="eastAsia" w:ascii="宋体" w:hAnsi="宋体" w:eastAsia="宋体" w:cs="宋体"/>
                <w:b w:val="0"/>
                <w:bCs w:val="0"/>
                <w:i w:val="0"/>
                <w:iCs w:val="0"/>
                <w:color w:val="000000"/>
                <w:sz w:val="20"/>
                <w:szCs w:val="20"/>
                <w:highlight w:val="none"/>
                <w:u w:val="none"/>
              </w:rPr>
            </w:r>
            <w:r/>
          </w:p>
        </w:tc>
      </w:tr>
      <w:tr>
        <w:trPr>
          <w:trHeight w:val="1680"/>
        </w:trPr>
        <w:tc>
          <w:tcPr>
            <w:tcW w:w="333"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7</w:t>
            </w:r>
            <w:r>
              <w:rPr>
                <w:rFonts w:hint="eastAsia" w:ascii="宋体" w:hAnsi="宋体" w:eastAsia="宋体" w:cs="宋体"/>
                <w:b w:val="0"/>
                <w:bCs w:val="0"/>
                <w:i w:val="0"/>
                <w:iCs w:val="0"/>
                <w:color w:val="000000"/>
                <w:sz w:val="20"/>
                <w:szCs w:val="20"/>
                <w:highlight w:val="none"/>
                <w:u w:val="none"/>
              </w:rPr>
            </w:r>
            <w:r/>
          </w:p>
        </w:tc>
        <w:tc>
          <w:tcPr>
            <w:tcW w:w="691"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系锚系统</w:t>
            </w:r>
            <w:r>
              <w:rPr>
                <w:rFonts w:hint="eastAsia" w:ascii="宋体" w:hAnsi="宋体" w:eastAsia="宋体" w:cs="宋体"/>
                <w:b w:val="0"/>
                <w:bCs w:val="0"/>
                <w:i w:val="0"/>
                <w:iCs w:val="0"/>
                <w:color w:val="000000"/>
                <w:sz w:val="20"/>
                <w:szCs w:val="20"/>
                <w:highlight w:val="none"/>
                <w:u w:val="none"/>
              </w:rPr>
            </w:r>
            <w:r/>
          </w:p>
        </w:tc>
        <w:tc>
          <w:tcPr>
            <w:tcW w:w="3255" w:type="dxa"/>
            <w:vAlign w:val="center"/>
            <w:textDirection w:val="lrTb"/>
            <w:noWrap w:val="false"/>
          </w:tcPr>
          <w:p>
            <w:pPr>
              <w:pStyle w:val="680"/>
              <w:jc w:val="left"/>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1.组成部件：包含浮标端锚链、中间锚链、锚端锚链、缆绳、霍尔锚、深水浮球、转环</w:t>
            </w:r>
            <w:r>
              <w:rPr>
                <w:rFonts w:hint="eastAsia" w:ascii="宋体" w:hAnsi="宋体" w:cs="宋体"/>
                <w:b w:val="0"/>
                <w:bCs w:val="0"/>
                <w:i w:val="0"/>
                <w:iCs w:val="0"/>
                <w:color w:val="000000"/>
                <w:sz w:val="20"/>
                <w:szCs w:val="20"/>
                <w:highlight w:val="none"/>
                <w:u w:val="none"/>
                <w:lang w:val="en-US" w:eastAsia="zh-CN" w:bidi="ar"/>
              </w:rPr>
              <w:t xml:space="preserve">等配件</w:t>
            </w:r>
            <w:r>
              <w:rPr>
                <w:rFonts w:hint="eastAsia" w:ascii="宋体" w:hAnsi="宋体" w:eastAsia="宋体" w:cs="宋体"/>
                <w:b w:val="0"/>
                <w:bCs w:val="0"/>
                <w:i w:val="0"/>
                <w:iCs w:val="0"/>
                <w:color w:val="000000"/>
                <w:sz w:val="20"/>
                <w:szCs w:val="20"/>
                <w:highlight w:val="none"/>
                <w:u w:val="none"/>
                <w:lang w:val="en-US" w:eastAsia="zh-CN" w:bidi="ar"/>
              </w:rPr>
              <w:t xml:space="preserve">。</w:t>
            </w:r>
            <w:r>
              <w:rPr>
                <w:rFonts w:hint="eastAsia" w:ascii="宋体" w:hAnsi="宋体" w:eastAsia="宋体" w:cs="宋体"/>
                <w:b w:val="0"/>
                <w:bCs w:val="0"/>
                <w:i w:val="0"/>
                <w:iCs w:val="0"/>
                <w:color w:val="000000"/>
                <w:sz w:val="20"/>
                <w:szCs w:val="20"/>
                <w:highlight w:val="none"/>
                <w:u w:val="none"/>
                <w:lang w:val="en-US" w:eastAsia="zh-CN" w:bidi="ar"/>
              </w:rPr>
            </w:r>
            <w:r/>
          </w:p>
          <w:p>
            <w:pPr>
              <w:pStyle w:val="680"/>
              <w:jc w:val="left"/>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2.使用寿命：锚链寿命不少于</w:t>
            </w:r>
            <w:r>
              <w:rPr>
                <w:rFonts w:hint="eastAsia" w:ascii="宋体" w:hAnsi="宋体" w:cs="宋体"/>
                <w:b w:val="0"/>
                <w:bCs w:val="0"/>
                <w:i w:val="0"/>
                <w:iCs w:val="0"/>
                <w:color w:val="000000"/>
                <w:sz w:val="20"/>
                <w:szCs w:val="20"/>
                <w:highlight w:val="none"/>
                <w:u w:val="none"/>
                <w:lang w:val="en-US" w:eastAsia="zh-CN" w:bidi="ar"/>
              </w:rPr>
              <w:t xml:space="preserve">5</w:t>
            </w:r>
            <w:r>
              <w:rPr>
                <w:rFonts w:hint="eastAsia" w:ascii="宋体" w:hAnsi="宋体" w:eastAsia="宋体" w:cs="宋体"/>
                <w:b w:val="0"/>
                <w:bCs w:val="0"/>
                <w:i w:val="0"/>
                <w:iCs w:val="0"/>
                <w:color w:val="000000"/>
                <w:sz w:val="20"/>
                <w:szCs w:val="20"/>
                <w:highlight w:val="none"/>
                <w:u w:val="none"/>
                <w:lang w:val="en-US" w:eastAsia="zh-CN" w:bidi="ar"/>
              </w:rPr>
              <w:t xml:space="preserve">年。</w:t>
            </w:r>
            <w:r>
              <w:rPr>
                <w:rFonts w:hint="eastAsia" w:ascii="宋体" w:hAnsi="宋体" w:eastAsia="宋体" w:cs="宋体"/>
                <w:b w:val="0"/>
                <w:bCs w:val="0"/>
                <w:i w:val="0"/>
                <w:iCs w:val="0"/>
                <w:color w:val="000000"/>
                <w:sz w:val="20"/>
                <w:szCs w:val="20"/>
                <w:highlight w:val="none"/>
                <w:u w:val="none"/>
                <w:lang w:val="en-US" w:eastAsia="zh-CN" w:bidi="ar"/>
              </w:rPr>
            </w:r>
            <w:r/>
          </w:p>
          <w:p>
            <w:pPr>
              <w:pStyle w:val="680"/>
              <w:jc w:val="left"/>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3.固定性能：系锚具有良好的抓地性能，锚端处应向海底接触面下打20m埋铁链以加强固定；整个锚链系统稳固可靠，确保在灾害性天气及恶劣海况时不丢标。</w:t>
            </w:r>
            <w:r>
              <w:rPr>
                <w:rFonts w:hint="eastAsia" w:ascii="宋体" w:hAnsi="宋体" w:eastAsia="宋体" w:cs="宋体"/>
                <w:b w:val="0"/>
                <w:bCs w:val="0"/>
                <w:i w:val="0"/>
                <w:iCs w:val="0"/>
                <w:color w:val="000000"/>
                <w:sz w:val="20"/>
                <w:szCs w:val="20"/>
                <w:highlight w:val="none"/>
                <w:u w:val="none"/>
                <w:lang w:val="en-US" w:eastAsia="zh-CN" w:bidi="ar"/>
              </w:rPr>
            </w:r>
            <w:r/>
          </w:p>
          <w:p>
            <w:pPr>
              <w:pStyle w:val="680"/>
              <w:jc w:val="left"/>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4.锚链长度：布放点水深0~100m，锚链长度应符合相关设计要求（一般为水深的2.5~3倍）。</w:t>
            </w:r>
            <w:r>
              <w:rPr>
                <w:rFonts w:hint="eastAsia" w:ascii="宋体" w:hAnsi="宋体" w:eastAsia="宋体" w:cs="宋体"/>
                <w:b w:val="0"/>
                <w:bCs w:val="0"/>
                <w:i w:val="0"/>
                <w:iCs w:val="0"/>
                <w:color w:val="000000"/>
                <w:sz w:val="20"/>
                <w:szCs w:val="20"/>
                <w:highlight w:val="none"/>
                <w:u w:val="none"/>
                <w:lang w:val="en-US" w:eastAsia="zh-CN" w:bidi="ar"/>
              </w:rPr>
            </w:r>
            <w:r/>
          </w:p>
          <w:p>
            <w:pPr>
              <w:pStyle w:val="680"/>
              <w:jc w:val="left"/>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5.</w:t>
            </w:r>
            <w:r>
              <w:rPr>
                <w:rFonts w:hint="eastAsia" w:ascii="宋体" w:hAnsi="宋体" w:cs="宋体"/>
                <w:b w:val="0"/>
                <w:bCs w:val="0"/>
                <w:i w:val="0"/>
                <w:iCs w:val="0"/>
                <w:color w:val="000000"/>
                <w:sz w:val="20"/>
                <w:szCs w:val="20"/>
                <w:highlight w:val="none"/>
                <w:u w:val="none"/>
                <w:lang w:val="en-US" w:eastAsia="zh-CN" w:bidi="ar"/>
              </w:rPr>
              <w:t xml:space="preserve">型号</w:t>
            </w:r>
            <w:r>
              <w:rPr>
                <w:rFonts w:hint="eastAsia" w:ascii="宋体" w:hAnsi="宋体" w:eastAsia="宋体" w:cs="宋体"/>
                <w:b w:val="0"/>
                <w:bCs w:val="0"/>
                <w:i w:val="0"/>
                <w:iCs w:val="0"/>
                <w:color w:val="000000"/>
                <w:sz w:val="20"/>
                <w:szCs w:val="20"/>
                <w:highlight w:val="none"/>
                <w:u w:val="none"/>
                <w:lang w:val="en-US" w:eastAsia="zh-CN" w:bidi="ar"/>
              </w:rPr>
              <w:t xml:space="preserve">规格参数：</w:t>
            </w:r>
            <w:r>
              <w:rPr>
                <w:rFonts w:hint="eastAsia" w:ascii="宋体" w:hAnsi="宋体" w:cs="宋体"/>
                <w:b w:val="0"/>
                <w:bCs w:val="0"/>
                <w:i w:val="0"/>
                <w:iCs w:val="0"/>
                <w:color w:val="000000"/>
                <w:sz w:val="20"/>
                <w:szCs w:val="20"/>
                <w:highlight w:val="none"/>
                <w:u w:val="none"/>
                <w:lang w:val="en-US" w:eastAsia="zh-CN" w:bidi="ar"/>
              </w:rPr>
              <w:t xml:space="preserve">型号（FL 28 × 168 CM690 JT/T 100-2005）；</w:t>
            </w:r>
            <w:r>
              <w:rPr>
                <w:rFonts w:hint="eastAsia" w:ascii="宋体" w:hAnsi="宋体" w:eastAsia="宋体" w:cs="宋体"/>
                <w:b w:val="0"/>
                <w:bCs w:val="0"/>
                <w:i w:val="0"/>
                <w:iCs w:val="0"/>
                <w:color w:val="000000"/>
                <w:sz w:val="20"/>
                <w:szCs w:val="20"/>
                <w:highlight w:val="none"/>
                <w:u w:val="none"/>
                <w:lang w:val="en-US" w:eastAsia="zh-CN" w:bidi="ar"/>
              </w:rPr>
              <w:t xml:space="preserve">浮标锚链直径不小于28mm；锚链材质CM</w:t>
            </w:r>
            <w:r>
              <w:rPr>
                <w:rFonts w:hint="eastAsia" w:ascii="宋体" w:hAnsi="宋体" w:cs="宋体"/>
                <w:b w:val="0"/>
                <w:bCs w:val="0"/>
                <w:i w:val="0"/>
                <w:iCs w:val="0"/>
                <w:color w:val="000000"/>
                <w:sz w:val="20"/>
                <w:szCs w:val="20"/>
                <w:highlight w:val="none"/>
                <w:u w:val="none"/>
                <w:lang w:val="en-US" w:eastAsia="zh-CN" w:bidi="ar"/>
              </w:rPr>
              <w:t xml:space="preserve">6</w:t>
            </w:r>
            <w:r>
              <w:rPr>
                <w:rFonts w:hint="eastAsia" w:ascii="宋体" w:hAnsi="宋体" w:eastAsia="宋体" w:cs="宋体"/>
                <w:b w:val="0"/>
                <w:bCs w:val="0"/>
                <w:i w:val="0"/>
                <w:iCs w:val="0"/>
                <w:color w:val="000000"/>
                <w:sz w:val="20"/>
                <w:szCs w:val="20"/>
                <w:highlight w:val="none"/>
                <w:u w:val="none"/>
                <w:lang w:val="en-US" w:eastAsia="zh-CN" w:bidi="ar"/>
              </w:rPr>
              <w:t xml:space="preserve">90 级及以上的船用锚链圆钢</w:t>
            </w:r>
            <w:r>
              <w:rPr>
                <w:rFonts w:hint="eastAsia" w:ascii="宋体" w:hAnsi="宋体" w:cs="宋体"/>
                <w:b w:val="0"/>
                <w:bCs w:val="0"/>
                <w:i w:val="0"/>
                <w:iCs w:val="0"/>
                <w:color w:val="000000"/>
                <w:sz w:val="20"/>
                <w:szCs w:val="20"/>
                <w:highlight w:val="none"/>
                <w:u w:val="none"/>
                <w:lang w:val="en-US" w:eastAsia="zh-CN" w:bidi="ar"/>
              </w:rPr>
              <w:t xml:space="preserve">；</w:t>
            </w:r>
            <w:r>
              <w:rPr>
                <w:rFonts w:hint="eastAsia" w:ascii="宋体" w:hAnsi="宋体" w:eastAsia="宋体" w:cs="宋体"/>
                <w:b w:val="0"/>
                <w:bCs w:val="0"/>
                <w:i w:val="0"/>
                <w:iCs w:val="0"/>
                <w:color w:val="000000"/>
                <w:sz w:val="20"/>
                <w:szCs w:val="20"/>
                <w:highlight w:val="none"/>
                <w:u w:val="none"/>
                <w:lang w:val="en-US" w:eastAsia="zh-CN" w:bidi="ar"/>
              </w:rPr>
              <w:t xml:space="preserve">链环样式：档电焊锚链，带横档增强链环刚度，防止受力变形</w:t>
            </w:r>
            <w:r>
              <w:rPr>
                <w:rFonts w:hint="eastAsia" w:ascii="宋体" w:hAnsi="宋体" w:cs="宋体"/>
                <w:b w:val="0"/>
                <w:bCs w:val="0"/>
                <w:i w:val="0"/>
                <w:iCs w:val="0"/>
                <w:color w:val="000000"/>
                <w:sz w:val="20"/>
                <w:szCs w:val="20"/>
                <w:highlight w:val="none"/>
                <w:u w:val="none"/>
                <w:lang w:val="en-US" w:eastAsia="zh-CN" w:bidi="ar"/>
              </w:rPr>
              <w:t xml:space="preserve">；</w:t>
            </w:r>
            <w:r>
              <w:rPr>
                <w:rFonts w:hint="eastAsia" w:ascii="宋体" w:hAnsi="宋体" w:eastAsia="宋体" w:cs="宋体"/>
                <w:b w:val="0"/>
                <w:bCs w:val="0"/>
                <w:i w:val="0"/>
                <w:iCs w:val="0"/>
                <w:color w:val="000000"/>
                <w:sz w:val="20"/>
                <w:szCs w:val="20"/>
                <w:highlight w:val="none"/>
                <w:u w:val="none"/>
                <w:lang w:val="en-US" w:eastAsia="zh-CN" w:bidi="ar"/>
              </w:rPr>
              <w:t xml:space="preserve">浮标端 / 锚端末端链节：由普通链环 + 末端链环 + 转环 + 连接卸扣组成，用于连接浮标体 / 锚体与中间锚链，适配安装与受力转向需求</w:t>
            </w:r>
            <w:r>
              <w:rPr>
                <w:rFonts w:hint="eastAsia" w:ascii="宋体" w:hAnsi="宋体" w:cs="宋体"/>
                <w:b w:val="0"/>
                <w:bCs w:val="0"/>
                <w:i w:val="0"/>
                <w:iCs w:val="0"/>
                <w:color w:val="000000"/>
                <w:sz w:val="20"/>
                <w:szCs w:val="20"/>
                <w:highlight w:val="none"/>
                <w:u w:val="none"/>
                <w:lang w:val="en-US" w:eastAsia="zh-CN" w:bidi="ar"/>
              </w:rPr>
              <w:t xml:space="preserve">；</w:t>
            </w:r>
            <w:r>
              <w:rPr>
                <w:rFonts w:hint="eastAsia" w:ascii="宋体" w:hAnsi="宋体" w:eastAsia="宋体" w:cs="宋体"/>
                <w:b w:val="0"/>
                <w:bCs w:val="0"/>
                <w:i w:val="0"/>
                <w:iCs w:val="0"/>
                <w:color w:val="000000"/>
                <w:sz w:val="20"/>
                <w:szCs w:val="20"/>
                <w:highlight w:val="none"/>
                <w:u w:val="none"/>
                <w:lang w:val="en-US" w:eastAsia="zh-CN" w:bidi="ar"/>
              </w:rPr>
              <w:t xml:space="preserve"> 中间锚链：全普通有档链环组成的标准链节，可灵活拼接适配不同水深</w:t>
            </w:r>
            <w:r>
              <w:rPr>
                <w:rFonts w:hint="eastAsia" w:ascii="宋体" w:hAnsi="宋体" w:cs="宋体"/>
                <w:b w:val="0"/>
                <w:bCs w:val="0"/>
                <w:i w:val="0"/>
                <w:iCs w:val="0"/>
                <w:color w:val="000000"/>
                <w:sz w:val="20"/>
                <w:szCs w:val="20"/>
                <w:highlight w:val="none"/>
                <w:u w:val="none"/>
                <w:lang w:val="en-US" w:eastAsia="zh-CN" w:bidi="ar"/>
              </w:rPr>
              <w:t xml:space="preserve">；</w:t>
            </w:r>
            <w:r>
              <w:rPr>
                <w:rFonts w:hint="eastAsia" w:ascii="宋体" w:hAnsi="宋体" w:eastAsia="宋体" w:cs="宋体"/>
                <w:b w:val="0"/>
                <w:bCs w:val="0"/>
                <w:i w:val="0"/>
                <w:iCs w:val="0"/>
                <w:color w:val="000000"/>
                <w:sz w:val="20"/>
                <w:szCs w:val="20"/>
                <w:highlight w:val="none"/>
                <w:u w:val="none"/>
                <w:lang w:val="en-US" w:eastAsia="zh-CN" w:bidi="ar"/>
              </w:rPr>
            </w:r>
            <w:r/>
          </w:p>
          <w:p>
            <w:pPr>
              <w:pStyle w:val="680"/>
              <w:jc w:val="left"/>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埋入加强段：锚端 20m 埋入海底段，额外加装聚氨酯耐磨护套，适配泥沙摩擦工况</w:t>
            </w:r>
            <w:r>
              <w:rPr>
                <w:rFonts w:hint="eastAsia" w:ascii="宋体" w:hAnsi="宋体" w:cs="宋体"/>
                <w:b w:val="0"/>
                <w:bCs w:val="0"/>
                <w:i w:val="0"/>
                <w:iCs w:val="0"/>
                <w:color w:val="000000"/>
                <w:sz w:val="20"/>
                <w:szCs w:val="20"/>
                <w:highlight w:val="none"/>
                <w:u w:val="none"/>
                <w:lang w:val="en-US" w:eastAsia="zh-CN" w:bidi="ar"/>
              </w:rPr>
              <w:t xml:space="preserve">。</w:t>
            </w:r>
            <w:r>
              <w:rPr>
                <w:rFonts w:hint="eastAsia" w:ascii="宋体" w:hAnsi="宋体" w:eastAsia="宋体" w:cs="宋体"/>
                <w:b w:val="0"/>
                <w:bCs w:val="0"/>
                <w:i w:val="0"/>
                <w:iCs w:val="0"/>
                <w:color w:val="000000"/>
                <w:sz w:val="20"/>
                <w:szCs w:val="20"/>
                <w:highlight w:val="none"/>
                <w:u w:val="none"/>
                <w:lang w:val="en-US" w:eastAsia="zh-CN" w:bidi="ar"/>
              </w:rPr>
            </w:r>
            <w:r/>
          </w:p>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6.检验标准：满足中国船级社《材料与焊接规范》（2021）检验标准，且产品需取得中国船级社产品证书（CCS</w:t>
            </w:r>
            <w:r>
              <w:rPr>
                <w:rFonts w:hint="eastAsia" w:ascii="宋体" w:hAnsi="宋体" w:cs="宋体"/>
                <w:b w:val="0"/>
                <w:bCs w:val="0"/>
                <w:i w:val="0"/>
                <w:iCs w:val="0"/>
                <w:color w:val="000000"/>
                <w:sz w:val="20"/>
                <w:szCs w:val="20"/>
                <w:highlight w:val="none"/>
                <w:u w:val="none"/>
                <w:lang w:val="en-US" w:eastAsia="zh-CN" w:bidi="ar"/>
              </w:rPr>
              <w:t xml:space="preserve">）</w:t>
            </w:r>
            <w:r>
              <w:rPr>
                <w:rFonts w:hint="eastAsia" w:ascii="宋体" w:hAnsi="宋体" w:eastAsia="宋体" w:cs="宋体"/>
                <w:b w:val="0"/>
                <w:bCs w:val="0"/>
                <w:i w:val="0"/>
                <w:iCs w:val="0"/>
                <w:color w:val="000000"/>
                <w:sz w:val="20"/>
                <w:szCs w:val="20"/>
                <w:highlight w:val="none"/>
                <w:u w:val="none"/>
                <w:lang w:val="en-US" w:eastAsia="zh-CN" w:bidi="ar"/>
              </w:rPr>
              <w:t xml:space="preserve">及单件产品检验证书。</w:t>
            </w:r>
            <w:r>
              <w:rPr>
                <w:rFonts w:hint="eastAsia" w:ascii="宋体" w:hAnsi="宋体" w:cs="宋体"/>
                <w:b w:val="0"/>
                <w:bCs w:val="0"/>
                <w:i w:val="0"/>
                <w:iCs w:val="0"/>
                <w:color w:val="000000"/>
                <w:sz w:val="20"/>
                <w:szCs w:val="20"/>
                <w:highlight w:val="none"/>
                <w:u w:val="none"/>
                <w:lang w:val="en-US" w:eastAsia="zh-CN" w:bidi="ar"/>
              </w:rPr>
              <w:t xml:space="preserve">（相关证书项目验收时提供以供甲方核验）</w:t>
            </w:r>
            <w:r>
              <w:rPr>
                <w:rFonts w:hint="eastAsia" w:ascii="宋体" w:hAnsi="宋体" w:eastAsia="宋体" w:cs="宋体"/>
                <w:b w:val="0"/>
                <w:bCs w:val="0"/>
                <w:i w:val="0"/>
                <w:iCs w:val="0"/>
                <w:color w:val="000000"/>
                <w:sz w:val="20"/>
                <w:szCs w:val="20"/>
                <w:highlight w:val="none"/>
                <w:u w:val="none"/>
              </w:rPr>
            </w:r>
            <w:r/>
          </w:p>
        </w:tc>
        <w:tc>
          <w:tcPr>
            <w:tcW w:w="383"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套</w:t>
            </w:r>
            <w:r>
              <w:rPr>
                <w:rFonts w:hint="eastAsia" w:ascii="宋体" w:hAnsi="宋体" w:eastAsia="宋体" w:cs="宋体"/>
                <w:b w:val="0"/>
                <w:bCs w:val="0"/>
                <w:i w:val="0"/>
                <w:iCs w:val="0"/>
                <w:color w:val="000000"/>
                <w:sz w:val="20"/>
                <w:szCs w:val="20"/>
                <w:highlight w:val="none"/>
                <w:u w:val="none"/>
              </w:rPr>
            </w:r>
            <w:r/>
          </w:p>
        </w:tc>
        <w:tc>
          <w:tcPr>
            <w:tcW w:w="334"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2</w:t>
            </w:r>
            <w:r>
              <w:rPr>
                <w:rFonts w:hint="eastAsia" w:ascii="宋体" w:hAnsi="宋体" w:eastAsia="宋体" w:cs="宋体"/>
                <w:b w:val="0"/>
                <w:bCs w:val="0"/>
                <w:i w:val="0"/>
                <w:iCs w:val="0"/>
                <w:color w:val="000000"/>
                <w:sz w:val="20"/>
                <w:szCs w:val="20"/>
                <w:highlight w:val="none"/>
                <w:u w:val="none"/>
              </w:rPr>
            </w:r>
            <w:r/>
          </w:p>
        </w:tc>
      </w:tr>
      <w:tr>
        <w:trPr>
          <w:trHeight w:val="1160"/>
        </w:trPr>
        <w:tc>
          <w:tcPr>
            <w:tcW w:w="333"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8</w:t>
            </w:r>
            <w:r>
              <w:rPr>
                <w:rFonts w:hint="eastAsia" w:ascii="宋体" w:hAnsi="宋体" w:eastAsia="宋体" w:cs="宋体"/>
                <w:b w:val="0"/>
                <w:bCs w:val="0"/>
                <w:i w:val="0"/>
                <w:iCs w:val="0"/>
                <w:color w:val="000000"/>
                <w:sz w:val="20"/>
                <w:szCs w:val="20"/>
                <w:highlight w:val="none"/>
                <w:u w:val="none"/>
              </w:rPr>
            </w:r>
            <w:r/>
          </w:p>
        </w:tc>
        <w:tc>
          <w:tcPr>
            <w:tcW w:w="691"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供电系统</w:t>
            </w:r>
            <w:r>
              <w:rPr>
                <w:rFonts w:hint="eastAsia" w:ascii="宋体" w:hAnsi="宋体" w:eastAsia="宋体" w:cs="宋体"/>
                <w:b w:val="0"/>
                <w:bCs w:val="0"/>
                <w:i w:val="0"/>
                <w:iCs w:val="0"/>
                <w:color w:val="000000"/>
                <w:sz w:val="20"/>
                <w:szCs w:val="20"/>
                <w:highlight w:val="none"/>
                <w:u w:val="none"/>
              </w:rPr>
            </w:r>
            <w:r/>
          </w:p>
        </w:tc>
        <w:tc>
          <w:tcPr>
            <w:tcW w:w="3255"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1.供电系统采用高效率太阳能板和铅酸密闭式免维护蓄电池组合供电方式,对浮标系统提供单一工作电压。2.要求:供电系统在太阳能电池板损坏或连续阴雨天(不出太阳)的情况下,仍能向浮标系统正常供电30天。3.蓄电池有经过大电流放电、防酸雾性能、耐过充电能力、再充电性能测试。</w:t>
            </w:r>
            <w:r>
              <w:rPr>
                <w:rFonts w:hint="eastAsia" w:ascii="宋体" w:hAnsi="宋体" w:eastAsia="宋体" w:cs="宋体"/>
                <w:b w:val="0"/>
                <w:bCs w:val="0"/>
                <w:i w:val="0"/>
                <w:iCs w:val="0"/>
                <w:color w:val="000000"/>
                <w:sz w:val="20"/>
                <w:szCs w:val="20"/>
                <w:highlight w:val="none"/>
                <w:u w:val="none"/>
              </w:rPr>
            </w:r>
            <w:r/>
          </w:p>
        </w:tc>
        <w:tc>
          <w:tcPr>
            <w:tcW w:w="383"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套</w:t>
            </w:r>
            <w:r>
              <w:rPr>
                <w:rFonts w:hint="eastAsia" w:ascii="宋体" w:hAnsi="宋体" w:eastAsia="宋体" w:cs="宋体"/>
                <w:b w:val="0"/>
                <w:bCs w:val="0"/>
                <w:i w:val="0"/>
                <w:iCs w:val="0"/>
                <w:color w:val="000000"/>
                <w:sz w:val="20"/>
                <w:szCs w:val="20"/>
                <w:highlight w:val="none"/>
                <w:u w:val="none"/>
              </w:rPr>
            </w:r>
            <w:r/>
          </w:p>
        </w:tc>
        <w:tc>
          <w:tcPr>
            <w:tcW w:w="334"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2</w:t>
            </w:r>
            <w:r>
              <w:rPr>
                <w:rFonts w:hint="eastAsia" w:ascii="宋体" w:hAnsi="宋体" w:eastAsia="宋体" w:cs="宋体"/>
                <w:b w:val="0"/>
                <w:bCs w:val="0"/>
                <w:i w:val="0"/>
                <w:iCs w:val="0"/>
                <w:color w:val="000000"/>
                <w:sz w:val="20"/>
                <w:szCs w:val="20"/>
                <w:highlight w:val="none"/>
                <w:u w:val="none"/>
              </w:rPr>
            </w:r>
            <w:r/>
          </w:p>
        </w:tc>
      </w:tr>
      <w:tr>
        <w:trPr>
          <w:trHeight w:val="1060"/>
        </w:trPr>
        <w:tc>
          <w:tcPr>
            <w:tcW w:w="333"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9</w:t>
            </w:r>
            <w:r>
              <w:rPr>
                <w:rFonts w:hint="eastAsia" w:ascii="宋体" w:hAnsi="宋体" w:eastAsia="宋体" w:cs="宋体"/>
                <w:b w:val="0"/>
                <w:bCs w:val="0"/>
                <w:i w:val="0"/>
                <w:iCs w:val="0"/>
                <w:color w:val="000000"/>
                <w:sz w:val="20"/>
                <w:szCs w:val="20"/>
                <w:highlight w:val="none"/>
                <w:u w:val="none"/>
              </w:rPr>
            </w:r>
            <w:r/>
          </w:p>
        </w:tc>
        <w:tc>
          <w:tcPr>
            <w:tcW w:w="691"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其他配件</w:t>
            </w:r>
            <w:r>
              <w:rPr>
                <w:rFonts w:hint="eastAsia" w:ascii="宋体" w:hAnsi="宋体" w:eastAsia="宋体" w:cs="宋体"/>
                <w:b w:val="0"/>
                <w:bCs w:val="0"/>
                <w:i w:val="0"/>
                <w:iCs w:val="0"/>
                <w:color w:val="000000"/>
                <w:sz w:val="20"/>
                <w:szCs w:val="20"/>
                <w:highlight w:val="none"/>
                <w:u w:val="none"/>
              </w:rPr>
            </w:r>
            <w:r/>
          </w:p>
        </w:tc>
        <w:tc>
          <w:tcPr>
            <w:tcW w:w="3255"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1.锚灯、雷达响应器:浮标系统配有符合国标的航标灯,安装橙色锚灯和雷达响应器,灯号和雷达响应器应符合国际助航标);2.避雷针:浮标系统应配备避雷针,其设 计、结构、功能等应符合相关国标或行业标准;3.电缆以及水密插头、安装工具包等必要的配件。</w:t>
            </w:r>
            <w:r>
              <w:rPr>
                <w:rFonts w:hint="eastAsia" w:ascii="宋体" w:hAnsi="宋体" w:eastAsia="宋体" w:cs="宋体"/>
                <w:b w:val="0"/>
                <w:bCs w:val="0"/>
                <w:i w:val="0"/>
                <w:iCs w:val="0"/>
                <w:color w:val="000000"/>
                <w:sz w:val="20"/>
                <w:szCs w:val="20"/>
                <w:highlight w:val="none"/>
                <w:u w:val="none"/>
              </w:rPr>
            </w:r>
            <w:r/>
          </w:p>
        </w:tc>
        <w:tc>
          <w:tcPr>
            <w:tcW w:w="383"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台</w:t>
            </w:r>
            <w:r>
              <w:rPr>
                <w:rFonts w:hint="eastAsia" w:ascii="宋体" w:hAnsi="宋体" w:eastAsia="宋体" w:cs="宋体"/>
                <w:b w:val="0"/>
                <w:bCs w:val="0"/>
                <w:i w:val="0"/>
                <w:iCs w:val="0"/>
                <w:color w:val="000000"/>
                <w:sz w:val="20"/>
                <w:szCs w:val="20"/>
                <w:highlight w:val="none"/>
                <w:u w:val="none"/>
              </w:rPr>
            </w:r>
            <w:r/>
          </w:p>
        </w:tc>
        <w:tc>
          <w:tcPr>
            <w:tcW w:w="334"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2</w:t>
            </w:r>
            <w:r>
              <w:rPr>
                <w:rFonts w:hint="eastAsia" w:ascii="宋体" w:hAnsi="宋体" w:eastAsia="宋体" w:cs="宋体"/>
                <w:b w:val="0"/>
                <w:bCs w:val="0"/>
                <w:i w:val="0"/>
                <w:iCs w:val="0"/>
                <w:color w:val="000000"/>
                <w:sz w:val="20"/>
                <w:szCs w:val="20"/>
                <w:highlight w:val="none"/>
                <w:u w:val="none"/>
              </w:rPr>
            </w:r>
            <w:r/>
          </w:p>
        </w:tc>
      </w:tr>
      <w:tr>
        <w:trPr>
          <w:trHeight w:val="840"/>
        </w:trPr>
        <w:tc>
          <w:tcPr>
            <w:tcW w:w="333"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10</w:t>
            </w:r>
            <w:r>
              <w:rPr>
                <w:rFonts w:hint="eastAsia" w:ascii="宋体" w:hAnsi="宋体" w:eastAsia="宋体" w:cs="宋体"/>
                <w:b w:val="0"/>
                <w:bCs w:val="0"/>
                <w:i w:val="0"/>
                <w:iCs w:val="0"/>
                <w:color w:val="000000"/>
                <w:sz w:val="20"/>
                <w:szCs w:val="20"/>
                <w:highlight w:val="none"/>
                <w:u w:val="none"/>
              </w:rPr>
            </w:r>
            <w:r/>
          </w:p>
        </w:tc>
        <w:tc>
          <w:tcPr>
            <w:tcW w:w="691"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风速风向仪</w:t>
            </w:r>
            <w:r>
              <w:rPr>
                <w:rFonts w:hint="eastAsia" w:ascii="宋体" w:hAnsi="宋体" w:eastAsia="宋体" w:cs="宋体"/>
                <w:b w:val="0"/>
                <w:bCs w:val="0"/>
                <w:i w:val="0"/>
                <w:iCs w:val="0"/>
                <w:color w:val="000000"/>
                <w:sz w:val="20"/>
                <w:szCs w:val="20"/>
                <w:highlight w:val="none"/>
                <w:u w:val="none"/>
              </w:rPr>
            </w:r>
            <w:r/>
          </w:p>
        </w:tc>
        <w:tc>
          <w:tcPr>
            <w:tcW w:w="3255"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1.风速:测量范围:0m/s~100m/s,准确度:±0.3m/s(0. 6mph);2.风向:测量范围:(0~355)。(5°开角),准确度:±3°</w:t>
            </w:r>
            <w:r>
              <w:rPr>
                <w:rFonts w:hint="eastAsia" w:ascii="宋体" w:hAnsi="宋体" w:eastAsia="宋体" w:cs="宋体"/>
                <w:b w:val="0"/>
                <w:bCs w:val="0"/>
                <w:i w:val="0"/>
                <w:iCs w:val="0"/>
                <w:color w:val="000000"/>
                <w:sz w:val="20"/>
                <w:szCs w:val="20"/>
                <w:highlight w:val="none"/>
                <w:u w:val="none"/>
              </w:rPr>
            </w:r>
            <w:r/>
          </w:p>
        </w:tc>
        <w:tc>
          <w:tcPr>
            <w:tcW w:w="383"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台</w:t>
            </w:r>
            <w:r>
              <w:rPr>
                <w:rFonts w:hint="eastAsia" w:ascii="宋体" w:hAnsi="宋体" w:eastAsia="宋体" w:cs="宋体"/>
                <w:b w:val="0"/>
                <w:bCs w:val="0"/>
                <w:i w:val="0"/>
                <w:iCs w:val="0"/>
                <w:color w:val="000000"/>
                <w:sz w:val="20"/>
                <w:szCs w:val="20"/>
                <w:highlight w:val="none"/>
                <w:u w:val="none"/>
              </w:rPr>
            </w:r>
            <w:r/>
          </w:p>
        </w:tc>
        <w:tc>
          <w:tcPr>
            <w:tcW w:w="334"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5</w:t>
            </w:r>
            <w:r>
              <w:rPr>
                <w:rFonts w:hint="eastAsia" w:ascii="宋体" w:hAnsi="宋体" w:eastAsia="宋体" w:cs="宋体"/>
                <w:b w:val="0"/>
                <w:bCs w:val="0"/>
                <w:i w:val="0"/>
                <w:iCs w:val="0"/>
                <w:color w:val="000000"/>
                <w:sz w:val="20"/>
                <w:szCs w:val="20"/>
                <w:highlight w:val="none"/>
                <w:u w:val="none"/>
              </w:rPr>
            </w:r>
            <w:r/>
          </w:p>
        </w:tc>
      </w:tr>
      <w:tr>
        <w:trPr>
          <w:trHeight w:val="840"/>
        </w:trPr>
        <w:tc>
          <w:tcPr>
            <w:tcW w:w="333"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11</w:t>
            </w:r>
            <w:r>
              <w:rPr>
                <w:rFonts w:hint="eastAsia" w:ascii="宋体" w:hAnsi="宋体" w:eastAsia="宋体" w:cs="宋体"/>
                <w:b w:val="0"/>
                <w:bCs w:val="0"/>
                <w:i w:val="0"/>
                <w:iCs w:val="0"/>
                <w:color w:val="000000"/>
                <w:sz w:val="20"/>
                <w:szCs w:val="20"/>
                <w:highlight w:val="none"/>
                <w:u w:val="none"/>
              </w:rPr>
            </w:r>
            <w:r/>
          </w:p>
        </w:tc>
        <w:tc>
          <w:tcPr>
            <w:tcW w:w="691"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温湿度传感器</w:t>
            </w:r>
            <w:r>
              <w:rPr>
                <w:rFonts w:hint="eastAsia" w:ascii="宋体" w:hAnsi="宋体" w:eastAsia="宋体" w:cs="宋体"/>
                <w:b w:val="0"/>
                <w:bCs w:val="0"/>
                <w:i w:val="0"/>
                <w:iCs w:val="0"/>
                <w:color w:val="000000"/>
                <w:sz w:val="20"/>
                <w:szCs w:val="20"/>
                <w:highlight w:val="none"/>
                <w:u w:val="none"/>
              </w:rPr>
            </w:r>
            <w:r/>
          </w:p>
        </w:tc>
        <w:tc>
          <w:tcPr>
            <w:tcW w:w="3255"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1.气温:测量范围:(-10~60)℃,准确度:正负偏离均小于等于0.3 ℃;2.相对湿度:测量范围:(0~100)%;准确度:正负偏离均小于等于3%。</w:t>
            </w:r>
            <w:r>
              <w:rPr>
                <w:rFonts w:hint="eastAsia" w:ascii="宋体" w:hAnsi="宋体" w:eastAsia="宋体" w:cs="宋体"/>
                <w:b w:val="0"/>
                <w:bCs w:val="0"/>
                <w:i w:val="0"/>
                <w:iCs w:val="0"/>
                <w:color w:val="000000"/>
                <w:sz w:val="20"/>
                <w:szCs w:val="20"/>
                <w:highlight w:val="none"/>
                <w:u w:val="none"/>
              </w:rPr>
            </w:r>
            <w:r/>
          </w:p>
        </w:tc>
        <w:tc>
          <w:tcPr>
            <w:tcW w:w="383"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台</w:t>
            </w:r>
            <w:r>
              <w:rPr>
                <w:rFonts w:hint="eastAsia" w:ascii="宋体" w:hAnsi="宋体" w:eastAsia="宋体" w:cs="宋体"/>
                <w:b w:val="0"/>
                <w:bCs w:val="0"/>
                <w:i w:val="0"/>
                <w:iCs w:val="0"/>
                <w:color w:val="000000"/>
                <w:sz w:val="20"/>
                <w:szCs w:val="20"/>
                <w:highlight w:val="none"/>
                <w:u w:val="none"/>
              </w:rPr>
            </w:r>
            <w:r/>
          </w:p>
        </w:tc>
        <w:tc>
          <w:tcPr>
            <w:tcW w:w="334"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7</w:t>
            </w:r>
            <w:r>
              <w:rPr>
                <w:rFonts w:hint="eastAsia" w:ascii="宋体" w:hAnsi="宋体" w:eastAsia="宋体" w:cs="宋体"/>
                <w:b w:val="0"/>
                <w:bCs w:val="0"/>
                <w:i w:val="0"/>
                <w:iCs w:val="0"/>
                <w:color w:val="000000"/>
                <w:sz w:val="20"/>
                <w:szCs w:val="20"/>
                <w:highlight w:val="none"/>
                <w:u w:val="none"/>
              </w:rPr>
            </w:r>
            <w:r/>
          </w:p>
        </w:tc>
      </w:tr>
      <w:tr>
        <w:trPr>
          <w:trHeight w:val="840"/>
        </w:trPr>
        <w:tc>
          <w:tcPr>
            <w:tcW w:w="333"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12</w:t>
            </w:r>
            <w:r>
              <w:rPr>
                <w:rFonts w:hint="eastAsia" w:ascii="宋体" w:hAnsi="宋体" w:eastAsia="宋体" w:cs="宋体"/>
                <w:b w:val="0"/>
                <w:bCs w:val="0"/>
                <w:i w:val="0"/>
                <w:iCs w:val="0"/>
                <w:color w:val="000000"/>
                <w:sz w:val="20"/>
                <w:szCs w:val="20"/>
                <w:highlight w:val="none"/>
                <w:u w:val="none"/>
              </w:rPr>
            </w:r>
            <w:r/>
          </w:p>
        </w:tc>
        <w:tc>
          <w:tcPr>
            <w:tcW w:w="691"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气压传感器</w:t>
            </w:r>
            <w:r>
              <w:rPr>
                <w:rFonts w:hint="eastAsia" w:ascii="宋体" w:hAnsi="宋体" w:eastAsia="宋体" w:cs="宋体"/>
                <w:b w:val="0"/>
                <w:bCs w:val="0"/>
                <w:i w:val="0"/>
                <w:iCs w:val="0"/>
                <w:color w:val="000000"/>
                <w:sz w:val="20"/>
                <w:szCs w:val="20"/>
                <w:highlight w:val="none"/>
                <w:u w:val="none"/>
              </w:rPr>
            </w:r>
            <w:r/>
          </w:p>
        </w:tc>
        <w:tc>
          <w:tcPr>
            <w:tcW w:w="3255"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1.测量范围:(600~1100)hPa;2.准确度:正负偏离均小于等于0.3hpa。</w:t>
            </w:r>
            <w:r>
              <w:rPr>
                <w:rFonts w:hint="eastAsia" w:ascii="宋体" w:hAnsi="宋体" w:eastAsia="宋体" w:cs="宋体"/>
                <w:b w:val="0"/>
                <w:bCs w:val="0"/>
                <w:i w:val="0"/>
                <w:iCs w:val="0"/>
                <w:color w:val="000000"/>
                <w:sz w:val="20"/>
                <w:szCs w:val="20"/>
                <w:highlight w:val="none"/>
                <w:u w:val="none"/>
              </w:rPr>
            </w:r>
            <w:r/>
          </w:p>
        </w:tc>
        <w:tc>
          <w:tcPr>
            <w:tcW w:w="383"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台</w:t>
            </w:r>
            <w:r>
              <w:rPr>
                <w:rFonts w:hint="eastAsia" w:ascii="宋体" w:hAnsi="宋体" w:eastAsia="宋体" w:cs="宋体"/>
                <w:b w:val="0"/>
                <w:bCs w:val="0"/>
                <w:i w:val="0"/>
                <w:iCs w:val="0"/>
                <w:color w:val="000000"/>
                <w:sz w:val="20"/>
                <w:szCs w:val="20"/>
                <w:highlight w:val="none"/>
                <w:u w:val="none"/>
              </w:rPr>
            </w:r>
            <w:r/>
          </w:p>
        </w:tc>
        <w:tc>
          <w:tcPr>
            <w:tcW w:w="334"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7</w:t>
            </w:r>
            <w:r>
              <w:rPr>
                <w:rFonts w:hint="eastAsia" w:ascii="宋体" w:hAnsi="宋体" w:eastAsia="宋体" w:cs="宋体"/>
                <w:b w:val="0"/>
                <w:bCs w:val="0"/>
                <w:i w:val="0"/>
                <w:iCs w:val="0"/>
                <w:color w:val="000000"/>
                <w:sz w:val="20"/>
                <w:szCs w:val="20"/>
                <w:highlight w:val="none"/>
                <w:u w:val="none"/>
              </w:rPr>
            </w:r>
            <w:r/>
          </w:p>
        </w:tc>
      </w:tr>
      <w:tr>
        <w:trPr>
          <w:trHeight w:val="1980"/>
        </w:trPr>
        <w:tc>
          <w:tcPr>
            <w:tcW w:w="333"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13</w:t>
            </w:r>
            <w:r>
              <w:rPr>
                <w:rFonts w:hint="eastAsia" w:ascii="宋体" w:hAnsi="宋体" w:eastAsia="宋体" w:cs="宋体"/>
                <w:b w:val="0"/>
                <w:bCs w:val="0"/>
                <w:i w:val="0"/>
                <w:iCs w:val="0"/>
                <w:color w:val="000000"/>
                <w:sz w:val="20"/>
                <w:szCs w:val="20"/>
                <w:highlight w:val="none"/>
                <w:u w:val="none"/>
              </w:rPr>
            </w:r>
            <w:r/>
          </w:p>
        </w:tc>
        <w:tc>
          <w:tcPr>
            <w:tcW w:w="691"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单点海流计</w:t>
            </w:r>
            <w:r>
              <w:rPr>
                <w:rFonts w:hint="eastAsia" w:ascii="宋体" w:hAnsi="宋体" w:eastAsia="宋体" w:cs="宋体"/>
                <w:b w:val="0"/>
                <w:bCs w:val="0"/>
                <w:i w:val="0"/>
                <w:iCs w:val="0"/>
                <w:color w:val="000000"/>
                <w:sz w:val="20"/>
                <w:szCs w:val="20"/>
                <w:highlight w:val="none"/>
                <w:u w:val="none"/>
              </w:rPr>
            </w:r>
            <w:r/>
          </w:p>
        </w:tc>
        <w:tc>
          <w:tcPr>
            <w:tcW w:w="3255"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1.单点海流计测</w:t>
            </w:r>
            <w:r>
              <w:rPr>
                <w:rFonts w:hint="eastAsia" w:ascii="宋体" w:hAnsi="宋体" w:eastAsia="宋体" w:cs="宋体"/>
                <w:b w:val="0"/>
                <w:bCs w:val="0"/>
                <w:i w:val="0"/>
                <w:iCs w:val="0"/>
                <w:color w:val="000000"/>
                <w:sz w:val="20"/>
                <w:szCs w:val="20"/>
                <w:highlight w:val="none"/>
                <w:u w:val="none"/>
                <w:lang w:val="en-US" w:eastAsia="zh-CN" w:bidi="ar"/>
              </w:rPr>
              <w:t xml:space="preserve">量原理与剖面海流计同为声学多普勒测量原理,以保证数据的一致性;2.单点海流计具备前向测量功能,可自动选择流来向的两个正交的传感器进行测量,避免传感器周边涡流对测量的干扰;3.单点海流计声学频率为1.9到2.0mHz多频测量技术,以提高测量精度,降低电耗;4.流速;5.流向;6.倾斜度传感器:量程范围:0~35°,分辨率:≤0.01°,准确度:正负偏离均小于等于1.5°;7.具备罗盘功能,以防止金属(如锚系)磁化对流向数据的影响;罗盘分辨率:&lt;0.01;准确度:正负偏离均小于等于3°;8.每台含一条原厂线缆。</w:t>
            </w:r>
            <w:r>
              <w:rPr>
                <w:rFonts w:hint="eastAsia" w:ascii="宋体" w:hAnsi="宋体" w:eastAsia="宋体" w:cs="宋体"/>
                <w:b w:val="0"/>
                <w:bCs w:val="0"/>
                <w:i w:val="0"/>
                <w:iCs w:val="0"/>
                <w:color w:val="000000"/>
                <w:sz w:val="20"/>
                <w:szCs w:val="20"/>
                <w:highlight w:val="none"/>
                <w:u w:val="none"/>
              </w:rPr>
            </w:r>
            <w:r/>
          </w:p>
        </w:tc>
        <w:tc>
          <w:tcPr>
            <w:tcW w:w="383"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台</w:t>
            </w:r>
            <w:r>
              <w:rPr>
                <w:rFonts w:hint="eastAsia" w:ascii="宋体" w:hAnsi="宋体" w:eastAsia="宋体" w:cs="宋体"/>
                <w:b w:val="0"/>
                <w:bCs w:val="0"/>
                <w:i w:val="0"/>
                <w:iCs w:val="0"/>
                <w:color w:val="000000"/>
                <w:sz w:val="20"/>
                <w:szCs w:val="20"/>
                <w:highlight w:val="none"/>
                <w:u w:val="none"/>
              </w:rPr>
            </w:r>
            <w:r/>
          </w:p>
        </w:tc>
        <w:tc>
          <w:tcPr>
            <w:tcW w:w="334"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2</w:t>
            </w:r>
            <w:r>
              <w:rPr>
                <w:rFonts w:hint="eastAsia" w:ascii="宋体" w:hAnsi="宋体" w:eastAsia="宋体" w:cs="宋体"/>
                <w:b w:val="0"/>
                <w:bCs w:val="0"/>
                <w:i w:val="0"/>
                <w:iCs w:val="0"/>
                <w:color w:val="000000"/>
                <w:sz w:val="20"/>
                <w:szCs w:val="20"/>
                <w:highlight w:val="none"/>
                <w:u w:val="none"/>
              </w:rPr>
            </w:r>
            <w:r/>
          </w:p>
        </w:tc>
      </w:tr>
      <w:tr>
        <w:trPr>
          <w:trHeight w:val="1180"/>
        </w:trPr>
        <w:tc>
          <w:tcPr>
            <w:tcW w:w="333"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14</w:t>
            </w:r>
            <w:r>
              <w:rPr>
                <w:rFonts w:hint="eastAsia" w:ascii="宋体" w:hAnsi="宋体" w:eastAsia="宋体" w:cs="宋体"/>
                <w:b w:val="0"/>
                <w:bCs w:val="0"/>
                <w:i w:val="0"/>
                <w:iCs w:val="0"/>
                <w:color w:val="000000"/>
                <w:sz w:val="20"/>
                <w:szCs w:val="20"/>
                <w:highlight w:val="none"/>
                <w:u w:val="none"/>
              </w:rPr>
            </w:r>
            <w:r/>
          </w:p>
        </w:tc>
        <w:tc>
          <w:tcPr>
            <w:tcW w:w="691"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剖面海流计</w:t>
            </w:r>
            <w:r>
              <w:rPr>
                <w:rFonts w:hint="eastAsia" w:ascii="宋体" w:hAnsi="宋体" w:eastAsia="宋体" w:cs="宋体"/>
                <w:b w:val="0"/>
                <w:bCs w:val="0"/>
                <w:i w:val="0"/>
                <w:iCs w:val="0"/>
                <w:color w:val="000000"/>
                <w:sz w:val="20"/>
                <w:szCs w:val="20"/>
                <w:highlight w:val="none"/>
                <w:u w:val="none"/>
              </w:rPr>
            </w:r>
            <w:r/>
          </w:p>
        </w:tc>
        <w:tc>
          <w:tcPr>
            <w:tcW w:w="3255"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1.设备要拥有至少四个模拟输出通道,一个串行通道,用于扩展外接电源、构建实时系统或连接第三方传感器;2.最大创面层数≥15层;3.应具备至少1G6的内存,以满足长期监测时存储数据的需求;4.每台含一条原厂线缆.</w:t>
            </w:r>
            <w:r>
              <w:rPr>
                <w:rFonts w:hint="eastAsia" w:ascii="宋体" w:hAnsi="宋体" w:eastAsia="宋体" w:cs="宋体"/>
                <w:b w:val="0"/>
                <w:bCs w:val="0"/>
                <w:i w:val="0"/>
                <w:iCs w:val="0"/>
                <w:color w:val="000000"/>
                <w:sz w:val="20"/>
                <w:szCs w:val="20"/>
                <w:highlight w:val="none"/>
                <w:u w:val="none"/>
              </w:rPr>
            </w:r>
            <w:r/>
          </w:p>
        </w:tc>
        <w:tc>
          <w:tcPr>
            <w:tcW w:w="383"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台</w:t>
            </w:r>
            <w:r>
              <w:rPr>
                <w:rFonts w:hint="eastAsia" w:ascii="宋体" w:hAnsi="宋体" w:eastAsia="宋体" w:cs="宋体"/>
                <w:b w:val="0"/>
                <w:bCs w:val="0"/>
                <w:i w:val="0"/>
                <w:iCs w:val="0"/>
                <w:color w:val="000000"/>
                <w:sz w:val="20"/>
                <w:szCs w:val="20"/>
                <w:highlight w:val="none"/>
                <w:u w:val="none"/>
              </w:rPr>
            </w:r>
            <w:r/>
          </w:p>
        </w:tc>
        <w:tc>
          <w:tcPr>
            <w:tcW w:w="334"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2</w:t>
            </w:r>
            <w:r>
              <w:rPr>
                <w:rFonts w:hint="eastAsia" w:ascii="宋体" w:hAnsi="宋体" w:eastAsia="宋体" w:cs="宋体"/>
                <w:b w:val="0"/>
                <w:bCs w:val="0"/>
                <w:i w:val="0"/>
                <w:iCs w:val="0"/>
                <w:color w:val="000000"/>
                <w:sz w:val="20"/>
                <w:szCs w:val="20"/>
                <w:highlight w:val="none"/>
                <w:u w:val="none"/>
              </w:rPr>
            </w:r>
            <w:r/>
          </w:p>
        </w:tc>
      </w:tr>
      <w:tr>
        <w:trPr>
          <w:trHeight w:val="980"/>
        </w:trPr>
        <w:tc>
          <w:tcPr>
            <w:tcW w:w="333"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15</w:t>
            </w:r>
            <w:r>
              <w:rPr>
                <w:rFonts w:hint="eastAsia" w:ascii="宋体" w:hAnsi="宋体" w:eastAsia="宋体" w:cs="宋体"/>
                <w:b w:val="0"/>
                <w:bCs w:val="0"/>
                <w:i w:val="0"/>
                <w:iCs w:val="0"/>
                <w:color w:val="000000"/>
                <w:sz w:val="20"/>
                <w:szCs w:val="20"/>
                <w:highlight w:val="none"/>
                <w:u w:val="none"/>
              </w:rPr>
            </w:r>
            <w:r/>
          </w:p>
        </w:tc>
        <w:tc>
          <w:tcPr>
            <w:tcW w:w="691"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波浪仪</w:t>
            </w:r>
            <w:r>
              <w:rPr>
                <w:rFonts w:hint="eastAsia" w:ascii="宋体" w:hAnsi="宋体" w:eastAsia="宋体" w:cs="宋体"/>
                <w:b w:val="0"/>
                <w:bCs w:val="0"/>
                <w:i w:val="0"/>
                <w:iCs w:val="0"/>
                <w:color w:val="000000"/>
                <w:sz w:val="20"/>
                <w:szCs w:val="20"/>
                <w:highlight w:val="none"/>
                <w:u w:val="none"/>
              </w:rPr>
            </w:r>
            <w:r/>
          </w:p>
        </w:tc>
        <w:tc>
          <w:tcPr>
            <w:tcW w:w="3255"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1.测量范围:波高:(0.2~20)m,准确度:正负偏离均小于等于(0.2+0.05x测值)m;2.测量范围:周期:(2~20)s,准确度:正负偏离均小于等于0.5s;3.测量范围:波向:(0~360)。,准确度:正负偏离均小于等于10。</w:t>
            </w:r>
            <w:r>
              <w:rPr>
                <w:rFonts w:hint="eastAsia" w:ascii="宋体" w:hAnsi="宋体" w:eastAsia="宋体" w:cs="宋体"/>
                <w:b w:val="0"/>
                <w:bCs w:val="0"/>
                <w:i w:val="0"/>
                <w:iCs w:val="0"/>
                <w:color w:val="000000"/>
                <w:sz w:val="20"/>
                <w:szCs w:val="20"/>
                <w:highlight w:val="none"/>
                <w:u w:val="none"/>
              </w:rPr>
            </w:r>
            <w:r/>
          </w:p>
        </w:tc>
        <w:tc>
          <w:tcPr>
            <w:tcW w:w="383"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台</w:t>
            </w:r>
            <w:r>
              <w:rPr>
                <w:rFonts w:hint="eastAsia" w:ascii="宋体" w:hAnsi="宋体" w:eastAsia="宋体" w:cs="宋体"/>
                <w:b w:val="0"/>
                <w:bCs w:val="0"/>
                <w:i w:val="0"/>
                <w:iCs w:val="0"/>
                <w:color w:val="000000"/>
                <w:sz w:val="20"/>
                <w:szCs w:val="20"/>
                <w:highlight w:val="none"/>
                <w:u w:val="none"/>
              </w:rPr>
            </w:r>
            <w:r/>
          </w:p>
        </w:tc>
        <w:tc>
          <w:tcPr>
            <w:tcW w:w="334"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2</w:t>
            </w:r>
            <w:r>
              <w:rPr>
                <w:rFonts w:hint="eastAsia" w:ascii="宋体" w:hAnsi="宋体" w:eastAsia="宋体" w:cs="宋体"/>
                <w:b w:val="0"/>
                <w:bCs w:val="0"/>
                <w:i w:val="0"/>
                <w:iCs w:val="0"/>
                <w:color w:val="000000"/>
                <w:sz w:val="20"/>
                <w:szCs w:val="20"/>
                <w:highlight w:val="none"/>
                <w:u w:val="none"/>
              </w:rPr>
            </w:r>
            <w:r/>
          </w:p>
        </w:tc>
      </w:tr>
      <w:tr>
        <w:trPr>
          <w:trHeight w:val="840"/>
        </w:trPr>
        <w:tc>
          <w:tcPr>
            <w:tcW w:w="333"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16</w:t>
            </w:r>
            <w:r>
              <w:rPr>
                <w:rFonts w:hint="eastAsia" w:ascii="宋体" w:hAnsi="宋体" w:eastAsia="宋体" w:cs="宋体"/>
                <w:b w:val="0"/>
                <w:bCs w:val="0"/>
                <w:i w:val="0"/>
                <w:iCs w:val="0"/>
                <w:color w:val="000000"/>
                <w:sz w:val="20"/>
                <w:szCs w:val="20"/>
                <w:highlight w:val="none"/>
                <w:u w:val="none"/>
              </w:rPr>
            </w:r>
            <w:r/>
          </w:p>
        </w:tc>
        <w:tc>
          <w:tcPr>
            <w:tcW w:w="691"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出海踏勘、布放及维修</w:t>
            </w:r>
            <w:r>
              <w:rPr>
                <w:rFonts w:hint="eastAsia" w:ascii="宋体" w:hAnsi="宋体" w:eastAsia="宋体" w:cs="宋体"/>
                <w:b w:val="0"/>
                <w:bCs w:val="0"/>
                <w:i w:val="0"/>
                <w:iCs w:val="0"/>
                <w:color w:val="000000"/>
                <w:sz w:val="20"/>
                <w:szCs w:val="20"/>
                <w:highlight w:val="none"/>
                <w:u w:val="none"/>
              </w:rPr>
            </w:r>
            <w:r/>
          </w:p>
        </w:tc>
        <w:tc>
          <w:tcPr>
            <w:tcW w:w="3255"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出海踏勘现场海域水深、海流等现场实际情况;实际施工浮标安装布放;以及后期2次出海维护。</w:t>
            </w:r>
            <w:r>
              <w:rPr>
                <w:rFonts w:hint="eastAsia" w:ascii="宋体" w:hAnsi="宋体" w:eastAsia="宋体" w:cs="宋体"/>
                <w:b w:val="0"/>
                <w:bCs w:val="0"/>
                <w:i w:val="0"/>
                <w:iCs w:val="0"/>
                <w:color w:val="000000"/>
                <w:sz w:val="20"/>
                <w:szCs w:val="20"/>
                <w:highlight w:val="none"/>
                <w:u w:val="none"/>
              </w:rPr>
            </w:r>
            <w:r/>
          </w:p>
        </w:tc>
        <w:tc>
          <w:tcPr>
            <w:tcW w:w="383"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次</w:t>
            </w:r>
            <w:r>
              <w:rPr>
                <w:rFonts w:hint="eastAsia" w:ascii="宋体" w:hAnsi="宋体" w:eastAsia="宋体" w:cs="宋体"/>
                <w:b w:val="0"/>
                <w:bCs w:val="0"/>
                <w:i w:val="0"/>
                <w:iCs w:val="0"/>
                <w:color w:val="000000"/>
                <w:sz w:val="20"/>
                <w:szCs w:val="20"/>
                <w:highlight w:val="none"/>
                <w:u w:val="none"/>
              </w:rPr>
            </w:r>
            <w:r/>
          </w:p>
        </w:tc>
        <w:tc>
          <w:tcPr>
            <w:tcW w:w="334"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4</w:t>
            </w:r>
            <w:r>
              <w:rPr>
                <w:rFonts w:hint="eastAsia" w:ascii="宋体" w:hAnsi="宋体" w:eastAsia="宋体" w:cs="宋体"/>
                <w:b w:val="0"/>
                <w:bCs w:val="0"/>
                <w:i w:val="0"/>
                <w:iCs w:val="0"/>
                <w:color w:val="000000"/>
                <w:sz w:val="20"/>
                <w:szCs w:val="20"/>
                <w:highlight w:val="none"/>
                <w:u w:val="none"/>
              </w:rPr>
            </w:r>
            <w:r/>
          </w:p>
        </w:tc>
      </w:tr>
      <w:tr>
        <w:trPr>
          <w:trHeight w:val="840"/>
        </w:trPr>
        <w:tc>
          <w:tcPr>
            <w:tcW w:w="333"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17</w:t>
            </w:r>
            <w:r>
              <w:rPr>
                <w:rFonts w:hint="eastAsia" w:ascii="宋体" w:hAnsi="宋体" w:eastAsia="宋体" w:cs="宋体"/>
                <w:b w:val="0"/>
                <w:bCs w:val="0"/>
                <w:i w:val="0"/>
                <w:iCs w:val="0"/>
                <w:color w:val="000000"/>
                <w:sz w:val="20"/>
                <w:szCs w:val="20"/>
                <w:highlight w:val="none"/>
                <w:u w:val="none"/>
              </w:rPr>
            </w:r>
            <w:r/>
          </w:p>
        </w:tc>
        <w:tc>
          <w:tcPr>
            <w:tcW w:w="691"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方位传感器</w:t>
            </w:r>
            <w:r>
              <w:rPr>
                <w:rFonts w:hint="eastAsia" w:ascii="宋体" w:hAnsi="宋体" w:eastAsia="宋体" w:cs="宋体"/>
                <w:b w:val="0"/>
                <w:bCs w:val="0"/>
                <w:i w:val="0"/>
                <w:iCs w:val="0"/>
                <w:color w:val="000000"/>
                <w:sz w:val="20"/>
                <w:szCs w:val="20"/>
                <w:highlight w:val="none"/>
                <w:u w:val="none"/>
              </w:rPr>
            </w:r>
            <w:r/>
          </w:p>
        </w:tc>
        <w:tc>
          <w:tcPr>
            <w:tcW w:w="3255"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1.测量范围:(0~359)°;2.精度:正负偏离均小于等于5°,最大倾角不小于30°</w:t>
            </w:r>
            <w:r>
              <w:rPr>
                <w:rFonts w:hint="eastAsia" w:ascii="宋体" w:hAnsi="宋体" w:eastAsia="宋体" w:cs="宋体"/>
                <w:b w:val="0"/>
                <w:bCs w:val="0"/>
                <w:i w:val="0"/>
                <w:iCs w:val="0"/>
                <w:color w:val="000000"/>
                <w:sz w:val="20"/>
                <w:szCs w:val="20"/>
                <w:highlight w:val="none"/>
                <w:u w:val="none"/>
              </w:rPr>
            </w:r>
            <w:r/>
          </w:p>
        </w:tc>
        <w:tc>
          <w:tcPr>
            <w:tcW w:w="383"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台</w:t>
            </w:r>
            <w:r>
              <w:rPr>
                <w:rFonts w:hint="eastAsia" w:ascii="宋体" w:hAnsi="宋体" w:eastAsia="宋体" w:cs="宋体"/>
                <w:b w:val="0"/>
                <w:bCs w:val="0"/>
                <w:i w:val="0"/>
                <w:iCs w:val="0"/>
                <w:color w:val="000000"/>
                <w:sz w:val="20"/>
                <w:szCs w:val="20"/>
                <w:highlight w:val="none"/>
                <w:u w:val="none"/>
              </w:rPr>
            </w:r>
            <w:r/>
          </w:p>
        </w:tc>
        <w:tc>
          <w:tcPr>
            <w:tcW w:w="334"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2</w:t>
            </w:r>
            <w:r>
              <w:rPr>
                <w:rFonts w:hint="eastAsia" w:ascii="宋体" w:hAnsi="宋体" w:eastAsia="宋体" w:cs="宋体"/>
                <w:b w:val="0"/>
                <w:bCs w:val="0"/>
                <w:i w:val="0"/>
                <w:iCs w:val="0"/>
                <w:color w:val="000000"/>
                <w:sz w:val="20"/>
                <w:szCs w:val="20"/>
                <w:highlight w:val="none"/>
                <w:u w:val="none"/>
              </w:rPr>
            </w:r>
            <w:r/>
          </w:p>
        </w:tc>
      </w:tr>
    </w:tbl>
    <w:p>
      <w:pPr>
        <w:pStyle w:val="680"/>
        <w:jc w:val="left"/>
        <w:keepLines w:val="0"/>
        <w:keepNext w:val="0"/>
        <w:widowControl/>
        <w:rPr>
          <w:rFonts w:hint="eastAsia" w:ascii="宋体" w:hAnsi="宋体" w:eastAsia="宋体" w:cs="宋体"/>
          <w:b w:val="0"/>
          <w:bCs w:val="0"/>
          <w:i w:val="0"/>
          <w:iCs w:val="0"/>
          <w:color w:val="000000"/>
          <w:sz w:val="20"/>
          <w:szCs w:val="20"/>
          <w:highlight w:val="none"/>
          <w:u w:val="none"/>
          <w:lang w:val="zh-CN" w:eastAsia="zh-CN" w:bidi="ar"/>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注：分别放置在东沙沙洲近岸侧海域和离岸侧海域，实时在线监测系统具备同时连续监测海洋水质多参数(水温、pH、电导率、盐度、溶解氧、浊度、叶绿素、蓝绿藻、氨氮、亚硝酸盐、硝酸盐、磷酸盐、重金属)、海洋气象(气温、气压、空气相对湿度、降雨、风速、风向、光照强度)、海洋水文(流量、波高、波向、波周期、沉积物粒度)的功能。并且按照每年2次的频次计对水文监测设备进行检修维护，以保障数据的准确性和设备的长期稳定运行，5年不丢标。自交货验收合格之日起5年内，如浮标丢失，其责任由乙方承担，需由乙方恢复到位。</w:t>
      </w:r>
      <w:r>
        <w:rPr>
          <w:rFonts w:hint="eastAsia" w:ascii="宋体" w:hAnsi="宋体" w:eastAsia="宋体" w:cs="宋体"/>
          <w:b w:val="0"/>
          <w:bCs w:val="0"/>
          <w:i w:val="0"/>
          <w:iCs w:val="0"/>
          <w:color w:val="000000"/>
          <w:sz w:val="20"/>
          <w:szCs w:val="20"/>
          <w:highlight w:val="none"/>
          <w:u w:val="none"/>
          <w:lang w:val="zh-CN" w:eastAsia="zh-CN" w:bidi="ar"/>
        </w:rPr>
      </w:r>
      <w:r/>
    </w:p>
    <w:p>
      <w:pPr>
        <w:pStyle w:val="680"/>
        <w:jc w:val="left"/>
        <w:keepLines w:val="0"/>
        <w:keepNext w:val="0"/>
        <w:widowControl/>
        <w:rPr>
          <w:rFonts w:hint="eastAsia" w:ascii="宋体" w:hAnsi="宋体" w:eastAsia="宋体" w:cs="宋体"/>
          <w:b w:val="0"/>
          <w:bCs w:val="0"/>
          <w:i w:val="0"/>
          <w:iCs w:val="0"/>
          <w:color w:val="000000"/>
          <w:sz w:val="20"/>
          <w:szCs w:val="20"/>
          <w:highlight w:val="none"/>
          <w:u w:val="none"/>
          <w:lang w:val="zh-CN" w:eastAsia="zh-CN" w:bidi="ar"/>
        </w:rPr>
        <w:suppressLineNumbers w:val="0"/>
      </w:pPr>
      <w:r>
        <w:rPr>
          <w:rFonts w:hint="eastAsia" w:ascii="宋体" w:hAnsi="宋体" w:eastAsia="宋体" w:cs="宋体"/>
          <w:b w:val="0"/>
          <w:bCs w:val="0"/>
          <w:i w:val="0"/>
          <w:iCs w:val="0"/>
          <w:color w:val="000000"/>
          <w:sz w:val="20"/>
          <w:szCs w:val="20"/>
          <w:highlight w:val="none"/>
          <w:u w:val="none"/>
          <w:lang w:val="zh-CN" w:eastAsia="zh-CN" w:bidi="ar"/>
        </w:rPr>
        <w:t xml:space="preserve">质量标准：完成项目需求约定的全部内容，满足采购人需求，质量合格，并通过采购人组织的专家验收。</w:t>
      </w:r>
      <w:r>
        <w:rPr>
          <w:rFonts w:hint="eastAsia" w:ascii="宋体" w:hAnsi="宋体" w:eastAsia="宋体" w:cs="宋体"/>
          <w:b w:val="0"/>
          <w:bCs w:val="0"/>
          <w:i w:val="0"/>
          <w:iCs w:val="0"/>
          <w:color w:val="000000"/>
          <w:sz w:val="20"/>
          <w:szCs w:val="20"/>
          <w:highlight w:val="none"/>
          <w:u w:val="none"/>
          <w:lang w:val="zh-CN" w:eastAsia="zh-CN" w:bidi="ar"/>
        </w:rPr>
      </w:r>
      <w:r/>
    </w:p>
    <w:p>
      <w:pPr>
        <w:pStyle w:val="680"/>
        <w:jc w:val="left"/>
        <w:keepLines w:val="0"/>
        <w:keepNext w:val="0"/>
        <w:widowControl/>
        <w:rPr>
          <w:rFonts w:hint="eastAsia" w:ascii="宋体" w:hAnsi="宋体" w:eastAsia="宋体" w:cs="宋体"/>
          <w:sz w:val="32"/>
          <w:szCs w:val="32"/>
          <w:highlight w:val="none"/>
          <w:lang w:val="zh-CN" w:eastAsia="zh-CN"/>
        </w:rPr>
        <w:suppressLineNumbers w:val="0"/>
      </w:pPr>
      <w:r>
        <w:rPr>
          <w:rFonts w:hint="eastAsia" w:ascii="宋体" w:hAnsi="宋体" w:eastAsia="宋体" w:cs="宋体"/>
          <w:b w:val="0"/>
          <w:bCs w:val="0"/>
          <w:i w:val="0"/>
          <w:iCs w:val="0"/>
          <w:color w:val="000000"/>
          <w:sz w:val="20"/>
          <w:szCs w:val="20"/>
          <w:highlight w:val="none"/>
          <w:u w:val="none"/>
          <w:lang w:val="zh-CN" w:eastAsia="zh-CN" w:bidi="ar"/>
        </w:rPr>
        <w:t xml:space="preserve">本项目所形成的数据、成果及著作所有权归甲方所有，乙方未经甲方书面同意，不得外泄或挪作他用。</w:t>
      </w:r>
      <w:r>
        <w:rPr>
          <w:rFonts w:hint="eastAsia" w:ascii="宋体" w:hAnsi="宋体" w:eastAsia="宋体" w:cs="宋体"/>
          <w:sz w:val="32"/>
          <w:szCs w:val="32"/>
          <w:highlight w:val="none"/>
          <w:lang w:val="zh-CN" w:eastAsia="zh-CN"/>
        </w:rPr>
      </w:r>
      <w:r/>
    </w:p>
    <w:p>
      <w:pPr>
        <w:pStyle w:val="680"/>
        <w:ind w:left="0" w:firstLine="420"/>
        <w:spacing w:line="360" w:lineRule="auto"/>
        <w:rPr>
          <w:rFonts w:hint="eastAsia" w:ascii="宋体" w:hAnsi="宋体" w:eastAsia="宋体" w:cs="宋体"/>
          <w:sz w:val="24"/>
          <w:szCs w:val="24"/>
          <w:lang w:eastAsia="zh-CN"/>
        </w:rPr>
        <w:sectPr>
          <w:footerReference w:type="default" r:id="rId10"/>
          <w:footnotePr/>
          <w:endnotePr/>
          <w:type w:val="nextPage"/>
          <w:pgSz w:w="11906" w:h="16838" w:orient="portrait"/>
          <w:pgMar w:top="1417" w:right="1304" w:bottom="1417" w:left="1304" w:header="851" w:footer="907" w:gutter="0"/>
          <w:pgNumType w:start="1"/>
          <w:cols w:num="1" w:sep="0" w:space="1701" w:equalWidth="1"/>
          <w:docGrid w:linePitch="360"/>
          <w:titlePg/>
        </w:sectPr>
      </w:pPr>
      <w:r>
        <w:rPr>
          <w:rFonts w:hint="eastAsia" w:ascii="宋体" w:hAnsi="宋体" w:eastAsia="宋体" w:cs="宋体"/>
          <w:sz w:val="24"/>
          <w:szCs w:val="24"/>
          <w:lang w:eastAsia="zh-CN"/>
        </w:rPr>
      </w:r>
      <w:r/>
    </w:p>
    <w:p>
      <w:pPr>
        <w:pStyle w:val="680"/>
        <w:ind w:firstLine="1320"/>
        <w:rPr>
          <w:highlight w:val="none"/>
        </w:rPr>
      </w:pPr>
      <w:r/>
      <w:bookmarkStart w:id="169" w:name="_Toc120614281"/>
      <w:r>
        <w:rPr>
          <w:rFonts w:hint="eastAsia" w:ascii="黑体" w:hAnsi="宋体" w:eastAsia="黑体" w:cs="黑体"/>
          <w:color w:val="000000"/>
          <w:sz w:val="44"/>
          <w:szCs w:val="44"/>
          <w:highlight w:val="none"/>
        </w:rPr>
        <w:t xml:space="preserve">第五章  </w:t>
      </w:r>
      <w:r>
        <w:rPr>
          <w:rFonts w:hint="eastAsia" w:ascii="黑体" w:hAnsi="宋体" w:eastAsia="黑体" w:cs="黑体"/>
          <w:b/>
          <w:color w:val="000000"/>
          <w:sz w:val="44"/>
          <w:szCs w:val="44"/>
          <w:highlight w:val="none"/>
        </w:rPr>
        <w:t xml:space="preserve">评标方法与评标标准</w:t>
      </w:r>
      <w:r>
        <w:rPr>
          <w:highlight w:val="none"/>
        </w:rPr>
      </w:r>
      <w:r/>
    </w:p>
    <w:p>
      <w:pPr>
        <w:pStyle w:val="698"/>
        <w:jc w:val="both"/>
        <w:spacing w:beforeAutospacing="0" w:afterAutospacing="0"/>
        <w:rPr>
          <w:highlight w:val="none"/>
        </w:rPr>
      </w:pPr>
      <w:r>
        <w:rPr>
          <w:highlight w:val="none"/>
        </w:rPr>
        <w:t xml:space="preserve"> </w:t>
      </w:r>
      <w:r>
        <w:rPr>
          <w:highlight w:val="none"/>
        </w:rPr>
      </w:r>
      <w:r/>
    </w:p>
    <w:p>
      <w:pPr>
        <w:pStyle w:val="680"/>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一、定标原则</w:t>
      </w:r>
      <w:r>
        <w:rPr>
          <w:rFonts w:hint="eastAsia" w:ascii="宋体" w:hAnsi="宋体" w:eastAsia="宋体" w:cs="宋体"/>
          <w:b/>
          <w:bCs/>
          <w:color w:val="000000"/>
          <w:sz w:val="24"/>
          <w:szCs w:val="24"/>
          <w:highlight w:val="none"/>
        </w:rPr>
      </w:r>
      <w:r/>
    </w:p>
    <w:p>
      <w:pPr>
        <w:pStyle w:val="68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本项目采用</w:t>
      </w:r>
      <w:r>
        <w:rPr>
          <w:rFonts w:hint="eastAsia" w:ascii="宋体" w:hAnsi="宋体" w:eastAsia="宋体" w:cs="宋体"/>
          <w:bCs/>
          <w:color w:val="000000"/>
          <w:sz w:val="24"/>
          <w:szCs w:val="24"/>
          <w:highlight w:val="none"/>
          <w:u w:val="single"/>
        </w:rPr>
        <w:t xml:space="preserve"> 综合评分</w:t>
      </w:r>
      <w:r>
        <w:rPr>
          <w:rFonts w:hint="eastAsia" w:ascii="宋体" w:hAnsi="宋体" w:eastAsia="宋体" w:cs="宋体"/>
          <w:bCs/>
          <w:color w:val="000000"/>
          <w:sz w:val="24"/>
          <w:szCs w:val="24"/>
          <w:highlight w:val="none"/>
        </w:rPr>
        <w:t xml:space="preserve">法。</w:t>
      </w:r>
      <w:r>
        <w:rPr>
          <w:rFonts w:hint="eastAsia" w:ascii="宋体" w:hAnsi="宋体" w:eastAsia="宋体" w:cs="宋体"/>
          <w:color w:val="000000"/>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val="en-US" w:eastAsia="zh-CN"/>
        </w:rPr>
        <w:t xml:space="preserve">并列</w:t>
      </w:r>
      <w:r>
        <w:rPr>
          <w:rFonts w:hint="eastAsia" w:ascii="宋体" w:hAnsi="宋体" w:eastAsia="宋体" w:cs="宋体"/>
          <w:color w:val="000000"/>
          <w:sz w:val="24"/>
          <w:szCs w:val="24"/>
          <w:highlight w:val="none"/>
        </w:rPr>
        <w:t xml:space="preserve">。投标文件满足招标文件全部实质性要求，且按照评审因素的量化指标评审得分最高的</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为排名第一的中标候选人，本项目选取1名中标候选人。</w:t>
      </w:r>
      <w:r>
        <w:rPr>
          <w:rFonts w:hint="eastAsia" w:ascii="宋体" w:hAnsi="宋体" w:eastAsia="宋体" w:cs="宋体"/>
          <w:color w:val="000000"/>
          <w:sz w:val="24"/>
          <w:szCs w:val="24"/>
          <w:highlight w:val="none"/>
        </w:rPr>
      </w:r>
      <w:r/>
    </w:p>
    <w:p>
      <w:pPr>
        <w:pStyle w:val="698"/>
        <w:ind w:firstLine="441"/>
        <w:spacing w:before="120" w:beforeAutospacing="0" w:after="120"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政府采购政策功能落实</w:t>
      </w:r>
      <w:r>
        <w:rPr>
          <w:rFonts w:hint="eastAsia" w:ascii="宋体" w:hAnsi="宋体" w:eastAsia="宋体" w:cs="宋体"/>
          <w:sz w:val="24"/>
          <w:szCs w:val="24"/>
          <w:highlight w:val="none"/>
        </w:rPr>
      </w:r>
      <w:r/>
    </w:p>
    <w:p>
      <w:pPr>
        <w:pStyle w:val="698"/>
        <w:ind w:firstLine="480"/>
        <w:spacing w:before="120" w:beforeAutospacing="0" w:after="12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1、小微型企业价格扣除</w:t>
      </w:r>
      <w:r>
        <w:rPr>
          <w:rFonts w:hint="eastAsia" w:ascii="宋体" w:hAnsi="宋体" w:eastAsia="宋体" w:cs="宋体"/>
          <w:color w:val="000000"/>
          <w:sz w:val="24"/>
          <w:szCs w:val="24"/>
          <w:highlight w:val="none"/>
        </w:rPr>
      </w:r>
      <w:r/>
    </w:p>
    <w:p>
      <w:pPr>
        <w:pStyle w:val="698"/>
        <w:ind w:firstLine="480"/>
        <w:spacing w:before="120" w:beforeAutospacing="0" w:after="12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（1）本项目为非专门面向中小企业采购，采购标的所属行业为工业，对符合规定的小型和微型企业报价给予20%的扣除价格，用扣除后的价格参与评审。</w:t>
      </w:r>
      <w:r>
        <w:rPr>
          <w:rFonts w:hint="eastAsia" w:ascii="宋体" w:hAnsi="宋体" w:eastAsia="宋体" w:cs="宋体"/>
          <w:color w:val="000000"/>
          <w:sz w:val="24"/>
          <w:szCs w:val="24"/>
          <w:highlight w:val="none"/>
        </w:rPr>
      </w:r>
      <w:r/>
    </w:p>
    <w:p>
      <w:pPr>
        <w:pStyle w:val="698"/>
        <w:ind w:firstLine="480"/>
        <w:spacing w:before="120" w:beforeAutospacing="0" w:after="12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（2）供应商需按照采购文件的要求提供相应的《中小企业声明函》。</w:t>
      </w:r>
      <w:r>
        <w:rPr>
          <w:rFonts w:hint="eastAsia" w:ascii="宋体" w:hAnsi="宋体" w:eastAsia="宋体" w:cs="宋体"/>
          <w:color w:val="000000"/>
          <w:sz w:val="24"/>
          <w:szCs w:val="24"/>
          <w:highlight w:val="none"/>
        </w:rPr>
      </w:r>
      <w:r/>
    </w:p>
    <w:p>
      <w:pPr>
        <w:pStyle w:val="698"/>
        <w:ind w:firstLine="480"/>
        <w:spacing w:before="120" w:beforeAutospacing="0" w:after="12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（3）企业标准请参照《关于印发中小企业划型标准规定的通知》（工信部联企业[2011]300号）文件规定自行填写。</w:t>
      </w:r>
      <w:r>
        <w:rPr>
          <w:rFonts w:hint="eastAsia" w:ascii="宋体" w:hAnsi="宋体" w:eastAsia="宋体" w:cs="宋体"/>
          <w:color w:val="000000"/>
          <w:sz w:val="24"/>
          <w:szCs w:val="24"/>
          <w:highlight w:val="none"/>
        </w:rPr>
      </w:r>
      <w:r/>
    </w:p>
    <w:p>
      <w:pPr>
        <w:pStyle w:val="698"/>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2、残疾人福利单位价格扣除</w:t>
      </w:r>
      <w:r>
        <w:rPr>
          <w:rFonts w:hint="eastAsia" w:ascii="宋体" w:hAnsi="宋体" w:eastAsia="宋体" w:cs="宋体"/>
          <w:sz w:val="24"/>
          <w:szCs w:val="24"/>
          <w:highlight w:val="none"/>
        </w:rPr>
      </w:r>
      <w:r/>
    </w:p>
    <w:p>
      <w:pPr>
        <w:pStyle w:val="698"/>
        <w:ind w:left="120" w:firstLine="360"/>
        <w:spacing w:before="120" w:beforeAutospacing="0" w:after="120" w:afterAutospacing="0" w:line="0" w:lineRule="atLeast"/>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 xml:space="preserve">（1）本项目对残疾人福利性单位视同小型、微型企业，给予</w:t>
      </w:r>
      <w:r>
        <w:rPr>
          <w:rFonts w:hint="eastAsia" w:ascii="宋体" w:hAnsi="宋体" w:eastAsia="宋体" w:cs="宋体"/>
          <w:color w:val="000000"/>
          <w:sz w:val="24"/>
          <w:szCs w:val="24"/>
          <w:highlight w:val="none"/>
          <w:u w:val="single"/>
        </w:rPr>
        <w:t xml:space="preserve">20%</w:t>
      </w:r>
      <w:r>
        <w:rPr>
          <w:rFonts w:hint="eastAsia" w:ascii="宋体" w:hAnsi="宋体" w:eastAsia="宋体" w:cs="宋体"/>
          <w:color w:val="000000"/>
          <w:sz w:val="24"/>
          <w:szCs w:val="24"/>
          <w:highlight w:val="none"/>
        </w:rPr>
        <w:t xml:space="preserve">的价格扣除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lang w:eastAsia="zh-CN"/>
        </w:rPr>
      </w:r>
      <w:r/>
    </w:p>
    <w:p>
      <w:pPr>
        <w:pStyle w:val="698"/>
        <w:ind w:left="120" w:firstLine="36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（2）残疾人福利单位需按照采购文件的要求提供《残疾人福利性单位声明函》。</w:t>
      </w:r>
      <w:r>
        <w:rPr>
          <w:rFonts w:hint="eastAsia" w:ascii="宋体" w:hAnsi="宋体" w:eastAsia="宋体" w:cs="宋体"/>
          <w:sz w:val="24"/>
          <w:szCs w:val="24"/>
          <w:highlight w:val="none"/>
        </w:rPr>
      </w:r>
      <w:r/>
    </w:p>
    <w:p>
      <w:pPr>
        <w:pStyle w:val="698"/>
        <w:ind w:left="120" w:firstLine="36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（3）残疾人福利单位标准请参照《关于促进残疾人就业政府采购政策的通知》（财库〔2017〕141号）。</w:t>
      </w:r>
      <w:r>
        <w:rPr>
          <w:rFonts w:hint="eastAsia" w:ascii="宋体" w:hAnsi="宋体" w:eastAsia="宋体" w:cs="宋体"/>
          <w:sz w:val="24"/>
          <w:szCs w:val="24"/>
          <w:highlight w:val="none"/>
        </w:rPr>
      </w:r>
      <w:r/>
    </w:p>
    <w:p>
      <w:pPr>
        <w:pStyle w:val="698"/>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3、监狱和戒毒企业价格扣除</w:t>
      </w:r>
      <w:r>
        <w:rPr>
          <w:rFonts w:hint="eastAsia" w:ascii="宋体" w:hAnsi="宋体" w:eastAsia="宋体" w:cs="宋体"/>
          <w:sz w:val="24"/>
          <w:szCs w:val="24"/>
          <w:highlight w:val="none"/>
        </w:rPr>
      </w:r>
      <w:r/>
    </w:p>
    <w:p>
      <w:pPr>
        <w:pStyle w:val="698"/>
        <w:ind w:firstLine="480"/>
        <w:spacing w:before="120" w:beforeAutospacing="0" w:after="120" w:afterAutospacing="0" w:line="0" w:lineRule="atLeast"/>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 xml:space="preserve">（1）本项目对监狱和戒毒企业（简称监狱企业）视同小型、微型企业，给予</w:t>
      </w:r>
      <w:r>
        <w:rPr>
          <w:rFonts w:hint="eastAsia" w:ascii="宋体" w:hAnsi="宋体" w:eastAsia="宋体" w:cs="宋体"/>
          <w:color w:val="000000"/>
          <w:sz w:val="24"/>
          <w:szCs w:val="24"/>
          <w:highlight w:val="none"/>
          <w:u w:val="single"/>
        </w:rPr>
        <w:t xml:space="preserve">20%</w:t>
      </w:r>
      <w:r>
        <w:rPr>
          <w:rFonts w:hint="eastAsia" w:ascii="宋体" w:hAnsi="宋体" w:eastAsia="宋体" w:cs="宋体"/>
          <w:color w:val="000000"/>
          <w:sz w:val="24"/>
          <w:szCs w:val="24"/>
          <w:highlight w:val="none"/>
        </w:rPr>
        <w:t xml:space="preserve">的价格扣除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lang w:eastAsia="zh-CN"/>
        </w:rPr>
      </w:r>
      <w:r/>
    </w:p>
    <w:p>
      <w:pPr>
        <w:pStyle w:val="698"/>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sz w:val="24"/>
          <w:szCs w:val="24"/>
          <w:highlight w:val="none"/>
        </w:rPr>
      </w:r>
      <w:r/>
    </w:p>
    <w:p>
      <w:pPr>
        <w:pStyle w:val="698"/>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（3）监狱企业标准请参照《关于政府采购支持监狱企业发展有关问题的通知》（财库</w:t>
      </w:r>
      <w:r>
        <w:rPr>
          <w:rFonts w:hint="eastAsia" w:ascii="宋体" w:hAnsi="宋体" w:eastAsia="宋体" w:cs="宋体"/>
          <w:color w:val="000000"/>
          <w:sz w:val="24"/>
          <w:szCs w:val="24"/>
          <w:highlight w:val="none"/>
          <w:lang w:eastAsia="zh-CN"/>
        </w:rPr>
        <w:t xml:space="preserve">〔2014〕68号</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r>
      <w:r/>
    </w:p>
    <w:p>
      <w:pPr>
        <w:pStyle w:val="698"/>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4、残疾人福利单位、监狱企业属于小型、微型企业的，不重复享受政策。</w:t>
      </w:r>
      <w:r>
        <w:rPr>
          <w:rFonts w:hint="eastAsia" w:ascii="宋体" w:hAnsi="宋体" w:eastAsia="宋体" w:cs="宋体"/>
          <w:sz w:val="24"/>
          <w:szCs w:val="24"/>
          <w:highlight w:val="none"/>
        </w:rPr>
      </w:r>
      <w:r/>
    </w:p>
    <w:p>
      <w:pPr>
        <w:pStyle w:val="680"/>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rPr>
          <w:rFonts w:hint="eastAsia" w:ascii="宋体" w:hAnsi="宋体" w:eastAsia="宋体" w:cs="宋体"/>
          <w:sz w:val="24"/>
          <w:szCs w:val="24"/>
          <w:lang w:val="en-US" w:eastAsia="zh-CN"/>
        </w:rPr>
      </w:r>
      <w:r/>
    </w:p>
    <w:p>
      <w:pPr>
        <w:pStyle w:val="680"/>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6、联合体各方均为小型、微型企业（残疾人福利单位、监狱企业）的，联合体享受20%的价格扣除。</w:t>
      </w:r>
      <w:r>
        <w:rPr>
          <w:rFonts w:hint="eastAsia" w:ascii="宋体" w:hAnsi="宋体" w:eastAsia="宋体" w:cs="宋体"/>
          <w:sz w:val="24"/>
          <w:szCs w:val="24"/>
          <w:lang w:val="en-US" w:eastAsia="zh-CN"/>
        </w:rPr>
      </w:r>
      <w:r/>
    </w:p>
    <w:p>
      <w:pPr>
        <w:pStyle w:val="680"/>
        <w:ind w:firstLine="482"/>
        <w:jc w:val="left"/>
        <w:spacing w:line="400" w:lineRule="exact"/>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7、采购本国产品的支持政策</w:t>
      </w:r>
      <w:r>
        <w:rPr>
          <w:rFonts w:hint="eastAsia" w:ascii="宋体" w:hAnsi="宋体" w:eastAsia="宋体" w:cs="宋体"/>
          <w:b/>
          <w:bCs/>
          <w:color w:val="ff0000"/>
          <w:sz w:val="24"/>
          <w:szCs w:val="24"/>
        </w:rPr>
      </w:r>
      <w:r/>
    </w:p>
    <w:p>
      <w:pPr>
        <w:pStyle w:val="680"/>
        <w:ind w:firstLine="482"/>
        <w:jc w:val="left"/>
        <w:spacing w:line="400" w:lineRule="exact"/>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7.1 本项目政府采购活动中既有本国产品又有非本国产品参与竞争的，依法对本国产品给予价格评审优惠，对本国产品的报价给予 </w:t>
      </w:r>
      <w:r>
        <w:rPr>
          <w:rFonts w:hint="eastAsia" w:ascii="宋体" w:hAnsi="宋体" w:eastAsia="宋体" w:cs="宋体"/>
          <w:b/>
          <w:bCs/>
          <w:color w:val="ff0000"/>
          <w:sz w:val="24"/>
          <w:szCs w:val="24"/>
          <w:u w:val="single"/>
        </w:rPr>
        <w:t xml:space="preserve">20%</w:t>
      </w:r>
      <w:r>
        <w:rPr>
          <w:rFonts w:hint="eastAsia" w:ascii="宋体" w:hAnsi="宋体" w:eastAsia="宋体" w:cs="宋体"/>
          <w:b/>
          <w:bCs/>
          <w:color w:val="ff0000"/>
          <w:sz w:val="24"/>
          <w:szCs w:val="24"/>
        </w:rPr>
        <w:t xml:space="preserve">的价格扣除，用扣除后的价格参与评审。</w:t>
      </w:r>
      <w:r>
        <w:rPr>
          <w:rFonts w:hint="eastAsia" w:ascii="宋体" w:hAnsi="宋体" w:eastAsia="宋体" w:cs="宋体"/>
          <w:b/>
          <w:bCs/>
          <w:color w:val="ff0000"/>
          <w:sz w:val="24"/>
          <w:szCs w:val="24"/>
        </w:rPr>
      </w:r>
      <w:r/>
    </w:p>
    <w:p>
      <w:pPr>
        <w:pStyle w:val="680"/>
        <w:ind w:firstLine="482"/>
        <w:jc w:val="left"/>
        <w:spacing w:line="400" w:lineRule="exact"/>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bCs/>
          <w:color w:val="ff0000"/>
          <w:sz w:val="24"/>
          <w:szCs w:val="24"/>
          <w:u w:val="single"/>
        </w:rPr>
        <w:t xml:space="preserve">80%</w:t>
      </w:r>
      <w:r>
        <w:rPr>
          <w:rFonts w:hint="eastAsia" w:ascii="宋体" w:hAnsi="宋体" w:eastAsia="宋体" w:cs="宋体"/>
          <w:b/>
          <w:bCs/>
          <w:color w:val="ff0000"/>
          <w:sz w:val="24"/>
          <w:szCs w:val="24"/>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bCs/>
          <w:color w:val="ff0000"/>
          <w:sz w:val="24"/>
          <w:szCs w:val="24"/>
          <w:u w:val="single"/>
        </w:rPr>
        <w:t xml:space="preserve">20%</w:t>
      </w:r>
      <w:r>
        <w:rPr>
          <w:rFonts w:hint="eastAsia" w:ascii="宋体" w:hAnsi="宋体" w:eastAsia="宋体" w:cs="宋体"/>
          <w:b/>
          <w:bCs/>
          <w:color w:val="ff0000"/>
          <w:sz w:val="24"/>
          <w:szCs w:val="24"/>
        </w:rPr>
        <w:t xml:space="preserve">的价格扣除，用扣除后的价格参与评审。供应商未填写比例数值，或比例</w:t>
      </w:r>
      <w:r>
        <w:rPr>
          <w:rFonts w:hint="eastAsia" w:ascii="宋体" w:hAnsi="宋体" w:eastAsia="宋体" w:cs="宋体"/>
          <w:b/>
          <w:bCs/>
          <w:color w:val="ff0000"/>
          <w:sz w:val="24"/>
          <w:szCs w:val="24"/>
          <w:highlight w:val="none"/>
        </w:rPr>
        <w:t xml:space="preserve">数值未达到80%的</w:t>
      </w:r>
      <w:r>
        <w:rPr>
          <w:rFonts w:hint="eastAsia" w:ascii="宋体" w:hAnsi="宋体" w:eastAsia="宋体" w:cs="宋体"/>
          <w:b/>
          <w:bCs/>
          <w:color w:val="ff0000"/>
          <w:sz w:val="24"/>
          <w:szCs w:val="24"/>
        </w:rPr>
        <w:t xml:space="preserve">，将不享受本国产品价格评审优惠。</w:t>
      </w:r>
      <w:r>
        <w:rPr>
          <w:rFonts w:hint="eastAsia" w:ascii="宋体" w:hAnsi="宋体" w:eastAsia="宋体" w:cs="宋体"/>
          <w:b/>
          <w:bCs/>
          <w:color w:val="ff0000"/>
          <w:sz w:val="24"/>
          <w:szCs w:val="24"/>
        </w:rPr>
      </w:r>
      <w:r/>
    </w:p>
    <w:p>
      <w:pPr>
        <w:pStyle w:val="680"/>
        <w:ind w:firstLine="482"/>
        <w:jc w:val="left"/>
        <w:spacing w:line="400" w:lineRule="exact"/>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7.3 供应商需按照招标文件的要求提供《关于符合本国产品标准的声明函》（以下简称《声明函》），如不提供将不享受本国产品价格评审优惠。</w:t>
      </w:r>
      <w:r>
        <w:rPr>
          <w:rFonts w:hint="eastAsia" w:ascii="宋体" w:hAnsi="宋体" w:eastAsia="宋体" w:cs="宋体"/>
          <w:b/>
          <w:bCs/>
          <w:color w:val="ff0000"/>
          <w:sz w:val="24"/>
          <w:szCs w:val="24"/>
        </w:rPr>
      </w:r>
      <w:r/>
    </w:p>
    <w:p>
      <w:pPr>
        <w:pStyle w:val="680"/>
        <w:ind w:firstLine="482"/>
        <w:jc w:val="left"/>
        <w:spacing w:line="400" w:lineRule="exact"/>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7.4 供应商需在《声明函》中逐一、准确填写产品名称、厂名、生产厂址三项信息，三项信息中任意一项未填写的视为该项产品不符合本国产品标准，不享受本国产品价格评审优惠。</w:t>
      </w:r>
      <w:r>
        <w:rPr>
          <w:rFonts w:hint="eastAsia" w:ascii="宋体" w:hAnsi="宋体" w:eastAsia="宋体" w:cs="宋体"/>
          <w:b/>
          <w:bCs/>
          <w:color w:val="ff0000"/>
          <w:sz w:val="24"/>
          <w:szCs w:val="24"/>
        </w:rPr>
      </w:r>
      <w:r/>
    </w:p>
    <w:p>
      <w:pPr>
        <w:pStyle w:val="680"/>
        <w:ind w:firstLine="482"/>
        <w:jc w:val="left"/>
        <w:spacing w:line="400" w:lineRule="exact"/>
        <w:rPr>
          <w:rFonts w:ascii="宋体" w:hAnsi="宋体" w:eastAsia="宋体" w:cs="宋体"/>
          <w:b/>
          <w:bCs/>
          <w:color w:val="000000"/>
          <w:sz w:val="24"/>
          <w:szCs w:val="24"/>
          <w:highlight w:val="none"/>
          <w:lang w:val="en-US" w:eastAsia="zh-CN"/>
        </w:rPr>
      </w:pPr>
      <w:r>
        <w:rPr>
          <w:rFonts w:hint="eastAsia" w:ascii="宋体" w:hAnsi="宋体" w:eastAsia="宋体" w:cs="宋体"/>
          <w:b/>
          <w:bCs/>
          <w:color w:val="ff0000"/>
          <w:sz w:val="24"/>
          <w:szCs w:val="24"/>
        </w:rPr>
        <w:t xml:space="preserve">7.5 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ff0000"/>
          <w:sz w:val="24"/>
          <w:szCs w:val="24"/>
          <w:lang w:val="en-US" w:eastAsia="zh-CN"/>
        </w:rPr>
        <w:t xml:space="preserve">在苏采云系统</w:t>
      </w:r>
      <w:r>
        <w:rPr>
          <w:rFonts w:hint="eastAsia" w:ascii="宋体" w:hAnsi="宋体" w:eastAsia="宋体" w:cs="宋体"/>
          <w:b/>
          <w:bCs/>
          <w:color w:val="ff0000"/>
          <w:sz w:val="24"/>
          <w:szCs w:val="24"/>
        </w:rPr>
        <w:t xml:space="preserve">要求</w:t>
      </w:r>
      <w:r>
        <w:rPr>
          <w:rFonts w:hint="eastAsia" w:ascii="宋体" w:hAnsi="宋体" w:eastAsia="宋体" w:cs="宋体"/>
          <w:b/>
          <w:bCs/>
          <w:color w:val="ff0000"/>
          <w:sz w:val="24"/>
          <w:szCs w:val="24"/>
        </w:rPr>
        <w:t xml:space="preserve">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宋体" w:hAnsi="宋体" w:eastAsia="宋体" w:cs="宋体"/>
          <w:b/>
          <w:bCs/>
          <w:color w:val="000000"/>
          <w:sz w:val="24"/>
          <w:szCs w:val="24"/>
          <w:highlight w:val="none"/>
          <w:lang w:val="en-US" w:eastAsia="zh-CN"/>
        </w:rPr>
      </w:r>
      <w:r/>
    </w:p>
    <w:p>
      <w:pPr>
        <w:pStyle w:val="680"/>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7、严格执行政府采购关于支持</w:t>
      </w:r>
      <w:r>
        <w:rPr>
          <w:rFonts w:hint="eastAsia" w:ascii="宋体" w:hAnsi="宋体" w:eastAsia="宋体" w:cs="宋体"/>
          <w:sz w:val="24"/>
          <w:szCs w:val="24"/>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eastAsia="宋体" w:cs="宋体"/>
          <w:sz w:val="24"/>
          <w:szCs w:val="24"/>
          <w:lang w:val="en-US" w:eastAsia="zh-CN"/>
        </w:rPr>
      </w:r>
      <w:r/>
    </w:p>
    <w:p>
      <w:pPr>
        <w:pStyle w:val="698"/>
        <w:ind w:firstLine="482"/>
        <w:spacing w:before="120" w:beforeAutospacing="0" w:after="120" w:afterAutospacing="0" w:line="0" w:lineRule="atLeas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评标方法与评标标准</w:t>
      </w:r>
      <w:r>
        <w:rPr>
          <w:rFonts w:hint="eastAsia" w:ascii="宋体" w:hAnsi="宋体" w:eastAsia="宋体" w:cs="宋体"/>
          <w:color w:val="000000"/>
          <w:sz w:val="24"/>
          <w:szCs w:val="24"/>
          <w:highlight w:val="none"/>
        </w:rPr>
      </w:r>
      <w:r/>
    </w:p>
    <w:p>
      <w:pPr>
        <w:pStyle w:val="680"/>
        <w:ind w:firstLine="480"/>
        <w:spacing w:line="360" w:lineRule="auto"/>
        <w:widowControl/>
        <w:rPr>
          <w:rFonts w:hint="eastAsia" w:ascii="宋体" w:hAnsi="宋体" w:eastAsia="宋体" w:cs="宋体"/>
          <w:spacing w:val="-12"/>
          <w:sz w:val="22"/>
          <w:szCs w:val="21"/>
          <w:highlight w:val="none"/>
          <w:lang w:val="en-US" w:eastAsia="zh-CN" w:bidi="ar-SA"/>
        </w:rPr>
      </w:pPr>
      <w:r>
        <w:rPr>
          <w:rFonts w:hint="eastAsia" w:eastAsia="Arial"/>
          <w:color w:val="000000"/>
          <w:sz w:val="24"/>
          <w:highlight w:val="none"/>
          <w:lang w:val="en-US" w:eastAsia="zh-CN"/>
        </w:rPr>
        <w:t xml:space="preserve">评标时，评标委员会各成员独立对每个投标人的投标文件进行评价，并汇总每个投标人的得分。</w:t>
      </w:r>
      <w:r>
        <w:rPr>
          <w:rFonts w:hint="eastAsia" w:ascii="宋体" w:hAnsi="宋体" w:eastAsia="宋体" w:cs="宋体"/>
          <w:spacing w:val="-12"/>
          <w:sz w:val="22"/>
          <w:szCs w:val="21"/>
          <w:highlight w:val="none"/>
          <w:lang w:val="en-US" w:eastAsia="zh-CN" w:bidi="ar-SA"/>
        </w:rPr>
      </w:r>
      <w:r/>
    </w:p>
    <w:tbl>
      <w:tblPr>
        <w:tblW w:w="898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5"/>
        <w:gridCol w:w="7200"/>
        <w:gridCol w:w="911"/>
      </w:tblGrid>
      <w:tr>
        <w:trPr>
          <w:trHeight w:val="509"/>
        </w:trPr>
        <w:tc>
          <w:tcPr>
            <w:tcW w:w="875" w:type="dxa"/>
            <w:vAlign w:val="center"/>
            <w:textDirection w:val="lrTb"/>
            <w:noWrap w:val="false"/>
          </w:tcPr>
          <w:p>
            <w:pPr>
              <w:pStyle w:val="680"/>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评分项目</w:t>
            </w:r>
            <w:r>
              <w:rPr>
                <w:rFonts w:hint="eastAsia" w:ascii="宋体" w:hAnsi="宋体" w:eastAsia="宋体" w:cs="宋体"/>
                <w:b/>
                <w:sz w:val="24"/>
                <w:szCs w:val="24"/>
                <w:highlight w:val="none"/>
              </w:rPr>
            </w:r>
            <w:r/>
          </w:p>
        </w:tc>
        <w:tc>
          <w:tcPr>
            <w:tcW w:w="7200" w:type="dxa"/>
            <w:vAlign w:val="center"/>
            <w:textDirection w:val="lrTb"/>
            <w:noWrap w:val="false"/>
          </w:tcPr>
          <w:p>
            <w:pPr>
              <w:pStyle w:val="680"/>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评分细则</w:t>
            </w:r>
            <w:r>
              <w:rPr>
                <w:rFonts w:hint="eastAsia" w:ascii="宋体" w:hAnsi="宋体" w:eastAsia="宋体" w:cs="宋体"/>
                <w:b/>
                <w:sz w:val="24"/>
                <w:szCs w:val="24"/>
                <w:highlight w:val="none"/>
              </w:rPr>
            </w:r>
            <w:r/>
          </w:p>
        </w:tc>
        <w:tc>
          <w:tcPr>
            <w:tcW w:w="911" w:type="dxa"/>
            <w:vAlign w:val="center"/>
            <w:textDirection w:val="lrTb"/>
            <w:noWrap w:val="false"/>
          </w:tcPr>
          <w:p>
            <w:pPr>
              <w:pStyle w:val="680"/>
              <w:ind w:left="-3"/>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分值</w:t>
            </w:r>
            <w:r>
              <w:rPr>
                <w:rFonts w:hint="eastAsia" w:ascii="宋体" w:hAnsi="宋体" w:eastAsia="宋体" w:cs="宋体"/>
                <w:b/>
                <w:sz w:val="24"/>
                <w:szCs w:val="24"/>
                <w:highlight w:val="none"/>
              </w:rPr>
            </w:r>
            <w:r/>
          </w:p>
        </w:tc>
      </w:tr>
      <w:tr>
        <w:trPr>
          <w:trHeight w:val="1064"/>
        </w:trPr>
        <w:tc>
          <w:tcPr>
            <w:tcW w:w="875" w:type="dxa"/>
            <w:vAlign w:val="center"/>
            <w:textDirection w:val="lrTb"/>
            <w:noWrap w:val="false"/>
          </w:tcPr>
          <w:p>
            <w:pPr>
              <w:pStyle w:val="68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价格</w:t>
            </w:r>
            <w:r>
              <w:rPr>
                <w:rFonts w:hint="eastAsia" w:ascii="宋体" w:hAnsi="宋体" w:eastAsia="宋体" w:cs="宋体"/>
                <w:color w:val="000000"/>
                <w:sz w:val="24"/>
                <w:szCs w:val="24"/>
                <w:highlight w:val="none"/>
              </w:rPr>
            </w:r>
            <w:r/>
          </w:p>
          <w:p>
            <w:pPr>
              <w:pStyle w:val="68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部分</w:t>
            </w:r>
            <w:r>
              <w:rPr>
                <w:rFonts w:hint="eastAsia" w:ascii="宋体" w:hAnsi="宋体" w:eastAsia="宋体" w:cs="宋体"/>
                <w:color w:val="000000"/>
                <w:sz w:val="24"/>
                <w:szCs w:val="24"/>
                <w:highlight w:val="none"/>
              </w:rPr>
            </w:r>
            <w:r/>
          </w:p>
          <w:p>
            <w:pPr>
              <w:pStyle w:val="68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（30分）</w:t>
            </w:r>
            <w:r>
              <w:rPr>
                <w:rFonts w:hint="eastAsia" w:ascii="宋体" w:hAnsi="宋体" w:eastAsia="宋体" w:cs="宋体"/>
                <w:color w:val="000000"/>
                <w:sz w:val="24"/>
                <w:szCs w:val="24"/>
                <w:highlight w:val="none"/>
              </w:rPr>
            </w:r>
            <w:r/>
          </w:p>
        </w:tc>
        <w:tc>
          <w:tcPr>
            <w:tcW w:w="7200" w:type="dxa"/>
            <w:vAlign w:val="center"/>
            <w:textDirection w:val="lrTb"/>
            <w:noWrap w:val="false"/>
          </w:tcPr>
          <w:p>
            <w:pPr>
              <w:pStyle w:val="680"/>
              <w:jc w:val="left"/>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  评标基准价：满足招标文件要求且投标价格最低的投标报价为评标基准价，其价格分为30分。其他投标人报价得分：（评标基准价/投标报价）×评标基准分，结果保留两位小数(有效投标文件是指未被评标委员会判定为无效标的投标文件)。</w:t>
            </w:r>
            <w:r>
              <w:rPr>
                <w:rFonts w:hint="eastAsia" w:ascii="宋体" w:hAnsi="宋体" w:eastAsia="宋体" w:cs="宋体"/>
                <w:color w:val="000000"/>
                <w:sz w:val="24"/>
                <w:szCs w:val="24"/>
                <w:highlight w:val="none"/>
              </w:rPr>
            </w:r>
            <w:r/>
          </w:p>
          <w:p>
            <w:pPr>
              <w:pStyle w:val="680"/>
              <w:jc w:val="left"/>
              <w:keepLines w:val="0"/>
              <w:keepNext w:val="0"/>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rPr>
              <w:t xml:space="preserve">根据《政府采购促进中小企业发展管理办法》规定，对小、微型企业产品的价格给予20%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rFonts w:hint="eastAsia" w:ascii="宋体" w:hAnsi="宋体" w:eastAsia="宋体" w:cs="宋体"/>
                <w:color w:val="000000"/>
                <w:sz w:val="24"/>
                <w:szCs w:val="24"/>
                <w:highlight w:val="none"/>
                <w:lang w:val="en-US" w:eastAsia="zh-CN"/>
              </w:rPr>
            </w:r>
            <w:r/>
          </w:p>
        </w:tc>
        <w:tc>
          <w:tcPr>
            <w:tcW w:w="911" w:type="dxa"/>
            <w:vAlign w:val="center"/>
            <w:textDirection w:val="lrTb"/>
            <w:noWrap w:val="false"/>
          </w:tcPr>
          <w:p>
            <w:pPr>
              <w:pStyle w:val="680"/>
              <w:ind w:left="-3"/>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30</w:t>
            </w:r>
            <w:r>
              <w:rPr>
                <w:rFonts w:hint="eastAsia" w:ascii="宋体" w:hAnsi="宋体" w:eastAsia="宋体" w:cs="宋体"/>
                <w:color w:val="000000"/>
                <w:sz w:val="24"/>
                <w:szCs w:val="24"/>
                <w:highlight w:val="none"/>
                <w:lang w:val="en-US" w:eastAsia="zh-CN"/>
              </w:rPr>
              <w:t xml:space="preserve">分</w:t>
            </w:r>
            <w:r>
              <w:rPr>
                <w:rFonts w:hint="eastAsia" w:ascii="宋体" w:hAnsi="宋体" w:eastAsia="宋体" w:cs="宋体"/>
                <w:color w:val="000000"/>
                <w:sz w:val="24"/>
                <w:szCs w:val="24"/>
                <w:highlight w:val="none"/>
                <w:lang w:val="en-US" w:eastAsia="zh-CN"/>
              </w:rPr>
            </w:r>
            <w:r/>
          </w:p>
        </w:tc>
      </w:tr>
      <w:tr>
        <w:trPr>
          <w:trHeight w:val="416"/>
        </w:trPr>
        <w:tc>
          <w:tcPr>
            <w:tcW w:w="875" w:type="dxa"/>
            <w:vAlign w:val="center"/>
            <w:textDirection w:val="lrTb"/>
            <w:noWrap w:val="false"/>
          </w:tcPr>
          <w:p>
            <w:pPr>
              <w:pStyle w:val="680"/>
              <w:jc w:val="center"/>
              <w:rPr>
                <w:rFonts w:ascii="宋体" w:hAnsi="宋体" w:eastAsia="宋体" w:cs="宋体"/>
                <w:sz w:val="24"/>
                <w:szCs w:val="24"/>
                <w:highlight w:val="none"/>
                <w:shd w:val="clear" w:color="auto" w:fill="ffffff"/>
                <w:lang w:val="en-US" w:eastAsia="zh-CN"/>
              </w:rPr>
            </w:pPr>
            <w:r>
              <w:rPr>
                <w:rFonts w:hint="eastAsia" w:ascii="宋体" w:hAnsi="宋体" w:eastAsia="宋体" w:cs="宋体"/>
                <w:sz w:val="24"/>
                <w:szCs w:val="24"/>
                <w:highlight w:val="none"/>
                <w:shd w:val="clear" w:color="auto" w:fill="ffffff"/>
              </w:rPr>
              <w:t xml:space="preserve">项目负责人</w:t>
            </w:r>
            <w:r>
              <w:rPr>
                <w:rFonts w:hint="eastAsia" w:ascii="宋体" w:hAnsi="宋体" w:cs="宋体"/>
                <w:sz w:val="24"/>
                <w:szCs w:val="24"/>
                <w:highlight w:val="none"/>
                <w:shd w:val="clear" w:color="auto" w:fill="ffffff"/>
                <w:lang w:val="en-US" w:eastAsia="zh-CN"/>
              </w:rPr>
              <w:t xml:space="preserve">及成员</w:t>
            </w:r>
            <w:r>
              <w:rPr>
                <w:rFonts w:ascii="宋体" w:hAnsi="宋体" w:eastAsia="宋体" w:cs="宋体"/>
                <w:sz w:val="24"/>
                <w:szCs w:val="24"/>
                <w:highlight w:val="none"/>
                <w:shd w:val="clear" w:color="auto" w:fill="ffffff"/>
                <w:lang w:val="en-US" w:eastAsia="zh-CN"/>
              </w:rPr>
            </w:r>
            <w:r/>
          </w:p>
          <w:p>
            <w:pPr>
              <w:pStyle w:val="680"/>
              <w:jc w:val="center"/>
              <w:rPr>
                <w:rFonts w:hint="eastAsia" w:ascii="宋体" w:hAnsi="宋体" w:eastAsia="宋体" w:cs="宋体"/>
                <w:color w:val="000000"/>
                <w:sz w:val="24"/>
                <w:szCs w:val="24"/>
                <w:highlight w:val="none"/>
              </w:rPr>
            </w:pPr>
            <w:r>
              <w:rPr>
                <w:rFonts w:hint="eastAsia" w:ascii="宋体" w:hAnsi="宋体" w:eastAsia="宋体" w:cs="宋体"/>
                <w:sz w:val="24"/>
                <w:szCs w:val="24"/>
                <w:highlight w:val="none"/>
                <w:shd w:val="clear" w:color="auto" w:fill="ffffff"/>
              </w:rPr>
              <w:t xml:space="preserve">（</w:t>
            </w:r>
            <w:r>
              <w:rPr>
                <w:rFonts w:hint="eastAsia" w:ascii="宋体" w:hAnsi="宋体" w:eastAsia="宋体" w:cs="宋体"/>
                <w:sz w:val="24"/>
                <w:szCs w:val="24"/>
                <w:highlight w:val="none"/>
                <w:shd w:val="clear" w:color="auto" w:fill="ffffff"/>
                <w:lang w:val="en-US" w:eastAsia="zh-CN"/>
              </w:rPr>
              <w:t xml:space="preserve">10</w:t>
            </w:r>
            <w:r>
              <w:rPr>
                <w:rFonts w:hint="eastAsia" w:ascii="宋体" w:hAnsi="宋体" w:eastAsia="宋体" w:cs="宋体"/>
                <w:sz w:val="24"/>
                <w:szCs w:val="24"/>
                <w:highlight w:val="none"/>
                <w:shd w:val="clear" w:color="auto" w:fill="ffffff"/>
              </w:rPr>
              <w:t xml:space="preserve">分）</w:t>
            </w:r>
            <w:r>
              <w:rPr>
                <w:rFonts w:hint="eastAsia" w:ascii="宋体" w:hAnsi="宋体" w:eastAsia="宋体" w:cs="宋体"/>
                <w:color w:val="000000"/>
                <w:sz w:val="24"/>
                <w:szCs w:val="24"/>
                <w:highlight w:val="none"/>
              </w:rPr>
            </w:r>
            <w:r/>
          </w:p>
        </w:tc>
        <w:tc>
          <w:tcPr>
            <w:tcW w:w="7200" w:type="dxa"/>
            <w:vAlign w:val="center"/>
            <w:textDirection w:val="lrTb"/>
            <w:noWrap w:val="false"/>
          </w:tcPr>
          <w:p>
            <w:pPr>
              <w:pStyle w:val="680"/>
              <w:ind w:firstLine="480"/>
              <w:widowControl/>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项目负责人具有</w:t>
            </w:r>
            <w:r>
              <w:rPr>
                <w:rFonts w:hint="eastAsia" w:ascii="宋体" w:hAnsi="宋体" w:eastAsia="宋体" w:cs="宋体"/>
                <w:sz w:val="24"/>
                <w:szCs w:val="24"/>
                <w:highlight w:val="none"/>
                <w:shd w:val="clear" w:color="auto" w:fill="ffffff"/>
                <w:lang w:val="en-US" w:eastAsia="zh-CN"/>
              </w:rPr>
              <w:t xml:space="preserve">海洋仪器或</w:t>
            </w:r>
            <w:r>
              <w:rPr>
                <w:rFonts w:hint="eastAsia" w:ascii="宋体" w:hAnsi="宋体" w:eastAsia="宋体" w:cs="宋体"/>
                <w:sz w:val="24"/>
                <w:szCs w:val="24"/>
                <w:highlight w:val="none"/>
                <w:shd w:val="clear" w:color="auto" w:fill="ffffff"/>
              </w:rPr>
              <w:t xml:space="preserve">机械工程</w:t>
            </w:r>
            <w:r>
              <w:rPr>
                <w:rFonts w:hint="eastAsia" w:ascii="宋体" w:hAnsi="宋体" w:eastAsia="宋体" w:cs="宋体"/>
                <w:sz w:val="24"/>
                <w:szCs w:val="24"/>
                <w:highlight w:val="none"/>
                <w:shd w:val="clear" w:color="auto" w:fill="ffffff"/>
                <w:lang w:val="en-US" w:eastAsia="zh-CN"/>
              </w:rPr>
              <w:t xml:space="preserve">或电子信息工程</w:t>
            </w:r>
            <w:r>
              <w:rPr>
                <w:rFonts w:hint="eastAsia" w:ascii="宋体" w:hAnsi="宋体" w:eastAsia="宋体" w:cs="宋体"/>
                <w:sz w:val="24"/>
                <w:szCs w:val="24"/>
                <w:highlight w:val="none"/>
                <w:shd w:val="clear" w:color="auto" w:fill="ffffff"/>
              </w:rPr>
              <w:t xml:space="preserve">等</w:t>
            </w:r>
            <w:r>
              <w:rPr>
                <w:rFonts w:hint="eastAsia" w:ascii="宋体" w:hAnsi="宋体" w:eastAsia="宋体" w:cs="宋体"/>
                <w:sz w:val="24"/>
                <w:szCs w:val="24"/>
                <w:highlight w:val="none"/>
                <w:shd w:val="clear" w:color="auto" w:fill="ffffff"/>
                <w:lang w:val="en-US" w:eastAsia="zh-CN"/>
              </w:rPr>
              <w:t xml:space="preserve">类似</w:t>
            </w:r>
            <w:r>
              <w:rPr>
                <w:rFonts w:hint="eastAsia" w:ascii="宋体" w:hAnsi="宋体" w:eastAsia="宋体" w:cs="宋体"/>
                <w:sz w:val="24"/>
                <w:szCs w:val="24"/>
                <w:highlight w:val="none"/>
                <w:shd w:val="clear" w:color="auto" w:fill="ffffff"/>
              </w:rPr>
              <w:t xml:space="preserve">专业高级</w:t>
            </w:r>
            <w:r>
              <w:rPr>
                <w:rFonts w:hint="eastAsia" w:ascii="宋体" w:hAnsi="宋体" w:eastAsia="宋体" w:cs="宋体"/>
                <w:sz w:val="24"/>
                <w:szCs w:val="24"/>
                <w:highlight w:val="none"/>
                <w:shd w:val="clear" w:color="auto" w:fill="ffffff"/>
                <w:lang w:val="en-US" w:eastAsia="zh-CN"/>
              </w:rPr>
              <w:t xml:space="preserve">及以上</w:t>
            </w:r>
            <w:r>
              <w:rPr>
                <w:rFonts w:hint="eastAsia" w:ascii="宋体" w:hAnsi="宋体" w:eastAsia="宋体" w:cs="宋体"/>
                <w:sz w:val="24"/>
                <w:szCs w:val="24"/>
                <w:highlight w:val="none"/>
                <w:shd w:val="clear" w:color="auto" w:fill="ffffff"/>
              </w:rPr>
              <w:t xml:space="preserve">职称的，得</w:t>
            </w:r>
            <w:r>
              <w:rPr>
                <w:rFonts w:hint="eastAsia" w:ascii="宋体" w:hAnsi="宋体" w:eastAsia="宋体" w:cs="宋体"/>
                <w:sz w:val="24"/>
                <w:szCs w:val="24"/>
                <w:highlight w:val="none"/>
                <w:shd w:val="clear" w:color="auto" w:fill="ffffff"/>
                <w:lang w:val="en-US" w:eastAsia="zh-CN"/>
              </w:rPr>
              <w:t xml:space="preserve">5</w:t>
            </w:r>
            <w:r>
              <w:rPr>
                <w:rFonts w:hint="eastAsia" w:ascii="宋体" w:hAnsi="宋体" w:eastAsia="宋体" w:cs="宋体"/>
                <w:sz w:val="24"/>
                <w:szCs w:val="24"/>
                <w:highlight w:val="none"/>
                <w:shd w:val="clear" w:color="auto" w:fill="ffffff"/>
              </w:rPr>
              <w:t xml:space="preserve">分，没有不得分。（提供证书复印件加盖单位公章，否则不得分）</w:t>
            </w:r>
            <w:r>
              <w:rPr>
                <w:rFonts w:hint="eastAsia" w:ascii="宋体" w:hAnsi="宋体" w:eastAsia="宋体" w:cs="宋体"/>
                <w:sz w:val="24"/>
                <w:szCs w:val="24"/>
                <w:highlight w:val="none"/>
                <w:shd w:val="clear" w:color="auto" w:fill="ffffff"/>
              </w:rPr>
            </w:r>
            <w:r/>
          </w:p>
          <w:p>
            <w:pPr>
              <w:pStyle w:val="680"/>
              <w:ind w:firstLine="480"/>
              <w:widowControl/>
              <w:rPr>
                <w:rFonts w:ascii="宋体" w:hAnsi="宋体" w:eastAsia="宋体" w:cs="宋体"/>
                <w:b/>
                <w:bCs/>
                <w:color w:val="000000"/>
                <w:sz w:val="24"/>
                <w:szCs w:val="24"/>
                <w:highlight w:val="none"/>
                <w:lang w:val="en-US" w:eastAsia="zh-CN"/>
              </w:rPr>
            </w:pPr>
            <w:r>
              <w:rPr>
                <w:rFonts w:hint="eastAsia" w:ascii="宋体" w:hAnsi="宋体" w:eastAsia="宋体" w:cs="宋体"/>
                <w:sz w:val="24"/>
                <w:szCs w:val="24"/>
                <w:highlight w:val="none"/>
                <w:shd w:val="clear" w:color="auto" w:fill="ffffff"/>
                <w:lang w:val="en-US" w:eastAsia="zh-CN"/>
              </w:rPr>
              <w:t xml:space="preserve">项目组其他成员（除项目负责人外）</w:t>
            </w:r>
            <w:r>
              <w:rPr>
                <w:rFonts w:hint="eastAsia" w:ascii="宋体" w:hAnsi="宋体" w:eastAsia="宋体" w:cs="宋体"/>
                <w:sz w:val="24"/>
                <w:szCs w:val="24"/>
                <w:highlight w:val="none"/>
                <w:shd w:val="clear" w:color="auto" w:fill="ffffff"/>
              </w:rPr>
              <w:t xml:space="preserve">具有</w:t>
            </w:r>
            <w:r>
              <w:rPr>
                <w:rFonts w:hint="eastAsia" w:ascii="宋体" w:hAnsi="宋体" w:eastAsia="宋体" w:cs="宋体"/>
                <w:sz w:val="24"/>
                <w:szCs w:val="24"/>
                <w:highlight w:val="none"/>
                <w:shd w:val="clear" w:color="auto" w:fill="ffffff"/>
                <w:lang w:val="en-US" w:eastAsia="zh-CN"/>
              </w:rPr>
              <w:t xml:space="preserve">海洋仪器或</w:t>
            </w:r>
            <w:r>
              <w:rPr>
                <w:rFonts w:hint="eastAsia" w:ascii="宋体" w:hAnsi="宋体" w:eastAsia="宋体" w:cs="宋体"/>
                <w:sz w:val="24"/>
                <w:szCs w:val="24"/>
                <w:highlight w:val="none"/>
                <w:shd w:val="clear" w:color="auto" w:fill="ffffff"/>
              </w:rPr>
              <w:t xml:space="preserve">机械工程</w:t>
            </w:r>
            <w:r>
              <w:rPr>
                <w:rFonts w:hint="eastAsia" w:ascii="宋体" w:hAnsi="宋体" w:eastAsia="宋体" w:cs="宋体"/>
                <w:sz w:val="24"/>
                <w:szCs w:val="24"/>
                <w:highlight w:val="none"/>
                <w:shd w:val="clear" w:color="auto" w:fill="ffffff"/>
                <w:lang w:val="en-US" w:eastAsia="zh-CN"/>
              </w:rPr>
              <w:t xml:space="preserve">或电子信息工程</w:t>
            </w:r>
            <w:r>
              <w:rPr>
                <w:rFonts w:hint="eastAsia" w:ascii="宋体" w:hAnsi="宋体" w:eastAsia="宋体" w:cs="宋体"/>
                <w:sz w:val="24"/>
                <w:szCs w:val="24"/>
                <w:highlight w:val="none"/>
                <w:shd w:val="clear" w:color="auto" w:fill="ffffff"/>
              </w:rPr>
              <w:t xml:space="preserve">等</w:t>
            </w:r>
            <w:r>
              <w:rPr>
                <w:rFonts w:hint="eastAsia" w:ascii="宋体" w:hAnsi="宋体" w:eastAsia="宋体" w:cs="宋体"/>
                <w:sz w:val="24"/>
                <w:szCs w:val="24"/>
                <w:highlight w:val="none"/>
                <w:shd w:val="clear" w:color="auto" w:fill="ffffff"/>
                <w:lang w:val="en-US" w:eastAsia="zh-CN"/>
              </w:rPr>
              <w:t xml:space="preserve">类似</w:t>
            </w:r>
            <w:r>
              <w:rPr>
                <w:rFonts w:hint="eastAsia" w:ascii="宋体" w:hAnsi="宋体" w:eastAsia="宋体" w:cs="宋体"/>
                <w:sz w:val="24"/>
                <w:szCs w:val="24"/>
                <w:highlight w:val="none"/>
                <w:shd w:val="clear" w:color="auto" w:fill="ffffff"/>
              </w:rPr>
              <w:t xml:space="preserve">专业高级</w:t>
            </w:r>
            <w:r>
              <w:rPr>
                <w:rFonts w:hint="eastAsia" w:ascii="宋体" w:hAnsi="宋体" w:eastAsia="宋体" w:cs="宋体"/>
                <w:sz w:val="24"/>
                <w:szCs w:val="24"/>
                <w:highlight w:val="none"/>
                <w:shd w:val="clear" w:color="auto" w:fill="ffffff"/>
                <w:lang w:val="en-US" w:eastAsia="zh-CN"/>
              </w:rPr>
              <w:t xml:space="preserve">及以上</w:t>
            </w:r>
            <w:r>
              <w:rPr>
                <w:rFonts w:hint="eastAsia" w:ascii="宋体" w:hAnsi="宋体" w:eastAsia="宋体" w:cs="宋体"/>
                <w:sz w:val="24"/>
                <w:szCs w:val="24"/>
                <w:highlight w:val="none"/>
                <w:shd w:val="clear" w:color="auto" w:fill="ffffff"/>
              </w:rPr>
              <w:t xml:space="preserve">职称的，</w:t>
            </w:r>
            <w:r>
              <w:rPr>
                <w:rFonts w:hint="eastAsia" w:ascii="宋体" w:hAnsi="宋体" w:eastAsia="宋体" w:cs="宋体"/>
                <w:sz w:val="24"/>
                <w:szCs w:val="24"/>
                <w:highlight w:val="none"/>
                <w:shd w:val="clear" w:color="auto" w:fill="ffffff"/>
                <w:lang w:val="en-US" w:eastAsia="zh-CN"/>
              </w:rPr>
              <w:t xml:space="preserve">每配备1人</w:t>
            </w:r>
            <w:r>
              <w:rPr>
                <w:rFonts w:hint="eastAsia" w:ascii="宋体" w:hAnsi="宋体" w:eastAsia="宋体" w:cs="宋体"/>
                <w:sz w:val="24"/>
                <w:szCs w:val="24"/>
                <w:highlight w:val="none"/>
                <w:shd w:val="clear" w:color="auto" w:fill="ffffff"/>
              </w:rPr>
              <w:t xml:space="preserve">得</w:t>
            </w:r>
            <w:r>
              <w:rPr>
                <w:rFonts w:hint="eastAsia" w:ascii="宋体" w:hAnsi="宋体" w:eastAsia="宋体" w:cs="宋体"/>
                <w:sz w:val="24"/>
                <w:szCs w:val="24"/>
                <w:highlight w:val="none"/>
                <w:shd w:val="clear" w:color="auto" w:fill="ffffff"/>
                <w:lang w:val="en-US" w:eastAsia="zh-CN"/>
              </w:rPr>
              <w:t xml:space="preserve">2.5</w:t>
            </w:r>
            <w:r>
              <w:rPr>
                <w:rFonts w:hint="eastAsia" w:ascii="宋体" w:hAnsi="宋体" w:eastAsia="宋体" w:cs="宋体"/>
                <w:sz w:val="24"/>
                <w:szCs w:val="24"/>
                <w:highlight w:val="none"/>
                <w:shd w:val="clear" w:color="auto" w:fill="ffffff"/>
              </w:rPr>
              <w:t xml:space="preserve">分，</w:t>
            </w:r>
            <w:r>
              <w:rPr>
                <w:rFonts w:hint="eastAsia" w:ascii="宋体" w:hAnsi="宋体" w:eastAsia="宋体" w:cs="宋体"/>
                <w:sz w:val="24"/>
                <w:szCs w:val="24"/>
                <w:highlight w:val="none"/>
                <w:shd w:val="clear" w:color="auto" w:fill="ffffff"/>
                <w:lang w:val="en-US" w:eastAsia="zh-CN"/>
              </w:rPr>
              <w:t xml:space="preserve">本项最高得5分</w:t>
            </w:r>
            <w:r>
              <w:rPr>
                <w:rFonts w:hint="eastAsia" w:ascii="宋体" w:hAnsi="宋体" w:eastAsia="宋体" w:cs="宋体"/>
                <w:sz w:val="24"/>
                <w:szCs w:val="24"/>
                <w:highlight w:val="none"/>
                <w:shd w:val="clear" w:color="auto" w:fill="ffffff"/>
              </w:rPr>
              <w:t xml:space="preserve">。（提供证书复印件加盖单位公章，否则不得分）</w:t>
            </w:r>
            <w:r>
              <w:rPr>
                <w:rFonts w:ascii="宋体" w:hAnsi="宋体" w:eastAsia="宋体" w:cs="宋体"/>
                <w:b/>
                <w:bCs/>
                <w:color w:val="000000"/>
                <w:sz w:val="24"/>
                <w:szCs w:val="24"/>
                <w:highlight w:val="none"/>
                <w:lang w:val="en-US" w:eastAsia="zh-CN"/>
              </w:rPr>
            </w:r>
            <w:r/>
          </w:p>
        </w:tc>
        <w:tc>
          <w:tcPr>
            <w:tcW w:w="911" w:type="dxa"/>
            <w:vAlign w:val="center"/>
            <w:textDirection w:val="lrTb"/>
            <w:noWrap w:val="false"/>
          </w:tcPr>
          <w:p>
            <w:pPr>
              <w:pStyle w:val="680"/>
              <w:ind w:left="-3"/>
              <w:jc w:val="center"/>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4"/>
                <w:highlight w:val="none"/>
                <w:lang w:val="en-US" w:eastAsia="zh-CN"/>
              </w:rPr>
              <w:t xml:space="preserve">10分</w:t>
            </w:r>
            <w:r>
              <w:rPr>
                <w:rFonts w:hint="eastAsia" w:ascii="宋体" w:hAnsi="宋体" w:eastAsia="宋体" w:cs="宋体"/>
                <w:color w:val="000000"/>
                <w:sz w:val="24"/>
                <w:szCs w:val="24"/>
                <w:highlight w:val="none"/>
                <w:lang w:val="en-US" w:eastAsia="zh-CN"/>
              </w:rPr>
            </w:r>
            <w:r/>
          </w:p>
        </w:tc>
      </w:tr>
      <w:tr>
        <w:trPr>
          <w:trHeight w:val="416"/>
        </w:trPr>
        <w:tc>
          <w:tcPr>
            <w:tcW w:w="875" w:type="dxa"/>
            <w:vAlign w:val="center"/>
            <w:textDirection w:val="lrTb"/>
            <w:noWrap w:val="false"/>
          </w:tcPr>
          <w:p>
            <w:pPr>
              <w:pStyle w:val="689"/>
              <w:ind w:firstLine="0"/>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业绩</w:t>
            </w:r>
            <w:r>
              <w:rPr>
                <w:rFonts w:hint="eastAsia" w:ascii="宋体" w:hAnsi="宋体" w:eastAsia="宋体" w:cs="宋体"/>
                <w:sz w:val="24"/>
                <w:szCs w:val="24"/>
                <w:highlight w:val="none"/>
              </w:rPr>
            </w:r>
            <w:r/>
          </w:p>
          <w:p>
            <w:pPr>
              <w:pStyle w:val="680"/>
              <w:jc w:val="center"/>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w:t>
            </w:r>
            <w:r>
              <w:rPr>
                <w:rFonts w:hint="eastAsia" w:ascii="宋体" w:hAnsi="宋体" w:eastAsia="宋体" w:cs="宋体"/>
                <w:color w:val="000000"/>
                <w:sz w:val="24"/>
                <w:szCs w:val="24"/>
                <w:highlight w:val="none"/>
              </w:rPr>
            </w:r>
            <w:r/>
          </w:p>
        </w:tc>
        <w:tc>
          <w:tcPr>
            <w:tcW w:w="7200" w:type="dxa"/>
            <w:vAlign w:val="center"/>
            <w:textDirection w:val="lrTb"/>
            <w:noWrap w:val="false"/>
          </w:tcPr>
          <w:p>
            <w:pPr>
              <w:pStyle w:val="689"/>
              <w:ind w:left="0" w:right="0" w:firstLine="0"/>
              <w:jc w:val="left"/>
              <w:spacing w:line="240" w:lineRule="auto"/>
              <w:rPr>
                <w:rFonts w:ascii="宋体" w:hAnsi="宋体" w:eastAsia="宋体" w:cs="宋体"/>
                <w:b/>
                <w:bCs/>
                <w:color w:val="000000"/>
                <w:sz w:val="24"/>
                <w:szCs w:val="24"/>
                <w:highlight w:val="none"/>
                <w:lang w:val="en-US" w:eastAsia="zh-CN"/>
              </w:rPr>
            </w:pPr>
            <w:r>
              <w:rPr>
                <w:rFonts w:hint="eastAsia" w:ascii="宋体" w:hAnsi="宋体" w:eastAsia="宋体" w:cs="宋体"/>
                <w:sz w:val="24"/>
                <w:szCs w:val="24"/>
                <w:highlight w:val="none"/>
                <w:shd w:val="clear" w:color="auto" w:fill="ffffff"/>
                <w:lang w:val="en-US" w:eastAsia="zh-CN"/>
              </w:rPr>
              <w:t xml:space="preserve">自2021年1月1日（以合同签订时间为准）投标人承担过类似浮标系统</w:t>
            </w:r>
            <w:r>
              <w:rPr>
                <w:rFonts w:hint="eastAsia" w:ascii="宋体" w:hAnsi="宋体" w:eastAsia="宋体" w:cs="宋体"/>
                <w:sz w:val="24"/>
                <w:szCs w:val="24"/>
                <w:highlight w:val="none"/>
                <w:shd w:val="clear" w:color="auto" w:fill="ffffff"/>
              </w:rPr>
              <w:t xml:space="preserve">业绩</w:t>
            </w:r>
            <w:r>
              <w:rPr>
                <w:rFonts w:hint="eastAsia" w:ascii="宋体" w:hAnsi="宋体" w:eastAsia="宋体" w:cs="宋体"/>
                <w:sz w:val="24"/>
                <w:szCs w:val="24"/>
                <w:highlight w:val="none"/>
                <w:shd w:val="clear" w:color="auto" w:fill="ffffff"/>
                <w:lang w:val="en-US" w:eastAsia="zh-CN"/>
              </w:rPr>
              <w:t xml:space="preserve">的</w:t>
            </w:r>
            <w:r>
              <w:rPr>
                <w:rFonts w:hint="eastAsia" w:ascii="宋体" w:hAnsi="宋体" w:eastAsia="宋体" w:cs="宋体"/>
                <w:sz w:val="24"/>
                <w:szCs w:val="24"/>
                <w:highlight w:val="none"/>
                <w:shd w:val="clear" w:color="auto" w:fill="ffffff"/>
              </w:rPr>
              <w:t xml:space="preserve">，每提供一个业绩得</w:t>
            </w:r>
            <w:r>
              <w:rPr>
                <w:rFonts w:hint="eastAsia" w:ascii="宋体" w:hAnsi="宋体" w:eastAsia="宋体" w:cs="宋体"/>
                <w:sz w:val="24"/>
                <w:szCs w:val="24"/>
                <w:highlight w:val="none"/>
                <w:shd w:val="clear" w:color="auto" w:fill="ffffff"/>
                <w:lang w:val="en-US" w:eastAsia="zh-CN"/>
              </w:rPr>
              <w:t xml:space="preserve">1</w:t>
            </w:r>
            <w:r>
              <w:rPr>
                <w:rFonts w:hint="eastAsia" w:ascii="宋体" w:hAnsi="宋体" w:eastAsia="宋体" w:cs="宋体"/>
                <w:sz w:val="24"/>
                <w:szCs w:val="24"/>
                <w:highlight w:val="none"/>
                <w:shd w:val="clear" w:color="auto" w:fill="ffffff"/>
              </w:rPr>
              <w:t xml:space="preserve">分，本项最高得</w:t>
            </w:r>
            <w:r>
              <w:rPr>
                <w:rFonts w:hint="eastAsia" w:ascii="宋体" w:hAnsi="宋体" w:eastAsia="宋体" w:cs="宋体"/>
                <w:sz w:val="24"/>
                <w:szCs w:val="24"/>
                <w:highlight w:val="none"/>
                <w:shd w:val="clear" w:color="auto" w:fill="ffffff"/>
                <w:lang w:val="en-US" w:eastAsia="zh-CN"/>
              </w:rPr>
              <w:t xml:space="preserve">5</w:t>
            </w:r>
            <w:r>
              <w:rPr>
                <w:rFonts w:hint="eastAsia" w:ascii="宋体" w:hAnsi="宋体" w:eastAsia="宋体" w:cs="宋体"/>
                <w:sz w:val="24"/>
                <w:szCs w:val="24"/>
                <w:highlight w:val="none"/>
                <w:shd w:val="clear" w:color="auto" w:fill="ffffff"/>
              </w:rPr>
              <w:t xml:space="preserve">分，没有不得分。（提供合同</w:t>
            </w:r>
            <w:r>
              <w:rPr>
                <w:rFonts w:hint="eastAsia" w:ascii="宋体" w:hAnsi="宋体" w:eastAsia="宋体" w:cs="宋体"/>
                <w:sz w:val="24"/>
                <w:szCs w:val="24"/>
                <w:highlight w:val="none"/>
                <w:shd w:val="clear" w:color="auto" w:fill="ffffff"/>
                <w:lang w:eastAsia="zh-CN"/>
              </w:rPr>
              <w:t xml:space="preserve">、</w:t>
            </w:r>
            <w:r>
              <w:rPr>
                <w:rFonts w:hint="eastAsia" w:ascii="宋体" w:hAnsi="宋体" w:eastAsia="宋体" w:cs="宋体"/>
                <w:sz w:val="24"/>
                <w:szCs w:val="24"/>
                <w:highlight w:val="none"/>
                <w:shd w:val="clear" w:color="auto" w:fill="ffffff"/>
                <w:lang w:val="en-US" w:eastAsia="zh-CN"/>
              </w:rPr>
              <w:t xml:space="preserve">验收证明材料、任意一张项目发票，提供</w:t>
            </w:r>
            <w:r>
              <w:rPr>
                <w:rFonts w:hint="eastAsia" w:ascii="宋体" w:hAnsi="宋体" w:eastAsia="宋体" w:cs="宋体"/>
                <w:sz w:val="24"/>
                <w:szCs w:val="24"/>
                <w:highlight w:val="none"/>
                <w:shd w:val="clear" w:color="auto" w:fill="ffffff"/>
              </w:rPr>
              <w:t xml:space="preserve">复印件加盖单位公章，否则不得分）</w:t>
            </w:r>
            <w:r>
              <w:rPr>
                <w:rFonts w:ascii="宋体" w:hAnsi="宋体" w:eastAsia="宋体" w:cs="宋体"/>
                <w:b/>
                <w:bCs/>
                <w:color w:val="000000"/>
                <w:sz w:val="24"/>
                <w:szCs w:val="24"/>
                <w:highlight w:val="none"/>
                <w:lang w:val="en-US" w:eastAsia="zh-CN"/>
              </w:rPr>
            </w:r>
            <w:r/>
          </w:p>
        </w:tc>
        <w:tc>
          <w:tcPr>
            <w:tcW w:w="911" w:type="dxa"/>
            <w:vAlign w:val="center"/>
            <w:textDirection w:val="lrTb"/>
            <w:noWrap w:val="false"/>
          </w:tcPr>
          <w:p>
            <w:pPr>
              <w:pStyle w:val="680"/>
              <w:ind w:left="-3"/>
              <w:jc w:val="center"/>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w:t>
            </w:r>
            <w:r>
              <w:rPr>
                <w:rFonts w:hint="eastAsia" w:ascii="宋体" w:hAnsi="宋体" w:eastAsia="宋体" w:cs="宋体"/>
                <w:color w:val="000000"/>
                <w:sz w:val="24"/>
                <w:szCs w:val="24"/>
                <w:highlight w:val="none"/>
                <w:lang w:val="en-US" w:eastAsia="zh-CN"/>
              </w:rPr>
            </w:r>
            <w:r/>
          </w:p>
        </w:tc>
      </w:tr>
      <w:tr>
        <w:trPr>
          <w:trHeight w:val="416"/>
        </w:trPr>
        <w:tc>
          <w:tcPr>
            <w:tcW w:w="875" w:type="dxa"/>
            <w:vAlign w:val="center"/>
            <w:textDirection w:val="lrTb"/>
            <w:noWrap w:val="false"/>
          </w:tcPr>
          <w:p>
            <w:pPr>
              <w:pStyle w:val="68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企业综合实力</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5分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r>
            <w:r/>
          </w:p>
        </w:tc>
        <w:tc>
          <w:tcPr>
            <w:tcW w:w="7200" w:type="dxa"/>
            <w:vAlign w:val="center"/>
            <w:textDirection w:val="lrTb"/>
            <w:noWrap w:val="false"/>
          </w:tcPr>
          <w:p>
            <w:pPr>
              <w:pStyle w:val="689"/>
              <w:ind w:left="0" w:right="0" w:firstLine="0"/>
              <w:jc w:val="left"/>
              <w:spacing w:line="240" w:lineRule="auto"/>
              <w:rPr>
                <w:rFonts w:hint="eastAsia" w:ascii="宋体" w:hAnsi="宋体" w:eastAsia="宋体" w:cs="宋体"/>
                <w:sz w:val="24"/>
                <w:szCs w:val="24"/>
                <w:highlight w:val="none"/>
                <w:shd w:val="clear" w:color="auto" w:fill="ffffff"/>
                <w:lang w:val="en-US" w:eastAsia="zh-CN"/>
              </w:rPr>
            </w:pPr>
            <w:r>
              <w:rPr>
                <w:rFonts w:hint="eastAsia" w:ascii="宋体" w:hAnsi="宋体" w:eastAsia="宋体" w:cs="宋体"/>
                <w:sz w:val="24"/>
                <w:szCs w:val="24"/>
                <w:highlight w:val="none"/>
                <w:shd w:val="clear" w:color="auto" w:fill="ffffff"/>
                <w:lang w:val="en-US" w:eastAsia="zh-CN"/>
              </w:rPr>
              <w:t xml:space="preserve">投标人具有质量管理体系认证证书、环境管理体系认证证书、职业健康安全管理体系认证证书、商品售后服务评价体系五星证书、信息系统建设和服务能力评估四级及以上证书，每具有一个得1分，最多得5分。认证证书须在“全国认证认可信息公共服务平台网站”可查，且证书状态须为有效（有效是指开标当日有效的证书），状态无效不得分，（提供网站查询截屏加盖投标人公章、证书扫描件加盖投标人公章为准，两个材料必须同时提供，未提供或提供不全的不得分）。</w:t>
            </w:r>
            <w:r>
              <w:rPr>
                <w:rFonts w:hint="eastAsia" w:ascii="宋体" w:hAnsi="宋体" w:eastAsia="宋体" w:cs="宋体"/>
                <w:sz w:val="24"/>
                <w:szCs w:val="24"/>
                <w:highlight w:val="none"/>
                <w:shd w:val="clear" w:color="auto" w:fill="ffffff"/>
                <w:lang w:val="en-US" w:eastAsia="zh-CN"/>
              </w:rPr>
            </w:r>
            <w:r/>
          </w:p>
        </w:tc>
        <w:tc>
          <w:tcPr>
            <w:tcW w:w="911" w:type="dxa"/>
            <w:vAlign w:val="center"/>
            <w:textDirection w:val="lrTb"/>
            <w:noWrap w:val="false"/>
          </w:tcPr>
          <w:p>
            <w:pPr>
              <w:pStyle w:val="680"/>
              <w:ind w:left="-3"/>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val="en-US" w:eastAsia="zh-CN"/>
              </w:rPr>
            </w:r>
            <w:r/>
          </w:p>
        </w:tc>
      </w:tr>
      <w:tr>
        <w:trPr>
          <w:trHeight w:val="557"/>
        </w:trPr>
        <w:tc>
          <w:tcPr>
            <w:tcW w:w="875" w:type="dxa"/>
            <w:vAlign w:val="center"/>
            <w:vMerge w:val="restart"/>
            <w:textDirection w:val="lrTb"/>
            <w:noWrap w:val="false"/>
          </w:tcPr>
          <w:p>
            <w:pPr>
              <w:pStyle w:val="689"/>
              <w:ind w:firstLine="0"/>
              <w:jc w:val="center"/>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4"/>
                <w:highlight w:val="none"/>
                <w:lang w:val="en-US" w:eastAsia="zh-CN"/>
              </w:rPr>
              <w:t xml:space="preserve">技术服务方案（50分）</w:t>
            </w:r>
            <w:r>
              <w:rPr>
                <w:rFonts w:hint="eastAsia" w:ascii="宋体" w:hAnsi="宋体" w:eastAsia="宋体" w:cs="宋体"/>
                <w:color w:val="000000"/>
                <w:sz w:val="24"/>
                <w:szCs w:val="24"/>
                <w:highlight w:val="none"/>
                <w:lang w:val="en-US" w:eastAsia="zh-CN"/>
              </w:rPr>
            </w:r>
            <w:r/>
          </w:p>
        </w:tc>
        <w:tc>
          <w:tcPr>
            <w:tcW w:w="7200" w:type="dxa"/>
            <w:vAlign w:val="center"/>
            <w:textDirection w:val="lrTb"/>
            <w:noWrap w:val="false"/>
          </w:tcPr>
          <w:p>
            <w:pPr>
              <w:pStyle w:val="687"/>
              <w:ind w:firstLine="480"/>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4"/>
                <w:highlight w:val="none"/>
                <w:lang w:bidi="en-US"/>
              </w:rPr>
              <w:t xml:space="preserve">投标人应根据招标文件要求提供总体技术方案，方案应科学合理、完整、切实可行且有针对性，包括但不限于表底层监测以及其他确保系统可长期运行的的技术实现。方案科学合理性强、内容详尽细致、针对性和落地性强，满足项目要求性强的得10分；方案科学合理性较强、内容符合性较强、针对性和落地性较强，满足项目要求性较强的得9.5分；方案科学合理性一般、内容符合性一般、针对性和落地性一般，满足项目要求性一般的得9分，未提供不得分。</w:t>
            </w:r>
            <w:r>
              <w:rPr>
                <w:rFonts w:hint="eastAsia" w:ascii="宋体" w:hAnsi="宋体" w:eastAsia="宋体" w:cs="宋体"/>
                <w:color w:val="000000"/>
                <w:sz w:val="24"/>
                <w:szCs w:val="24"/>
                <w:highlight w:val="none"/>
                <w:lang w:val="en-US" w:eastAsia="zh-CN"/>
              </w:rPr>
            </w:r>
            <w:r/>
          </w:p>
        </w:tc>
        <w:tc>
          <w:tcPr>
            <w:tcW w:w="911" w:type="dxa"/>
            <w:vAlign w:val="center"/>
            <w:textDirection w:val="lrTb"/>
            <w:noWrap w:val="false"/>
          </w:tcPr>
          <w:p>
            <w:pPr>
              <w:pStyle w:val="680"/>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4"/>
                <w:highlight w:val="none"/>
                <w:lang w:val="en-US" w:eastAsia="zh-CN"/>
              </w:rPr>
              <w:t xml:space="preserve">10分</w:t>
            </w:r>
            <w:r>
              <w:rPr>
                <w:rFonts w:hint="eastAsia" w:ascii="宋体" w:hAnsi="宋体" w:eastAsia="宋体" w:cs="宋体"/>
                <w:color w:val="000000"/>
                <w:sz w:val="24"/>
                <w:szCs w:val="24"/>
                <w:highlight w:val="none"/>
                <w:lang w:val="en-US" w:eastAsia="zh-CN"/>
              </w:rPr>
            </w:r>
            <w:r/>
          </w:p>
        </w:tc>
      </w:tr>
      <w:tr>
        <w:trPr>
          <w:trHeight w:val="557"/>
        </w:trPr>
        <w:tc>
          <w:tcPr>
            <w:tcW w:w="875" w:type="dxa"/>
            <w:vAlign w:val="center"/>
            <w:vMerge w:val="continue"/>
            <w:textDirection w:val="lrTb"/>
            <w:noWrap w:val="false"/>
          </w:tcPr>
          <w:p>
            <w:pPr>
              <w:pStyle w:val="680"/>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7200" w:type="dxa"/>
            <w:vAlign w:val="center"/>
            <w:textDirection w:val="lrTb"/>
            <w:noWrap w:val="false"/>
          </w:tcPr>
          <w:p>
            <w:pPr>
              <w:pStyle w:val="680"/>
              <w:ind w:firstLine="480"/>
              <w:widowControl/>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4"/>
                <w:highlight w:val="none"/>
                <w:lang w:bidi="en-US"/>
              </w:rPr>
              <w:t xml:space="preserve">投标人应根据招标文件要求提供针对本项目的重点问题以及应对方案，方案应科学合理、完整、切实可行且有针对性。</w:t>
            </w:r>
            <w:r>
              <w:rPr>
                <w:rFonts w:hint="eastAsia" w:ascii="宋体" w:hAnsi="宋体" w:eastAsia="宋体" w:cs="宋体"/>
                <w:color w:val="000000"/>
                <w:sz w:val="24"/>
                <w:szCs w:val="24"/>
                <w:highlight w:val="none"/>
                <w:lang w:val="en-US" w:eastAsia="zh-CN" w:bidi="ar-SA"/>
              </w:rPr>
              <w:t xml:space="preserve">方案科学合理性强、内容详尽细致、针对性和落地性强，满足项目要求性强的得5分；方案科学合理性较强、内容符合性较强、针对性和落地性较强，满足项目要求性较强的得4.5分；方案科学合理性一般、内容符合性一般、针对性和落地性一般，满足项目要求性一般的得4分，未提供不得分。</w:t>
            </w:r>
            <w:r>
              <w:rPr>
                <w:rFonts w:hint="eastAsia" w:ascii="宋体" w:hAnsi="宋体" w:eastAsia="宋体" w:cs="宋体"/>
                <w:color w:val="000000"/>
                <w:sz w:val="24"/>
                <w:szCs w:val="24"/>
                <w:highlight w:val="none"/>
                <w:lang w:val="en-US" w:eastAsia="zh-CN"/>
              </w:rPr>
            </w:r>
            <w:r/>
          </w:p>
        </w:tc>
        <w:tc>
          <w:tcPr>
            <w:tcW w:w="911" w:type="dxa"/>
            <w:vAlign w:val="center"/>
            <w:textDirection w:val="lrTb"/>
            <w:noWrap w:val="false"/>
          </w:tcPr>
          <w:p>
            <w:pPr>
              <w:pStyle w:val="680"/>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4"/>
                <w:highlight w:val="none"/>
                <w:lang w:val="en-US" w:eastAsia="zh-CN"/>
              </w:rPr>
              <w:t xml:space="preserve">5分</w:t>
            </w:r>
            <w:r>
              <w:rPr>
                <w:rFonts w:hint="eastAsia" w:ascii="宋体" w:hAnsi="宋体" w:eastAsia="宋体" w:cs="宋体"/>
                <w:color w:val="000000"/>
                <w:sz w:val="24"/>
                <w:szCs w:val="24"/>
                <w:highlight w:val="none"/>
                <w:lang w:val="en-US" w:eastAsia="zh-CN"/>
              </w:rPr>
            </w:r>
            <w:r/>
          </w:p>
        </w:tc>
      </w:tr>
      <w:tr>
        <w:trPr>
          <w:trHeight w:val="90"/>
        </w:trPr>
        <w:tc>
          <w:tcPr>
            <w:tcW w:w="875" w:type="dxa"/>
            <w:vAlign w:val="center"/>
            <w:vMerge w:val="continue"/>
            <w:textDirection w:val="lrTb"/>
            <w:noWrap w:val="false"/>
          </w:tcPr>
          <w:p>
            <w:pPr>
              <w:pStyle w:val="680"/>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7200" w:type="dxa"/>
            <w:vAlign w:val="center"/>
            <w:textDirection w:val="lrTb"/>
            <w:noWrap w:val="false"/>
          </w:tcPr>
          <w:p>
            <w:pPr>
              <w:pStyle w:val="680"/>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4"/>
                <w:highlight w:val="none"/>
                <w:lang w:bidi="en-US"/>
              </w:rPr>
              <w:t xml:space="preserve">投标人应根据招标文件要求提供针对本项目的运输和施工方案，方案应科学合理、完整、切实可行且有针对性。</w:t>
            </w:r>
            <w:r>
              <w:rPr>
                <w:rFonts w:hint="eastAsia" w:ascii="宋体" w:hAnsi="宋体" w:eastAsia="宋体" w:cs="宋体"/>
                <w:color w:val="000000"/>
                <w:sz w:val="24"/>
                <w:szCs w:val="24"/>
                <w:highlight w:val="none"/>
                <w:lang w:val="en-US" w:eastAsia="zh-CN" w:bidi="ar-SA"/>
              </w:rPr>
              <w:t xml:space="preserve">方案科学合理性强、内容详尽细致、针对性和落地性强，满足项目要求性强的得5分；方案科学合理性较强、内容符合性较强、针对性和落地性较强，满足项目要求性较强的得4.5分；方案科学合理性一般、内容符合性一般、针对性和落地性一般，满足项目要求性一般的得4分，未提供不得分。</w:t>
            </w:r>
            <w:r>
              <w:rPr>
                <w:rFonts w:hint="eastAsia" w:ascii="宋体" w:hAnsi="宋体" w:eastAsia="宋体" w:cs="宋体"/>
                <w:color w:val="000000"/>
                <w:sz w:val="24"/>
                <w:szCs w:val="24"/>
                <w:highlight w:val="none"/>
                <w:lang w:val="en-US" w:eastAsia="zh-CN"/>
              </w:rPr>
            </w:r>
            <w:r/>
          </w:p>
        </w:tc>
        <w:tc>
          <w:tcPr>
            <w:tcW w:w="911" w:type="dxa"/>
            <w:vAlign w:val="center"/>
            <w:textDirection w:val="lrTb"/>
            <w:noWrap w:val="false"/>
          </w:tcPr>
          <w:p>
            <w:pPr>
              <w:pStyle w:val="680"/>
              <w:ind w:left="-3"/>
              <w:jc w:val="center"/>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4"/>
                <w:highlight w:val="none"/>
                <w:lang w:val="en-US" w:eastAsia="zh-CN"/>
              </w:rPr>
              <w:t xml:space="preserve">5分</w:t>
            </w:r>
            <w:r>
              <w:rPr>
                <w:rFonts w:hint="eastAsia" w:ascii="宋体" w:hAnsi="宋体" w:eastAsia="宋体" w:cs="宋体"/>
                <w:color w:val="000000"/>
                <w:sz w:val="24"/>
                <w:szCs w:val="24"/>
                <w:highlight w:val="none"/>
                <w:lang w:val="en-US" w:eastAsia="zh-CN"/>
              </w:rPr>
            </w:r>
            <w:r/>
          </w:p>
        </w:tc>
      </w:tr>
      <w:tr>
        <w:trPr>
          <w:trHeight w:val="557"/>
        </w:trPr>
        <w:tc>
          <w:tcPr>
            <w:tcW w:w="875" w:type="dxa"/>
            <w:vAlign w:val="center"/>
            <w:vMerge w:val="continue"/>
            <w:textDirection w:val="lrTb"/>
            <w:noWrap w:val="false"/>
          </w:tcPr>
          <w:p>
            <w:pPr>
              <w:pStyle w:val="680"/>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7200" w:type="dxa"/>
            <w:vAlign w:val="center"/>
            <w:textDirection w:val="lrTb"/>
            <w:noWrap w:val="false"/>
          </w:tcPr>
          <w:p>
            <w:pPr>
              <w:pStyle w:val="680"/>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4"/>
                <w:highlight w:val="none"/>
                <w:lang w:bidi="en-US"/>
              </w:rPr>
              <w:t xml:space="preserve">对投标人运维服务方案中的运行维护工作，包括日常监控、现场巡查与维护、年度检查等情况进行评审。</w:t>
            </w:r>
            <w:r>
              <w:rPr>
                <w:rFonts w:hint="eastAsia" w:ascii="宋体" w:hAnsi="宋体" w:eastAsia="宋体" w:cs="宋体"/>
                <w:color w:val="000000"/>
                <w:sz w:val="24"/>
                <w:szCs w:val="24"/>
                <w:highlight w:val="none"/>
                <w:lang w:val="en-US" w:eastAsia="zh-CN" w:bidi="ar-SA"/>
              </w:rPr>
              <w:t xml:space="preserve">方案科学合理性强、内容详尽细致、针对性和落地性强，满足项目要求性强的得5分；方案科学合理性较强、内容符合性较强、针对性和落地性较强，满足项目要求性较强的得4.5分；方案科学合理性一般、内容符合性一般、针对性和落地性一般，满足项目要求性一般的得4分，未提供不得分。</w:t>
            </w:r>
            <w:r>
              <w:rPr>
                <w:rFonts w:hint="eastAsia" w:ascii="宋体" w:hAnsi="宋体" w:eastAsia="宋体" w:cs="宋体"/>
                <w:color w:val="000000"/>
                <w:sz w:val="24"/>
                <w:szCs w:val="24"/>
                <w:highlight w:val="none"/>
                <w:lang w:val="en-US" w:eastAsia="zh-CN"/>
              </w:rPr>
            </w:r>
            <w:r/>
          </w:p>
        </w:tc>
        <w:tc>
          <w:tcPr>
            <w:tcW w:w="911" w:type="dxa"/>
            <w:vAlign w:val="center"/>
            <w:textDirection w:val="lrTb"/>
            <w:noWrap w:val="false"/>
          </w:tcPr>
          <w:p>
            <w:pPr>
              <w:pStyle w:val="680"/>
              <w:ind w:left="-3"/>
              <w:jc w:val="center"/>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4"/>
                <w:highlight w:val="none"/>
                <w:lang w:val="en-US" w:eastAsia="zh-CN"/>
              </w:rPr>
              <w:t xml:space="preserve">5分</w:t>
            </w:r>
            <w:r>
              <w:rPr>
                <w:rFonts w:hint="eastAsia" w:ascii="宋体" w:hAnsi="宋体" w:eastAsia="宋体" w:cs="宋体"/>
                <w:color w:val="000000"/>
                <w:sz w:val="24"/>
                <w:szCs w:val="24"/>
                <w:highlight w:val="none"/>
                <w:lang w:val="en-US" w:eastAsia="zh-CN"/>
              </w:rPr>
            </w:r>
            <w:r/>
          </w:p>
        </w:tc>
      </w:tr>
      <w:tr>
        <w:trPr>
          <w:trHeight w:val="557"/>
        </w:trPr>
        <w:tc>
          <w:tcPr>
            <w:tcW w:w="875" w:type="dxa"/>
            <w:vAlign w:val="center"/>
            <w:vMerge w:val="continue"/>
            <w:textDirection w:val="lrTb"/>
            <w:noWrap w:val="false"/>
          </w:tcPr>
          <w:p>
            <w:pPr>
              <w:pStyle w:val="680"/>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7200" w:type="dxa"/>
            <w:vAlign w:val="center"/>
            <w:textDirection w:val="lrTb"/>
            <w:noWrap w:val="false"/>
          </w:tcPr>
          <w:p>
            <w:pPr>
              <w:pStyle w:val="680"/>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4"/>
                <w:highlight w:val="none"/>
                <w:lang w:bidi="en-US"/>
              </w:rPr>
              <w:t xml:space="preserve">投标人售后服务方案中的售后服务保障措施、维修响应时间、处理办法及解决时间等）进行评审。</w:t>
            </w:r>
            <w:r>
              <w:rPr>
                <w:rFonts w:hint="eastAsia" w:ascii="宋体" w:hAnsi="宋体" w:eastAsia="宋体" w:cs="宋体"/>
                <w:color w:val="000000"/>
                <w:sz w:val="24"/>
                <w:szCs w:val="24"/>
                <w:highlight w:val="none"/>
                <w:lang w:val="en-US" w:eastAsia="zh-CN" w:bidi="ar-SA"/>
              </w:rPr>
              <w:t xml:space="preserve">方案科学合理性强、内容详尽细致、针对性和落地性强，满足项目要求性强的得5分；方案科学合理性较强、内容符合性较强、针对性和落地性较强，满足项目要求性较强的得4.5分；方案科学合理性一般、内容符合性一般、针对性和落地性一般，满足项目要求性一般的得4分，未提供不得分。</w:t>
            </w:r>
            <w:r>
              <w:rPr>
                <w:rFonts w:hint="eastAsia" w:ascii="宋体" w:hAnsi="宋体" w:eastAsia="宋体" w:cs="宋体"/>
                <w:color w:val="000000"/>
                <w:sz w:val="24"/>
                <w:szCs w:val="24"/>
                <w:highlight w:val="none"/>
                <w:lang w:val="en-US" w:eastAsia="zh-CN"/>
              </w:rPr>
            </w:r>
            <w:r/>
          </w:p>
        </w:tc>
        <w:tc>
          <w:tcPr>
            <w:tcW w:w="911" w:type="dxa"/>
            <w:vAlign w:val="center"/>
            <w:textDirection w:val="lrTb"/>
            <w:noWrap w:val="false"/>
          </w:tcPr>
          <w:p>
            <w:pPr>
              <w:pStyle w:val="680"/>
              <w:ind w:left="-3"/>
              <w:jc w:val="center"/>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4"/>
                <w:highlight w:val="none"/>
                <w:lang w:val="en-US" w:eastAsia="zh-CN"/>
              </w:rPr>
              <w:t xml:space="preserve">5分</w:t>
            </w:r>
            <w:r>
              <w:rPr>
                <w:rFonts w:hint="eastAsia" w:ascii="宋体" w:hAnsi="宋体" w:eastAsia="宋体" w:cs="宋体"/>
                <w:color w:val="000000"/>
                <w:sz w:val="24"/>
                <w:szCs w:val="24"/>
                <w:highlight w:val="none"/>
                <w:lang w:val="en-US" w:eastAsia="zh-CN"/>
              </w:rPr>
            </w:r>
            <w:r/>
          </w:p>
        </w:tc>
      </w:tr>
      <w:tr>
        <w:trPr>
          <w:trHeight w:val="557"/>
        </w:trPr>
        <w:tc>
          <w:tcPr>
            <w:tcW w:w="875" w:type="dxa"/>
            <w:vAlign w:val="center"/>
            <w:vMerge w:val="continue"/>
            <w:textDirection w:val="lrTb"/>
            <w:noWrap w:val="false"/>
          </w:tcPr>
          <w:p>
            <w:pPr>
              <w:pStyle w:val="680"/>
              <w:jc w:val="center"/>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200" w:type="dxa"/>
            <w:vAlign w:val="center"/>
            <w:textDirection w:val="lrTb"/>
            <w:noWrap w:val="false"/>
          </w:tcPr>
          <w:p>
            <w:pPr>
              <w:pStyle w:val="680"/>
              <w:rPr>
                <w:rFonts w:hint="eastAsia" w:ascii="宋体" w:hAnsi="宋体" w:eastAsia="宋体" w:cs="宋体"/>
                <w:color w:val="000000"/>
                <w:sz w:val="24"/>
                <w:szCs w:val="24"/>
                <w:highlight w:val="none"/>
              </w:rPr>
            </w:pPr>
            <w:r>
              <w:rPr>
                <w:rFonts w:hint="eastAsia" w:ascii="宋体" w:hAnsi="宋体" w:eastAsia="宋体" w:cs="宋体"/>
                <w:sz w:val="24"/>
                <w:szCs w:val="24"/>
                <w:highlight w:val="none"/>
                <w:lang w:bidi="en-US"/>
              </w:rPr>
              <w:t xml:space="preserve">投标人根据项目需求制定实施流程、进度管理、质量保障以及验收等可操作性方案。</w:t>
            </w:r>
            <w:r>
              <w:rPr>
                <w:rFonts w:hint="eastAsia" w:ascii="宋体" w:hAnsi="宋体" w:eastAsia="宋体" w:cs="宋体"/>
                <w:color w:val="000000"/>
                <w:sz w:val="24"/>
                <w:szCs w:val="24"/>
                <w:highlight w:val="none"/>
                <w:lang w:val="en-US" w:eastAsia="zh-CN" w:bidi="ar-SA"/>
              </w:rPr>
              <w:t xml:space="preserve">方案科学合理性强、内容详尽细致、针对性和落地性强，满足项目要求性强的得10分；方案科学合理性较强、内容符合性较强、针对性和落地性较强，满足项目要求性较强的得9.5分；方案科学合理性一般、内容符合性一般、针对性和落地性一般，满足项目要求性一般的得9分，未提供不得分。</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680"/>
              <w:ind w:left="-3"/>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10分</w:t>
            </w:r>
            <w:r>
              <w:rPr>
                <w:rFonts w:hint="eastAsia" w:ascii="宋体" w:hAnsi="宋体" w:eastAsia="宋体" w:cs="宋体"/>
                <w:sz w:val="24"/>
                <w:szCs w:val="24"/>
                <w:highlight w:val="none"/>
                <w:lang w:val="en-US" w:eastAsia="zh-CN"/>
              </w:rPr>
            </w:r>
            <w:r/>
          </w:p>
        </w:tc>
      </w:tr>
      <w:tr>
        <w:trPr>
          <w:trHeight w:val="1985"/>
        </w:trPr>
        <w:tc>
          <w:tcPr>
            <w:tcW w:w="875" w:type="dxa"/>
            <w:vAlign w:val="center"/>
            <w:vMerge w:val="continue"/>
            <w:textDirection w:val="lrTb"/>
            <w:noWrap w:val="false"/>
          </w:tcPr>
          <w:p>
            <w:pPr>
              <w:pStyle w:val="680"/>
              <w:jc w:val="center"/>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200" w:type="dxa"/>
            <w:vAlign w:val="center"/>
            <w:textDirection w:val="lrTb"/>
            <w:noWrap w:val="false"/>
          </w:tcPr>
          <w:p>
            <w:pPr>
              <w:pStyle w:val="680"/>
              <w:ind w:firstLine="480"/>
              <w:keepLines w:val="0"/>
              <w:keepNext w:val="0"/>
              <w:pageBreakBefore w:val="0"/>
              <w:spacing w:line="3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项目实施过程中各阶段安全的保证措施。</w:t>
            </w:r>
            <w:r>
              <w:rPr>
                <w:rFonts w:hint="eastAsia" w:ascii="宋体" w:hAnsi="宋体" w:eastAsia="宋体" w:cs="宋体"/>
                <w:sz w:val="24"/>
                <w:szCs w:val="24"/>
                <w:highlight w:val="none"/>
                <w:lang w:val="zh-CN" w:eastAsia="zh-CN"/>
              </w:rPr>
              <w:t xml:space="preserve">方案科学合理性强、内容详尽细致、针对性和落地性强，满足项目要求性强的得</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lang w:val="zh-CN" w:eastAsia="zh-CN"/>
              </w:rPr>
              <w:t xml:space="preserve">分；方案科学合理性较强、内容符合性较强、针对性和落地性较强，满足项目要求性较强的得</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lang w:val="zh-CN" w:eastAsia="zh-CN"/>
              </w:rPr>
              <w:t xml:space="preserve">.5分；方案科学合理性一般、内容符合性一般、针对性和落地性一般，满足项目要求性一般的得</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lang w:val="zh-CN" w:eastAsia="zh-CN"/>
              </w:rPr>
              <w:t xml:space="preserve">分。</w:t>
            </w:r>
            <w:r>
              <w:rPr>
                <w:rFonts w:hint="eastAsia" w:ascii="宋体" w:hAnsi="宋体" w:eastAsia="宋体" w:cs="宋体"/>
                <w:sz w:val="24"/>
                <w:szCs w:val="24"/>
                <w:highlight w:val="none"/>
                <w:lang w:val="en-US" w:eastAsia="zh-CN"/>
              </w:rPr>
            </w:r>
            <w:r/>
          </w:p>
          <w:p>
            <w:pPr>
              <w:pStyle w:val="6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680"/>
              <w:ind w:left="-3"/>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10分</w:t>
            </w:r>
            <w:r>
              <w:rPr>
                <w:rFonts w:hint="eastAsia" w:ascii="宋体" w:hAnsi="宋体" w:eastAsia="宋体" w:cs="宋体"/>
                <w:sz w:val="24"/>
                <w:szCs w:val="24"/>
                <w:highlight w:val="none"/>
                <w:lang w:val="en-US" w:eastAsia="zh-CN"/>
              </w:rPr>
            </w:r>
            <w:r/>
          </w:p>
        </w:tc>
      </w:tr>
    </w:tbl>
    <w:p>
      <w:pPr>
        <w:pStyle w:val="680"/>
        <w:numPr>
          <w:ilvl w:val="0"/>
          <w:numId w:val="0"/>
        </w:numPr>
        <w:ind w:firstLine="422"/>
        <w:spacing w:line="276" w:lineRule="auto"/>
        <w:widowControl/>
        <w:rPr>
          <w:rFonts w:hint="eastAsia" w:ascii="宋体" w:hAnsi="宋体" w:eastAsia="宋体" w:cs="宋体"/>
          <w:b/>
          <w:bCs/>
          <w:sz w:val="21"/>
          <w:szCs w:val="28"/>
          <w:highlight w:val="none"/>
          <w:shd w:val="clear" w:color="auto" w:fill="ffffff"/>
          <w:lang w:val="en-US" w:eastAsia="zh-CN" w:bidi="ar-SA"/>
        </w:rPr>
      </w:pPr>
      <w:r>
        <w:rPr>
          <w:rFonts w:hint="eastAsia" w:ascii="宋体" w:hAnsi="宋体" w:eastAsia="宋体" w:cs="宋体"/>
          <w:b/>
          <w:bCs/>
          <w:sz w:val="21"/>
          <w:szCs w:val="28"/>
          <w:highlight w:val="none"/>
          <w:shd w:val="clear" w:color="auto" w:fill="ffffff"/>
          <w:lang w:val="en-US" w:eastAsia="zh-CN" w:bidi="ar-SA"/>
        </w:rPr>
        <w:t xml:space="preserve">以上证书及证明材料提供加盖单位公章的扫描件，同时提供相关人员投标截止日往前连续3个月在本单位缴纳养老保险记录（如开标日期为2024年10月的某一天，则投标单位需提供以上人员2024年6月-2024年9月中任意连续3个月的缴费记录证明，如投标单位成立不满一年，则提供项目负责人从投标截止之日当月向前连续3个月中至少1个月的养老保险缴费记录证明）</w:t>
      </w:r>
      <w:r>
        <w:rPr>
          <w:rFonts w:hint="eastAsia" w:ascii="宋体" w:hAnsi="宋体" w:eastAsia="宋体" w:cs="宋体"/>
          <w:b/>
          <w:bCs/>
          <w:sz w:val="21"/>
          <w:szCs w:val="28"/>
          <w:highlight w:val="none"/>
          <w:shd w:val="clear" w:color="auto" w:fill="ffffff"/>
          <w:lang w:val="en-US" w:eastAsia="zh-CN" w:bidi="ar-SA"/>
        </w:rPr>
      </w:r>
      <w:r/>
    </w:p>
    <w:p>
      <w:pPr>
        <w:pStyle w:val="680"/>
        <w:numPr>
          <w:ilvl w:val="0"/>
          <w:numId w:val="0"/>
        </w:numPr>
        <w:ind w:firstLine="422"/>
        <w:spacing w:line="276" w:lineRule="auto"/>
        <w:widowControl/>
        <w:rPr>
          <w:rFonts w:hint="eastAsia" w:ascii="宋体" w:hAnsi="宋体" w:eastAsia="宋体" w:cs="宋体"/>
          <w:b/>
          <w:bCs/>
          <w:sz w:val="21"/>
          <w:szCs w:val="28"/>
          <w:highlight w:val="none"/>
          <w:shd w:val="clear" w:color="auto" w:fill="ffffff"/>
          <w:lang w:val="en-US" w:eastAsia="zh-CN" w:bidi="ar-SA"/>
        </w:rPr>
      </w:pPr>
      <w:r>
        <w:rPr>
          <w:rFonts w:hint="eastAsia" w:ascii="宋体" w:hAnsi="宋体" w:eastAsia="宋体" w:cs="宋体"/>
          <w:b/>
          <w:bCs/>
          <w:sz w:val="21"/>
          <w:szCs w:val="28"/>
          <w:highlight w:val="none"/>
          <w:shd w:val="clear" w:color="auto" w:fill="ffffff"/>
          <w:lang w:val="en-US" w:eastAsia="zh-CN" w:bidi="ar-SA"/>
        </w:rPr>
        <w:t xml:space="preserve">采购人有权在中标公示期间对中标人提供的与本评分办法相关的材料等评分依据的真实性进行复查，如发现有通过提供虚假证明文件获得分值，将取消中标资格，并提请监督机构按照政府采购相关法规处理。</w:t>
      </w:r>
      <w:r>
        <w:rPr>
          <w:rFonts w:hint="eastAsia" w:ascii="宋体" w:hAnsi="宋体" w:eastAsia="宋体" w:cs="宋体"/>
          <w:b/>
          <w:bCs/>
          <w:sz w:val="21"/>
          <w:szCs w:val="28"/>
          <w:highlight w:val="none"/>
          <w:shd w:val="clear" w:color="auto" w:fill="ffffff"/>
          <w:lang w:val="en-US" w:eastAsia="zh-CN" w:bidi="ar-SA"/>
        </w:rPr>
      </w:r>
      <w:r/>
    </w:p>
    <w:p>
      <w:pPr>
        <w:pStyle w:val="698"/>
        <w:jc w:val="center"/>
        <w:keepNext/>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68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r>
      <w:r/>
    </w:p>
    <w:p>
      <w:pPr>
        <w:pStyle w:val="698"/>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t xml:space="preserve">第六章  投标文件格式</w:t>
      </w:r>
      <w:r>
        <w:rPr>
          <w:rFonts w:hint="eastAsia" w:ascii="黑体" w:hAnsi="宋体" w:eastAsia="黑体" w:cs="黑体"/>
          <w:color w:val="000000"/>
          <w:sz w:val="44"/>
          <w:szCs w:val="44"/>
          <w:highlight w:val="none"/>
        </w:rPr>
      </w:r>
      <w:r/>
    </w:p>
    <w:p>
      <w:pPr>
        <w:pStyle w:val="698"/>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98"/>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98"/>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98"/>
        <w:jc w:val="center"/>
        <w:keepNext/>
        <w:spacing w:beforeAutospacing="0" w:afterAutospacing="0"/>
        <w:rPr>
          <w:highlight w:val="none"/>
        </w:rPr>
      </w:pPr>
      <w:r>
        <w:rPr>
          <w:rFonts w:hint="eastAsia" w:ascii="黑体" w:hAnsi="宋体" w:eastAsia="黑体" w:cs="黑体"/>
          <w:color w:val="000000"/>
          <w:sz w:val="44"/>
          <w:szCs w:val="44"/>
          <w:highlight w:val="none"/>
        </w:rPr>
        <w:t xml:space="preserve"> </w:t>
      </w:r>
      <w:r>
        <w:rPr>
          <w:highlight w:val="none"/>
        </w:rPr>
      </w:r>
      <w:r/>
    </w:p>
    <w:p>
      <w:pPr>
        <w:pStyle w:val="698"/>
        <w:jc w:val="center"/>
        <w:spacing w:beforeAutospacing="0" w:afterAutospacing="0"/>
        <w:rPr>
          <w:highlight w:val="none"/>
        </w:rPr>
      </w:pPr>
      <w:r/>
      <w:bookmarkStart w:id="170" w:name="_Toc49090576"/>
      <w:r/>
      <w:bookmarkEnd w:id="170"/>
      <w:r/>
      <w:bookmarkStart w:id="171" w:name="_Toc120614282"/>
      <w:r/>
      <w:bookmarkEnd w:id="171"/>
      <w:r/>
      <w:bookmarkStart w:id="172" w:name="_Hlt26955039"/>
      <w:r/>
      <w:bookmarkStart w:id="173" w:name="_Hlt26671244"/>
      <w:r/>
      <w:bookmarkStart w:id="174" w:name="_Toc26554094"/>
      <w:r>
        <w:rPr>
          <w:rFonts w:hint="eastAsia" w:ascii="宋体" w:hAnsi="宋体" w:eastAsia="宋体" w:cs="宋体"/>
          <w:b/>
          <w:color w:val="000000"/>
          <w:sz w:val="72"/>
          <w:szCs w:val="72"/>
          <w:highlight w:val="none"/>
        </w:rPr>
        <w:t xml:space="preserve">投  标  文  件</w:t>
      </w:r>
      <w:r>
        <w:rPr>
          <w:highlight w:val="none"/>
        </w:rPr>
      </w:r>
      <w:r/>
    </w:p>
    <w:p>
      <w:pPr>
        <w:pStyle w:val="698"/>
        <w:jc w:val="center"/>
        <w:spacing w:beforeAutospacing="0" w:afterAutospacing="0"/>
        <w:rPr>
          <w:highlight w:val="none"/>
        </w:rPr>
      </w:pPr>
      <w:r>
        <w:rPr>
          <w:highlight w:val="none"/>
        </w:rPr>
        <w:t xml:space="preserve"> </w:t>
      </w:r>
      <w:r>
        <w:rPr>
          <w:highlight w:val="none"/>
        </w:rPr>
      </w:r>
      <w:r/>
    </w:p>
    <w:p>
      <w:pPr>
        <w:pStyle w:val="698"/>
        <w:jc w:val="center"/>
        <w:spacing w:beforeAutospacing="0" w:afterAutospacing="0"/>
        <w:rPr>
          <w:highlight w:val="none"/>
        </w:rPr>
      </w:pPr>
      <w:r>
        <w:rPr>
          <w:highlight w:val="none"/>
        </w:rPr>
        <w:t xml:space="preserve"> </w:t>
      </w:r>
      <w:r>
        <w:rPr>
          <w:highlight w:val="none"/>
        </w:rPr>
      </w:r>
      <w:r/>
    </w:p>
    <w:p>
      <w:pPr>
        <w:pStyle w:val="698"/>
        <w:jc w:val="center"/>
        <w:spacing w:beforeAutospacing="0" w:afterAutospacing="0"/>
        <w:rPr>
          <w:highlight w:val="none"/>
        </w:rPr>
      </w:pPr>
      <w:r>
        <w:rPr>
          <w:highlight w:val="none"/>
        </w:rPr>
        <w:t xml:space="preserve"> </w:t>
      </w:r>
      <w:r>
        <w:rPr>
          <w:highlight w:val="none"/>
        </w:rPr>
      </w:r>
      <w:r/>
    </w:p>
    <w:p>
      <w:pPr>
        <w:pStyle w:val="698"/>
        <w:jc w:val="center"/>
        <w:spacing w:beforeAutospacing="0" w:afterAutospacing="0"/>
        <w:rPr>
          <w:highlight w:val="none"/>
        </w:rPr>
      </w:pPr>
      <w:r>
        <w:rPr>
          <w:highlight w:val="none"/>
        </w:rPr>
        <w:t xml:space="preserve"> </w:t>
      </w:r>
      <w:r>
        <w:rPr>
          <w:highlight w:val="none"/>
        </w:rPr>
      </w:r>
      <w:r/>
    </w:p>
    <w:p>
      <w:pPr>
        <w:pStyle w:val="698"/>
        <w:jc w:val="center"/>
        <w:spacing w:beforeAutospacing="0" w:afterAutospacing="0"/>
        <w:rPr>
          <w:highlight w:val="none"/>
        </w:rPr>
      </w:pPr>
      <w:r>
        <w:rPr>
          <w:highlight w:val="none"/>
        </w:rPr>
        <w:t xml:space="preserve"> </w:t>
      </w:r>
      <w:r>
        <w:rPr>
          <w:highlight w:val="none"/>
        </w:rPr>
      </w:r>
      <w:r/>
    </w:p>
    <w:p>
      <w:pPr>
        <w:pStyle w:val="698"/>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 目 名 称：</w:t>
      </w:r>
      <w:r>
        <w:rPr>
          <w:rFonts w:hint="eastAsia" w:ascii="宋体" w:hAnsi="宋体" w:eastAsia="宋体" w:cs="宋体"/>
          <w:b/>
          <w:color w:val="000000"/>
          <w:sz w:val="36"/>
          <w:szCs w:val="36"/>
          <w:highlight w:val="none"/>
          <w:u w:val="single"/>
        </w:rPr>
        <w:t xml:space="preserve">             </w:t>
      </w:r>
      <w:r>
        <w:rPr>
          <w:highlight w:val="none"/>
        </w:rPr>
      </w:r>
      <w:r/>
    </w:p>
    <w:p>
      <w:pPr>
        <w:pStyle w:val="698"/>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 目 编 号：</w:t>
      </w:r>
      <w:r>
        <w:rPr>
          <w:rFonts w:hint="eastAsia" w:ascii="宋体" w:hAnsi="宋体" w:eastAsia="宋体" w:cs="宋体"/>
          <w:b/>
          <w:color w:val="000000"/>
          <w:sz w:val="36"/>
          <w:szCs w:val="36"/>
          <w:highlight w:val="none"/>
          <w:u w:val="single"/>
        </w:rPr>
        <w:t xml:space="preserve">             </w:t>
      </w:r>
      <w:r>
        <w:rPr>
          <w:highlight w:val="none"/>
        </w:rPr>
      </w:r>
      <w:r/>
    </w:p>
    <w:p>
      <w:pPr>
        <w:pStyle w:val="698"/>
        <w:jc w:val="both"/>
        <w:spacing w:beforeAutospacing="0" w:afterAutospacing="0"/>
        <w:rPr>
          <w:highlight w:val="none"/>
        </w:rPr>
      </w:pPr>
      <w:r>
        <w:rPr>
          <w:rFonts w:hint="eastAsia" w:ascii="宋体" w:hAnsi="宋体" w:eastAsia="宋体" w:cs="宋体"/>
          <w:b/>
          <w:color w:val="000000"/>
          <w:sz w:val="36"/>
          <w:szCs w:val="36"/>
          <w:highlight w:val="none"/>
        </w:rPr>
        <w:t xml:space="preserve">   </w:t>
      </w:r>
      <w:r>
        <w:rPr>
          <w:rFonts w:hint="eastAsia" w:ascii="宋体" w:hAnsi="宋体" w:eastAsia="宋体" w:cs="宋体"/>
          <w:b/>
          <w:color w:val="000000"/>
          <w:sz w:val="36"/>
          <w:szCs w:val="36"/>
          <w:highlight w:val="none"/>
          <w:lang w:eastAsia="zh-CN"/>
        </w:rPr>
        <w:t xml:space="preserve">供应商</w:t>
      </w:r>
      <w:r>
        <w:rPr>
          <w:rFonts w:hint="eastAsia" w:ascii="宋体" w:hAnsi="宋体" w:eastAsia="宋体" w:cs="宋体"/>
          <w:b/>
          <w:color w:val="000000"/>
          <w:sz w:val="36"/>
          <w:szCs w:val="36"/>
          <w:highlight w:val="none"/>
        </w:rPr>
        <w:t xml:space="preserve">名称 ：</w:t>
      </w:r>
      <w:r>
        <w:rPr>
          <w:rFonts w:hint="eastAsia" w:ascii="宋体" w:hAnsi="宋体" w:eastAsia="宋体" w:cs="宋体"/>
          <w:b/>
          <w:color w:val="000000"/>
          <w:sz w:val="36"/>
          <w:szCs w:val="36"/>
          <w:highlight w:val="none"/>
          <w:u w:val="single"/>
        </w:rPr>
        <w:t xml:space="preserve">（加盖CA电子公章）</w:t>
      </w:r>
      <w:r>
        <w:rPr>
          <w:highlight w:val="none"/>
        </w:rPr>
      </w:r>
      <w:r/>
    </w:p>
    <w:p>
      <w:pPr>
        <w:pStyle w:val="698"/>
        <w:jc w:val="both"/>
        <w:spacing w:beforeAutospacing="0" w:afterAutospacing="0"/>
        <w:rPr>
          <w:highlight w:val="none"/>
        </w:rPr>
      </w:pPr>
      <w:r>
        <w:rPr>
          <w:rFonts w:hint="eastAsia" w:ascii="宋体" w:hAnsi="宋体" w:eastAsia="宋体" w:cs="宋体"/>
          <w:b/>
          <w:color w:val="000000"/>
          <w:sz w:val="36"/>
          <w:szCs w:val="36"/>
          <w:highlight w:val="none"/>
        </w:rPr>
        <w:t xml:space="preserve">   日   期 ：</w:t>
      </w:r>
      <w:r>
        <w:rPr>
          <w:rFonts w:hint="eastAsia" w:ascii="宋体" w:hAnsi="宋体" w:eastAsia="宋体" w:cs="宋体"/>
          <w:b/>
          <w:color w:val="000000"/>
          <w:sz w:val="36"/>
          <w:szCs w:val="36"/>
          <w:highlight w:val="none"/>
          <w:u w:val="single"/>
        </w:rPr>
        <w:t xml:space="preserve">             </w:t>
      </w:r>
      <w:r>
        <w:rPr>
          <w:highlight w:val="none"/>
        </w:rPr>
      </w:r>
      <w:r/>
    </w:p>
    <w:p>
      <w:pPr>
        <w:pStyle w:val="698"/>
        <w:jc w:val="center"/>
        <w:spacing w:beforeAutospacing="0" w:afterAutospacing="0" w:line="0" w:lineRule="atLeast"/>
        <w:rPr>
          <w:highlight w:val="none"/>
        </w:rPr>
      </w:pPr>
      <w:r>
        <w:rPr>
          <w:highlight w:val="none"/>
        </w:rPr>
      </w:r>
      <w:r/>
    </w:p>
    <w:p>
      <w:pPr>
        <w:pStyle w:val="698"/>
        <w:jc w:val="center"/>
        <w:spacing w:beforeAutospacing="0" w:afterAutospacing="0" w:line="0" w:lineRule="atLeast"/>
        <w:rPr>
          <w:highlight w:val="none"/>
        </w:rPr>
      </w:pPr>
      <w:r>
        <w:rPr>
          <w:highlight w:val="none"/>
        </w:rPr>
      </w:r>
      <w:r/>
    </w:p>
    <w:p>
      <w:pPr>
        <w:pStyle w:val="698"/>
        <w:jc w:val="center"/>
        <w:spacing w:beforeAutospacing="0" w:afterAutospacing="0" w:line="0" w:lineRule="atLeast"/>
        <w:rPr>
          <w:highlight w:val="none"/>
        </w:rPr>
      </w:pPr>
      <w:r>
        <w:rPr>
          <w:highlight w:val="none"/>
        </w:rPr>
      </w:r>
      <w:r/>
    </w:p>
    <w:p>
      <w:pPr>
        <w:pStyle w:val="698"/>
        <w:jc w:val="center"/>
        <w:spacing w:beforeAutospacing="0" w:afterAutospacing="0" w:line="0" w:lineRule="atLeast"/>
        <w:rPr>
          <w:highlight w:val="none"/>
        </w:rPr>
      </w:pPr>
      <w:r>
        <w:rPr>
          <w:highlight w:val="none"/>
        </w:rPr>
      </w:r>
      <w:r/>
    </w:p>
    <w:p>
      <w:pPr>
        <w:pStyle w:val="698"/>
        <w:jc w:val="center"/>
        <w:spacing w:beforeAutospacing="0" w:afterAutospacing="0" w:line="0" w:lineRule="atLeast"/>
        <w:rPr>
          <w:highlight w:val="none"/>
        </w:rPr>
      </w:pPr>
      <w:r>
        <w:rPr>
          <w:highlight w:val="none"/>
        </w:rPr>
      </w:r>
      <w:r/>
    </w:p>
    <w:p>
      <w:pPr>
        <w:pStyle w:val="698"/>
        <w:jc w:val="center"/>
        <w:spacing w:beforeAutospacing="0" w:afterAutospacing="0" w:line="0" w:lineRule="atLeast"/>
        <w:rPr>
          <w:highlight w:val="none"/>
        </w:rPr>
      </w:pPr>
      <w:r>
        <w:rPr>
          <w:highlight w:val="none"/>
        </w:rPr>
      </w:r>
      <w:r/>
    </w:p>
    <w:p>
      <w:pPr>
        <w:pStyle w:val="698"/>
        <w:jc w:val="center"/>
        <w:spacing w:beforeAutospacing="0" w:afterAutospacing="0" w:line="0" w:lineRule="atLeast"/>
        <w:rPr>
          <w:highlight w:val="none"/>
        </w:rPr>
      </w:pPr>
      <w:r>
        <w:rPr>
          <w:highlight w:val="none"/>
        </w:rPr>
      </w:r>
      <w:r/>
    </w:p>
    <w:p>
      <w:pPr>
        <w:pStyle w:val="698"/>
        <w:jc w:val="center"/>
        <w:spacing w:beforeAutospacing="0" w:afterAutospacing="0" w:line="0" w:lineRule="atLeast"/>
        <w:rPr>
          <w:highlight w:val="none"/>
        </w:rPr>
      </w:pPr>
      <w:r>
        <w:rPr>
          <w:highlight w:val="none"/>
        </w:rPr>
      </w:r>
      <w:r/>
    </w:p>
    <w:p>
      <w:pPr>
        <w:pStyle w:val="698"/>
        <w:jc w:val="center"/>
        <w:spacing w:beforeAutospacing="0" w:afterAutospacing="0" w:line="0" w:lineRule="atLeast"/>
        <w:rPr>
          <w:highlight w:val="none"/>
        </w:rPr>
      </w:pPr>
      <w:r>
        <w:rPr>
          <w:highlight w:val="none"/>
        </w:rPr>
      </w:r>
      <w:r/>
    </w:p>
    <w:p>
      <w:pPr>
        <w:pStyle w:val="698"/>
        <w:jc w:val="center"/>
        <w:spacing w:beforeAutospacing="0" w:afterAutospacing="0" w:line="0" w:lineRule="atLeast"/>
        <w:rPr>
          <w:highlight w:val="none"/>
        </w:rPr>
      </w:pPr>
      <w:r>
        <w:rPr>
          <w:highlight w:val="none"/>
        </w:rPr>
      </w:r>
      <w:r/>
    </w:p>
    <w:p>
      <w:pPr>
        <w:pStyle w:val="698"/>
        <w:jc w:val="center"/>
        <w:spacing w:beforeAutospacing="0" w:afterAutospacing="0" w:line="0" w:lineRule="atLeast"/>
        <w:rPr>
          <w:highlight w:val="none"/>
        </w:rPr>
      </w:pPr>
      <w:r>
        <w:rPr>
          <w:highlight w:val="none"/>
        </w:rPr>
      </w:r>
      <w:r/>
    </w:p>
    <w:p>
      <w:pPr>
        <w:pStyle w:val="698"/>
        <w:jc w:val="center"/>
        <w:spacing w:beforeAutospacing="0" w:afterAutospacing="0" w:line="0" w:lineRule="atLeast"/>
        <w:rPr>
          <w:highlight w:val="none"/>
        </w:rPr>
      </w:pPr>
      <w:r>
        <w:rPr>
          <w:highlight w:val="none"/>
        </w:rPr>
      </w:r>
      <w:r/>
    </w:p>
    <w:p>
      <w:pPr>
        <w:pStyle w:val="698"/>
        <w:jc w:val="center"/>
        <w:spacing w:beforeAutospacing="0" w:afterAutospacing="0" w:line="0" w:lineRule="atLeast"/>
        <w:rPr>
          <w:highlight w:val="none"/>
        </w:rPr>
      </w:pPr>
      <w:r>
        <w:rPr>
          <w:highlight w:val="none"/>
        </w:rPr>
      </w:r>
      <w:r/>
    </w:p>
    <w:p>
      <w:pPr>
        <w:pStyle w:val="698"/>
        <w:jc w:val="center"/>
        <w:spacing w:beforeAutospacing="0" w:afterAutospacing="0" w:line="0" w:lineRule="atLeast"/>
        <w:rPr>
          <w:highlight w:val="none"/>
        </w:rPr>
      </w:pPr>
      <w:r>
        <w:rPr>
          <w:highlight w:val="none"/>
        </w:rPr>
      </w:r>
      <w:r/>
    </w:p>
    <w:p>
      <w:pPr>
        <w:pStyle w:val="698"/>
        <w:jc w:val="center"/>
        <w:spacing w:beforeAutospacing="0" w:afterAutospacing="0" w:line="0" w:lineRule="atLeast"/>
        <w:rPr>
          <w:highlight w:val="none"/>
        </w:rPr>
      </w:pPr>
      <w:r>
        <w:rPr>
          <w:highlight w:val="none"/>
        </w:rPr>
      </w:r>
      <w:r/>
    </w:p>
    <w:p>
      <w:pPr>
        <w:pStyle w:val="698"/>
        <w:jc w:val="center"/>
        <w:spacing w:beforeAutospacing="0" w:afterAutospacing="0" w:line="0" w:lineRule="atLeast"/>
        <w:rPr>
          <w:highlight w:val="none"/>
        </w:rPr>
      </w:pPr>
      <w:r>
        <w:rPr>
          <w:highlight w:val="none"/>
        </w:rPr>
      </w:r>
      <w:r/>
    </w:p>
    <w:p>
      <w:pPr>
        <w:pStyle w:val="698"/>
        <w:jc w:val="center"/>
        <w:spacing w:beforeAutospacing="0" w:afterAutospacing="0" w:line="0" w:lineRule="atLeast"/>
        <w:rPr>
          <w:highlight w:val="none"/>
        </w:rPr>
      </w:pPr>
      <w:r>
        <w:rPr>
          <w:highlight w:val="none"/>
        </w:rPr>
      </w:r>
      <w:r/>
    </w:p>
    <w:p>
      <w:pPr>
        <w:pStyle w:val="698"/>
        <w:jc w:val="center"/>
        <w:spacing w:beforeAutospacing="0" w:afterAutospacing="0" w:line="0" w:lineRule="atLeast"/>
        <w:rPr>
          <w:highlight w:val="none"/>
        </w:rPr>
      </w:pPr>
      <w:r>
        <w:rPr>
          <w:highlight w:val="none"/>
        </w:rPr>
      </w:r>
      <w:r/>
    </w:p>
    <w:p>
      <w:pPr>
        <w:pStyle w:val="698"/>
        <w:jc w:val="center"/>
        <w:spacing w:beforeAutospacing="0" w:afterAutospacing="0" w:line="0" w:lineRule="atLeast"/>
        <w:rPr>
          <w:highlight w:val="none"/>
        </w:rPr>
      </w:pPr>
      <w:r>
        <w:rPr>
          <w:highlight w:val="none"/>
        </w:rPr>
      </w:r>
      <w:r/>
    </w:p>
    <w:p>
      <w:pPr>
        <w:pStyle w:val="698"/>
        <w:jc w:val="center"/>
        <w:spacing w:beforeAutospacing="0" w:afterAutospacing="0" w:line="0" w:lineRule="atLeast"/>
        <w:rPr>
          <w:highlight w:val="none"/>
        </w:rPr>
      </w:pPr>
      <w:r>
        <w:rPr>
          <w:highlight w:val="none"/>
        </w:rPr>
      </w:r>
      <w:r/>
    </w:p>
    <w:p>
      <w:pPr>
        <w:pStyle w:val="698"/>
        <w:jc w:val="both"/>
        <w:spacing w:beforeAutospacing="0" w:afterAutospacing="0" w:line="0" w:lineRule="atLeast"/>
        <w:rPr>
          <w:highlight w:val="none"/>
        </w:rPr>
      </w:pPr>
      <w:r>
        <w:rPr>
          <w:highlight w:val="none"/>
        </w:rPr>
        <w:t xml:space="preserve"> </w:t>
      </w:r>
      <w:r>
        <w:rPr>
          <w:highlight w:val="none"/>
        </w:rPr>
      </w:r>
      <w:r/>
    </w:p>
    <w:p>
      <w:pPr>
        <w:pStyle w:val="698"/>
        <w:jc w:val="center"/>
        <w:spacing w:beforeAutospacing="0" w:afterAutospacing="0" w:line="0" w:lineRule="atLeast"/>
        <w:rPr>
          <w:highlight w:val="none"/>
        </w:rPr>
      </w:pPr>
      <w:r>
        <w:rPr>
          <w:rFonts w:hint="eastAsia" w:ascii="宋体" w:hAnsi="宋体" w:eastAsia="宋体" w:cs="宋体"/>
          <w:b/>
          <w:color w:val="000000"/>
          <w:sz w:val="32"/>
          <w:szCs w:val="32"/>
          <w:highlight w:val="none"/>
        </w:rPr>
        <w:t xml:space="preserve">投标文件目录</w:t>
      </w:r>
      <w:r>
        <w:rPr>
          <w:highlight w:val="none"/>
        </w:rPr>
      </w:r>
      <w:r/>
    </w:p>
    <w:p>
      <w:pPr>
        <w:pStyle w:val="698"/>
        <w:jc w:val="center"/>
        <w:spacing w:beforeAutospacing="0" w:afterAutospacing="0" w:line="0" w:lineRule="atLeast"/>
        <w:rPr>
          <w:highlight w:val="none"/>
        </w:rPr>
      </w:pPr>
      <w:r>
        <w:rPr>
          <w:highlight w:val="none"/>
        </w:rPr>
        <w:t xml:space="preserve"> </w:t>
      </w:r>
      <w:r>
        <w:rPr>
          <w:highlight w:val="none"/>
        </w:rPr>
      </w:r>
      <w:r/>
    </w:p>
    <w:p>
      <w:pPr>
        <w:pStyle w:val="698"/>
        <w:ind w:left="480"/>
        <w:jc w:val="both"/>
        <w:keepLines w:val="0"/>
        <w:keepNext w:val="0"/>
        <w:pageBreakBefore w:val="0"/>
        <w:spacing w:beforeAutospacing="0" w:afterAutospacing="0" w:line="420" w:lineRule="exact"/>
        <w:widowControl w:val="off"/>
        <w:rPr>
          <w:i w:val="0"/>
          <w:iCs/>
          <w:highlight w:val="none"/>
          <w:u w:val="none"/>
        </w:rPr>
      </w:pPr>
      <w:r>
        <w:rPr>
          <w:rFonts w:hint="eastAsia" w:ascii="宋体" w:hAnsi="宋体" w:eastAsia="宋体" w:cs="宋体"/>
          <w:i w:val="0"/>
          <w:iCs/>
          <w:color w:val="000000"/>
          <w:highlight w:val="none"/>
          <w:u w:val="none"/>
        </w:rPr>
        <w:t xml:space="preserve">一、法人或者其他组织的营业执照等证明文件，自然人的身份证明</w:t>
      </w:r>
      <w:r>
        <w:rPr>
          <w:i w:val="0"/>
          <w:iCs/>
          <w:highlight w:val="none"/>
          <w:u w:val="none"/>
        </w:rPr>
      </w:r>
      <w:r/>
    </w:p>
    <w:p>
      <w:pPr>
        <w:pStyle w:val="680"/>
        <w:ind w:firstLine="480"/>
        <w:jc w:val="left"/>
        <w:keepLines w:val="0"/>
        <w:keepNext w:val="0"/>
        <w:pageBreakBefore w:val="0"/>
        <w:spacing w:line="420" w:lineRule="exact"/>
        <w:widowControl w:val="off"/>
        <w:tabs>
          <w:tab w:val="left" w:pos="1331" w:leader="none"/>
        </w:tabs>
        <w:rPr>
          <w:i w:val="0"/>
          <w:iCs/>
          <w:highlight w:val="none"/>
          <w:u w:val="none"/>
        </w:rPr>
      </w:pPr>
      <w:r>
        <w:rPr>
          <w:rFonts w:hint="eastAsia" w:ascii="宋体" w:hAnsi="宋体" w:eastAsia="宋体" w:cs="宋体"/>
          <w:i w:val="0"/>
          <w:iCs/>
          <w:color w:val="000000"/>
          <w:sz w:val="24"/>
          <w:szCs w:val="24"/>
          <w:highlight w:val="none"/>
          <w:u w:val="none"/>
          <w:lang w:val="en-US" w:eastAsia="zh-CN" w:bidi="ar-SA"/>
        </w:rPr>
        <w:t xml:space="preserve">二、上一年度的财务状况报表（</w:t>
      </w:r>
      <w:r>
        <w:rPr>
          <w:rFonts w:hint="eastAsia" w:ascii="宋体" w:hAnsi="宋体" w:eastAsia="宋体" w:cs="宋体"/>
          <w:i w:val="0"/>
          <w:iCs/>
          <w:color w:val="000000"/>
          <w:sz w:val="24"/>
          <w:szCs w:val="24"/>
          <w:highlight w:val="none"/>
          <w:u w:val="none"/>
          <w:lang w:val="en-US" w:eastAsia="zh-CN" w:bidi="ar-SA"/>
        </w:rPr>
        <w:t xml:space="preserve">成立不满一年不需提供，提供2024年度或2025年度均可）</w:t>
      </w:r>
      <w:r>
        <w:rPr>
          <w:i w:val="0"/>
          <w:iCs/>
          <w:highlight w:val="none"/>
          <w:u w:val="none"/>
        </w:rPr>
      </w:r>
      <w:r/>
    </w:p>
    <w:p>
      <w:pPr>
        <w:pStyle w:val="698"/>
        <w:ind w:left="480"/>
        <w:jc w:val="both"/>
        <w:keepLines w:val="0"/>
        <w:keepNext w:val="0"/>
        <w:pageBreakBefore w:val="0"/>
        <w:spacing w:beforeAutospacing="0" w:afterAutospacing="0" w:line="420" w:lineRule="exact"/>
        <w:widowControl w:val="off"/>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、具备履行合同所必需的设备和专业技术能力的书面声明</w:t>
      </w:r>
      <w:r>
        <w:rPr>
          <w:rFonts w:hint="eastAsia" w:ascii="宋体" w:hAnsi="宋体" w:eastAsia="宋体" w:cs="宋体"/>
          <w:i w:val="0"/>
          <w:iCs/>
          <w:color w:val="000000"/>
          <w:highlight w:val="none"/>
          <w:u w:val="none"/>
        </w:rPr>
      </w:r>
      <w:r/>
    </w:p>
    <w:p>
      <w:pPr>
        <w:pStyle w:val="698"/>
        <w:ind w:left="480"/>
        <w:jc w:val="both"/>
        <w:keepLines w:val="0"/>
        <w:keepNext w:val="0"/>
        <w:pageBreakBefore w:val="0"/>
        <w:spacing w:beforeAutospacing="0" w:afterAutospacing="0" w:line="420" w:lineRule="exact"/>
        <w:widowControl w:val="off"/>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、依法缴纳税收和社会保障资金的相关材料（提供提交投标文件截止时间前一年内至少一个月依法缴纳税收及缴纳社会保障资金的证明材料。</w:t>
      </w:r>
      <w:r>
        <w:rPr>
          <w:rFonts w:hint="eastAsia" w:ascii="宋体" w:hAnsi="宋体" w:eastAsia="宋体" w:cs="宋体"/>
          <w:i w:val="0"/>
          <w:iCs/>
          <w:color w:val="000000"/>
          <w:highlight w:val="none"/>
          <w:u w:val="none"/>
          <w:lang w:eastAsia="zh-CN"/>
        </w:rPr>
        <w:t xml:space="preserve">供应商</w:t>
      </w:r>
      <w:r>
        <w:rPr>
          <w:rFonts w:hint="eastAsia" w:ascii="宋体" w:hAnsi="宋体" w:eastAsia="宋体" w:cs="宋体"/>
          <w:i w:val="0"/>
          <w:iCs/>
          <w:color w:val="000000"/>
          <w:highlight w:val="none"/>
          <w:u w:val="none"/>
        </w:rPr>
        <w:t xml:space="preserve">依法享受缓缴、免缴税收、社会保障资金的提供证明材料。）</w:t>
      </w:r>
      <w:r>
        <w:rPr>
          <w:rFonts w:hint="eastAsia" w:ascii="宋体" w:hAnsi="宋体" w:eastAsia="宋体" w:cs="宋体"/>
          <w:i w:val="0"/>
          <w:iCs/>
          <w:color w:val="000000"/>
          <w:highlight w:val="none"/>
          <w:u w:val="none"/>
        </w:rPr>
      </w:r>
      <w:r/>
    </w:p>
    <w:p>
      <w:pPr>
        <w:pStyle w:val="698"/>
        <w:ind w:firstLine="480"/>
        <w:jc w:val="both"/>
        <w:keepLines w:val="0"/>
        <w:keepNext w:val="0"/>
        <w:pageBreakBefore w:val="0"/>
        <w:spacing w:beforeAutospacing="0" w:afterAutospacing="0" w:line="420" w:lineRule="exact"/>
        <w:widowControl w:val="off"/>
        <w:rPr>
          <w:i w:val="0"/>
          <w:iCs/>
          <w:highlight w:val="none"/>
          <w:u w:val="none"/>
        </w:rPr>
      </w:pPr>
      <w:r>
        <w:rPr>
          <w:rFonts w:hint="eastAsia" w:ascii="宋体" w:hAnsi="宋体" w:eastAsia="宋体" w:cs="宋体"/>
          <w:i w:val="0"/>
          <w:iCs/>
          <w:color w:val="000000"/>
          <w:highlight w:val="none"/>
          <w:u w:val="none"/>
        </w:rPr>
        <w:t xml:space="preserve">五、参加政府采购活动前 3 年内在经营活动中没有重大违法记录的书面声明</w:t>
      </w:r>
      <w:r>
        <w:rPr>
          <w:i w:val="0"/>
          <w:iCs/>
          <w:highlight w:val="none"/>
          <w:u w:val="none"/>
        </w:rPr>
      </w:r>
      <w:r/>
    </w:p>
    <w:p>
      <w:pPr>
        <w:pStyle w:val="698"/>
        <w:ind w:firstLine="480"/>
        <w:jc w:val="both"/>
        <w:keepLines w:val="0"/>
        <w:keepNext w:val="0"/>
        <w:pageBreakBefore w:val="0"/>
        <w:spacing w:beforeAutospacing="0" w:afterAutospacing="0" w:line="420" w:lineRule="exact"/>
        <w:widowControl w:val="off"/>
        <w:rPr>
          <w:i w:val="0"/>
          <w:iCs/>
          <w:highlight w:val="none"/>
          <w:u w:val="none"/>
        </w:rPr>
      </w:pPr>
      <w:r>
        <w:rPr>
          <w:rFonts w:hint="eastAsia" w:ascii="宋体" w:hAnsi="宋体" w:eastAsia="宋体" w:cs="宋体"/>
          <w:i w:val="0"/>
          <w:iCs/>
          <w:color w:val="000000"/>
          <w:highlight w:val="none"/>
          <w:u w:val="none"/>
        </w:rPr>
        <w:t xml:space="preserve">六、特定资格要求的证明文件（如果本项目设置特定资格要求，则需要提供）</w:t>
      </w:r>
      <w:r>
        <w:rPr>
          <w:i w:val="0"/>
          <w:iCs/>
          <w:highlight w:val="none"/>
          <w:u w:val="none"/>
        </w:rPr>
      </w:r>
      <w:r/>
    </w:p>
    <w:p>
      <w:pPr>
        <w:pStyle w:val="698"/>
        <w:ind w:firstLine="480"/>
        <w:jc w:val="both"/>
        <w:keepLines w:val="0"/>
        <w:keepNext w:val="0"/>
        <w:pageBreakBefore w:val="0"/>
        <w:spacing w:beforeAutospacing="0" w:afterAutospacing="0" w:line="420" w:lineRule="exact"/>
        <w:widowControl w:val="off"/>
        <w:rPr>
          <w:rFonts w:hint="eastAsia" w:ascii="宋体" w:hAnsi="宋体" w:eastAsia="宋体" w:cs="宋体"/>
          <w:i w:val="0"/>
          <w:iCs/>
          <w:color w:val="000000"/>
          <w:highlight w:val="none"/>
          <w:u w:val="none"/>
          <w:lang w:val="en-US" w:eastAsia="zh-CN"/>
        </w:rPr>
      </w:pPr>
      <w:r>
        <w:rPr>
          <w:rFonts w:hint="eastAsia" w:ascii="宋体" w:hAnsi="宋体" w:eastAsia="宋体" w:cs="宋体"/>
          <w:i w:val="0"/>
          <w:iCs/>
          <w:color w:val="000000"/>
          <w:highlight w:val="none"/>
          <w:u w:val="none"/>
          <w:lang w:val="en-US" w:eastAsia="zh-CN"/>
        </w:rPr>
        <w:t xml:space="preserve">七、法人授权书</w:t>
      </w:r>
      <w:r>
        <w:rPr>
          <w:rFonts w:hint="eastAsia" w:ascii="宋体" w:hAnsi="宋体" w:eastAsia="宋体" w:cs="宋体"/>
          <w:i w:val="0"/>
          <w:iCs/>
          <w:color w:val="000000"/>
          <w:highlight w:val="none"/>
          <w:u w:val="none"/>
          <w:lang w:val="en-US" w:eastAsia="zh-CN"/>
        </w:rPr>
      </w:r>
      <w:r/>
    </w:p>
    <w:p>
      <w:pPr>
        <w:pStyle w:val="698"/>
        <w:ind w:firstLine="480"/>
        <w:jc w:val="both"/>
        <w:keepLines w:val="0"/>
        <w:keepNext w:val="0"/>
        <w:pageBreakBefore w:val="0"/>
        <w:spacing w:beforeAutospacing="0" w:afterAutospacing="0" w:line="420" w:lineRule="exact"/>
        <w:widowControl w:val="off"/>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八、投标函</w:t>
      </w:r>
      <w:r>
        <w:rPr>
          <w:rFonts w:hint="eastAsia" w:ascii="宋体" w:hAnsi="宋体" w:eastAsia="宋体" w:cs="宋体"/>
          <w:i w:val="0"/>
          <w:iCs/>
          <w:color w:val="000000"/>
          <w:highlight w:val="none"/>
          <w:u w:val="none"/>
        </w:rPr>
      </w:r>
      <w:r/>
    </w:p>
    <w:p>
      <w:pPr>
        <w:pStyle w:val="698"/>
        <w:ind w:firstLine="480"/>
        <w:jc w:val="both"/>
        <w:keepLines w:val="0"/>
        <w:keepNext w:val="0"/>
        <w:pageBreakBefore w:val="0"/>
        <w:spacing w:beforeAutospacing="0" w:afterAutospacing="0" w:line="420" w:lineRule="exact"/>
        <w:widowControl w:val="off"/>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九、中小企业声明函（货物）</w:t>
      </w:r>
      <w:r>
        <w:rPr>
          <w:rFonts w:hint="eastAsia" w:ascii="宋体" w:hAnsi="宋体" w:eastAsia="宋体" w:cs="宋体"/>
          <w:i w:val="0"/>
          <w:iCs/>
          <w:color w:val="000000"/>
          <w:highlight w:val="none"/>
          <w:u w:val="none"/>
        </w:rPr>
      </w:r>
      <w:r/>
    </w:p>
    <w:p>
      <w:pPr>
        <w:pStyle w:val="698"/>
        <w:ind w:firstLine="480"/>
        <w:jc w:val="both"/>
        <w:keepLines w:val="0"/>
        <w:keepNext w:val="0"/>
        <w:pageBreakBefore w:val="0"/>
        <w:spacing w:beforeAutospacing="0" w:afterAutospacing="0" w:line="420" w:lineRule="exact"/>
        <w:widowControl w:val="off"/>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十、残疾人福利性单位声明函</w:t>
      </w:r>
      <w:r>
        <w:rPr>
          <w:rFonts w:hint="eastAsia" w:ascii="宋体" w:hAnsi="宋体" w:eastAsia="宋体" w:cs="宋体"/>
          <w:i w:val="0"/>
          <w:iCs/>
          <w:color w:val="000000"/>
          <w:highlight w:val="none"/>
          <w:u w:val="none"/>
        </w:rPr>
      </w:r>
      <w:r/>
    </w:p>
    <w:p>
      <w:pPr>
        <w:pStyle w:val="698"/>
        <w:ind w:firstLine="480"/>
        <w:jc w:val="both"/>
        <w:keepLines w:val="0"/>
        <w:keepNext w:val="0"/>
        <w:pageBreakBefore w:val="0"/>
        <w:spacing w:beforeAutospacing="0" w:afterAutospacing="0" w:line="420" w:lineRule="exact"/>
        <w:widowControl w:val="off"/>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十一、 关于符合本国产品标准的声明函</w:t>
      </w:r>
      <w:r>
        <w:rPr>
          <w:rFonts w:hint="eastAsia" w:ascii="宋体" w:hAnsi="宋体" w:eastAsia="宋体" w:cs="宋体"/>
          <w:i w:val="0"/>
          <w:iCs/>
          <w:color w:val="000000"/>
          <w:highlight w:val="none"/>
          <w:u w:val="none"/>
        </w:rPr>
      </w:r>
      <w:r/>
    </w:p>
    <w:p>
      <w:pPr>
        <w:pStyle w:val="698"/>
        <w:ind w:firstLine="480"/>
        <w:jc w:val="both"/>
        <w:keepLines w:val="0"/>
        <w:keepNext w:val="0"/>
        <w:pageBreakBefore w:val="0"/>
        <w:spacing w:beforeAutospacing="0" w:afterAutospacing="0" w:line="420" w:lineRule="exact"/>
        <w:widowControl w:val="off"/>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rPr>
        <w:t xml:space="preserve">二、投标分项报价表</w:t>
      </w:r>
      <w:r>
        <w:rPr>
          <w:rFonts w:hint="eastAsia" w:ascii="宋体" w:hAnsi="宋体" w:eastAsia="宋体" w:cs="宋体"/>
          <w:i w:val="0"/>
          <w:iCs/>
          <w:color w:val="000000"/>
          <w:highlight w:val="none"/>
          <w:u w:val="none"/>
        </w:rPr>
      </w:r>
      <w:r/>
    </w:p>
    <w:p>
      <w:pPr>
        <w:pStyle w:val="698"/>
        <w:ind w:firstLine="480"/>
        <w:jc w:val="both"/>
        <w:keepLines w:val="0"/>
        <w:keepNext w:val="0"/>
        <w:pageBreakBefore w:val="0"/>
        <w:spacing w:beforeAutospacing="0" w:afterAutospacing="0" w:line="420" w:lineRule="exact"/>
        <w:widowControl w:val="off"/>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十三、技术要求响应及偏离表</w:t>
      </w:r>
      <w:r>
        <w:rPr>
          <w:rFonts w:hint="eastAsia" w:ascii="宋体" w:hAnsi="宋体" w:eastAsia="宋体" w:cs="宋体"/>
          <w:i w:val="0"/>
          <w:iCs/>
          <w:color w:val="000000"/>
          <w:highlight w:val="none"/>
          <w:u w:val="none"/>
        </w:rPr>
      </w:r>
      <w:r/>
    </w:p>
    <w:p>
      <w:pPr>
        <w:pStyle w:val="698"/>
        <w:ind w:firstLine="480"/>
        <w:jc w:val="both"/>
        <w:keepLines w:val="0"/>
        <w:keepNext w:val="0"/>
        <w:pageBreakBefore w:val="0"/>
        <w:spacing w:beforeAutospacing="0" w:afterAutospacing="0" w:line="420" w:lineRule="exact"/>
        <w:widowControl w:val="off"/>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十四、商务要求响应及偏离表</w:t>
      </w:r>
      <w:r>
        <w:rPr>
          <w:rFonts w:hint="eastAsia" w:ascii="宋体" w:hAnsi="宋体" w:eastAsia="宋体" w:cs="宋体"/>
          <w:i w:val="0"/>
          <w:iCs/>
          <w:color w:val="000000"/>
          <w:highlight w:val="none"/>
          <w:u w:val="none"/>
        </w:rPr>
      </w:r>
      <w:r/>
    </w:p>
    <w:p>
      <w:pPr>
        <w:pStyle w:val="698"/>
        <w:ind w:firstLine="480"/>
        <w:jc w:val="both"/>
        <w:keepLines w:val="0"/>
        <w:keepNext w:val="0"/>
        <w:pageBreakBefore w:val="0"/>
        <w:spacing w:beforeAutospacing="0" w:afterAutospacing="0" w:line="420" w:lineRule="exact"/>
        <w:widowControl w:val="off"/>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五</w:t>
      </w:r>
      <w:r>
        <w:rPr>
          <w:rFonts w:hint="eastAsia" w:ascii="宋体" w:hAnsi="宋体" w:eastAsia="宋体" w:cs="宋体"/>
          <w:i w:val="0"/>
          <w:iCs/>
          <w:color w:val="000000"/>
          <w:highlight w:val="none"/>
          <w:u w:val="none"/>
        </w:rPr>
        <w:t xml:space="preserve">、开标一览表</w:t>
      </w:r>
      <w:r>
        <w:rPr>
          <w:rFonts w:hint="eastAsia" w:ascii="宋体" w:hAnsi="宋体" w:eastAsia="宋体" w:cs="宋体"/>
          <w:i w:val="0"/>
          <w:iCs/>
          <w:color w:val="000000"/>
          <w:highlight w:val="none"/>
          <w:u w:val="none"/>
        </w:rPr>
      </w:r>
      <w:r/>
    </w:p>
    <w:p>
      <w:pPr>
        <w:pStyle w:val="698"/>
        <w:ind w:firstLine="480"/>
        <w:jc w:val="both"/>
        <w:keepLines w:val="0"/>
        <w:keepNext w:val="0"/>
        <w:pageBreakBefore w:val="0"/>
        <w:spacing w:beforeAutospacing="0" w:afterAutospacing="0" w:line="420" w:lineRule="exact"/>
        <w:widowControl w:val="off"/>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十六、项目团队人员一览表</w:t>
      </w:r>
      <w:r>
        <w:rPr>
          <w:rFonts w:hint="eastAsia" w:ascii="宋体" w:hAnsi="宋体" w:eastAsia="宋体" w:cs="宋体"/>
          <w:i w:val="0"/>
          <w:iCs/>
          <w:color w:val="000000"/>
          <w:highlight w:val="none"/>
          <w:u w:val="none"/>
        </w:rPr>
      </w:r>
      <w:r/>
    </w:p>
    <w:p>
      <w:pPr>
        <w:pStyle w:val="698"/>
        <w:ind w:firstLine="480"/>
        <w:jc w:val="both"/>
        <w:keepLines w:val="0"/>
        <w:keepNext w:val="0"/>
        <w:pageBreakBefore w:val="0"/>
        <w:spacing w:beforeAutospacing="0" w:afterAutospacing="0" w:line="420" w:lineRule="exact"/>
        <w:widowControl w:val="off"/>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十七、业绩一览表</w:t>
      </w:r>
      <w:r>
        <w:rPr>
          <w:rFonts w:hint="eastAsia" w:ascii="宋体" w:hAnsi="宋体" w:eastAsia="宋体" w:cs="宋体"/>
          <w:i w:val="0"/>
          <w:iCs/>
          <w:color w:val="000000"/>
          <w:highlight w:val="none"/>
          <w:u w:val="none"/>
        </w:rPr>
      </w:r>
      <w:r/>
    </w:p>
    <w:p>
      <w:pPr>
        <w:pStyle w:val="698"/>
        <w:ind w:firstLine="480"/>
        <w:jc w:val="both"/>
        <w:keepLines w:val="0"/>
        <w:keepNext w:val="0"/>
        <w:pageBreakBefore w:val="0"/>
        <w:spacing w:beforeAutospacing="0" w:afterAutospacing="0" w:line="420" w:lineRule="exact"/>
        <w:widowControl w:val="off"/>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十八、企业综合实力</w:t>
      </w:r>
      <w:r>
        <w:rPr>
          <w:rFonts w:hint="eastAsia" w:ascii="宋体" w:hAnsi="宋体" w:eastAsia="宋体" w:cs="宋体"/>
          <w:i w:val="0"/>
          <w:iCs/>
          <w:color w:val="000000"/>
          <w:highlight w:val="none"/>
          <w:u w:val="none"/>
        </w:rPr>
      </w:r>
      <w:r/>
    </w:p>
    <w:p>
      <w:pPr>
        <w:pStyle w:val="698"/>
        <w:ind w:firstLine="480"/>
        <w:jc w:val="both"/>
        <w:keepLines w:val="0"/>
        <w:keepNext w:val="0"/>
        <w:pageBreakBefore w:val="0"/>
        <w:spacing w:beforeAutospacing="0" w:afterAutospacing="0" w:line="420" w:lineRule="exact"/>
        <w:widowControl w:val="off"/>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十九、技术服务方案</w:t>
      </w:r>
      <w:r>
        <w:rPr>
          <w:rFonts w:hint="eastAsia" w:ascii="宋体" w:hAnsi="宋体" w:eastAsia="宋体" w:cs="宋体"/>
          <w:i w:val="0"/>
          <w:iCs/>
          <w:color w:val="000000"/>
          <w:highlight w:val="none"/>
          <w:u w:val="none"/>
        </w:rPr>
      </w:r>
      <w:r/>
    </w:p>
    <w:p>
      <w:pPr>
        <w:pStyle w:val="698"/>
        <w:ind w:firstLine="480"/>
        <w:jc w:val="both"/>
        <w:keepLines w:val="0"/>
        <w:keepNext w:val="0"/>
        <w:pageBreakBefore w:val="0"/>
        <w:spacing w:beforeAutospacing="0" w:afterAutospacing="0" w:line="420" w:lineRule="exact"/>
        <w:widowControl w:val="off"/>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二十、盐城市政府采购事前信用承诺书 </w:t>
      </w:r>
      <w:r>
        <w:rPr>
          <w:rFonts w:hint="eastAsia" w:ascii="宋体" w:hAnsi="宋体" w:eastAsia="宋体" w:cs="宋体"/>
          <w:i w:val="0"/>
          <w:iCs/>
          <w:color w:val="000000"/>
          <w:highlight w:val="none"/>
          <w:u w:val="none"/>
        </w:rPr>
      </w:r>
      <w:r/>
    </w:p>
    <w:p>
      <w:pPr>
        <w:pStyle w:val="698"/>
        <w:ind w:firstLine="480"/>
        <w:jc w:val="both"/>
        <w:spacing w:beforeAutospacing="0" w:afterAutospacing="0" w:line="0" w:lineRule="atLeast"/>
        <w:rPr>
          <w:highlight w:val="none"/>
        </w:rPr>
      </w:pPr>
      <w:r>
        <w:rPr>
          <w:highlight w:val="none"/>
        </w:rPr>
        <w:t xml:space="preserve"> </w:t>
      </w:r>
      <w:r>
        <w:rPr>
          <w:highlight w:val="none"/>
        </w:rPr>
      </w:r>
      <w:r/>
    </w:p>
    <w:p>
      <w:pPr>
        <w:pStyle w:val="698"/>
        <w:ind w:firstLine="480"/>
        <w:jc w:val="both"/>
        <w:spacing w:beforeAutospacing="0" w:afterAutospacing="0" w:line="0" w:lineRule="atLeast"/>
        <w:rPr>
          <w:highlight w:val="none"/>
        </w:rPr>
      </w:pPr>
      <w:r>
        <w:rPr>
          <w:highlight w:val="none"/>
        </w:rPr>
        <w:t xml:space="preserve"> </w:t>
      </w:r>
      <w:r>
        <w:rPr>
          <w:highlight w:val="none"/>
        </w:rPr>
      </w:r>
      <w:r/>
    </w:p>
    <w:p>
      <w:pPr>
        <w:pStyle w:val="698"/>
        <w:ind w:firstLine="480"/>
        <w:jc w:val="both"/>
        <w:spacing w:beforeAutospacing="0" w:afterAutospacing="0" w:line="0" w:lineRule="atLeast"/>
        <w:rPr>
          <w:highlight w:val="none"/>
        </w:rPr>
      </w:pPr>
      <w:r>
        <w:rPr>
          <w:highlight w:val="none"/>
        </w:rPr>
        <w:t xml:space="preserve"> </w:t>
      </w:r>
      <w:r>
        <w:rPr>
          <w:highlight w:val="none"/>
        </w:rPr>
      </w:r>
      <w:r/>
    </w:p>
    <w:p>
      <w:pPr>
        <w:pStyle w:val="698"/>
        <w:ind w:firstLine="480"/>
        <w:jc w:val="both"/>
        <w:spacing w:beforeAutospacing="0" w:afterAutospacing="0" w:line="0" w:lineRule="atLeast"/>
        <w:rPr>
          <w:highlight w:val="none"/>
        </w:rPr>
      </w:pPr>
      <w:r>
        <w:rPr>
          <w:highlight w:val="none"/>
        </w:rPr>
        <w:t xml:space="preserve"> </w:t>
      </w:r>
      <w:r>
        <w:rPr>
          <w:highlight w:val="none"/>
        </w:rPr>
      </w:r>
      <w:r/>
    </w:p>
    <w:p>
      <w:pPr>
        <w:pStyle w:val="698"/>
        <w:ind w:firstLine="480"/>
        <w:jc w:val="both"/>
        <w:spacing w:beforeAutospacing="0" w:afterAutospacing="0" w:line="0" w:lineRule="atLeast"/>
        <w:rPr>
          <w:highlight w:val="none"/>
        </w:rPr>
      </w:pPr>
      <w:r>
        <w:rPr>
          <w:highlight w:val="none"/>
        </w:rPr>
        <w:t xml:space="preserve"> </w:t>
      </w:r>
      <w:r>
        <w:rPr>
          <w:highlight w:val="none"/>
        </w:rPr>
      </w:r>
      <w:r/>
    </w:p>
    <w:p>
      <w:pPr>
        <w:pStyle w:val="698"/>
        <w:ind w:firstLine="480"/>
        <w:jc w:val="both"/>
        <w:spacing w:beforeAutospacing="0" w:afterAutospacing="0" w:line="0" w:lineRule="atLeast"/>
        <w:rPr>
          <w:highlight w:val="none"/>
        </w:rPr>
      </w:pPr>
      <w:r>
        <w:rPr>
          <w:highlight w:val="none"/>
        </w:rPr>
        <w:t xml:space="preserve"> </w:t>
      </w:r>
      <w:r>
        <w:rPr>
          <w:highlight w:val="none"/>
        </w:rPr>
      </w:r>
      <w:r/>
    </w:p>
    <w:p>
      <w:pPr>
        <w:pStyle w:val="698"/>
        <w:jc w:val="center"/>
        <w:spacing w:beforeAutospacing="0" w:afterAutospacing="0"/>
        <w:rPr>
          <w:highlight w:val="none"/>
        </w:rPr>
      </w:pPr>
      <w:r>
        <w:rPr>
          <w:highlight w:val="none"/>
        </w:rPr>
      </w:r>
      <w:r/>
    </w:p>
    <w:p>
      <w:pPr>
        <w:pStyle w:val="698"/>
        <w:jc w:val="center"/>
        <w:spacing w:beforeAutospacing="0" w:afterAutospacing="0"/>
        <w:rPr>
          <w:highlight w:val="none"/>
        </w:rPr>
      </w:pPr>
      <w:r>
        <w:rPr>
          <w:highlight w:val="none"/>
        </w:rPr>
      </w:r>
      <w:r/>
    </w:p>
    <w:p>
      <w:pPr>
        <w:pStyle w:val="698"/>
        <w:jc w:val="center"/>
        <w:spacing w:beforeAutospacing="0" w:afterAutospacing="0"/>
        <w:rPr>
          <w:highlight w:val="none"/>
        </w:rPr>
      </w:pPr>
      <w:r>
        <w:rPr>
          <w:highlight w:val="none"/>
        </w:rPr>
      </w:r>
      <w:r/>
    </w:p>
    <w:p>
      <w:pPr>
        <w:pStyle w:val="698"/>
        <w:jc w:val="center"/>
        <w:spacing w:beforeAutospacing="0" w:afterAutospacing="0"/>
        <w:rPr>
          <w:highlight w:val="none"/>
        </w:rPr>
      </w:pPr>
      <w:r>
        <w:rPr>
          <w:highlight w:val="none"/>
        </w:rPr>
      </w:r>
      <w:r/>
    </w:p>
    <w:p>
      <w:pPr>
        <w:pStyle w:val="698"/>
        <w:jc w:val="center"/>
        <w:spacing w:beforeAutospacing="0" w:afterAutospacing="0"/>
        <w:rPr>
          <w:highlight w:val="none"/>
        </w:rPr>
      </w:pPr>
      <w:r>
        <w:rPr>
          <w:highlight w:val="none"/>
        </w:rPr>
      </w:r>
      <w:r/>
    </w:p>
    <w:p>
      <w:pPr>
        <w:pStyle w:val="698"/>
        <w:jc w:val="center"/>
        <w:spacing w:beforeAutospacing="0" w:afterAutospacing="0"/>
        <w:rPr>
          <w:rFonts w:hint="eastAsia" w:ascii="黑体" w:hAnsi="Calibri" w:eastAsia="黑体" w:cs="Times New Roman"/>
          <w:b/>
          <w:bCs/>
          <w:sz w:val="32"/>
          <w:szCs w:val="32"/>
          <w:lang w:val="en-US" w:eastAsia="zh-CN" w:bidi="ar-SA"/>
        </w:rPr>
      </w:pPr>
      <w:r>
        <w:rPr>
          <w:highlight w:val="none"/>
        </w:rPr>
        <w:t xml:space="preserve"> </w:t>
      </w:r>
      <w:r>
        <w:rPr>
          <w:rFonts w:hint="eastAsia" w:ascii="黑体" w:hAnsi="Calibri" w:eastAsia="黑体" w:cs="Times New Roman"/>
          <w:b/>
          <w:bCs/>
          <w:sz w:val="32"/>
          <w:szCs w:val="32"/>
          <w:lang w:val="en-US" w:eastAsia="zh-CN" w:bidi="ar-SA"/>
        </w:rPr>
        <w:t xml:space="preserve">一、法人或者其他组织的营业执照等证明文件，自然人的身份证明</w:t>
      </w:r>
      <w:r>
        <w:rPr>
          <w:rFonts w:hint="eastAsia" w:ascii="黑体" w:hAnsi="Calibri" w:eastAsia="黑体" w:cs="Times New Roman"/>
          <w:b/>
          <w:bCs/>
          <w:sz w:val="32"/>
          <w:szCs w:val="32"/>
          <w:lang w:val="en-US" w:eastAsia="zh-CN" w:bidi="ar-SA"/>
        </w:rPr>
      </w:r>
      <w:r/>
    </w:p>
    <w:p>
      <w:pPr>
        <w:pStyle w:val="698"/>
        <w:ind w:firstLine="480"/>
        <w:jc w:val="both"/>
        <w:spacing w:beforeAutospacing="0" w:afterAutospacing="0" w:line="0" w:lineRule="atLeast"/>
        <w:rPr>
          <w:highlight w:val="none"/>
        </w:rPr>
      </w:pPr>
      <w:r>
        <w:rPr>
          <w:highlight w:val="none"/>
        </w:rPr>
        <w:t xml:space="preserve"> </w:t>
      </w:r>
      <w:r>
        <w:rPr>
          <w:highlight w:val="none"/>
        </w:rPr>
      </w:r>
      <w:r/>
    </w:p>
    <w:p>
      <w:pPr>
        <w:pStyle w:val="698"/>
        <w:jc w:val="both"/>
        <w:spacing w:beforeAutospacing="0" w:afterAutospacing="0"/>
        <w:rPr>
          <w:rFonts w:hint="eastAsia" w:eastAsia="黑体"/>
          <w:highlight w:val="none"/>
          <w:lang w:val="en-US" w:eastAsia="zh-CN"/>
        </w:rPr>
      </w:pPr>
      <w:r>
        <w:rPr>
          <w:rFonts w:hint="eastAsia" w:ascii="黑体" w:hAnsi="Calibri" w:eastAsia="黑体" w:cs="Times New Roman"/>
          <w:b/>
          <w:bCs/>
          <w:sz w:val="32"/>
          <w:szCs w:val="32"/>
          <w:lang w:val="en-US" w:eastAsia="zh-CN" w:bidi="ar-SA"/>
        </w:rPr>
        <w:t xml:space="preserve">二、</w:t>
      </w:r>
      <w:r>
        <w:rPr>
          <w:rFonts w:hint="eastAsia" w:ascii="黑体" w:eastAsia="黑体" w:cs="Times New Roman"/>
          <w:b/>
          <w:bCs/>
          <w:sz w:val="32"/>
          <w:szCs w:val="32"/>
          <w:lang w:val="en-US" w:eastAsia="zh-CN" w:bidi="ar-SA"/>
        </w:rPr>
        <w:t xml:space="preserve">上一年度的财务状况报表（至少提供资产负债表、利润表、现金流量表，成立不满一年不需提供，提供2024年度或2025年度均可）</w:t>
      </w:r>
      <w:r>
        <w:rPr>
          <w:rFonts w:hint="eastAsia" w:eastAsia="黑体"/>
          <w:highlight w:val="none"/>
          <w:lang w:val="en-US" w:eastAsia="zh-CN"/>
        </w:rPr>
      </w:r>
      <w:r/>
    </w:p>
    <w:p>
      <w:pPr>
        <w:pStyle w:val="698"/>
        <w:jc w:val="both"/>
        <w:spacing w:beforeAutospacing="0" w:afterAutospacing="0"/>
        <w:rPr>
          <w:highlight w:val="none"/>
        </w:rPr>
      </w:pPr>
      <w:r>
        <w:rPr>
          <w:highlight w:val="none"/>
        </w:rPr>
        <w:t xml:space="preserve"> </w:t>
      </w:r>
      <w:r>
        <w:rPr>
          <w:highlight w:val="none"/>
        </w:rPr>
      </w:r>
      <w:r/>
    </w:p>
    <w:p>
      <w:pPr>
        <w:pStyle w:val="680"/>
        <w:jc w:val="center"/>
        <w:rPr>
          <w:rFonts w:hint="eastAsia" w:ascii="黑体" w:hAnsi="Times New Roman" w:eastAsia="黑体" w:cs="Times New Roman"/>
          <w:b/>
          <w:bCs/>
          <w:sz w:val="32"/>
          <w:szCs w:val="32"/>
          <w:lang w:val="en-US" w:eastAsia="zh-CN"/>
        </w:rPr>
      </w:pPr>
      <w:r>
        <w:rPr>
          <w:rFonts w:hint="eastAsia" w:ascii="黑体" w:hAnsi="Times New Roman" w:eastAsia="黑体" w:cs="Times New Roman"/>
          <w:b/>
          <w:bCs/>
          <w:sz w:val="32"/>
          <w:szCs w:val="32"/>
          <w:lang w:val="en-US" w:eastAsia="zh-CN"/>
        </w:rPr>
      </w:r>
      <w:r/>
    </w:p>
    <w:p>
      <w:pPr>
        <w:pStyle w:val="680"/>
        <w:jc w:val="center"/>
        <w:rPr>
          <w:rFonts w:hint="eastAsia" w:ascii="黑体" w:eastAsia="黑体"/>
          <w:b/>
          <w:bCs/>
          <w:sz w:val="32"/>
          <w:szCs w:val="32"/>
          <w:highlight w:val="none"/>
        </w:rPr>
      </w:pPr>
      <w:r>
        <w:rPr>
          <w:rFonts w:hint="eastAsia" w:ascii="黑体" w:hAnsi="Times New Roman" w:eastAsia="黑体" w:cs="Times New Roman"/>
          <w:b/>
          <w:bCs/>
          <w:sz w:val="32"/>
          <w:szCs w:val="32"/>
          <w:lang w:val="en-US" w:eastAsia="zh-CN"/>
        </w:rPr>
        <w:t xml:space="preserve">三、</w:t>
      </w:r>
      <w:r>
        <w:rPr>
          <w:rFonts w:hint="eastAsia" w:ascii="黑体" w:hAnsi="Times New Roman" w:eastAsia="黑体" w:cs="Times New Roman"/>
          <w:b/>
          <w:bCs/>
          <w:sz w:val="32"/>
          <w:szCs w:val="32"/>
        </w:rPr>
        <w:t xml:space="preserve">具有履</w:t>
      </w:r>
      <w:r>
        <w:rPr>
          <w:rFonts w:hint="eastAsia" w:ascii="黑体" w:eastAsia="黑体"/>
          <w:b/>
          <w:bCs/>
          <w:sz w:val="32"/>
          <w:szCs w:val="32"/>
        </w:rPr>
        <w:t xml:space="preserve">行合同所必需的设备和专业技术能力的书面声明</w:t>
      </w:r>
      <w:r>
        <w:rPr>
          <w:rFonts w:hint="eastAsia" w:ascii="黑体" w:eastAsia="黑体"/>
          <w:b/>
          <w:bCs/>
          <w:sz w:val="32"/>
          <w:szCs w:val="32"/>
          <w:highlight w:val="none"/>
        </w:rPr>
      </w:r>
      <w:r/>
    </w:p>
    <w:p>
      <w:pPr>
        <w:pStyle w:val="680"/>
        <w:rPr>
          <w:rFonts w:ascii="仿宋_GB2312" w:eastAsia="仿宋_GB2312"/>
        </w:rPr>
      </w:pPr>
      <w:r>
        <w:rPr>
          <w:rFonts w:ascii="仿宋_GB2312" w:eastAsia="仿宋_GB2312"/>
        </w:rPr>
      </w:r>
      <w:r/>
    </w:p>
    <w:p>
      <w:pPr>
        <w:pStyle w:val="680"/>
        <w:ind w:firstLine="480"/>
        <w:spacing w:line="600" w:lineRule="exact"/>
        <w:rPr>
          <w:rFonts w:ascii="宋体" w:hAnsi="宋体" w:eastAsia="宋体" w:cs="宋体"/>
          <w:sz w:val="24"/>
          <w:szCs w:val="24"/>
        </w:rPr>
      </w:pPr>
      <w:r>
        <w:rPr>
          <w:rFonts w:hint="eastAsia" w:ascii="宋体" w:hAnsi="宋体" w:eastAsia="宋体" w:cs="宋体"/>
          <w:sz w:val="24"/>
          <w:szCs w:val="24"/>
        </w:rPr>
        <w:t xml:space="preserve">我单位郑重声明：我单位具备履行本项采购合同所必需的设备和专业技术能力，为履行本项采购合同我公司具备如下主要设备和主要专业技术能力：</w:t>
      </w:r>
      <w:r>
        <w:rPr>
          <w:rFonts w:ascii="宋体" w:hAnsi="宋体" w:eastAsia="宋体" w:cs="宋体"/>
          <w:sz w:val="24"/>
          <w:szCs w:val="24"/>
        </w:rPr>
      </w:r>
      <w:r/>
    </w:p>
    <w:p>
      <w:pPr>
        <w:pStyle w:val="680"/>
        <w:ind w:firstLine="480"/>
        <w:spacing w:line="600" w:lineRule="exact"/>
        <w:rPr>
          <w:rFonts w:ascii="宋体" w:hAnsi="宋体" w:eastAsia="宋体" w:cs="宋体"/>
          <w:sz w:val="24"/>
          <w:szCs w:val="24"/>
        </w:rPr>
      </w:pPr>
      <w:r>
        <w:rPr>
          <w:rFonts w:hint="eastAsia" w:ascii="宋体" w:hAnsi="宋体" w:eastAsia="宋体" w:cs="宋体"/>
          <w:sz w:val="24"/>
          <w:szCs w:val="24"/>
        </w:rPr>
        <w:t xml:space="preserve">主要设备有：</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ascii="宋体" w:hAnsi="宋体" w:eastAsia="宋体" w:cs="宋体"/>
          <w:sz w:val="24"/>
          <w:szCs w:val="24"/>
        </w:rPr>
      </w:r>
      <w:r/>
    </w:p>
    <w:p>
      <w:pPr>
        <w:pStyle w:val="680"/>
        <w:ind w:firstLine="480"/>
        <w:spacing w:line="600" w:lineRule="exact"/>
        <w:rPr>
          <w:rFonts w:ascii="宋体" w:hAnsi="宋体" w:eastAsia="宋体" w:cs="宋体"/>
          <w:sz w:val="24"/>
          <w:szCs w:val="24"/>
        </w:rPr>
      </w:pPr>
      <w:r>
        <w:rPr>
          <w:rFonts w:hint="eastAsia" w:ascii="宋体" w:hAnsi="宋体" w:eastAsia="宋体" w:cs="宋体"/>
          <w:sz w:val="24"/>
          <w:szCs w:val="24"/>
        </w:rPr>
        <w:t xml:space="preserve">主要专业技术能力有：</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ascii="宋体" w:hAnsi="宋体" w:eastAsia="宋体" w:cs="宋体"/>
          <w:sz w:val="24"/>
          <w:szCs w:val="24"/>
        </w:rPr>
      </w:r>
      <w:r/>
    </w:p>
    <w:p>
      <w:pPr>
        <w:pStyle w:val="680"/>
        <w:ind w:firstLine="461"/>
        <w:spacing w:line="600" w:lineRule="exact"/>
        <w:rPr>
          <w:rFonts w:ascii="宋体" w:hAnsi="宋体" w:eastAsia="宋体" w:cs="宋体"/>
          <w:sz w:val="24"/>
          <w:szCs w:val="24"/>
        </w:rPr>
      </w:pPr>
      <w:r>
        <w:rPr>
          <w:rFonts w:ascii="宋体" w:hAnsi="宋体" w:eastAsia="宋体" w:cs="宋体"/>
          <w:sz w:val="24"/>
          <w:szCs w:val="24"/>
        </w:rPr>
      </w:r>
      <w:r/>
    </w:p>
    <w:p>
      <w:pPr>
        <w:pStyle w:val="680"/>
        <w:ind w:firstLine="461"/>
        <w:spacing w:line="600" w:lineRule="exact"/>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r>
      <w:r/>
    </w:p>
    <w:p>
      <w:pPr>
        <w:pStyle w:val="680"/>
        <w:ind w:firstLine="2880"/>
        <w:spacing w:line="600" w:lineRule="exact"/>
        <w:rPr>
          <w:rFonts w:ascii="宋体" w:hAnsi="宋体" w:eastAsia="宋体" w:cs="宋体"/>
          <w:sz w:val="24"/>
          <w:szCs w:val="24"/>
        </w:rPr>
      </w:pPr>
      <w:r>
        <w:rPr>
          <w:rFonts w:hint="eastAsia" w:ascii="宋体" w:hAnsi="宋体" w:eastAsia="宋体" w:cs="宋体"/>
          <w:sz w:val="24"/>
          <w:szCs w:val="24"/>
        </w:rPr>
        <w:t xml:space="preserve">企业名称（加盖CA电子公章）：</w:t>
      </w:r>
      <w:r>
        <w:rPr>
          <w:rFonts w:ascii="宋体" w:hAnsi="宋体" w:eastAsia="宋体" w:cs="宋体"/>
          <w:sz w:val="24"/>
          <w:szCs w:val="24"/>
        </w:rPr>
      </w:r>
      <w:r/>
    </w:p>
    <w:p>
      <w:pPr>
        <w:pStyle w:val="680"/>
        <w:ind w:firstLine="1680"/>
        <w:spacing w:line="600" w:lineRule="exact"/>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r>
      <w:r/>
    </w:p>
    <w:p>
      <w:pPr>
        <w:pStyle w:val="698"/>
        <w:ind w:firstLine="5520"/>
        <w:jc w:val="both"/>
        <w:spacing w:beforeAutospacing="0" w:afterAutospacing="0"/>
        <w:rPr>
          <w:rFonts w:hint="eastAsia" w:ascii="宋体" w:hAnsi="宋体" w:eastAsia="宋体" w:cs="宋体"/>
          <w:color w:val="000000"/>
          <w:highlight w:val="none"/>
        </w:rPr>
      </w:pP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w:t>
      </w:r>
      <w:r>
        <w:rPr>
          <w:rFonts w:hint="eastAsia" w:ascii="宋体" w:hAnsi="宋体" w:eastAsia="宋体" w:cs="宋体"/>
          <w:color w:val="000000"/>
          <w:highlight w:val="none"/>
        </w:rPr>
      </w:r>
      <w:r/>
    </w:p>
    <w:p>
      <w:pPr>
        <w:pStyle w:val="698"/>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698"/>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698"/>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698"/>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698"/>
        <w:jc w:val="both"/>
        <w:spacing w:beforeAutospacing="0" w:afterAutospacing="0"/>
        <w:rPr>
          <w:rFonts w:hint="eastAsia" w:ascii="黑体" w:hAnsi="Calibri" w:eastAsia="黑体" w:cs="Times New Roman"/>
          <w:b/>
          <w:bCs/>
          <w:sz w:val="32"/>
          <w:szCs w:val="32"/>
          <w:lang w:val="en-US" w:eastAsia="zh-CN" w:bidi="ar-SA"/>
        </w:rPr>
      </w:pPr>
      <w:r>
        <w:rPr>
          <w:rFonts w:hint="eastAsia" w:ascii="黑体" w:hAnsi="Calibri" w:eastAsia="黑体" w:cs="Times New Roman"/>
          <w:b/>
          <w:bCs/>
          <w:sz w:val="32"/>
          <w:szCs w:val="32"/>
          <w:lang w:val="en-US" w:eastAsia="zh-CN" w:bidi="ar-SA"/>
        </w:rPr>
      </w:r>
      <w:r/>
    </w:p>
    <w:p>
      <w:pPr>
        <w:pStyle w:val="698"/>
        <w:jc w:val="both"/>
        <w:spacing w:beforeAutospacing="0" w:afterAutospacing="0"/>
        <w:rPr>
          <w:rFonts w:hint="eastAsia" w:ascii="黑体" w:hAnsi="Calibri" w:eastAsia="黑体" w:cs="Times New Roman"/>
          <w:b/>
          <w:bCs/>
          <w:sz w:val="32"/>
          <w:szCs w:val="32"/>
          <w:lang w:val="en-US" w:eastAsia="zh-CN" w:bidi="ar-SA"/>
        </w:rPr>
      </w:pPr>
      <w:r>
        <w:rPr>
          <w:rFonts w:hint="eastAsia" w:ascii="黑体" w:hAnsi="Calibri" w:eastAsia="黑体" w:cs="Times New Roman"/>
          <w:b/>
          <w:bCs/>
          <w:sz w:val="32"/>
          <w:szCs w:val="32"/>
          <w:lang w:val="en-US" w:eastAsia="zh-CN" w:bidi="ar-SA"/>
        </w:rPr>
        <w:t xml:space="preserve">四、依法缴纳税收和社会保障资金的相关材料</w:t>
      </w:r>
      <w:r>
        <w:rPr>
          <w:rFonts w:hint="eastAsia" w:ascii="黑体" w:hAnsi="Calibri" w:eastAsia="黑体" w:cs="Times New Roman"/>
          <w:b/>
          <w:bCs/>
          <w:sz w:val="32"/>
          <w:szCs w:val="32"/>
          <w:lang w:val="en-US" w:eastAsia="zh-CN" w:bidi="ar-SA"/>
        </w:rPr>
      </w:r>
      <w:r/>
    </w:p>
    <w:p>
      <w:pPr>
        <w:pStyle w:val="698"/>
        <w:ind w:firstLine="480"/>
        <w:jc w:val="both"/>
        <w:spacing w:beforeAutospacing="0" w:afterAutospacing="0"/>
        <w:rPr>
          <w:highlight w:val="none"/>
        </w:rPr>
      </w:pPr>
      <w:r>
        <w:rPr>
          <w:rFonts w:hint="eastAsia" w:ascii="宋体" w:hAnsi="宋体" w:eastAsia="宋体" w:cs="宋体"/>
          <w:color w:val="000000"/>
          <w:highlight w:val="none"/>
        </w:rPr>
        <w:t xml:space="preserve">提供提交投标文件截止时间前一年内至少一个月依法缴纳税收及缴纳社会保障资金的证明材料。</w:t>
      </w:r>
      <w:r>
        <w:rPr>
          <w:rFonts w:hint="eastAsia" w:ascii="宋体" w:hAnsi="宋体" w:eastAsia="宋体" w:cs="宋体"/>
          <w:color w:val="000000"/>
          <w:highlight w:val="none"/>
          <w:lang w:eastAsia="zh-CN"/>
        </w:rPr>
        <w:t xml:space="preserve">供应商</w:t>
      </w:r>
      <w:r>
        <w:rPr>
          <w:rFonts w:hint="eastAsia" w:ascii="宋体" w:hAnsi="宋体" w:eastAsia="宋体" w:cs="宋体"/>
          <w:color w:val="000000"/>
          <w:highlight w:val="none"/>
        </w:rPr>
        <w:t xml:space="preserve">依法享受缓缴、免缴税收、社会保障资金的提供证明材料。</w:t>
      </w:r>
      <w:r>
        <w:rPr>
          <w:highlight w:val="none"/>
        </w:rPr>
      </w:r>
      <w:r/>
    </w:p>
    <w:p>
      <w:pPr>
        <w:pStyle w:val="698"/>
        <w:jc w:val="both"/>
        <w:spacing w:beforeAutospacing="0" w:afterAutospacing="0"/>
        <w:rPr>
          <w:highlight w:val="none"/>
        </w:rPr>
      </w:pPr>
      <w:r>
        <w:rPr>
          <w:highlight w:val="none"/>
        </w:rPr>
        <w:t xml:space="preserve"> </w:t>
      </w:r>
      <w:r>
        <w:rPr>
          <w:highlight w:val="none"/>
        </w:rPr>
      </w:r>
      <w:r/>
    </w:p>
    <w:p>
      <w:pPr>
        <w:pStyle w:val="680"/>
        <w:jc w:val="center"/>
        <w:spacing w:line="600" w:lineRule="exact"/>
        <w:rPr>
          <w:rFonts w:hint="eastAsia" w:ascii="黑体" w:eastAsia="黑体" w:cs="Times New Roman"/>
          <w:b/>
          <w:bCs/>
          <w:sz w:val="32"/>
          <w:szCs w:val="32"/>
          <w:lang w:val="en-US" w:eastAsia="zh-CN"/>
        </w:rPr>
      </w:pPr>
      <w:r>
        <w:rPr>
          <w:rFonts w:hint="eastAsia" w:ascii="黑体" w:eastAsia="黑体" w:cs="Times New Roman"/>
          <w:b/>
          <w:bCs/>
          <w:sz w:val="32"/>
          <w:szCs w:val="32"/>
          <w:lang w:val="en-US" w:eastAsia="zh-CN"/>
        </w:rPr>
      </w:r>
      <w:r/>
    </w:p>
    <w:p>
      <w:pPr>
        <w:pStyle w:val="680"/>
        <w:jc w:val="center"/>
        <w:spacing w:line="600" w:lineRule="exact"/>
        <w:rPr>
          <w:rFonts w:ascii="黑体" w:eastAsia="黑体"/>
          <w:b/>
          <w:bCs/>
          <w:sz w:val="32"/>
          <w:szCs w:val="32"/>
        </w:rPr>
      </w:pPr>
      <w:r>
        <w:rPr>
          <w:rFonts w:hint="eastAsia" w:ascii="黑体" w:eastAsia="黑体" w:cs="Times New Roman"/>
          <w:b/>
          <w:bCs/>
          <w:sz w:val="32"/>
          <w:szCs w:val="32"/>
          <w:lang w:val="en-US" w:eastAsia="zh-CN"/>
        </w:rPr>
        <w:t xml:space="preserve">五、</w:t>
      </w:r>
      <w:r>
        <w:rPr>
          <w:rFonts w:hint="eastAsia" w:ascii="黑体" w:hAnsi="Calibri" w:eastAsia="黑体" w:cs="Times New Roman"/>
          <w:b/>
          <w:bCs/>
          <w:sz w:val="32"/>
          <w:szCs w:val="32"/>
        </w:rPr>
        <w:t xml:space="preserve">参加政</w:t>
      </w:r>
      <w:r>
        <w:rPr>
          <w:rFonts w:hint="eastAsia" w:ascii="黑体" w:eastAsia="黑体"/>
          <w:b/>
          <w:bCs/>
          <w:sz w:val="32"/>
          <w:szCs w:val="32"/>
        </w:rPr>
        <w:t xml:space="preserve">府采购活动前3年内在经营活动中没有重大违法记录的书面声明</w:t>
      </w:r>
      <w:r>
        <w:rPr>
          <w:rFonts w:ascii="黑体" w:eastAsia="黑体"/>
          <w:b/>
          <w:bCs/>
          <w:sz w:val="32"/>
          <w:szCs w:val="32"/>
        </w:rPr>
      </w:r>
      <w:r/>
    </w:p>
    <w:p>
      <w:pPr>
        <w:pStyle w:val="680"/>
        <w:spacing w:line="600" w:lineRule="exact"/>
        <w:rPr>
          <w:rFonts w:ascii="仿宋_GB2312" w:eastAsia="仿宋_GB2312"/>
        </w:rPr>
      </w:pPr>
      <w:r>
        <w:rPr>
          <w:rFonts w:ascii="仿宋_GB2312" w:eastAsia="仿宋_GB2312"/>
        </w:rPr>
      </w:r>
      <w:r/>
    </w:p>
    <w:p>
      <w:pPr>
        <w:pStyle w:val="680"/>
        <w:ind w:firstLine="480"/>
        <w:spacing w:line="600" w:lineRule="exact"/>
        <w:rPr>
          <w:rFonts w:ascii="宋体" w:hAnsi="宋体" w:eastAsia="宋体" w:cs="宋体"/>
          <w:sz w:val="24"/>
          <w:szCs w:val="24"/>
        </w:rPr>
      </w:pPr>
      <w:r>
        <w:rPr>
          <w:rFonts w:hint="eastAsia" w:ascii="宋体" w:hAnsi="宋体" w:eastAsia="宋体" w:cs="宋体"/>
          <w:sz w:val="24"/>
          <w:szCs w:val="24"/>
        </w:rPr>
        <w:t xml:space="preserve">我单位郑重声明：参加本次政府采购活动前3年内，我单位在经营活动中没有因违法经营受到刑事处罚或者责令停产停业、吊销许可证或者执照、较大数额罚款等行政处罚。</w:t>
      </w:r>
      <w:r>
        <w:rPr>
          <w:rFonts w:ascii="宋体" w:hAnsi="宋体" w:eastAsia="宋体" w:cs="宋体"/>
          <w:sz w:val="24"/>
          <w:szCs w:val="24"/>
        </w:rPr>
      </w:r>
      <w:r/>
    </w:p>
    <w:p>
      <w:pPr>
        <w:pStyle w:val="680"/>
        <w:ind w:firstLine="461"/>
        <w:spacing w:line="600" w:lineRule="exact"/>
        <w:rPr>
          <w:rFonts w:ascii="宋体" w:hAnsi="宋体" w:eastAsia="宋体" w:cs="宋体"/>
          <w:sz w:val="24"/>
          <w:szCs w:val="24"/>
        </w:rPr>
      </w:pPr>
      <w:r>
        <w:rPr>
          <w:rFonts w:ascii="宋体" w:hAnsi="宋体" w:eastAsia="宋体" w:cs="宋体"/>
          <w:sz w:val="24"/>
          <w:szCs w:val="24"/>
        </w:rPr>
      </w:r>
      <w:r/>
    </w:p>
    <w:p>
      <w:pPr>
        <w:pStyle w:val="680"/>
        <w:ind w:firstLine="461"/>
        <w:spacing w:line="600" w:lineRule="exact"/>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r>
      <w:r/>
    </w:p>
    <w:p>
      <w:pPr>
        <w:pStyle w:val="680"/>
        <w:ind w:firstLine="461"/>
        <w:spacing w:line="600" w:lineRule="exact"/>
        <w:rPr>
          <w:rFonts w:ascii="宋体" w:hAnsi="宋体" w:eastAsia="宋体" w:cs="宋体"/>
          <w:sz w:val="24"/>
          <w:szCs w:val="24"/>
        </w:rPr>
      </w:pPr>
      <w:r>
        <w:rPr>
          <w:rFonts w:ascii="宋体" w:hAnsi="宋体" w:eastAsia="宋体" w:cs="宋体"/>
          <w:sz w:val="24"/>
          <w:szCs w:val="24"/>
        </w:rPr>
      </w:r>
      <w:r/>
    </w:p>
    <w:p>
      <w:pPr>
        <w:pStyle w:val="680"/>
        <w:ind w:firstLine="3120"/>
        <w:spacing w:line="600" w:lineRule="exact"/>
        <w:rPr>
          <w:rFonts w:ascii="宋体" w:hAnsi="宋体" w:eastAsia="宋体" w:cs="宋体"/>
          <w:sz w:val="24"/>
          <w:szCs w:val="24"/>
        </w:rPr>
      </w:pPr>
      <w:r>
        <w:rPr>
          <w:rFonts w:hint="eastAsia" w:ascii="宋体" w:hAnsi="宋体" w:eastAsia="宋体" w:cs="宋体"/>
          <w:sz w:val="24"/>
          <w:szCs w:val="24"/>
        </w:rPr>
        <w:t xml:space="preserve">企业名称（加盖CA电子公章）：</w:t>
      </w:r>
      <w:r>
        <w:rPr>
          <w:rFonts w:ascii="宋体" w:hAnsi="宋体" w:eastAsia="宋体" w:cs="宋体"/>
          <w:sz w:val="24"/>
          <w:szCs w:val="24"/>
        </w:rPr>
      </w:r>
      <w:r/>
    </w:p>
    <w:p>
      <w:pPr>
        <w:pStyle w:val="680"/>
        <w:ind w:firstLine="1680"/>
        <w:spacing w:line="600" w:lineRule="exact"/>
        <w:rPr>
          <w:rFonts w:ascii="宋体" w:hAnsi="宋体" w:eastAsia="宋体" w:cs="宋体"/>
          <w:sz w:val="24"/>
          <w:szCs w:val="24"/>
        </w:rPr>
      </w:pPr>
      <w:r>
        <w:rPr>
          <w:rFonts w:ascii="宋体" w:hAnsi="宋体" w:eastAsia="宋体" w:cs="宋体"/>
          <w:sz w:val="24"/>
          <w:szCs w:val="24"/>
        </w:rPr>
      </w:r>
      <w:r/>
    </w:p>
    <w:p>
      <w:pPr>
        <w:pStyle w:val="698"/>
        <w:jc w:val="both"/>
        <w:spacing w:beforeAutospacing="0" w:afterAutospacing="0" w:line="0" w:lineRule="atLeast"/>
        <w:rPr>
          <w:highlight w:val="none"/>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w:t>
      </w:r>
      <w:r>
        <w:rPr>
          <w:highlight w:val="none"/>
        </w:rPr>
      </w:r>
      <w:r/>
    </w:p>
    <w:p>
      <w:pPr>
        <w:pStyle w:val="698"/>
        <w:jc w:val="both"/>
        <w:spacing w:beforeAutospacing="0" w:afterAutospacing="0"/>
        <w:rPr>
          <w:highlight w:val="none"/>
        </w:rPr>
      </w:pPr>
      <w:r>
        <w:rPr>
          <w:highlight w:val="none"/>
        </w:rPr>
        <w:t xml:space="preserve"> </w:t>
      </w:r>
      <w:r>
        <w:rPr>
          <w:highlight w:val="none"/>
        </w:rPr>
      </w:r>
      <w:r/>
    </w:p>
    <w:p>
      <w:pPr>
        <w:pStyle w:val="698"/>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698"/>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698"/>
        <w:jc w:val="both"/>
        <w:spacing w:beforeAutospacing="0" w:afterAutospacing="0"/>
        <w:rPr>
          <w:rFonts w:hint="eastAsia" w:ascii="黑体" w:hAnsi="Calibri" w:eastAsia="黑体" w:cs="Times New Roman"/>
          <w:b/>
          <w:bCs/>
          <w:sz w:val="32"/>
          <w:szCs w:val="32"/>
          <w:lang w:val="en-US" w:eastAsia="zh-CN" w:bidi="ar-SA"/>
        </w:rPr>
      </w:pPr>
      <w:r/>
      <w:bookmarkStart w:id="175" w:name="_Toc120614284"/>
      <w:r>
        <w:rPr>
          <w:rFonts w:hint="eastAsia" w:ascii="黑体" w:hAnsi="Calibri" w:eastAsia="黑体" w:cs="Times New Roman"/>
          <w:b/>
          <w:bCs/>
          <w:sz w:val="32"/>
          <w:szCs w:val="32"/>
          <w:lang w:val="en-US" w:eastAsia="zh-CN" w:bidi="ar-SA"/>
        </w:rPr>
        <w:t xml:space="preserve">六、特定资格要求的证明文件</w:t>
      </w:r>
      <w:r>
        <w:rPr>
          <w:rFonts w:hint="eastAsia" w:ascii="黑体" w:hAnsi="Calibri" w:eastAsia="黑体" w:cs="Times New Roman"/>
          <w:b/>
          <w:bCs/>
          <w:sz w:val="32"/>
          <w:szCs w:val="32"/>
          <w:lang w:val="en-US" w:eastAsia="zh-CN" w:bidi="ar-SA"/>
        </w:rPr>
      </w:r>
      <w:r/>
    </w:p>
    <w:p>
      <w:pPr>
        <w:pStyle w:val="698"/>
        <w:jc w:val="both"/>
        <w:spacing w:beforeAutospacing="0" w:afterAutospacing="0"/>
        <w:rPr>
          <w:rFonts w:ascii="黑体" w:hAnsi="宋体" w:eastAsia="黑体" w:cs="黑体"/>
          <w:i/>
          <w:color w:val="000000"/>
          <w:sz w:val="32"/>
          <w:szCs w:val="32"/>
          <w:highlight w:val="none"/>
          <w:u w:val="single"/>
        </w:rPr>
      </w:pPr>
      <w:r>
        <w:rPr>
          <w:rFonts w:hint="eastAsia" w:ascii="宋体" w:hAnsi="宋体" w:eastAsia="宋体" w:cs="宋体"/>
          <w:color w:val="000000"/>
          <w:highlight w:val="none"/>
        </w:rPr>
        <w:t xml:space="preserve">如果本项目申请人的特定资格要求中要求提供的，必须提供。</w:t>
      </w:r>
      <w:r>
        <w:rPr>
          <w:rFonts w:ascii="黑体" w:hAnsi="宋体" w:eastAsia="黑体" w:cs="黑体"/>
          <w:i/>
          <w:color w:val="000000"/>
          <w:sz w:val="32"/>
          <w:szCs w:val="32"/>
          <w:highlight w:val="none"/>
          <w:u w:val="single"/>
        </w:rPr>
      </w:r>
      <w:r/>
    </w:p>
    <w:p>
      <w:pPr>
        <w:pStyle w:val="698"/>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698"/>
        <w:jc w:val="both"/>
        <w:spacing w:beforeAutospacing="0" w:afterAutospacing="0"/>
        <w:rPr>
          <w:rFonts w:hint="eastAsia" w:ascii="黑体" w:eastAsia="黑体" w:cs="Times New Roman"/>
          <w:b/>
          <w:bCs/>
          <w:sz w:val="32"/>
          <w:szCs w:val="32"/>
          <w:highlight w:val="none"/>
          <w:lang w:val="en-US" w:eastAsia="zh-CN"/>
        </w:rPr>
      </w:pPr>
      <w:r/>
      <w:bookmarkStart w:id="176" w:name="_格式3__银行出具的资信证明"/>
      <w:r/>
      <w:bookmarkStart w:id="177" w:name="_Hlt26955070"/>
      <w:r/>
      <w:bookmarkStart w:id="178" w:name="_Hlt26671380"/>
      <w:r>
        <w:rPr>
          <w:rFonts w:hint="eastAsia" w:ascii="黑体" w:eastAsia="黑体" w:cs="Times New Roman"/>
          <w:b/>
          <w:bCs/>
          <w:sz w:val="32"/>
          <w:szCs w:val="32"/>
          <w:highlight w:val="none"/>
          <w:lang w:val="en-US" w:eastAsia="zh-CN"/>
        </w:rPr>
      </w:r>
      <w:r/>
    </w:p>
    <w:p>
      <w:pPr>
        <w:pStyle w:val="698"/>
        <w:jc w:val="center"/>
        <w:spacing w:beforeAutospacing="0" w:afterAutospacing="0"/>
        <w:rPr>
          <w:rFonts w:hint="eastAsia" w:ascii="黑体" w:eastAsia="黑体"/>
          <w:b/>
          <w:bCs/>
          <w:sz w:val="32"/>
          <w:szCs w:val="32"/>
          <w:highlight w:val="none"/>
        </w:rPr>
      </w:pPr>
      <w:r>
        <w:rPr>
          <w:rFonts w:hint="eastAsia" w:ascii="黑体" w:eastAsia="黑体" w:cs="Times New Roman"/>
          <w:b/>
          <w:bCs/>
          <w:sz w:val="32"/>
          <w:szCs w:val="32"/>
          <w:highlight w:val="none"/>
          <w:lang w:val="en-US" w:eastAsia="zh-CN"/>
        </w:rPr>
        <w:t xml:space="preserve">七、</w:t>
      </w:r>
      <w:r>
        <w:rPr>
          <w:rFonts w:hint="eastAsia" w:ascii="黑体" w:hAnsi="Calibri" w:eastAsia="黑体" w:cs="Times New Roman"/>
          <w:b/>
          <w:bCs/>
          <w:sz w:val="32"/>
          <w:szCs w:val="32"/>
          <w:highlight w:val="none"/>
          <w:lang w:val="en-US" w:eastAsia="zh-CN"/>
        </w:rPr>
        <w:t xml:space="preserve">法人授权</w:t>
      </w:r>
      <w:r>
        <w:rPr>
          <w:rFonts w:hint="eastAsia" w:ascii="黑体" w:eastAsia="黑体"/>
          <w:b/>
          <w:bCs/>
          <w:sz w:val="32"/>
          <w:szCs w:val="32"/>
          <w:highlight w:val="none"/>
        </w:rPr>
        <w:t xml:space="preserve">书</w:t>
      </w:r>
      <w:r>
        <w:rPr>
          <w:rFonts w:hint="eastAsia" w:ascii="黑体" w:eastAsia="黑体"/>
          <w:b/>
          <w:bCs/>
          <w:sz w:val="32"/>
          <w:szCs w:val="32"/>
          <w:highlight w:val="none"/>
        </w:rPr>
      </w:r>
      <w:r/>
    </w:p>
    <w:p>
      <w:pPr>
        <w:pStyle w:val="680"/>
        <w:ind w:firstLine="480"/>
        <w:keepLines w:val="0"/>
        <w:keepNext w:val="0"/>
        <w:pageBreakBefore w:val="0"/>
        <w:spacing w:line="6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rPr>
        <w:t xml:space="preserve">本授权书声明：____________（供应商名称）授权________________（被授权人的姓名）为我方就</w:t>
      </w:r>
      <w:r>
        <w:rPr>
          <w:rFonts w:hint="eastAsia" w:ascii="宋体" w:hAnsi="宋体" w:cs="宋体"/>
          <w:color w:val="000000"/>
          <w:sz w:val="24"/>
          <w:szCs w:val="24"/>
          <w:lang w:eastAsia="zh-CN"/>
        </w:rPr>
        <w:t xml:space="preserve">JSZC-320000-JDHC-G2026-0006</w:t>
      </w:r>
      <w:r>
        <w:rPr>
          <w:rFonts w:hint="eastAsia" w:ascii="宋体" w:hAnsi="宋体" w:eastAsia="宋体" w:cs="宋体"/>
          <w:color w:val="000000"/>
          <w:sz w:val="24"/>
          <w:szCs w:val="24"/>
        </w:rPr>
        <w:t xml:space="preserve">号项目采购活动的合法代理人，以本单位名义全权处理一切与该项目采购有关的事务。</w:t>
      </w:r>
      <w:r>
        <w:rPr>
          <w:rFonts w:hint="eastAsia" w:ascii="宋体" w:hAnsi="宋体" w:eastAsia="宋体" w:cs="宋体"/>
          <w:sz w:val="24"/>
          <w:szCs w:val="24"/>
          <w:highlight w:val="none"/>
        </w:rPr>
      </w:r>
      <w:r/>
    </w:p>
    <w:p>
      <w:pPr>
        <w:pStyle w:val="680"/>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698"/>
        <w:ind w:firstLine="1024"/>
        <w:keepLines w:val="0"/>
        <w:keepNext w:val="0"/>
        <w:pageBreakBefore w:val="0"/>
        <w:spacing w:beforeAutospacing="0" w:afterAutospacing="0" w:line="600" w:lineRule="exact"/>
        <w:widowControl w:val="off"/>
        <w:tabs>
          <w:tab w:val="left" w:pos="360" w:leader="none"/>
        </w:tabs>
        <w:rPr>
          <w:rFonts w:hint="eastAsia"/>
        </w:rPr>
      </w:pPr>
      <w:r>
        <w:rPr>
          <w:rFonts w:ascii="Times New Roman" w:hAnsi="Times New Roman"/>
          <w:color w:val="000000"/>
        </w:rPr>
        <w:t xml:space="preserve">本授权书于______年____月____日起生效，特此声明。</w:t>
      </w:r>
      <w:r>
        <w:rPr>
          <w:rFonts w:hint="eastAsia"/>
        </w:rPr>
      </w:r>
      <w:r/>
    </w:p>
    <w:p>
      <w:pPr>
        <w:pStyle w:val="698"/>
        <w:ind w:firstLine="1024"/>
        <w:keepLines w:val="0"/>
        <w:keepNext w:val="0"/>
        <w:pageBreakBefore w:val="0"/>
        <w:spacing w:beforeAutospacing="0" w:afterAutospacing="0" w:line="600" w:lineRule="exact"/>
        <w:widowControl w:val="off"/>
        <w:tabs>
          <w:tab w:val="left" w:pos="360" w:leader="none"/>
        </w:tabs>
        <w:rPr>
          <w:rFonts w:hint="eastAsia"/>
        </w:rPr>
      </w:pPr>
      <w:r>
        <w:rPr>
          <w:rFonts w:ascii="Times New Roman" w:hAnsi="Times New Roman"/>
          <w:color w:val="000000"/>
        </w:rPr>
        <w:t xml:space="preserve">被授权人身份证号码：</w:t>
      </w:r>
      <w:r>
        <w:rPr>
          <w:rFonts w:ascii="Times New Roman" w:hAnsi="Times New Roman"/>
          <w:color w:val="000000"/>
          <w:u w:val="single"/>
        </w:rPr>
        <w:t xml:space="preserve">                              </w:t>
      </w:r>
      <w:r>
        <w:rPr>
          <w:rFonts w:hint="eastAsia"/>
        </w:rPr>
      </w:r>
      <w:r/>
    </w:p>
    <w:p>
      <w:pPr>
        <w:pStyle w:val="698"/>
        <w:ind w:firstLine="1024"/>
        <w:keepLines w:val="0"/>
        <w:keepNext w:val="0"/>
        <w:pageBreakBefore w:val="0"/>
        <w:spacing w:beforeAutospacing="0" w:afterAutospacing="0" w:line="600" w:lineRule="exact"/>
        <w:widowControl w:val="off"/>
        <w:tabs>
          <w:tab w:val="left" w:pos="360" w:leader="none"/>
        </w:tabs>
        <w:rPr>
          <w:rFonts w:hint="eastAsia"/>
        </w:rPr>
      </w:pPr>
      <w:r>
        <w:rPr>
          <w:rFonts w:ascii="Times New Roman" w:hAnsi="Times New Roman"/>
          <w:color w:val="000000"/>
        </w:rPr>
        <w:t xml:space="preserve">被授权人联系电话：（手机）</w:t>
      </w:r>
      <w:r>
        <w:rPr>
          <w:rFonts w:ascii="Times New Roman" w:hAnsi="Times New Roman"/>
          <w:color w:val="000000"/>
          <w:u w:val="single"/>
        </w:rPr>
        <w:t xml:space="preserve">                          </w:t>
      </w:r>
      <w:r>
        <w:rPr>
          <w:rFonts w:hint="eastAsia"/>
        </w:rPr>
      </w:r>
      <w:r/>
    </w:p>
    <w:p>
      <w:pPr>
        <w:pStyle w:val="698"/>
        <w:ind w:firstLine="1024"/>
        <w:keepLines w:val="0"/>
        <w:keepNext w:val="0"/>
        <w:pageBreakBefore w:val="0"/>
        <w:spacing w:beforeAutospacing="0" w:afterAutospacing="0" w:line="600" w:lineRule="exact"/>
        <w:widowControl w:val="off"/>
        <w:tabs>
          <w:tab w:val="left" w:pos="360" w:leader="none"/>
        </w:tabs>
        <w:rPr>
          <w:rFonts w:hint="eastAsia"/>
        </w:rPr>
      </w:pPr>
      <w:r>
        <w:rPr>
          <w:rFonts w:ascii="Times New Roman" w:hAnsi="Times New Roman"/>
          <w:color w:val="000000"/>
        </w:rPr>
        <w:t xml:space="preserve">授权单位名称：</w:t>
      </w:r>
      <w:r>
        <w:rPr>
          <w:rFonts w:ascii="Times New Roman" w:hAnsi="Times New Roman"/>
          <w:color w:val="000000"/>
          <w:u w:val="single"/>
        </w:rPr>
        <w:t xml:space="preserve">（加盖CA电子公章）</w:t>
      </w:r>
      <w:r>
        <w:rPr>
          <w:rFonts w:hint="eastAsia"/>
        </w:rPr>
      </w:r>
      <w:r/>
    </w:p>
    <w:p>
      <w:pPr>
        <w:pStyle w:val="698"/>
        <w:ind w:firstLine="1024"/>
        <w:keepLines w:val="0"/>
        <w:keepNext w:val="0"/>
        <w:pageBreakBefore w:val="0"/>
        <w:spacing w:beforeAutospacing="0" w:afterAutospacing="0" w:line="600" w:lineRule="exact"/>
        <w:widowControl w:val="off"/>
        <w:tabs>
          <w:tab w:val="left" w:pos="360" w:leader="none"/>
        </w:tabs>
        <w:rPr>
          <w:rFonts w:hint="eastAsia"/>
        </w:rPr>
      </w:pPr>
      <w:r>
        <w:rPr>
          <w:rFonts w:ascii="Times New Roman" w:hAnsi="Times New Roman"/>
          <w:color w:val="000000"/>
        </w:rPr>
        <w:t xml:space="preserve">单位地址：</w:t>
      </w:r>
      <w:r>
        <w:rPr>
          <w:rFonts w:ascii="Times New Roman" w:hAnsi="Times New Roman"/>
          <w:color w:val="000000"/>
          <w:u w:val="single"/>
        </w:rPr>
        <w:t xml:space="preserve">                                         </w:t>
      </w:r>
      <w:r>
        <w:rPr>
          <w:rFonts w:hint="eastAsia"/>
        </w:rPr>
      </w:r>
      <w:r/>
    </w:p>
    <w:p>
      <w:pPr>
        <w:pStyle w:val="680"/>
        <w:ind w:firstLine="1050"/>
        <w:keepLines w:val="0"/>
        <w:keepNext w:val="0"/>
        <w:pageBreakBefore w:val="0"/>
        <w:spacing w:line="600" w:lineRule="exact"/>
        <w:widowControl w:val="off"/>
        <w:rPr>
          <w:rFonts w:hint="eastAsia" w:ascii="宋体" w:hAnsi="宋体" w:eastAsia="宋体" w:cs="宋体"/>
          <w:sz w:val="24"/>
          <w:highlight w:val="none"/>
        </w:rPr>
      </w:pPr>
      <w:r>
        <w:rPr>
          <w:rFonts w:ascii="Times New Roman" w:hAnsi="Times New Roman"/>
          <w:color w:val="000000"/>
        </w:rPr>
        <w:t xml:space="preserve">日期：</w:t>
      </w:r>
      <w:r>
        <w:rPr>
          <w:rFonts w:ascii="Times New Roman" w:hAnsi="Times New Roman"/>
          <w:color w:val="000000"/>
          <w:u w:val="single"/>
        </w:rPr>
        <w:t xml:space="preserve">                                         </w:t>
      </w:r>
      <w:r>
        <w:rPr>
          <w:rFonts w:hint="eastAsia" w:ascii="宋体" w:hAnsi="宋体" w:eastAsia="宋体" w:cs="宋体"/>
          <w:sz w:val="24"/>
          <w:highlight w:val="none"/>
        </w:rPr>
      </w:r>
      <w:r/>
    </w:p>
    <w:p>
      <w:pPr>
        <w:pStyle w:val="680"/>
        <w:ind w:firstLine="2126"/>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698"/>
        <w:jc w:val="both"/>
        <w:keepLines/>
        <w:keepNext/>
        <w:spacing w:before="260" w:beforeAutospacing="0" w:after="260" w:afterAutospacing="0" w:line="415" w:lineRule="auto"/>
        <w:rPr>
          <w:highlight w:val="none"/>
        </w:rPr>
      </w:pPr>
      <w:r>
        <w:rPr>
          <w:rFonts w:hint="eastAsia" w:ascii="宋体" w:hAnsi="宋体" w:eastAsia="宋体" w:cs="宋体"/>
          <w:b/>
          <w:bCs/>
          <w:sz w:val="24"/>
          <w:highlight w:val="none"/>
        </w:rPr>
        <w:t xml:space="preserve">（附：</w:t>
      </w:r>
      <w:r>
        <w:rPr>
          <w:rFonts w:hint="eastAsia" w:ascii="宋体" w:hAnsi="宋体" w:eastAsia="宋体" w:cs="宋体"/>
          <w:b/>
          <w:bCs/>
          <w:sz w:val="24"/>
          <w:highlight w:val="none"/>
          <w:lang w:eastAsia="zh-CN"/>
        </w:rPr>
        <w:t xml:space="preserve">被授权人</w:t>
      </w:r>
      <w:r>
        <w:rPr>
          <w:rFonts w:hint="eastAsia" w:ascii="宋体" w:hAnsi="宋体" w:eastAsia="宋体" w:cs="宋体"/>
          <w:b/>
          <w:bCs/>
          <w:sz w:val="24"/>
          <w:highlight w:val="none"/>
        </w:rPr>
        <w:t xml:space="preserve">身份证正反面）</w:t>
      </w:r>
      <w:r>
        <w:rPr>
          <w:rFonts w:hint="eastAsia" w:ascii="宋体" w:hAnsi="宋体" w:eastAsia="宋体" w:cs="宋体"/>
          <w:b/>
          <w:color w:val="000000"/>
          <w:highlight w:val="none"/>
        </w:rPr>
        <w:br w:type="page" w:clear="all"/>
      </w:r>
      <w:r>
        <w:rPr>
          <w:rFonts w:hint="eastAsia" w:ascii="黑体" w:hAnsi="Calibri" w:eastAsia="黑体" w:cs="Times New Roman"/>
          <w:b/>
          <w:bCs/>
          <w:sz w:val="32"/>
          <w:szCs w:val="32"/>
          <w:highlight w:val="none"/>
          <w:lang w:val="en-US" w:eastAsia="zh-CN"/>
        </w:rPr>
        <w:t xml:space="preserve"> </w:t>
      </w:r>
      <w:r>
        <w:rPr>
          <w:rFonts w:hint="eastAsia" w:ascii="黑体" w:eastAsia="黑体" w:cs="Times New Roman"/>
          <w:b/>
          <w:bCs/>
          <w:sz w:val="32"/>
          <w:szCs w:val="32"/>
          <w:highlight w:val="none"/>
          <w:lang w:val="en-US" w:eastAsia="zh-CN"/>
        </w:rPr>
        <w:t xml:space="preserve">                   </w:t>
      </w:r>
      <w:r>
        <w:rPr>
          <w:rFonts w:hint="eastAsia" w:ascii="黑体" w:hAnsi="Calibri" w:eastAsia="黑体" w:cs="Times New Roman"/>
          <w:b/>
          <w:bCs/>
          <w:sz w:val="32"/>
          <w:szCs w:val="32"/>
          <w:highlight w:val="none"/>
          <w:lang w:val="en-US" w:eastAsia="zh-CN"/>
        </w:rPr>
        <w:t xml:space="preserve">八、投标函</w:t>
      </w:r>
      <w:r>
        <w:rPr>
          <w:highlight w:val="none"/>
        </w:rPr>
      </w:r>
      <w:r/>
    </w:p>
    <w:p>
      <w:pPr>
        <w:pStyle w:val="698"/>
        <w:spacing w:beforeAutospacing="0" w:afterAutospacing="0" w:line="0" w:lineRule="atLeast"/>
        <w:rPr>
          <w:rFonts w:eastAsia="宋体"/>
          <w:highlight w:val="none"/>
          <w:lang w:val="en-US" w:eastAsia="zh-CN"/>
        </w:rPr>
      </w:pPr>
      <w:r>
        <w:rPr>
          <w:rFonts w:hint="eastAsia" w:ascii="宋体" w:hAnsi="宋体" w:eastAsia="宋体" w:cs="宋体"/>
          <w:color w:val="000000"/>
          <w:highlight w:val="none"/>
        </w:rPr>
        <w:t xml:space="preserve">致：</w:t>
      </w:r>
      <w:r>
        <w:rPr>
          <w:rFonts w:hint="eastAsia" w:ascii="宋体" w:hAnsi="宋体" w:eastAsia="宋体" w:cs="宋体"/>
          <w:color w:val="000000"/>
          <w:highlight w:val="none"/>
          <w:lang w:val="en-US" w:eastAsia="zh-CN"/>
        </w:rPr>
        <w:t xml:space="preserve">江苏盐城国家级珍禽自然保护区管理处</w:t>
      </w:r>
      <w:r>
        <w:rPr>
          <w:rFonts w:eastAsia="宋体"/>
          <w:highlight w:val="none"/>
          <w:lang w:val="en-US" w:eastAsia="zh-CN"/>
        </w:rPr>
      </w:r>
      <w:r/>
    </w:p>
    <w:p>
      <w:pPr>
        <w:pStyle w:val="698"/>
        <w:ind w:firstLine="480"/>
        <w:spacing w:beforeAutospacing="0" w:afterAutospacing="0" w:line="0" w:lineRule="atLeast"/>
        <w:rPr>
          <w:highlight w:val="none"/>
        </w:rPr>
      </w:pPr>
      <w:r>
        <w:rPr>
          <w:rFonts w:hint="eastAsia" w:ascii="宋体" w:hAnsi="宋体" w:eastAsia="宋体" w:cs="宋体"/>
          <w:color w:val="000000"/>
          <w:highlight w:val="none"/>
        </w:rPr>
        <w:t xml:space="preserve">根据贵方的</w:t>
      </w:r>
      <w:r>
        <w:rPr>
          <w:rFonts w:hint="eastAsia" w:ascii="宋体" w:hAnsi="宋体" w:eastAsia="宋体" w:cs="宋体"/>
          <w:color w:val="000000"/>
          <w:highlight w:val="none"/>
          <w:lang w:eastAsia="zh-CN"/>
        </w:rPr>
        <w:t xml:space="preserve">JSZC-320000-JDHC-G2026-0006</w:t>
      </w:r>
      <w:r>
        <w:rPr>
          <w:rFonts w:hint="eastAsia" w:ascii="宋体" w:hAnsi="宋体" w:eastAsia="宋体" w:cs="宋体"/>
          <w:color w:val="000000"/>
          <w:highlight w:val="none"/>
        </w:rPr>
        <w:t xml:space="preserve">号招标文件，正式授权下述签字人_________(姓名)代表我方______________（</w:t>
      </w:r>
      <w:r>
        <w:rPr>
          <w:rFonts w:hint="eastAsia" w:ascii="宋体" w:hAnsi="宋体" w:eastAsia="宋体" w:cs="宋体"/>
          <w:color w:val="000000"/>
          <w:highlight w:val="none"/>
          <w:lang w:eastAsia="zh-CN"/>
        </w:rPr>
        <w:t xml:space="preserve">供应商</w:t>
      </w:r>
      <w:r>
        <w:rPr>
          <w:rFonts w:hint="eastAsia" w:ascii="宋体" w:hAnsi="宋体" w:eastAsia="宋体" w:cs="宋体"/>
          <w:color w:val="000000"/>
          <w:highlight w:val="none"/>
        </w:rPr>
        <w:t xml:space="preserve">的名称），全权处理本次项目投标的有关事宜。</w:t>
      </w:r>
      <w:r>
        <w:rPr>
          <w:highlight w:val="none"/>
        </w:rPr>
      </w:r>
      <w:r/>
    </w:p>
    <w:p>
      <w:pPr>
        <w:pStyle w:val="698"/>
        <w:ind w:firstLine="480"/>
        <w:spacing w:beforeAutospacing="0" w:afterAutospacing="0" w:line="0" w:lineRule="atLeast"/>
        <w:rPr>
          <w:highlight w:val="none"/>
        </w:rPr>
      </w:pPr>
      <w:r>
        <w:rPr>
          <w:rFonts w:hint="eastAsia" w:ascii="宋体" w:hAnsi="宋体" w:eastAsia="宋体" w:cs="宋体"/>
          <w:color w:val="000000"/>
          <w:highlight w:val="none"/>
        </w:rPr>
        <w:t xml:space="preserve">据此函，__________签字人兹宣布同意如下：</w:t>
      </w:r>
      <w:r>
        <w:rPr>
          <w:highlight w:val="none"/>
        </w:rPr>
      </w:r>
      <w:r/>
    </w:p>
    <w:p>
      <w:pPr>
        <w:pStyle w:val="698"/>
        <w:ind w:firstLine="480"/>
        <w:spacing w:beforeAutospacing="0" w:afterAutospacing="0" w:line="0" w:lineRule="atLeast"/>
        <w:rPr>
          <w:highlight w:val="none"/>
        </w:rPr>
      </w:pPr>
      <w:r>
        <w:rPr>
          <w:rFonts w:hint="eastAsia" w:ascii="宋体" w:hAnsi="宋体" w:eastAsia="宋体" w:cs="宋体"/>
          <w:color w:val="000000"/>
          <w:highlight w:val="none"/>
        </w:rPr>
        <w:t xml:space="preserve">1.按招标文件规定的各项要求，向买方提供所需货物（包含与货物相关的服务）。</w:t>
      </w:r>
      <w:r>
        <w:rPr>
          <w:highlight w:val="none"/>
        </w:rPr>
      </w:r>
      <w:r/>
    </w:p>
    <w:p>
      <w:pPr>
        <w:pStyle w:val="698"/>
        <w:ind w:firstLine="480"/>
        <w:spacing w:beforeAutospacing="0" w:afterAutospacing="0" w:line="0" w:lineRule="atLeast"/>
        <w:rPr>
          <w:highlight w:val="none"/>
        </w:rPr>
      </w:pPr>
      <w:r>
        <w:rPr>
          <w:rFonts w:hint="eastAsia" w:ascii="宋体" w:hAnsi="宋体" w:eastAsia="宋体" w:cs="宋体"/>
          <w:color w:val="000000"/>
          <w:highlight w:val="none"/>
        </w:rPr>
        <w:t xml:space="preserve">2.我们完全理解贵方不一定将合同授予最低报价的</w:t>
      </w:r>
      <w:r>
        <w:rPr>
          <w:rFonts w:hint="eastAsia" w:ascii="宋体" w:hAnsi="宋体" w:eastAsia="宋体" w:cs="宋体"/>
          <w:color w:val="000000"/>
          <w:highlight w:val="none"/>
          <w:lang w:eastAsia="zh-CN"/>
        </w:rPr>
        <w:t xml:space="preserve">供应商</w:t>
      </w:r>
      <w:r>
        <w:rPr>
          <w:rFonts w:hint="eastAsia" w:ascii="宋体" w:hAnsi="宋体" w:eastAsia="宋体" w:cs="宋体"/>
          <w:color w:val="000000"/>
          <w:highlight w:val="none"/>
        </w:rPr>
        <w:t xml:space="preserve">。</w:t>
      </w:r>
      <w:r>
        <w:rPr>
          <w:highlight w:val="none"/>
        </w:rPr>
      </w:r>
      <w:r/>
    </w:p>
    <w:p>
      <w:pPr>
        <w:pStyle w:val="698"/>
        <w:ind w:firstLine="480"/>
        <w:spacing w:beforeAutospacing="0" w:afterAutospacing="0" w:line="0" w:lineRule="atLeast"/>
        <w:rPr>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rPr>
          <w:highlight w:val="none"/>
        </w:rPr>
      </w:r>
      <w:r/>
    </w:p>
    <w:p>
      <w:pPr>
        <w:pStyle w:val="698"/>
        <w:ind w:firstLine="480"/>
        <w:spacing w:beforeAutospacing="0" w:afterAutospacing="0" w:line="0" w:lineRule="atLeast"/>
        <w:rPr>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rPr>
          <w:highlight w:val="none"/>
        </w:rPr>
      </w:r>
      <w:r/>
    </w:p>
    <w:p>
      <w:pPr>
        <w:pStyle w:val="698"/>
        <w:ind w:firstLine="480"/>
        <w:spacing w:beforeAutospacing="0" w:afterAutospacing="0" w:line="0" w:lineRule="atLeast"/>
        <w:rPr>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rPr>
          <w:highlight w:val="none"/>
        </w:rPr>
      </w:r>
      <w:r/>
    </w:p>
    <w:p>
      <w:pPr>
        <w:pStyle w:val="698"/>
        <w:ind w:firstLine="480"/>
        <w:spacing w:beforeAutospacing="0" w:afterAutospacing="0" w:line="0" w:lineRule="atLeast"/>
        <w:rPr>
          <w:highlight w:val="none"/>
        </w:rPr>
      </w:pPr>
      <w:r>
        <w:rPr>
          <w:rFonts w:hint="eastAsia" w:ascii="宋体" w:hAnsi="宋体" w:eastAsia="宋体" w:cs="宋体"/>
          <w:color w:val="000000"/>
          <w:highlight w:val="none"/>
        </w:rPr>
        <w:t xml:space="preserve">6.一旦我方中标,我方将根据招标文件的规定，严格履行合同的责任和义务,并保证在招标文件规定的时间完成项目，交付买方验收、使用。</w:t>
      </w:r>
      <w:r>
        <w:rPr>
          <w:highlight w:val="none"/>
        </w:rPr>
      </w:r>
      <w:r/>
    </w:p>
    <w:p>
      <w:pPr>
        <w:pStyle w:val="698"/>
        <w:ind w:left="425"/>
        <w:spacing w:beforeAutospacing="0" w:afterAutospacing="0" w:line="0" w:lineRule="atLeast"/>
        <w:rPr>
          <w:highlight w:val="none"/>
        </w:rPr>
      </w:pPr>
      <w:r>
        <w:rPr>
          <w:rFonts w:hint="eastAsia" w:ascii="宋体" w:hAnsi="宋体" w:eastAsia="宋体" w:cs="宋体"/>
          <w:color w:val="000000"/>
          <w:highlight w:val="none"/>
        </w:rPr>
        <w:t xml:space="preserve">7.与本投标有关的正式通讯地址为：</w:t>
      </w:r>
      <w:r>
        <w:rPr>
          <w:highlight w:val="none"/>
        </w:rPr>
      </w:r>
      <w:r/>
    </w:p>
    <w:p>
      <w:pPr>
        <w:pStyle w:val="698"/>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地          址：</w:t>
      </w:r>
      <w:r>
        <w:rPr>
          <w:highlight w:val="none"/>
        </w:rPr>
      </w:r>
      <w:r/>
    </w:p>
    <w:p>
      <w:pPr>
        <w:pStyle w:val="698"/>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邮          编：</w:t>
      </w:r>
      <w:r>
        <w:rPr>
          <w:highlight w:val="none"/>
        </w:rPr>
      </w:r>
      <w:r/>
    </w:p>
    <w:p>
      <w:pPr>
        <w:pStyle w:val="698"/>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电          话：</w:t>
      </w:r>
      <w:r>
        <w:rPr>
          <w:highlight w:val="none"/>
        </w:rPr>
      </w:r>
      <w:r/>
    </w:p>
    <w:p>
      <w:pPr>
        <w:pStyle w:val="698"/>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传          真：</w:t>
      </w:r>
      <w:r>
        <w:rPr>
          <w:highlight w:val="none"/>
        </w:rPr>
      </w:r>
      <w:r/>
    </w:p>
    <w:p>
      <w:pPr>
        <w:pStyle w:val="698"/>
        <w:ind w:left="420" w:firstLine="480"/>
        <w:spacing w:beforeAutospacing="0" w:afterAutospacing="0" w:line="0" w:lineRule="atLeast"/>
        <w:rPr>
          <w:highlight w:val="none"/>
        </w:rPr>
      </w:pPr>
      <w:r>
        <w:rPr>
          <w:rFonts w:hint="eastAsia" w:ascii="宋体" w:hAnsi="宋体" w:eastAsia="宋体" w:cs="宋体"/>
          <w:color w:val="000000"/>
          <w:highlight w:val="none"/>
          <w:lang w:eastAsia="zh-CN"/>
        </w:rPr>
        <w:t xml:space="preserve">供应商</w:t>
      </w:r>
      <w:r>
        <w:rPr>
          <w:rFonts w:hint="eastAsia" w:ascii="宋体" w:hAnsi="宋体" w:eastAsia="宋体" w:cs="宋体"/>
          <w:color w:val="000000"/>
          <w:highlight w:val="none"/>
        </w:rPr>
        <w:t xml:space="preserve">开户行：</w:t>
      </w:r>
      <w:r>
        <w:rPr>
          <w:highlight w:val="none"/>
        </w:rPr>
      </w:r>
      <w:r/>
    </w:p>
    <w:p>
      <w:pPr>
        <w:pStyle w:val="698"/>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账          号： </w:t>
      </w:r>
      <w:r>
        <w:rPr>
          <w:highlight w:val="none"/>
        </w:rPr>
      </w:r>
      <w:r/>
    </w:p>
    <w:p>
      <w:pPr>
        <w:pStyle w:val="698"/>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日           期：________年____月____日</w:t>
      </w:r>
      <w:r>
        <w:rPr>
          <w:highlight w:val="none"/>
        </w:rPr>
      </w:r>
      <w:r/>
    </w:p>
    <w:p>
      <w:pPr>
        <w:pStyle w:val="698"/>
        <w:ind w:firstLine="240"/>
        <w:jc w:val="center"/>
        <w:spacing w:beforeAutospacing="0" w:afterAutospacing="0" w:line="0" w:lineRule="atLeast"/>
        <w:rPr>
          <w:highlight w:val="none"/>
        </w:rPr>
      </w:pPr>
      <w:r>
        <w:rPr>
          <w:highlight w:val="none"/>
        </w:rPr>
        <w:t xml:space="preserve"> </w:t>
      </w:r>
      <w:r>
        <w:rPr>
          <w:highlight w:val="none"/>
        </w:rPr>
      </w:r>
      <w:r/>
    </w:p>
    <w:p>
      <w:pPr>
        <w:pStyle w:val="698"/>
        <w:ind w:firstLine="240"/>
        <w:jc w:val="center"/>
        <w:spacing w:beforeAutospacing="0" w:afterAutospacing="0" w:line="0" w:lineRule="atLeast"/>
        <w:rPr>
          <w:highlight w:val="none"/>
        </w:rPr>
      </w:pPr>
      <w:r>
        <w:rPr>
          <w:highlight w:val="none"/>
        </w:rPr>
        <w:t xml:space="preserve"> </w:t>
      </w:r>
      <w:r>
        <w:rPr>
          <w:highlight w:val="none"/>
        </w:rPr>
      </w:r>
      <w:r/>
    </w:p>
    <w:p>
      <w:pPr>
        <w:pStyle w:val="698"/>
        <w:ind w:firstLine="240"/>
        <w:jc w:val="center"/>
        <w:spacing w:beforeAutospacing="0" w:afterAutospacing="0" w:line="0" w:lineRule="atLeast"/>
        <w:rPr>
          <w:highlight w:val="none"/>
        </w:rPr>
      </w:pPr>
      <w:r>
        <w:rPr>
          <w:highlight w:val="none"/>
        </w:rPr>
        <w:t xml:space="preserve"> </w:t>
      </w:r>
      <w:r>
        <w:rPr>
          <w:highlight w:val="none"/>
        </w:rPr>
      </w:r>
      <w:r/>
    </w:p>
    <w:p>
      <w:pPr>
        <w:pStyle w:val="698"/>
        <w:ind w:firstLine="240"/>
        <w:jc w:val="center"/>
        <w:spacing w:beforeAutospacing="0" w:afterAutospacing="0" w:line="0" w:lineRule="atLeast"/>
        <w:rPr>
          <w:highlight w:val="none"/>
        </w:rPr>
      </w:pPr>
      <w:r>
        <w:rPr>
          <w:highlight w:val="none"/>
        </w:rPr>
        <w:t xml:space="preserve"> </w:t>
      </w:r>
      <w:r>
        <w:rPr>
          <w:highlight w:val="none"/>
        </w:rPr>
      </w:r>
      <w:r/>
    </w:p>
    <w:p>
      <w:pPr>
        <w:pStyle w:val="698"/>
        <w:ind w:firstLine="240"/>
        <w:jc w:val="center"/>
        <w:spacing w:beforeAutospacing="0" w:afterAutospacing="0" w:line="0" w:lineRule="atLeast"/>
        <w:rPr>
          <w:highlight w:val="none"/>
        </w:rPr>
      </w:pPr>
      <w:r>
        <w:rPr>
          <w:highlight w:val="none"/>
        </w:rPr>
      </w:r>
      <w:r/>
    </w:p>
    <w:p>
      <w:pPr>
        <w:pStyle w:val="698"/>
        <w:ind w:firstLine="240"/>
        <w:jc w:val="center"/>
        <w:spacing w:beforeAutospacing="0" w:afterAutospacing="0" w:line="0" w:lineRule="atLeast"/>
        <w:rPr>
          <w:highlight w:val="none"/>
        </w:rPr>
      </w:pPr>
      <w:r>
        <w:rPr>
          <w:highlight w:val="none"/>
        </w:rPr>
      </w:r>
      <w:r/>
    </w:p>
    <w:p>
      <w:pPr>
        <w:pStyle w:val="698"/>
        <w:ind w:firstLine="240"/>
        <w:jc w:val="center"/>
        <w:spacing w:beforeAutospacing="0" w:afterAutospacing="0" w:line="0" w:lineRule="atLeast"/>
        <w:rPr>
          <w:highlight w:val="none"/>
        </w:rPr>
      </w:pPr>
      <w:r>
        <w:rPr>
          <w:highlight w:val="none"/>
        </w:rPr>
      </w:r>
      <w:r/>
    </w:p>
    <w:p>
      <w:pPr>
        <w:pStyle w:val="698"/>
        <w:ind w:firstLine="240"/>
        <w:jc w:val="center"/>
        <w:spacing w:beforeAutospacing="0" w:afterAutospacing="0" w:line="0" w:lineRule="atLeast"/>
        <w:rPr>
          <w:highlight w:val="none"/>
        </w:rPr>
      </w:pPr>
      <w:r>
        <w:rPr>
          <w:highlight w:val="none"/>
        </w:rPr>
      </w:r>
      <w:r/>
    </w:p>
    <w:p>
      <w:pPr>
        <w:pStyle w:val="698"/>
        <w:ind w:firstLine="240"/>
        <w:jc w:val="center"/>
        <w:spacing w:beforeAutospacing="0" w:afterAutospacing="0" w:line="0" w:lineRule="atLeast"/>
        <w:rPr>
          <w:highlight w:val="none"/>
        </w:rPr>
      </w:pPr>
      <w:r>
        <w:rPr>
          <w:highlight w:val="none"/>
        </w:rPr>
      </w:r>
      <w:r/>
    </w:p>
    <w:p>
      <w:pPr>
        <w:pStyle w:val="698"/>
        <w:ind w:firstLine="240"/>
        <w:jc w:val="center"/>
        <w:spacing w:beforeAutospacing="0" w:afterAutospacing="0" w:line="0" w:lineRule="atLeast"/>
        <w:rPr>
          <w:highlight w:val="none"/>
        </w:rPr>
      </w:pPr>
      <w:r>
        <w:rPr>
          <w:highlight w:val="none"/>
        </w:rPr>
      </w:r>
      <w:r/>
    </w:p>
    <w:p>
      <w:pPr>
        <w:pStyle w:val="698"/>
        <w:ind w:firstLine="240"/>
        <w:jc w:val="center"/>
        <w:spacing w:beforeAutospacing="0" w:afterAutospacing="0" w:line="0" w:lineRule="atLeast"/>
        <w:rPr>
          <w:highlight w:val="none"/>
        </w:rPr>
      </w:pPr>
      <w:r>
        <w:rPr>
          <w:highlight w:val="none"/>
        </w:rPr>
      </w:r>
      <w:r/>
    </w:p>
    <w:p>
      <w:pPr>
        <w:pStyle w:val="698"/>
        <w:ind w:firstLine="240"/>
        <w:jc w:val="center"/>
        <w:spacing w:beforeAutospacing="0" w:afterAutospacing="0" w:line="0" w:lineRule="atLeast"/>
        <w:rPr>
          <w:highlight w:val="none"/>
        </w:rPr>
      </w:pPr>
      <w:r>
        <w:rPr>
          <w:highlight w:val="none"/>
        </w:rPr>
      </w:r>
      <w:r/>
    </w:p>
    <w:p>
      <w:pPr>
        <w:pStyle w:val="698"/>
        <w:ind w:firstLine="240"/>
        <w:jc w:val="center"/>
        <w:spacing w:beforeAutospacing="0" w:afterAutospacing="0" w:line="0" w:lineRule="atLeast"/>
        <w:rPr>
          <w:highlight w:val="none"/>
        </w:rPr>
      </w:pPr>
      <w:r>
        <w:rPr>
          <w:highlight w:val="none"/>
        </w:rPr>
      </w:r>
      <w:r/>
    </w:p>
    <w:p>
      <w:pPr>
        <w:pStyle w:val="698"/>
        <w:ind w:firstLine="240"/>
        <w:jc w:val="center"/>
        <w:spacing w:beforeAutospacing="0" w:afterAutospacing="0" w:line="0" w:lineRule="atLeast"/>
        <w:rPr>
          <w:highlight w:val="none"/>
        </w:rPr>
      </w:pPr>
      <w:r>
        <w:rPr>
          <w:highlight w:val="none"/>
        </w:rPr>
      </w:r>
      <w:r/>
    </w:p>
    <w:p>
      <w:pPr>
        <w:pStyle w:val="698"/>
        <w:ind w:firstLine="240"/>
        <w:jc w:val="center"/>
        <w:spacing w:beforeAutospacing="0" w:afterAutospacing="0" w:line="0" w:lineRule="atLeast"/>
        <w:rPr>
          <w:highlight w:val="none"/>
        </w:rPr>
      </w:pPr>
      <w:r>
        <w:rPr>
          <w:highlight w:val="none"/>
        </w:rPr>
      </w:r>
      <w:r/>
    </w:p>
    <w:p>
      <w:pPr>
        <w:pStyle w:val="698"/>
        <w:ind w:firstLine="240"/>
        <w:jc w:val="center"/>
        <w:spacing w:beforeAutospacing="0" w:afterAutospacing="0" w:line="0" w:lineRule="atLeast"/>
        <w:rPr>
          <w:highlight w:val="none"/>
        </w:rPr>
      </w:pPr>
      <w:r>
        <w:rPr>
          <w:highlight w:val="none"/>
        </w:rPr>
      </w:r>
      <w:r/>
    </w:p>
    <w:p>
      <w:pPr>
        <w:pStyle w:val="698"/>
        <w:ind w:firstLine="240"/>
        <w:jc w:val="center"/>
        <w:spacing w:beforeAutospacing="0" w:afterAutospacing="0" w:line="0" w:lineRule="atLeast"/>
        <w:rPr>
          <w:highlight w:val="none"/>
        </w:rPr>
      </w:pPr>
      <w:r>
        <w:rPr>
          <w:highlight w:val="none"/>
        </w:rPr>
        <w:t xml:space="preserve"> </w:t>
      </w:r>
      <w:r>
        <w:rPr>
          <w:highlight w:val="none"/>
        </w:rPr>
      </w:r>
      <w:r/>
    </w:p>
    <w:p>
      <w:pPr>
        <w:pStyle w:val="698"/>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698"/>
        <w:jc w:val="center"/>
        <w:spacing w:beforeAutospacing="0" w:afterAutospacing="0" w:line="0" w:lineRule="atLeast"/>
        <w:rPr>
          <w:rFonts w:hint="eastAsia" w:eastAsia="黑体"/>
          <w:color w:val="000000"/>
          <w:highlight w:val="none"/>
          <w:lang w:eastAsia="zh-CN"/>
        </w:rPr>
      </w:pPr>
      <w:r>
        <w:rPr>
          <w:rFonts w:hint="eastAsia" w:ascii="黑体" w:hAnsi="宋体" w:eastAsia="黑体" w:cs="黑体"/>
          <w:b/>
          <w:color w:val="000000"/>
          <w:sz w:val="32"/>
          <w:szCs w:val="32"/>
          <w:highlight w:val="none"/>
        </w:rPr>
        <w:t xml:space="preserve">九、</w:t>
      </w:r>
      <w:r>
        <w:rPr>
          <w:rFonts w:hint="eastAsia" w:ascii="黑体" w:hAnsi="宋体" w:eastAsia="黑体" w:cs="黑体"/>
          <w:b/>
          <w:color w:val="000000"/>
          <w:sz w:val="32"/>
          <w:szCs w:val="32"/>
          <w:highlight w:val="none"/>
          <w:lang w:val="en-US" w:eastAsia="zh-CN"/>
        </w:rPr>
        <w:t xml:space="preserve">中小</w:t>
      </w:r>
      <w:r>
        <w:rPr>
          <w:rFonts w:hint="eastAsia" w:ascii="黑体" w:hAnsi="宋体" w:eastAsia="黑体" w:cs="黑体"/>
          <w:b/>
          <w:color w:val="000000"/>
          <w:sz w:val="32"/>
          <w:szCs w:val="32"/>
          <w:highlight w:val="none"/>
        </w:rPr>
        <w:t xml:space="preserve">企业声明函</w:t>
      </w:r>
      <w:r>
        <w:rPr>
          <w:rFonts w:hint="eastAsia" w:ascii="黑体" w:hAnsi="宋体" w:eastAsia="黑体" w:cs="黑体"/>
          <w:b/>
          <w:color w:val="000000"/>
          <w:sz w:val="32"/>
          <w:szCs w:val="32"/>
          <w:highlight w:val="none"/>
          <w:lang w:eastAsia="zh-CN"/>
        </w:rPr>
        <w:t xml:space="preserve">（</w:t>
      </w:r>
      <w:r>
        <w:rPr>
          <w:rFonts w:hint="eastAsia" w:ascii="黑体" w:hAnsi="宋体" w:eastAsia="黑体" w:cs="黑体"/>
          <w:b/>
          <w:color w:val="000000"/>
          <w:sz w:val="32"/>
          <w:szCs w:val="32"/>
          <w:highlight w:val="none"/>
          <w:lang w:val="en-US" w:eastAsia="zh-CN"/>
        </w:rPr>
        <w:t xml:space="preserve">货物</w:t>
      </w:r>
      <w:r>
        <w:rPr>
          <w:rFonts w:hint="eastAsia" w:ascii="黑体" w:hAnsi="宋体" w:eastAsia="黑体" w:cs="黑体"/>
          <w:b/>
          <w:color w:val="000000"/>
          <w:sz w:val="32"/>
          <w:szCs w:val="32"/>
          <w:highlight w:val="none"/>
          <w:lang w:eastAsia="zh-CN"/>
        </w:rPr>
        <w:t xml:space="preserve">）</w:t>
      </w:r>
      <w:r>
        <w:rPr>
          <w:rFonts w:hint="eastAsia" w:eastAsia="黑体"/>
          <w:color w:val="000000"/>
          <w:highlight w:val="none"/>
          <w:lang w:eastAsia="zh-CN"/>
        </w:rPr>
      </w:r>
      <w:r/>
    </w:p>
    <w:p>
      <w:pPr>
        <w:pStyle w:val="680"/>
        <w:ind w:firstLine="480"/>
        <w:jc w:val="both"/>
        <w:spacing w:line="500" w:lineRule="exact"/>
        <w:rPr>
          <w:rFonts w:hint="eastAsia"/>
          <w:color w:val="000000"/>
          <w:sz w:val="24"/>
          <w:highlight w:val="none"/>
        </w:rPr>
      </w:pPr>
      <w:r>
        <w:rPr>
          <w:rFonts w:hint="eastAsia"/>
          <w:color w:val="000000"/>
          <w:sz w:val="24"/>
          <w:highlight w:val="none"/>
        </w:rPr>
      </w:r>
      <w:r/>
    </w:p>
    <w:p>
      <w:pPr>
        <w:pStyle w:val="680"/>
        <w:ind w:firstLine="480"/>
        <w:jc w:val="both"/>
        <w:spacing w:line="500" w:lineRule="exact"/>
        <w:rPr>
          <w:rFonts w:hint="eastAsia"/>
          <w:color w:val="000000"/>
          <w:sz w:val="24"/>
          <w:highlight w:val="none"/>
        </w:rPr>
      </w:pPr>
      <w:r>
        <w:rPr>
          <w:rFonts w:hint="eastAsia"/>
          <w:color w:val="000000"/>
          <w:sz w:val="24"/>
          <w:highlight w:val="none"/>
        </w:rPr>
        <w:t xml:space="preserve">本公司郑重声明，根据《政府采购促进中小企业发展管理办法》(财库</w:t>
      </w:r>
      <w:r>
        <w:rPr>
          <w:rFonts w:hint="eastAsia"/>
          <w:color w:val="000000"/>
          <w:sz w:val="24"/>
          <w:highlight w:val="none"/>
          <w:lang w:eastAsia="zh-CN"/>
        </w:rPr>
        <w:t xml:space="preserve">〔2020〕46号</w:t>
      </w:r>
      <w:r>
        <w:rPr>
          <w:rFonts w:hint="eastAsia"/>
          <w:color w:val="000000"/>
          <w:sz w:val="24"/>
          <w:highlight w:val="none"/>
        </w:rPr>
        <w:t xml:space="preserve">)的规定，本公司参加</w:t>
      </w:r>
      <w:r>
        <w:rPr>
          <w:rFonts w:hint="eastAsia"/>
          <w:color w:val="000000"/>
          <w:sz w:val="24"/>
          <w:highlight w:val="none"/>
          <w:lang w:val="en-US" w:eastAsia="zh-CN"/>
        </w:rPr>
        <w:t xml:space="preserve">江苏盐城国家级珍禽自然保护区管理处</w:t>
      </w:r>
      <w:r>
        <w:rPr>
          <w:rFonts w:hint="eastAsia"/>
          <w:color w:val="000000"/>
          <w:sz w:val="24"/>
          <w:highlight w:val="none"/>
        </w:rPr>
        <w:t xml:space="preserve">组织的采购编号为</w:t>
      </w:r>
      <w:r>
        <w:rPr>
          <w:rFonts w:hint="eastAsia"/>
          <w:color w:val="000000"/>
          <w:sz w:val="24"/>
          <w:highlight w:val="none"/>
          <w:u w:val="single"/>
        </w:rPr>
        <w:t xml:space="preserve">     </w:t>
      </w:r>
      <w:r>
        <w:rPr>
          <w:rFonts w:hint="eastAsia"/>
          <w:color w:val="000000"/>
          <w:sz w:val="24"/>
          <w:highlight w:val="none"/>
          <w:u w:val="single"/>
          <w:lang w:val="en-US" w:eastAsia="zh-CN"/>
        </w:rPr>
        <w:t xml:space="preserve">        </w:t>
      </w:r>
      <w:r>
        <w:rPr>
          <w:rFonts w:hint="eastAsia"/>
          <w:color w:val="000000"/>
          <w:sz w:val="24"/>
          <w:highlight w:val="none"/>
          <w:u w:val="none"/>
          <w:lang w:val="en-US" w:eastAsia="zh-CN"/>
        </w:rPr>
        <w:t xml:space="preserve">JSZC-320000-JDHC-G2026-0006</w:t>
      </w:r>
      <w:r>
        <w:rPr>
          <w:rFonts w:hint="eastAsia"/>
          <w:color w:val="000000"/>
          <w:sz w:val="24"/>
          <w:highlight w:val="none"/>
        </w:rPr>
        <w:t xml:space="preserve">的</w:t>
      </w:r>
      <w:r>
        <w:rPr>
          <w:rFonts w:hint="eastAsia"/>
          <w:color w:val="000000"/>
          <w:sz w:val="24"/>
          <w:highlight w:val="none"/>
          <w:u w:val="single"/>
          <w:lang w:eastAsia="zh-CN"/>
        </w:rPr>
        <w:t xml:space="preserve">东沙岛浮标监测系统设备及安装（二次）</w:t>
      </w:r>
      <w:r>
        <w:rPr>
          <w:rFonts w:hint="eastAsia"/>
          <w:color w:val="000000"/>
          <w:sz w:val="24"/>
          <w:highlight w:val="none"/>
        </w:rPr>
        <w:t xml:space="preserve">的采购活动，提供的货物全部由符合政策要求的</w:t>
      </w:r>
      <w:r>
        <w:rPr>
          <w:rFonts w:hint="eastAsia"/>
          <w:color w:val="000000"/>
          <w:sz w:val="24"/>
          <w:highlight w:val="none"/>
          <w:lang w:val="en-US" w:eastAsia="zh-CN"/>
        </w:rPr>
        <w:t xml:space="preserve">中小</w:t>
      </w:r>
      <w:r>
        <w:rPr>
          <w:rFonts w:hint="eastAsia"/>
          <w:color w:val="000000"/>
          <w:sz w:val="24"/>
          <w:highlight w:val="none"/>
        </w:rPr>
        <w:t xml:space="preserve">企业制造。相关企业（含联合体中</w:t>
      </w:r>
      <w:r>
        <w:rPr>
          <w:rFonts w:hint="eastAsia"/>
          <w:color w:val="000000"/>
          <w:sz w:val="24"/>
          <w:highlight w:val="none"/>
          <w:lang w:val="en-US" w:eastAsia="zh-CN"/>
        </w:rPr>
        <w:t xml:space="preserve">的中小</w:t>
      </w:r>
      <w:r>
        <w:rPr>
          <w:rFonts w:hint="eastAsia"/>
          <w:color w:val="000000"/>
          <w:sz w:val="24"/>
          <w:highlight w:val="none"/>
        </w:rPr>
        <w:t xml:space="preserve">企业、签订分包意向协议的</w:t>
      </w:r>
      <w:r>
        <w:rPr>
          <w:rFonts w:hint="eastAsia"/>
          <w:color w:val="000000"/>
          <w:sz w:val="24"/>
          <w:highlight w:val="none"/>
          <w:lang w:val="en-US" w:eastAsia="zh-CN"/>
        </w:rPr>
        <w:t xml:space="preserve">中</w:t>
      </w:r>
      <w:r>
        <w:rPr>
          <w:rFonts w:hint="eastAsia"/>
          <w:color w:val="000000"/>
          <w:sz w:val="24"/>
          <w:highlight w:val="none"/>
        </w:rPr>
        <w:t xml:space="preserve">小企业）的具体情况如下：</w:t>
      </w:r>
      <w:r>
        <w:rPr>
          <w:rFonts w:hint="eastAsia"/>
          <w:color w:val="000000"/>
          <w:sz w:val="24"/>
          <w:highlight w:val="none"/>
        </w:rPr>
      </w:r>
      <w:r/>
    </w:p>
    <w:p>
      <w:pPr>
        <w:pStyle w:val="698"/>
        <w:ind w:firstLine="360"/>
        <w:jc w:val="both"/>
        <w:spacing w:before="0" w:beforeAutospacing="0" w:after="0" w:afterAutospacing="0" w:line="360" w:lineRule="auto"/>
        <w:widowControl w:val="off"/>
        <w:rPr>
          <w:color w:val="000000"/>
          <w:highlight w:val="none"/>
        </w:rPr>
      </w:pPr>
      <w:r>
        <w:rPr>
          <w:rFonts w:hint="eastAsia"/>
          <w:color w:val="000000"/>
          <w:highlight w:val="none"/>
        </w:rPr>
        <w:t xml:space="preserve">1.</w:t>
      </w:r>
      <w:r>
        <w:rPr>
          <w:rFonts w:hint="eastAsia"/>
          <w:color w:val="000000"/>
          <w:highlight w:val="none"/>
          <w:u w:val="single"/>
        </w:rPr>
        <w:t xml:space="preserve">（标的名称）</w:t>
      </w:r>
      <w:r>
        <w:rPr>
          <w:rFonts w:hint="eastAsia"/>
          <w:i/>
          <w:color w:val="000000"/>
          <w:highlight w:val="none"/>
        </w:rPr>
        <w:t xml:space="preserve">，</w:t>
      </w:r>
      <w:r>
        <w:rPr>
          <w:rFonts w:hint="eastAsia"/>
          <w:color w:val="000000"/>
          <w:highlight w:val="none"/>
        </w:rPr>
        <w:t xml:space="preserve">属于</w:t>
      </w:r>
      <w:r>
        <w:rPr>
          <w:rFonts w:hint="eastAsia"/>
          <w:color w:val="000000"/>
          <w:highlight w:val="none"/>
          <w:u w:val="single"/>
          <w:lang w:val="en-US" w:eastAsia="zh-CN"/>
        </w:rPr>
        <w:t xml:space="preserve">(采购文件中明确的所属行业)</w:t>
      </w:r>
      <w:r>
        <w:rPr>
          <w:rFonts w:hint="eastAsia"/>
          <w:color w:val="000000"/>
          <w:highlight w:val="none"/>
        </w:rPr>
        <w:t xml:space="preserve">行业；制造商为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万元，属于</w:t>
      </w:r>
      <w:r>
        <w:rPr>
          <w:rFonts w:hint="eastAsia"/>
          <w:color w:val="000000"/>
          <w:highlight w:val="none"/>
          <w:u w:val="single"/>
        </w:rPr>
        <w:t xml:space="preserve">（中型企业、小型企业、微型企业）；</w:t>
      </w:r>
      <w:r>
        <w:rPr>
          <w:color w:val="000000"/>
          <w:highlight w:val="none"/>
        </w:rPr>
      </w:r>
      <w:r/>
    </w:p>
    <w:p>
      <w:pPr>
        <w:pStyle w:val="698"/>
        <w:ind w:firstLine="360"/>
        <w:jc w:val="both"/>
        <w:spacing w:before="0" w:beforeAutospacing="0" w:after="0" w:afterAutospacing="0" w:line="360" w:lineRule="auto"/>
        <w:widowControl w:val="off"/>
        <w:rPr>
          <w:color w:val="000000"/>
          <w:highlight w:val="none"/>
        </w:rPr>
      </w:pPr>
      <w:r>
        <w:rPr>
          <w:rFonts w:hint="eastAsia"/>
          <w:color w:val="000000"/>
          <w:highlight w:val="none"/>
        </w:rPr>
        <w:t xml:space="preserve">2.</w:t>
      </w:r>
      <w:r>
        <w:rPr>
          <w:rFonts w:hint="eastAsia"/>
          <w:color w:val="000000"/>
          <w:highlight w:val="none"/>
          <w:u w:val="single"/>
        </w:rPr>
        <w:t xml:space="preserve">（标的名称）</w:t>
      </w:r>
      <w:r>
        <w:rPr>
          <w:rFonts w:hint="eastAsia"/>
          <w:i/>
          <w:color w:val="000000"/>
          <w:highlight w:val="none"/>
        </w:rPr>
        <w:t xml:space="preserve">，</w:t>
      </w:r>
      <w:r>
        <w:rPr>
          <w:rFonts w:hint="eastAsia"/>
          <w:color w:val="000000"/>
          <w:highlight w:val="none"/>
        </w:rPr>
        <w:t xml:space="preserve">属于</w:t>
      </w:r>
      <w:r>
        <w:rPr>
          <w:rFonts w:hint="eastAsia"/>
          <w:color w:val="000000"/>
          <w:highlight w:val="none"/>
          <w:u w:val="single"/>
          <w:lang w:val="en-US" w:eastAsia="zh-CN"/>
        </w:rPr>
        <w:t xml:space="preserve">(采购文件中明确的所属行业)</w:t>
      </w:r>
      <w:r>
        <w:rPr>
          <w:rFonts w:hint="eastAsia"/>
          <w:color w:val="000000"/>
          <w:highlight w:val="none"/>
        </w:rPr>
        <w:t xml:space="preserve">行业；制造商为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万元，属于</w:t>
      </w:r>
      <w:r>
        <w:rPr>
          <w:rFonts w:hint="eastAsia"/>
          <w:color w:val="000000"/>
          <w:highlight w:val="none"/>
          <w:u w:val="single"/>
        </w:rPr>
        <w:t xml:space="preserve">（中型企业、小型企业、微型企业）；</w:t>
      </w:r>
      <w:r>
        <w:rPr>
          <w:color w:val="000000"/>
          <w:highlight w:val="none"/>
        </w:rPr>
      </w:r>
      <w:r/>
    </w:p>
    <w:p>
      <w:pPr>
        <w:pStyle w:val="698"/>
        <w:ind w:firstLine="360"/>
        <w:jc w:val="both"/>
        <w:spacing w:before="0" w:beforeAutospacing="0" w:after="0" w:afterAutospacing="0" w:line="360" w:lineRule="auto"/>
        <w:widowControl w:val="off"/>
        <w:rPr>
          <w:color w:val="000000"/>
          <w:highlight w:val="none"/>
        </w:rPr>
      </w:pPr>
      <w:r>
        <w:rPr>
          <w:rFonts w:hint="eastAsia"/>
          <w:color w:val="000000"/>
          <w:highlight w:val="none"/>
        </w:rPr>
        <w:t xml:space="preserve">……</w:t>
      </w:r>
      <w:r>
        <w:rPr>
          <w:color w:val="000000"/>
          <w:highlight w:val="none"/>
        </w:rPr>
      </w:r>
      <w:r/>
    </w:p>
    <w:p>
      <w:pPr>
        <w:pStyle w:val="698"/>
        <w:ind w:firstLine="360"/>
        <w:jc w:val="both"/>
        <w:spacing w:before="0" w:beforeAutospacing="0" w:after="0" w:afterAutospacing="0" w:line="360" w:lineRule="auto"/>
        <w:widowControl w:val="off"/>
        <w:rPr>
          <w:color w:val="000000"/>
          <w:highlight w:val="none"/>
        </w:rPr>
      </w:pPr>
      <w:r>
        <w:rPr>
          <w:rFonts w:hint="eastAsia"/>
          <w:color w:val="000000"/>
          <w:highlight w:val="none"/>
        </w:rPr>
        <w:t xml:space="preserve">以上企业，不属于大企业的分支机构，不存在控股股东为大企业的情形，也不存在与大企业的负责人为同一人的情形。</w:t>
      </w:r>
      <w:r>
        <w:rPr>
          <w:color w:val="000000"/>
          <w:highlight w:val="none"/>
        </w:rPr>
      </w:r>
      <w:r/>
    </w:p>
    <w:p>
      <w:pPr>
        <w:pStyle w:val="698"/>
        <w:ind w:firstLine="360"/>
        <w:jc w:val="both"/>
        <w:spacing w:before="0" w:beforeAutospacing="0" w:after="0" w:afterAutospacing="0" w:line="360" w:lineRule="auto"/>
        <w:widowControl w:val="off"/>
        <w:rPr>
          <w:color w:val="000000"/>
          <w:highlight w:val="none"/>
        </w:rPr>
      </w:pPr>
      <w:r>
        <w:rPr>
          <w:rFonts w:hint="eastAsia"/>
          <w:color w:val="000000"/>
          <w:highlight w:val="none"/>
        </w:rPr>
        <w:t xml:space="preserve">本企业对上述声明内容的真实性负责。如有虚假，将依法承担相应责任</w:t>
      </w:r>
      <w:r>
        <w:rPr>
          <w:color w:val="000000"/>
          <w:highlight w:val="none"/>
        </w:rPr>
      </w:r>
      <w:r/>
    </w:p>
    <w:p>
      <w:pPr>
        <w:pStyle w:val="698"/>
        <w:ind w:right="720"/>
        <w:jc w:val="both"/>
        <w:spacing w:before="0" w:beforeAutospacing="0" w:after="0" w:afterAutospacing="0" w:line="360" w:lineRule="auto"/>
        <w:widowControl w:val="off"/>
        <w:rPr>
          <w:color w:val="000000"/>
          <w:highlight w:val="none"/>
        </w:rPr>
      </w:pPr>
      <w:r>
        <w:rPr>
          <w:color w:val="000000"/>
          <w:highlight w:val="none"/>
        </w:rPr>
        <w:t xml:space="preserve"> </w:t>
      </w:r>
      <w:r>
        <w:rPr>
          <w:color w:val="000000"/>
          <w:highlight w:val="none"/>
        </w:rPr>
      </w:r>
      <w:r/>
    </w:p>
    <w:p>
      <w:pPr>
        <w:pStyle w:val="698"/>
        <w:ind w:right="180" w:firstLine="360"/>
        <w:jc w:val="right"/>
        <w:spacing w:before="0" w:beforeAutospacing="0" w:after="0" w:afterAutospacing="0" w:line="360" w:lineRule="auto"/>
        <w:widowControl w:val="off"/>
        <w:rPr>
          <w:color w:val="000000"/>
          <w:highlight w:val="none"/>
        </w:rPr>
      </w:pPr>
      <w:r>
        <w:rPr>
          <w:rFonts w:hint="eastAsia"/>
          <w:color w:val="000000"/>
          <w:highlight w:val="none"/>
        </w:rPr>
        <w:t xml:space="preserve">企业名称（加盖CA电子公章）：</w:t>
      </w:r>
      <w:r>
        <w:rPr>
          <w:color w:val="000000"/>
          <w:highlight w:val="none"/>
        </w:rPr>
      </w:r>
      <w:r/>
    </w:p>
    <w:p>
      <w:pPr>
        <w:pStyle w:val="698"/>
        <w:ind w:right="480" w:firstLine="5400"/>
        <w:jc w:val="both"/>
        <w:spacing w:before="0" w:beforeAutospacing="0" w:after="0" w:afterAutospacing="0" w:line="360" w:lineRule="auto"/>
        <w:widowControl w:val="off"/>
        <w:rPr>
          <w:color w:val="000000"/>
          <w:highlight w:val="none"/>
        </w:rPr>
      </w:pPr>
      <w:r>
        <w:rPr>
          <w:rFonts w:hint="eastAsia"/>
          <w:color w:val="000000"/>
          <w:highlight w:val="none"/>
        </w:rPr>
        <w:t xml:space="preserve">日  期：</w:t>
      </w:r>
      <w:r>
        <w:rPr>
          <w:color w:val="000000"/>
          <w:highlight w:val="none"/>
        </w:rPr>
      </w:r>
      <w:r/>
    </w:p>
    <w:p>
      <w:pPr>
        <w:pStyle w:val="698"/>
        <w:ind w:firstLine="360"/>
        <w:jc w:val="both"/>
        <w:spacing w:before="0" w:beforeAutospacing="0" w:after="0" w:afterAutospacing="0" w:line="360" w:lineRule="auto"/>
        <w:widowControl w:val="off"/>
        <w:rPr>
          <w:color w:val="ff0000"/>
          <w:highlight w:val="none"/>
        </w:rPr>
      </w:pPr>
      <w:r>
        <w:rPr>
          <w:color w:val="ff0000"/>
          <w:highlight w:val="none"/>
        </w:rPr>
        <w:t xml:space="preserve"> </w:t>
      </w:r>
      <w:r>
        <w:rPr>
          <w:color w:val="ff0000"/>
          <w:highlight w:val="none"/>
        </w:rPr>
      </w:r>
      <w:r/>
    </w:p>
    <w:p>
      <w:pPr>
        <w:pStyle w:val="698"/>
        <w:ind w:firstLine="480"/>
        <w:jc w:val="both"/>
        <w:spacing w:before="0" w:beforeAutospacing="0" w:after="0" w:afterAutospacing="0" w:line="360" w:lineRule="auto"/>
        <w:widowControl w:val="off"/>
        <w:rPr>
          <w:highlight w:val="none"/>
        </w:rPr>
      </w:pPr>
      <w:r>
        <w:rPr>
          <w:rFonts w:hint="eastAsia"/>
          <w:color w:val="000000"/>
          <w:highlight w:val="none"/>
        </w:rPr>
        <w:t xml:space="preserve">备注1：从业人员、营业收入、资产总额填报上一年度数据，无上一年度数据的新成立企业可不填报。</w:t>
      </w:r>
      <w:r>
        <w:rPr>
          <w:highlight w:val="none"/>
        </w:rPr>
      </w:r>
      <w:r/>
    </w:p>
    <w:p>
      <w:pPr>
        <w:pStyle w:val="698"/>
        <w:ind w:firstLine="480"/>
        <w:jc w:val="both"/>
        <w:spacing w:before="0" w:beforeAutospacing="0" w:after="0" w:afterAutospacing="0" w:line="360" w:lineRule="auto"/>
        <w:widowControl w:val="off"/>
        <w:rPr>
          <w:highlight w:val="none"/>
        </w:rPr>
      </w:pPr>
      <w:r>
        <w:rPr>
          <w:rFonts w:hint="eastAsia"/>
          <w:color w:val="000000"/>
          <w:highlight w:val="none"/>
        </w:rPr>
        <w:t xml:space="preserve">备注2：供应商如不提供此声明函，价格将不做相应扣除（如项目全面面向中小企业，则资格审查不通过）。</w:t>
      </w:r>
      <w:r>
        <w:rPr>
          <w:highlight w:val="none"/>
        </w:rPr>
      </w:r>
      <w:r/>
    </w:p>
    <w:p>
      <w:pPr>
        <w:pStyle w:val="698"/>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698"/>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698"/>
        <w:jc w:val="both"/>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698"/>
        <w:jc w:val="center"/>
        <w:spacing w:beforeAutospacing="0" w:afterAutospacing="0" w:line="0" w:lineRule="atLeast"/>
        <w:rPr>
          <w:highlight w:val="none"/>
        </w:rPr>
      </w:pPr>
      <w:r>
        <w:rPr>
          <w:rFonts w:hint="eastAsia" w:ascii="黑体" w:hAnsi="宋体" w:eastAsia="黑体" w:cs="黑体"/>
          <w:b/>
          <w:color w:val="000000"/>
          <w:sz w:val="32"/>
          <w:szCs w:val="32"/>
          <w:highlight w:val="none"/>
        </w:rPr>
        <w:t xml:space="preserve"> 十、残疾人福利性单位声明函（</w:t>
      </w:r>
      <w:r>
        <w:rPr>
          <w:rFonts w:hint="eastAsia" w:ascii="黑体" w:hAnsi="宋体" w:eastAsia="黑体" w:cs="黑体"/>
          <w:b/>
          <w:color w:val="000000"/>
          <w:sz w:val="32"/>
          <w:szCs w:val="32"/>
          <w:highlight w:val="none"/>
          <w:lang w:val="en-US" w:eastAsia="zh-CN"/>
        </w:rPr>
        <w:t xml:space="preserve">如有</w:t>
      </w:r>
      <w:r>
        <w:rPr>
          <w:rFonts w:hint="eastAsia" w:ascii="黑体" w:hAnsi="宋体" w:eastAsia="黑体" w:cs="黑体"/>
          <w:b/>
          <w:color w:val="000000"/>
          <w:sz w:val="32"/>
          <w:szCs w:val="32"/>
          <w:highlight w:val="none"/>
        </w:rPr>
        <w:t xml:space="preserve">）</w:t>
      </w:r>
      <w:r>
        <w:rPr>
          <w:highlight w:val="none"/>
        </w:rPr>
      </w:r>
      <w:r/>
    </w:p>
    <w:p>
      <w:pPr>
        <w:pStyle w:val="698"/>
        <w:ind w:firstLine="480"/>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98"/>
        <w:ind w:firstLine="482"/>
        <w:jc w:val="both"/>
        <w:keepLines w:val="0"/>
        <w:keepNext w:val="0"/>
        <w:pageBreakBefore w:val="0"/>
        <w:spacing w:beforeAutospacing="0" w:afterAutospacing="0" w:line="400" w:lineRule="exact"/>
        <w:widowControl w:val="off"/>
        <w:rPr>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highlight w:val="none"/>
          <w:lang w:eastAsia="zh-CN"/>
        </w:rPr>
        <w:t xml:space="preserve">〔2017〕141号</w:t>
      </w:r>
      <w:r>
        <w:rPr>
          <w:rFonts w:hint="eastAsia" w:ascii="宋体" w:hAnsi="宋体" w:eastAsia="宋体" w:cs="宋体"/>
          <w:color w:val="000000"/>
          <w:highlight w:val="none"/>
        </w:rPr>
        <w:t xml:space="preserve">）的规定，本单位为符合条件的残疾人福利性单位，且本单位参加</w:t>
      </w:r>
      <w:r>
        <w:rPr>
          <w:rFonts w:hint="eastAsia" w:ascii="宋体" w:hAnsi="宋体" w:eastAsia="宋体" w:cs="宋体"/>
          <w:color w:val="000000"/>
          <w:highlight w:val="none"/>
          <w:lang w:val="en-US" w:eastAsia="zh-CN"/>
        </w:rPr>
        <w:t xml:space="preserve">江苏盐城国家级珍禽自然保护区管理处</w:t>
      </w:r>
      <w:r>
        <w:rPr>
          <w:rFonts w:hint="eastAsia" w:ascii="宋体" w:hAnsi="宋体" w:eastAsia="宋体" w:cs="宋体"/>
          <w:color w:val="000000"/>
          <w:highlight w:val="none"/>
        </w:rPr>
        <w:t xml:space="preserve">的采购文件编号为</w:t>
      </w:r>
      <w:r>
        <w:rPr>
          <w:rFonts w:hint="eastAsia" w:ascii="宋体" w:hAnsi="宋体" w:eastAsia="宋体" w:cs="宋体"/>
          <w:color w:val="000000"/>
          <w:highlight w:val="none"/>
          <w:lang w:eastAsia="zh-CN"/>
        </w:rPr>
        <w:t xml:space="preserve">JSZC-320000-JDHC-G2026-0006</w:t>
      </w:r>
      <w:r>
        <w:rPr>
          <w:rFonts w:hint="eastAsia" w:ascii="宋体" w:hAnsi="宋体" w:eastAsia="宋体" w:cs="宋体"/>
          <w:color w:val="000000"/>
          <w:highlight w:val="none"/>
        </w:rPr>
        <w:t xml:space="preserve">的</w:t>
      </w:r>
      <w:r>
        <w:rPr>
          <w:rFonts w:hint="eastAsia" w:ascii="宋体" w:hAnsi="宋体" w:eastAsia="宋体" w:cs="宋体"/>
          <w:color w:val="000000"/>
          <w:highlight w:val="none"/>
          <w:u w:val="single"/>
          <w:lang w:eastAsia="zh-CN"/>
        </w:rPr>
        <w:t xml:space="preserve">东沙岛浮标监测系统设备及安装（二次）</w:t>
      </w:r>
      <w:r>
        <w:rPr>
          <w:rFonts w:hint="eastAsia" w:ascii="宋体" w:hAnsi="宋体" w:eastAsia="宋体" w:cs="宋体"/>
          <w:color w:val="000000"/>
          <w:highlight w:val="none"/>
        </w:rPr>
        <w:t xml:space="preserve">采购活动提供本单位制造的货物，或者提供其他残疾人福利性单位制造的货物（不包括使用非残疾人福利性单位注册商标的货物）。</w:t>
      </w:r>
      <w:r>
        <w:rPr>
          <w:highlight w:val="none"/>
        </w:rPr>
      </w:r>
      <w:r/>
    </w:p>
    <w:p>
      <w:pPr>
        <w:pStyle w:val="698"/>
        <w:ind w:firstLine="482"/>
        <w:jc w:val="both"/>
        <w:keepLines w:val="0"/>
        <w:keepNext w:val="0"/>
        <w:pageBreakBefore w:val="0"/>
        <w:spacing w:beforeAutospacing="0" w:afterAutospacing="0" w:line="400" w:lineRule="exact"/>
        <w:widowControl w:val="off"/>
        <w:rPr>
          <w:highlight w:val="none"/>
        </w:rPr>
      </w:pPr>
      <w:r>
        <w:rPr>
          <w:rFonts w:hint="eastAsia" w:ascii="宋体" w:hAnsi="宋体" w:eastAsia="宋体" w:cs="宋体"/>
          <w:color w:val="000000"/>
          <w:highlight w:val="none"/>
        </w:rPr>
        <w:t xml:space="preserve">本单位对上述声明的真实性负责。如有虚假，将依法承担相应责任。</w:t>
      </w:r>
      <w:r>
        <w:rPr>
          <w:highlight w:val="none"/>
        </w:rPr>
      </w:r>
      <w:r/>
    </w:p>
    <w:p>
      <w:pPr>
        <w:pStyle w:val="698"/>
        <w:ind w:firstLine="480"/>
        <w:jc w:val="both"/>
        <w:spacing w:beforeAutospacing="0" w:afterAutospacing="0" w:line="0" w:lineRule="atLeast"/>
        <w:rPr>
          <w:highlight w:val="none"/>
        </w:rPr>
      </w:pPr>
      <w:r>
        <w:rPr>
          <w:highlight w:val="none"/>
        </w:rPr>
        <w:t xml:space="preserve"> </w:t>
      </w:r>
      <w:r>
        <w:rPr>
          <w:highlight w:val="none"/>
        </w:rPr>
      </w:r>
      <w:r/>
    </w:p>
    <w:p>
      <w:pPr>
        <w:pStyle w:val="698"/>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备注：1、供应商如不提供此声明函，价格将不做相应扣除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rPr>
          <w:rFonts w:hint="eastAsia" w:ascii="宋体" w:hAnsi="宋体" w:eastAsia="宋体" w:cs="宋体"/>
          <w:color w:val="000000"/>
          <w:highlight w:val="none"/>
        </w:rPr>
        <w:t xml:space="preserve">。2、中标供应商为残疾人福利单位的，此声明函将随中标结果同时公告，接受社会监督</w:t>
      </w:r>
      <w:r>
        <w:rPr>
          <w:highlight w:val="none"/>
        </w:rPr>
      </w:r>
      <w:r/>
    </w:p>
    <w:p>
      <w:pPr>
        <w:pStyle w:val="698"/>
        <w:ind w:firstLine="624"/>
        <w:jc w:val="both"/>
        <w:spacing w:beforeAutospacing="0" w:afterAutospacing="0" w:line="0" w:lineRule="atLeast"/>
        <w:rPr>
          <w:highlight w:val="none"/>
        </w:rPr>
      </w:pPr>
      <w:r>
        <w:rPr>
          <w:highlight w:val="none"/>
        </w:rPr>
        <w:t xml:space="preserve"> </w:t>
      </w:r>
      <w:r>
        <w:rPr>
          <w:highlight w:val="none"/>
        </w:rPr>
      </w:r>
      <w:r/>
    </w:p>
    <w:p>
      <w:pPr>
        <w:pStyle w:val="698"/>
        <w:ind w:right="1560" w:firstLine="624"/>
        <w:jc w:val="center"/>
        <w:spacing w:beforeAutospacing="0" w:afterAutospacing="0" w:line="0" w:lineRule="atLeast"/>
        <w:tabs>
          <w:tab w:val="left" w:pos="4864" w:leader="none"/>
        </w:tabs>
        <w:rPr>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xml:space="preserve">       供应商全称（加盖CA电子公章）：</w:t>
      </w:r>
      <w:r>
        <w:rPr>
          <w:highlight w:val="none"/>
        </w:rPr>
      </w:r>
      <w:r/>
    </w:p>
    <w:p>
      <w:pPr>
        <w:pStyle w:val="698"/>
        <w:ind w:right="1560" w:firstLine="480"/>
        <w:jc w:val="center"/>
        <w:spacing w:beforeAutospacing="0" w:afterAutospacing="0" w:line="0" w:lineRule="atLeast"/>
        <w:tabs>
          <w:tab w:val="left" w:pos="4864" w:leader="none"/>
        </w:tabs>
        <w:rPr>
          <w:highlight w:val="none"/>
        </w:rPr>
      </w:pPr>
      <w:r>
        <w:rPr>
          <w:rFonts w:hint="eastAsia" w:ascii="宋体" w:hAnsi="宋体" w:eastAsia="宋体" w:cs="宋体"/>
          <w:color w:val="000000"/>
          <w:highlight w:val="none"/>
        </w:rPr>
        <w:t xml:space="preserve">        日  期：</w:t>
      </w:r>
      <w:r>
        <w:rPr>
          <w:highlight w:val="none"/>
        </w:rPr>
      </w:r>
      <w:r/>
    </w:p>
    <w:p>
      <w:pPr>
        <w:pStyle w:val="698"/>
        <w:jc w:val="center"/>
        <w:spacing w:beforeAutospacing="0" w:afterAutospacing="0" w:line="0" w:lineRule="atLeast"/>
        <w:rPr>
          <w:highlight w:val="none"/>
        </w:rPr>
      </w:pPr>
      <w:r>
        <w:rPr>
          <w:highlight w:val="none"/>
        </w:rPr>
        <w:t xml:space="preserve"> </w:t>
      </w:r>
      <w:r>
        <w:rPr>
          <w:highlight w:val="none"/>
        </w:rPr>
      </w:r>
      <w:r/>
    </w:p>
    <w:p>
      <w:pPr>
        <w:pStyle w:val="698"/>
        <w:jc w:val="center"/>
        <w:spacing w:beforeAutospacing="0" w:afterAutospacing="0" w:line="0" w:lineRule="atLeast"/>
        <w:rPr>
          <w:highlight w:val="none"/>
        </w:rPr>
      </w:pPr>
      <w:r>
        <w:rPr>
          <w:highlight w:val="none"/>
        </w:rPr>
        <w:t xml:space="preserve"> </w:t>
      </w:r>
      <w:r>
        <w:rPr>
          <w:highlight w:val="none"/>
        </w:rPr>
      </w:r>
      <w:r/>
    </w:p>
    <w:p>
      <w:pPr>
        <w:pStyle w:val="698"/>
        <w:jc w:val="center"/>
        <w:spacing w:beforeAutospacing="0" w:afterAutospacing="0" w:line="0" w:lineRule="atLeast"/>
        <w:rPr>
          <w:highlight w:val="none"/>
        </w:rPr>
      </w:pPr>
      <w:r>
        <w:rPr>
          <w:highlight w:val="none"/>
        </w:rPr>
        <w:t xml:space="preserve"> </w:t>
      </w:r>
      <w:r>
        <w:rPr>
          <w:highlight w:val="none"/>
        </w:rPr>
      </w:r>
      <w:r/>
    </w:p>
    <w:p>
      <w:pPr>
        <w:pStyle w:val="698"/>
        <w:jc w:val="center"/>
        <w:spacing w:beforeAutospacing="0" w:afterAutospacing="0" w:line="0" w:lineRule="atLeast"/>
        <w:rPr>
          <w:highlight w:val="none"/>
        </w:rPr>
      </w:pPr>
      <w:r>
        <w:rPr>
          <w:highlight w:val="none"/>
        </w:rPr>
        <w:t xml:space="preserve"> </w:t>
      </w:r>
      <w:r>
        <w:rPr>
          <w:highlight w:val="none"/>
        </w:rPr>
      </w:r>
      <w:r/>
    </w:p>
    <w:p>
      <w:pPr>
        <w:pStyle w:val="698"/>
        <w:jc w:val="center"/>
        <w:spacing w:beforeAutospacing="0" w:afterAutospacing="0" w:line="0" w:lineRule="atLeast"/>
        <w:rPr>
          <w:highlight w:val="none"/>
        </w:rPr>
      </w:pPr>
      <w:r>
        <w:rPr>
          <w:highlight w:val="none"/>
        </w:rPr>
        <w:t xml:space="preserve"> </w:t>
      </w:r>
      <w:r>
        <w:rPr>
          <w:highlight w:val="none"/>
        </w:rPr>
      </w:r>
      <w:r/>
    </w:p>
    <w:p>
      <w:pPr>
        <w:pStyle w:val="698"/>
        <w:jc w:val="center"/>
        <w:spacing w:beforeAutospacing="0" w:afterAutospacing="0" w:line="0" w:lineRule="atLeast"/>
        <w:rPr>
          <w:highlight w:val="none"/>
        </w:rPr>
      </w:pPr>
      <w:r>
        <w:rPr>
          <w:highlight w:val="none"/>
        </w:rPr>
        <w:t xml:space="preserve"> </w:t>
      </w:r>
      <w:r>
        <w:rPr>
          <w:highlight w:val="none"/>
        </w:rPr>
      </w:r>
      <w:r/>
    </w:p>
    <w:p>
      <w:pPr>
        <w:pStyle w:val="698"/>
        <w:jc w:val="center"/>
        <w:spacing w:beforeAutospacing="0" w:afterAutospacing="0" w:line="0" w:lineRule="atLeast"/>
        <w:rPr>
          <w:highlight w:val="none"/>
        </w:rPr>
      </w:pPr>
      <w:r>
        <w:rPr>
          <w:highlight w:val="none"/>
        </w:rPr>
        <w:t xml:space="preserve"> </w:t>
      </w:r>
      <w:r>
        <w:rPr>
          <w:highlight w:val="none"/>
        </w:rPr>
      </w:r>
      <w:r/>
    </w:p>
    <w:p>
      <w:pPr>
        <w:pStyle w:val="698"/>
        <w:jc w:val="center"/>
        <w:spacing w:beforeAutospacing="0" w:afterAutospacing="0" w:line="0" w:lineRule="atLeast"/>
        <w:rPr>
          <w:highlight w:val="none"/>
        </w:rPr>
      </w:pPr>
      <w:r>
        <w:rPr>
          <w:highlight w:val="none"/>
        </w:rPr>
        <w:t xml:space="preserve"> </w:t>
      </w:r>
      <w:r>
        <w:rPr>
          <w:highlight w:val="none"/>
        </w:rPr>
      </w:r>
      <w:r/>
    </w:p>
    <w:p>
      <w:pPr>
        <w:pStyle w:val="698"/>
        <w:jc w:val="center"/>
        <w:spacing w:beforeAutospacing="0" w:afterAutospacing="0" w:line="0" w:lineRule="atLeast"/>
        <w:rPr>
          <w:highlight w:val="none"/>
        </w:rPr>
      </w:pPr>
      <w:r>
        <w:rPr>
          <w:highlight w:val="none"/>
        </w:rPr>
        <w:t xml:space="preserve"> </w:t>
      </w:r>
      <w:r>
        <w:rPr>
          <w:highlight w:val="none"/>
        </w:rPr>
      </w:r>
      <w:r/>
    </w:p>
    <w:p>
      <w:pPr>
        <w:pStyle w:val="698"/>
        <w:jc w:val="center"/>
        <w:spacing w:beforeAutospacing="0" w:afterAutospacing="0" w:line="0" w:lineRule="atLeast"/>
        <w:rPr>
          <w:highlight w:val="none"/>
        </w:rPr>
      </w:pPr>
      <w:r>
        <w:rPr>
          <w:highlight w:val="none"/>
        </w:rPr>
      </w:r>
      <w:r/>
    </w:p>
    <w:p>
      <w:pPr>
        <w:pStyle w:val="698"/>
        <w:jc w:val="center"/>
        <w:spacing w:beforeAutospacing="0" w:afterAutospacing="0" w:line="0" w:lineRule="atLeast"/>
        <w:rPr>
          <w:highlight w:val="none"/>
        </w:rPr>
      </w:pPr>
      <w:r>
        <w:rPr>
          <w:highlight w:val="none"/>
        </w:rPr>
      </w:r>
      <w:r/>
    </w:p>
    <w:p>
      <w:pPr>
        <w:pStyle w:val="698"/>
        <w:jc w:val="center"/>
        <w:spacing w:beforeAutospacing="0" w:afterAutospacing="0" w:line="0" w:lineRule="atLeast"/>
        <w:rPr>
          <w:highlight w:val="none"/>
        </w:rPr>
      </w:pPr>
      <w:r>
        <w:rPr>
          <w:highlight w:val="none"/>
        </w:rPr>
      </w:r>
      <w:r/>
    </w:p>
    <w:p>
      <w:pPr>
        <w:pStyle w:val="698"/>
        <w:jc w:val="center"/>
        <w:spacing w:beforeAutospacing="0" w:afterAutospacing="0" w:line="0" w:lineRule="atLeast"/>
        <w:rPr>
          <w:highlight w:val="none"/>
        </w:rPr>
      </w:pPr>
      <w:r>
        <w:rPr>
          <w:highlight w:val="none"/>
        </w:rPr>
      </w:r>
      <w:r/>
    </w:p>
    <w:p>
      <w:pPr>
        <w:pStyle w:val="698"/>
        <w:jc w:val="center"/>
        <w:spacing w:beforeAutospacing="0" w:afterAutospacing="0" w:line="0" w:lineRule="atLeast"/>
        <w:rPr>
          <w:highlight w:val="none"/>
        </w:rPr>
      </w:pPr>
      <w:r>
        <w:rPr>
          <w:highlight w:val="none"/>
        </w:rPr>
      </w:r>
      <w:r/>
    </w:p>
    <w:p>
      <w:pPr>
        <w:pStyle w:val="698"/>
        <w:jc w:val="center"/>
        <w:spacing w:beforeAutospacing="0" w:afterAutospacing="0" w:line="0" w:lineRule="atLeast"/>
        <w:rPr>
          <w:highlight w:val="none"/>
        </w:rPr>
      </w:pPr>
      <w:r>
        <w:rPr>
          <w:highlight w:val="none"/>
        </w:rPr>
      </w:r>
      <w:r/>
    </w:p>
    <w:p>
      <w:pPr>
        <w:pStyle w:val="698"/>
        <w:jc w:val="center"/>
        <w:spacing w:beforeAutospacing="0" w:afterAutospacing="0" w:line="0" w:lineRule="atLeast"/>
        <w:rPr>
          <w:highlight w:val="none"/>
        </w:rPr>
      </w:pPr>
      <w:r>
        <w:rPr>
          <w:highlight w:val="none"/>
        </w:rPr>
      </w:r>
      <w:r/>
    </w:p>
    <w:p>
      <w:pPr>
        <w:pStyle w:val="698"/>
        <w:jc w:val="center"/>
        <w:spacing w:beforeAutospacing="0" w:afterAutospacing="0" w:line="0" w:lineRule="atLeast"/>
        <w:rPr>
          <w:highlight w:val="none"/>
        </w:rPr>
      </w:pPr>
      <w:r>
        <w:rPr>
          <w:highlight w:val="none"/>
        </w:rPr>
      </w:r>
      <w:r/>
    </w:p>
    <w:p>
      <w:pPr>
        <w:pStyle w:val="698"/>
        <w:jc w:val="center"/>
        <w:spacing w:beforeAutospacing="0" w:afterAutospacing="0" w:line="0" w:lineRule="atLeast"/>
        <w:rPr>
          <w:highlight w:val="none"/>
        </w:rPr>
      </w:pPr>
      <w:r>
        <w:rPr>
          <w:highlight w:val="none"/>
        </w:rPr>
      </w:r>
      <w:r/>
    </w:p>
    <w:p>
      <w:pPr>
        <w:pStyle w:val="698"/>
        <w:jc w:val="center"/>
        <w:spacing w:beforeAutospacing="0" w:afterAutospacing="0" w:line="0" w:lineRule="atLeast"/>
        <w:rPr>
          <w:highlight w:val="none"/>
        </w:rPr>
      </w:pPr>
      <w:r>
        <w:rPr>
          <w:highlight w:val="none"/>
        </w:rPr>
      </w:r>
      <w:r/>
    </w:p>
    <w:p>
      <w:pPr>
        <w:pStyle w:val="698"/>
        <w:jc w:val="center"/>
        <w:spacing w:beforeAutospacing="0" w:afterAutospacing="0" w:line="0" w:lineRule="atLeast"/>
        <w:rPr>
          <w:highlight w:val="none"/>
        </w:rPr>
      </w:pPr>
      <w:r>
        <w:rPr>
          <w:highlight w:val="none"/>
        </w:rPr>
      </w:r>
      <w:r/>
    </w:p>
    <w:p>
      <w:pPr>
        <w:pStyle w:val="698"/>
        <w:jc w:val="center"/>
        <w:spacing w:beforeAutospacing="0" w:afterAutospacing="0" w:line="0" w:lineRule="atLeast"/>
        <w:rPr>
          <w:highlight w:val="none"/>
        </w:rPr>
      </w:pPr>
      <w:r>
        <w:rPr>
          <w:highlight w:val="none"/>
        </w:rPr>
      </w:r>
      <w:r/>
    </w:p>
    <w:p>
      <w:pPr>
        <w:pStyle w:val="698"/>
        <w:jc w:val="center"/>
        <w:spacing w:beforeAutospacing="0" w:afterAutospacing="0" w:line="0" w:lineRule="atLeast"/>
        <w:rPr>
          <w:highlight w:val="none"/>
        </w:rPr>
      </w:pPr>
      <w:r>
        <w:rPr>
          <w:highlight w:val="none"/>
        </w:rPr>
      </w:r>
      <w:r/>
    </w:p>
    <w:p>
      <w:pPr>
        <w:pStyle w:val="698"/>
        <w:jc w:val="center"/>
        <w:spacing w:beforeAutospacing="0" w:afterAutospacing="0" w:line="0" w:lineRule="atLeast"/>
        <w:rPr>
          <w:highlight w:val="none"/>
        </w:rPr>
      </w:pPr>
      <w:r>
        <w:rPr>
          <w:highlight w:val="none"/>
        </w:rPr>
      </w:r>
      <w:r/>
    </w:p>
    <w:p>
      <w:pPr>
        <w:pStyle w:val="698"/>
        <w:jc w:val="center"/>
        <w:spacing w:beforeAutospacing="0" w:afterAutospacing="0" w:line="0" w:lineRule="atLeast"/>
        <w:rPr>
          <w:highlight w:val="none"/>
        </w:rPr>
      </w:pPr>
      <w:r>
        <w:rPr>
          <w:highlight w:val="none"/>
        </w:rPr>
      </w:r>
      <w:r/>
    </w:p>
    <w:p>
      <w:pPr>
        <w:pStyle w:val="698"/>
        <w:jc w:val="center"/>
        <w:spacing w:beforeAutospacing="0" w:afterAutospacing="0" w:line="0" w:lineRule="atLeast"/>
        <w:rPr>
          <w:highlight w:val="none"/>
        </w:rPr>
      </w:pPr>
      <w:r>
        <w:rPr>
          <w:highlight w:val="none"/>
        </w:rPr>
      </w:r>
      <w:r/>
    </w:p>
    <w:p>
      <w:pPr>
        <w:pStyle w:val="698"/>
        <w:jc w:val="center"/>
        <w:spacing w:beforeAutospacing="0" w:afterAutospacing="0" w:line="0" w:lineRule="atLeast"/>
        <w:rPr>
          <w:highlight w:val="none"/>
        </w:rPr>
      </w:pPr>
      <w:r>
        <w:rPr>
          <w:highlight w:val="none"/>
        </w:rPr>
      </w:r>
      <w:r/>
    </w:p>
    <w:p>
      <w:pPr>
        <w:pStyle w:val="698"/>
        <w:jc w:val="center"/>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698"/>
        <w:ind w:left="0" w:right="0"/>
        <w:jc w:val="center"/>
        <w:keepLines w:val="0"/>
        <w:keepNext w:val="0"/>
        <w:spacing w:before="0" w:beforeAutospacing="0" w:after="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黑体" w:hAnsi="宋体" w:eastAsia="黑体" w:cs="黑体"/>
          <w:b/>
          <w:bCs/>
          <w:color w:val="000000"/>
          <w:sz w:val="32"/>
          <w:szCs w:val="32"/>
        </w:rPr>
        <w:t xml:space="preserve">十一、 关于符合本国产品标准的声明函</w:t>
      </w:r>
      <w:r>
        <w:rPr>
          <w:b/>
          <w:bCs/>
          <w:color w:val="000000"/>
        </w:rPr>
      </w:r>
      <w:r/>
    </w:p>
    <w:p>
      <w:pPr>
        <w:pStyle w:val="698"/>
        <w:ind w:left="0" w:firstLine="420"/>
        <w:jc w:val="both"/>
        <w:keepLines w:val="0"/>
        <w:keepNext w:val="0"/>
        <w:spacing w:before="0" w:beforeAutospacing="0" w:after="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Arial" w:hAnsi="Arial" w:cs="Arial"/>
          <w:b/>
          <w:bCs/>
          <w:color w:val="000000"/>
          <w:sz w:val="24"/>
          <w:szCs w:val="24"/>
        </w:rPr>
        <w:t xml:space="preserve"> </w:t>
      </w:r>
      <w:r>
        <w:rPr>
          <w:b/>
          <w:bCs/>
          <w:color w:val="000000"/>
        </w:rPr>
      </w:r>
      <w:r/>
    </w:p>
    <w:p>
      <w:pPr>
        <w:pStyle w:val="698"/>
        <w:ind w:left="0" w:firstLine="420"/>
        <w:jc w:val="both"/>
        <w:keepLines w:val="0"/>
        <w:keepNext w:val="0"/>
        <w:spacing w:before="0" w:beforeAutospacing="0" w:after="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rPr>
          <w:b/>
          <w:bCs/>
          <w:color w:val="000000"/>
        </w:rPr>
      </w:r>
      <w:r/>
    </w:p>
    <w:p>
      <w:pPr>
        <w:pStyle w:val="698"/>
        <w:numPr>
          <w:ilvl w:val="0"/>
          <w:numId w:val="2"/>
        </w:numPr>
        <w:ind w:left="0" w:firstLine="420"/>
        <w:jc w:val="both"/>
        <w:keepLines w:val="0"/>
        <w:keepNext w:val="0"/>
        <w:spacing w:before="30" w:beforeAutospacing="0" w:after="30" w:afterAutospacing="0"/>
        <w:widowControl w:val="off"/>
        <w:tabs>
          <w:tab w:val="left" w:pos="312" w:leader="none"/>
        </w:tabs>
        <w:rPr>
          <w:rFonts w:ascii="宋体" w:hAnsi="宋体" w:eastAsia="宋体" w:cs="宋体"/>
          <w:b/>
          <w:bCs/>
          <w:color w:val="000000"/>
          <w:sz w:val="24"/>
          <w:szCs w:val="24"/>
          <w:shd w:val="clear" w:color="auto" w:fill="ffffff"/>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u w:val="single"/>
          <w:shd w:val="clear" w:color="auto" w:fill="ffffff"/>
        </w:rPr>
        <w:t xml:space="preserve">（产品名称1）</w:t>
      </w:r>
      <w:r>
        <w:rPr>
          <w:rFonts w:ascii="宋体" w:hAnsi="宋体" w:eastAsia="宋体" w:cs="宋体"/>
          <w:b/>
          <w:bCs/>
          <w:color w:val="000000"/>
          <w:sz w:val="24"/>
          <w:szCs w:val="24"/>
          <w:shd w:val="clear" w:color="auto" w:fill="ffffff"/>
          <w:vertAlign w:val="superscript"/>
        </w:rPr>
        <w:t xml:space="preserve">1</w:t>
      </w:r>
      <w:r>
        <w:rPr>
          <w:rFonts w:ascii="宋体" w:hAnsi="宋体" w:eastAsia="宋体" w:cs="宋体"/>
          <w:b/>
          <w:bCs/>
          <w:color w:val="000000"/>
          <w:sz w:val="24"/>
          <w:szCs w:val="24"/>
          <w:shd w:val="clear" w:color="auto" w:fill="ffffff"/>
        </w:rPr>
        <w:t xml:space="preserve">，生产厂为</w:t>
      </w:r>
      <w:r>
        <w:rPr>
          <w:rFonts w:ascii="宋体" w:hAnsi="宋体" w:eastAsia="宋体" w:cs="宋体"/>
          <w:b/>
          <w:bCs/>
          <w:color w:val="000000"/>
          <w:sz w:val="24"/>
          <w:szCs w:val="24"/>
          <w:u w:val="single"/>
          <w:shd w:val="clear" w:color="auto" w:fill="ffffff"/>
        </w:rPr>
        <w:t xml:space="preserve">（厂名）</w:t>
      </w:r>
      <w:r>
        <w:rPr>
          <w:rFonts w:ascii="宋体" w:hAnsi="宋体" w:eastAsia="宋体" w:cs="宋体"/>
          <w:b/>
          <w:bCs/>
          <w:color w:val="000000"/>
          <w:sz w:val="24"/>
          <w:szCs w:val="24"/>
          <w:shd w:val="clear" w:color="auto" w:fill="ffffff"/>
          <w:vertAlign w:val="superscript"/>
        </w:rPr>
        <w:t xml:space="preserve">2</w:t>
      </w:r>
      <w:r>
        <w:rPr>
          <w:rFonts w:ascii="宋体" w:hAnsi="宋体" w:eastAsia="宋体" w:cs="宋体"/>
          <w:b/>
          <w:bCs/>
          <w:color w:val="000000"/>
          <w:sz w:val="24"/>
          <w:szCs w:val="24"/>
          <w:shd w:val="clear" w:color="auto" w:fill="ffffff"/>
        </w:rPr>
        <w:t xml:space="preserve">，厂址为</w:t>
      </w:r>
      <w:r>
        <w:rPr>
          <w:rFonts w:ascii="宋体" w:hAnsi="宋体" w:eastAsia="宋体" w:cs="宋体"/>
          <w:b/>
          <w:bCs/>
          <w:color w:val="000000"/>
          <w:sz w:val="24"/>
          <w:szCs w:val="24"/>
          <w:u w:val="single"/>
          <w:shd w:val="clear" w:color="auto" w:fill="ffffff"/>
        </w:rPr>
        <w:t xml:space="preserve">（生产厂址）</w:t>
      </w:r>
      <w:r>
        <w:rPr>
          <w:rFonts w:ascii="宋体" w:hAnsi="宋体" w:eastAsia="宋体" w:cs="宋体"/>
          <w:b/>
          <w:bCs/>
          <w:color w:val="000000"/>
          <w:sz w:val="24"/>
          <w:szCs w:val="24"/>
          <w:shd w:val="clear" w:color="auto" w:fill="ffffff"/>
        </w:rPr>
        <w:t xml:space="preserve">。</w:t>
      </w:r>
      <w:r>
        <w:rPr>
          <w:rFonts w:ascii="宋体" w:hAnsi="宋体" w:eastAsia="宋体" w:cs="宋体"/>
          <w:b/>
          <w:bCs/>
          <w:color w:val="000000"/>
          <w:sz w:val="24"/>
          <w:szCs w:val="24"/>
          <w:shd w:val="clear" w:color="auto" w:fill="ffffff"/>
        </w:rPr>
      </w:r>
      <w:r/>
    </w:p>
    <w:p>
      <w:pPr>
        <w:pStyle w:val="698"/>
        <w:numPr>
          <w:ilvl w:val="0"/>
          <w:numId w:val="0"/>
        </w:numPr>
        <w:ind w:left="420"/>
        <w:jc w:val="both"/>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2.</w:t>
      </w:r>
      <w:r>
        <w:rPr>
          <w:rFonts w:ascii="宋体" w:hAnsi="宋体" w:eastAsia="宋体" w:cs="宋体"/>
          <w:b/>
          <w:bCs/>
          <w:color w:val="000000"/>
          <w:sz w:val="24"/>
          <w:szCs w:val="24"/>
          <w:u w:val="single"/>
          <w:shd w:val="clear" w:color="auto" w:fill="ffffff"/>
        </w:rPr>
        <w:t xml:space="preserve">（产品名称2）</w:t>
      </w:r>
      <w:r>
        <w:rPr>
          <w:rFonts w:ascii="宋体" w:hAnsi="宋体" w:eastAsia="宋体" w:cs="宋体"/>
          <w:b/>
          <w:bCs/>
          <w:color w:val="000000"/>
          <w:sz w:val="24"/>
          <w:szCs w:val="24"/>
          <w:shd w:val="clear" w:color="auto" w:fill="ffffff"/>
        </w:rPr>
        <w:t xml:space="preserve">，生产厂为</w:t>
      </w:r>
      <w:r>
        <w:rPr>
          <w:rFonts w:ascii="宋体" w:hAnsi="宋体" w:eastAsia="宋体" w:cs="宋体"/>
          <w:b/>
          <w:bCs/>
          <w:color w:val="000000"/>
          <w:sz w:val="24"/>
          <w:szCs w:val="24"/>
          <w:u w:val="single"/>
          <w:shd w:val="clear" w:color="auto" w:fill="ffffff"/>
        </w:rPr>
        <w:t xml:space="preserve">（厂名）</w:t>
      </w:r>
      <w:r>
        <w:rPr>
          <w:rFonts w:ascii="宋体" w:hAnsi="宋体" w:eastAsia="宋体" w:cs="宋体"/>
          <w:b/>
          <w:bCs/>
          <w:color w:val="000000"/>
          <w:sz w:val="24"/>
          <w:szCs w:val="24"/>
          <w:shd w:val="clear" w:color="auto" w:fill="ffffff"/>
        </w:rPr>
        <w:t xml:space="preserve">，厂址为</w:t>
      </w:r>
      <w:r>
        <w:rPr>
          <w:rFonts w:ascii="宋体" w:hAnsi="宋体" w:eastAsia="宋体" w:cs="宋体"/>
          <w:b/>
          <w:bCs/>
          <w:color w:val="000000"/>
          <w:sz w:val="24"/>
          <w:szCs w:val="24"/>
          <w:u w:val="single"/>
          <w:shd w:val="clear" w:color="auto" w:fill="ffffff"/>
        </w:rPr>
        <w:t xml:space="preserve">（生产厂址）</w:t>
      </w:r>
      <w:r>
        <w:rPr>
          <w:rFonts w:ascii="宋体" w:hAnsi="宋体" w:eastAsia="宋体" w:cs="宋体"/>
          <w:b/>
          <w:bCs/>
          <w:color w:val="000000"/>
          <w:sz w:val="24"/>
          <w:szCs w:val="24"/>
          <w:shd w:val="clear" w:color="auto" w:fill="ffffff"/>
        </w:rPr>
        <w:t xml:space="preserve">。</w:t>
      </w:r>
      <w:r>
        <w:rPr>
          <w:b/>
          <w:bCs/>
          <w:color w:val="000000"/>
        </w:rPr>
      </w:r>
      <w:r/>
    </w:p>
    <w:p>
      <w:pPr>
        <w:pStyle w:val="698"/>
        <w:ind w:left="0" w:firstLine="420"/>
        <w:jc w:val="both"/>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w:t>
      </w:r>
      <w:r>
        <w:rPr>
          <w:b/>
          <w:bCs/>
          <w:color w:val="000000"/>
        </w:rPr>
      </w:r>
      <w:r/>
    </w:p>
    <w:p>
      <w:pPr>
        <w:pStyle w:val="698"/>
        <w:ind w:left="0" w:firstLine="420"/>
        <w:jc w:val="both"/>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本公司（单位）对上述声明内容的真实性负责。如有虚假，愿承担相应法律责任。</w:t>
      </w:r>
      <w:r>
        <w:rPr>
          <w:b/>
          <w:bCs/>
          <w:color w:val="000000"/>
        </w:rPr>
      </w:r>
      <w:r/>
    </w:p>
    <w:p>
      <w:pPr>
        <w:pStyle w:val="698"/>
        <w:jc w:val="both"/>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rPr>
        <w:t xml:space="preserve"> </w:t>
      </w:r>
      <w:r>
        <w:rPr>
          <w:b/>
          <w:bCs/>
          <w:color w:val="000000"/>
        </w:rPr>
      </w:r>
      <w:r/>
    </w:p>
    <w:p>
      <w:pPr>
        <w:pStyle w:val="698"/>
        <w:ind w:left="0" w:right="480" w:firstLine="3720"/>
        <w:jc w:val="both"/>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公司（单位）名称（盖章）：　</w:t>
      </w:r>
      <w:r>
        <w:rPr>
          <w:b/>
          <w:bCs/>
          <w:color w:val="000000"/>
        </w:rPr>
      </w:r>
      <w:r/>
    </w:p>
    <w:p>
      <w:pPr>
        <w:pStyle w:val="698"/>
        <w:jc w:val="center"/>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                   日期：　   年　  月　  日         </w:t>
      </w:r>
      <w:r>
        <w:rPr>
          <w:b/>
          <w:bCs/>
          <w:color w:val="000000"/>
        </w:rPr>
      </w:r>
      <w:r/>
    </w:p>
    <w:p>
      <w:pPr>
        <w:pStyle w:val="698"/>
        <w:jc w:val="both"/>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__________________</w:t>
      </w:r>
      <w:r>
        <w:rPr>
          <w:b/>
          <w:bCs/>
          <w:color w:val="000000"/>
        </w:rPr>
      </w:r>
      <w:r/>
    </w:p>
    <w:p>
      <w:pPr>
        <w:pStyle w:val="698"/>
        <w:jc w:val="both"/>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1.产品如有型号，请在“产品名称”栏一并填写。</w:t>
      </w:r>
      <w:r>
        <w:rPr>
          <w:b/>
          <w:bCs/>
          <w:color w:val="000000"/>
        </w:rPr>
      </w:r>
      <w:r/>
    </w:p>
    <w:p>
      <w:pPr>
        <w:pStyle w:val="698"/>
        <w:jc w:val="both"/>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2.生产厂名与厂址应与生产厂营业执照载明的相关信息保持一致。</w:t>
      </w:r>
      <w:r>
        <w:rPr>
          <w:b/>
          <w:bCs/>
          <w:color w:val="000000"/>
        </w:rPr>
      </w:r>
      <w:r/>
    </w:p>
    <w:p>
      <w:pPr>
        <w:pStyle w:val="680"/>
        <w:numPr>
          <w:ilvl w:val="0"/>
          <w:numId w:val="0"/>
        </w:numPr>
        <w:rPr>
          <w:rFonts w:hint="eastAsia" w:ascii="宋体" w:hAnsi="宋体" w:eastAsia="宋体" w:cs="宋体"/>
          <w:b/>
          <w:bCs/>
          <w:color w:val="000000"/>
          <w:sz w:val="24"/>
          <w:szCs w:val="24"/>
          <w:shd w:val="clear" w:color="auto" w:fill="ffffff"/>
          <w:lang w:val="en-US" w:eastAsia="zh-CN"/>
        </w:rPr>
      </w:pPr>
      <w:r>
        <w:rPr>
          <w:rFonts w:hint="eastAsia" w:ascii="宋体" w:hAnsi="宋体" w:eastAsia="宋体" w:cs="宋体"/>
          <w:b/>
          <w:bCs/>
          <w:color w:val="000000"/>
          <w:sz w:val="24"/>
          <w:szCs w:val="24"/>
          <w:shd w:val="clear" w:color="auto" w:fill="ffffff"/>
          <w:lang w:val="en-US" w:eastAsia="zh-CN"/>
        </w:rPr>
      </w:r>
      <w:r/>
    </w:p>
    <w:p>
      <w:pPr>
        <w:pStyle w:val="680"/>
        <w:numPr>
          <w:ilvl w:val="0"/>
          <w:numId w:val="0"/>
        </w:numPr>
        <w:rPr>
          <w:rFonts w:hint="eastAsia" w:ascii="宋体" w:hAnsi="宋体" w:eastAsia="宋体" w:cs="宋体"/>
          <w:b/>
          <w:bCs/>
          <w:color w:val="000000"/>
          <w:sz w:val="24"/>
          <w:szCs w:val="24"/>
          <w:highlight w:val="none"/>
          <w:u w:val="single"/>
          <w:lang w:val="en-US" w:eastAsia="zh-CN" w:bidi="ar-SA"/>
        </w:rPr>
      </w:pPr>
      <w:r>
        <w:rPr>
          <w:rFonts w:hint="eastAsia" w:ascii="宋体" w:hAnsi="宋体" w:eastAsia="宋体" w:cs="宋体"/>
          <w:b/>
          <w:bCs/>
          <w:color w:val="000000"/>
          <w:sz w:val="24"/>
          <w:szCs w:val="24"/>
          <w:shd w:val="clear" w:color="auto" w:fill="ffffff"/>
          <w:lang w:val="en-US" w:eastAsia="zh-CN"/>
        </w:rPr>
        <w:t xml:space="preserve">备注：</w:t>
      </w:r>
      <w:r>
        <w:rPr>
          <w:rFonts w:hint="eastAsia" w:ascii="宋体" w:hAnsi="宋体" w:eastAsia="宋体" w:cs="宋体"/>
          <w:b/>
          <w:bCs/>
          <w:color w:val="000000"/>
          <w:sz w:val="24"/>
          <w:szCs w:val="24"/>
          <w:highlight w:val="none"/>
          <w:lang w:val="en-US" w:eastAsia="zh-CN" w:bidi="ar-SA"/>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000000"/>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宋体" w:cs="宋体"/>
          <w:b/>
          <w:bCs/>
          <w:color w:val="000000"/>
          <w:sz w:val="24"/>
          <w:szCs w:val="24"/>
          <w:highlight w:val="none"/>
          <w:u w:val="single"/>
          <w:lang w:val="en-US" w:eastAsia="zh-CN" w:bidi="ar-SA"/>
        </w:rPr>
      </w:r>
      <w:r/>
    </w:p>
    <w:p>
      <w:pPr>
        <w:pStyle w:val="698"/>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pStyle w:val="698"/>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pStyle w:val="698"/>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pStyle w:val="698"/>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pStyle w:val="698"/>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pStyle w:val="698"/>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pStyle w:val="698"/>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pStyle w:val="698"/>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pStyle w:val="698"/>
        <w:jc w:val="both"/>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pStyle w:val="698"/>
        <w:jc w:val="center"/>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lang w:val="en-US" w:eastAsia="zh-CN"/>
        </w:rPr>
        <w:t xml:space="preserve">十二、</w:t>
      </w:r>
      <w:r>
        <w:rPr>
          <w:rFonts w:hint="eastAsia" w:ascii="黑体" w:hAnsi="宋体" w:eastAsia="黑体" w:cs="黑体"/>
          <w:b/>
          <w:color w:val="000000"/>
          <w:sz w:val="32"/>
          <w:szCs w:val="32"/>
          <w:highlight w:val="none"/>
        </w:rPr>
        <w:t xml:space="preserve">投标产品配置及分项报价表</w:t>
      </w:r>
      <w:r>
        <w:rPr>
          <w:rFonts w:hint="eastAsia" w:ascii="黑体" w:hAnsi="宋体" w:eastAsia="黑体" w:cs="黑体"/>
          <w:b/>
          <w:color w:val="000000"/>
          <w:sz w:val="32"/>
          <w:szCs w:val="32"/>
          <w:highlight w:val="none"/>
        </w:rPr>
      </w:r>
      <w:r/>
    </w:p>
    <w:p>
      <w:pPr>
        <w:pStyle w:val="680"/>
        <w:numPr>
          <w:ilvl w:val="0"/>
          <w:numId w:val="0"/>
        </w:numPr>
        <w:jc w:val="center"/>
        <w:widowControl w:val="off"/>
        <w:rPr>
          <w:rFonts w:hint="eastAsia" w:ascii="黑体" w:hAnsi="宋体" w:eastAsia="黑体"/>
          <w:b/>
          <w:color w:val="000000"/>
          <w:sz w:val="32"/>
          <w:szCs w:val="32"/>
          <w:highlight w:val="none"/>
        </w:rPr>
      </w:pPr>
      <w:r>
        <w:rPr>
          <w:rFonts w:hint="eastAsia" w:ascii="黑体" w:hAnsi="宋体" w:eastAsia="黑体"/>
          <w:b/>
          <w:color w:val="000000"/>
          <w:sz w:val="32"/>
          <w:szCs w:val="32"/>
          <w:highlight w:val="none"/>
        </w:rPr>
      </w:r>
      <w:r/>
    </w:p>
    <w:tbl>
      <w:tblPr>
        <w:tblW w:w="4997"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16"/>
        <w:gridCol w:w="675"/>
        <w:gridCol w:w="4269"/>
        <w:gridCol w:w="416"/>
        <w:gridCol w:w="416"/>
        <w:gridCol w:w="816"/>
        <w:gridCol w:w="819"/>
        <w:gridCol w:w="690"/>
      </w:tblGrid>
      <w:tr>
        <w:trPr>
          <w:trHeight w:val="840"/>
        </w:trPr>
        <w:tc>
          <w:tcPr>
            <w:tcW w:w="244"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序号</w:t>
            </w:r>
            <w:r>
              <w:rPr>
                <w:rFonts w:hint="eastAsia" w:ascii="宋体" w:hAnsi="宋体" w:eastAsia="宋体" w:cs="宋体"/>
                <w:b w:val="0"/>
                <w:bCs w:val="0"/>
                <w:i w:val="0"/>
                <w:iCs w:val="0"/>
                <w:color w:val="000000"/>
                <w:sz w:val="20"/>
                <w:szCs w:val="20"/>
                <w:highlight w:val="none"/>
                <w:u w:val="none"/>
              </w:rPr>
            </w:r>
            <w:r/>
          </w:p>
        </w:tc>
        <w:tc>
          <w:tcPr>
            <w:tcW w:w="397"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工程内容</w:t>
            </w:r>
            <w:r>
              <w:rPr>
                <w:rFonts w:hint="eastAsia" w:ascii="宋体" w:hAnsi="宋体" w:eastAsia="宋体" w:cs="宋体"/>
                <w:b w:val="0"/>
                <w:bCs w:val="0"/>
                <w:i w:val="0"/>
                <w:iCs w:val="0"/>
                <w:color w:val="000000"/>
                <w:sz w:val="20"/>
                <w:szCs w:val="20"/>
                <w:highlight w:val="none"/>
                <w:u w:val="none"/>
              </w:rPr>
            </w:r>
            <w:r/>
          </w:p>
        </w:tc>
        <w:tc>
          <w:tcPr>
            <w:tcW w:w="2506"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规格参数</w:t>
            </w:r>
            <w:r>
              <w:rPr>
                <w:rFonts w:hint="eastAsia" w:ascii="宋体" w:hAnsi="宋体" w:eastAsia="宋体" w:cs="宋体"/>
                <w:b w:val="0"/>
                <w:bCs w:val="0"/>
                <w:i w:val="0"/>
                <w:iCs w:val="0"/>
                <w:color w:val="000000"/>
                <w:sz w:val="20"/>
                <w:szCs w:val="20"/>
                <w:highlight w:val="none"/>
                <w:u w:val="none"/>
              </w:rPr>
            </w:r>
            <w:r/>
          </w:p>
        </w:tc>
        <w:tc>
          <w:tcPr>
            <w:tcW w:w="244"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单 位</w:t>
            </w:r>
            <w:r>
              <w:rPr>
                <w:rFonts w:hint="eastAsia" w:ascii="宋体" w:hAnsi="宋体" w:eastAsia="宋体" w:cs="宋体"/>
                <w:b w:val="0"/>
                <w:bCs w:val="0"/>
                <w:i w:val="0"/>
                <w:iCs w:val="0"/>
                <w:color w:val="000000"/>
                <w:sz w:val="20"/>
                <w:szCs w:val="20"/>
                <w:highlight w:val="none"/>
                <w:u w:val="none"/>
              </w:rPr>
            </w:r>
            <w:r/>
          </w:p>
        </w:tc>
        <w:tc>
          <w:tcPr>
            <w:tcW w:w="244"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数量</w:t>
            </w:r>
            <w:r>
              <w:rPr>
                <w:rFonts w:hint="eastAsia" w:ascii="宋体" w:hAnsi="宋体" w:eastAsia="宋体" w:cs="宋体"/>
                <w:b w:val="0"/>
                <w:bCs w:val="0"/>
                <w:i w:val="0"/>
                <w:iCs w:val="0"/>
                <w:color w:val="000000"/>
                <w:sz w:val="20"/>
                <w:szCs w:val="20"/>
                <w:highlight w:val="none"/>
                <w:u w:val="none"/>
              </w:rPr>
            </w:r>
            <w:r/>
          </w:p>
        </w:tc>
        <w:tc>
          <w:tcPr>
            <w:tcW w:w="479"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单价（元）</w:t>
            </w:r>
            <w:r>
              <w:rPr>
                <w:rFonts w:hint="eastAsia" w:ascii="宋体" w:hAnsi="宋体" w:eastAsia="宋体" w:cs="宋体"/>
                <w:b w:val="0"/>
                <w:bCs w:val="0"/>
                <w:i w:val="0"/>
                <w:iCs w:val="0"/>
                <w:color w:val="000000"/>
                <w:sz w:val="20"/>
                <w:szCs w:val="20"/>
                <w:highlight w:val="none"/>
                <w:u w:val="none"/>
                <w:lang w:val="en-US" w:eastAsia="zh-CN" w:bidi="ar"/>
              </w:rPr>
            </w:r>
            <w:r/>
          </w:p>
        </w:tc>
        <w:tc>
          <w:tcPr>
            <w:tcW w:w="481"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总价（元）</w:t>
            </w:r>
            <w:r>
              <w:rPr>
                <w:rFonts w:hint="eastAsia" w:ascii="宋体" w:hAnsi="宋体" w:eastAsia="宋体" w:cs="宋体"/>
                <w:b w:val="0"/>
                <w:bCs w:val="0"/>
                <w:i w:val="0"/>
                <w:iCs w:val="0"/>
                <w:color w:val="000000"/>
                <w:sz w:val="20"/>
                <w:szCs w:val="20"/>
                <w:highlight w:val="none"/>
                <w:u w:val="none"/>
                <w:lang w:val="en-US" w:eastAsia="zh-CN" w:bidi="ar"/>
              </w:rPr>
            </w:r>
            <w:r/>
          </w:p>
        </w:tc>
        <w:tc>
          <w:tcPr>
            <w:tcW w:w="401" w:type="dxa"/>
            <w:vAlign w:val="center"/>
            <w:textDirection w:val="lrTb"/>
            <w:noWrap w:val="false"/>
          </w:tcPr>
          <w:p>
            <w:pPr>
              <w:pStyle w:val="680"/>
              <w:jc w:val="center"/>
              <w:keepLines w:val="0"/>
              <w:keepNext w:val="0"/>
              <w:widowControl/>
              <w:rPr>
                <w:rFonts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cs="宋体"/>
                <w:b w:val="0"/>
                <w:bCs w:val="0"/>
                <w:i w:val="0"/>
                <w:iCs w:val="0"/>
                <w:color w:val="000000"/>
                <w:sz w:val="20"/>
                <w:szCs w:val="20"/>
                <w:highlight w:val="none"/>
                <w:u w:val="none"/>
                <w:lang w:val="en-US" w:eastAsia="zh-CN" w:bidi="ar"/>
              </w:rPr>
              <w:t xml:space="preserve">品牌</w:t>
            </w:r>
            <w:r>
              <w:rPr>
                <w:rFonts w:ascii="宋体" w:hAnsi="宋体" w:eastAsia="宋体" w:cs="宋体"/>
                <w:b w:val="0"/>
                <w:bCs w:val="0"/>
                <w:i w:val="0"/>
                <w:iCs w:val="0"/>
                <w:color w:val="000000"/>
                <w:sz w:val="20"/>
                <w:szCs w:val="20"/>
                <w:highlight w:val="none"/>
                <w:u w:val="none"/>
                <w:lang w:val="en-US" w:eastAsia="zh-CN" w:bidi="ar"/>
              </w:rPr>
            </w:r>
            <w:r/>
          </w:p>
        </w:tc>
      </w:tr>
      <w:tr>
        <w:trPr>
          <w:trHeight w:val="2160"/>
        </w:trPr>
        <w:tc>
          <w:tcPr>
            <w:tcW w:w="416"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1</w:t>
            </w:r>
            <w:r>
              <w:rPr>
                <w:rFonts w:hint="eastAsia" w:ascii="宋体" w:hAnsi="宋体" w:eastAsia="宋体" w:cs="宋体"/>
                <w:b w:val="0"/>
                <w:bCs w:val="0"/>
                <w:i w:val="0"/>
                <w:iCs w:val="0"/>
                <w:color w:val="000000"/>
                <w:sz w:val="20"/>
                <w:szCs w:val="20"/>
                <w:highlight w:val="none"/>
                <w:u w:val="none"/>
              </w:rPr>
            </w:r>
            <w:r/>
          </w:p>
        </w:tc>
        <w:tc>
          <w:tcPr>
            <w:tcW w:w="675"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数据采集器(含北斗通讯机)</w:t>
            </w:r>
            <w:r>
              <w:rPr>
                <w:rFonts w:hint="eastAsia" w:ascii="宋体" w:hAnsi="宋体" w:eastAsia="宋体" w:cs="宋体"/>
                <w:b w:val="0"/>
                <w:bCs w:val="0"/>
                <w:i w:val="0"/>
                <w:iCs w:val="0"/>
                <w:color w:val="000000"/>
                <w:sz w:val="20"/>
                <w:szCs w:val="20"/>
                <w:highlight w:val="none"/>
                <w:u w:val="none"/>
              </w:rPr>
            </w:r>
            <w:r/>
          </w:p>
        </w:tc>
        <w:tc>
          <w:tcPr>
            <w:tcW w:w="4265"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1.国产设备,系统包括主板以及存储卡等。能采集海流(单点+剖面:流速、流向)、波浪(</w:t>
            </w:r>
            <w:r>
              <w:rPr>
                <w:rFonts w:hint="eastAsia" w:ascii="宋体" w:hAnsi="宋体" w:eastAsia="宋体" w:cs="宋体"/>
                <w:b w:val="0"/>
                <w:bCs w:val="0"/>
                <w:color w:val="000000"/>
                <w:sz w:val="20"/>
                <w:szCs w:val="20"/>
                <w:highlight w:val="none"/>
                <w:lang w:val="en-US" w:eastAsia="zh-CN"/>
              </w:rPr>
              <w:t xml:space="preserve">流量、沉积物粒度、</w:t>
            </w:r>
            <w:r>
              <w:rPr>
                <w:rFonts w:hint="eastAsia" w:ascii="宋体" w:hAnsi="宋体" w:eastAsia="宋体" w:cs="宋体"/>
                <w:b w:val="0"/>
                <w:bCs w:val="0"/>
                <w:i w:val="0"/>
                <w:iCs w:val="0"/>
                <w:color w:val="000000"/>
                <w:sz w:val="20"/>
                <w:szCs w:val="20"/>
                <w:highlight w:val="none"/>
                <w:u w:val="none"/>
                <w:lang w:val="en-US" w:eastAsia="zh-CN" w:bidi="ar"/>
              </w:rPr>
              <w:t xml:space="preserve">波高、波向、波周期)相对湿度、风速、风向、气压、气温、水质(叶绿素、浊度、溶解氧、PH、水温、盐度)等要素的数据。2.存储卡容量</w:t>
            </w:r>
            <w:r>
              <w:rPr>
                <w:rFonts w:hint="eastAsia" w:ascii="宋体" w:hAnsi="宋体" w:cs="宋体"/>
                <w:b w:val="0"/>
                <w:bCs w:val="0"/>
                <w:i w:val="0"/>
                <w:iCs w:val="0"/>
                <w:color w:val="000000"/>
                <w:sz w:val="20"/>
                <w:szCs w:val="20"/>
                <w:highlight w:val="none"/>
                <w:u w:val="none"/>
                <w:lang w:val="en-US" w:eastAsia="zh-CN" w:bidi="ar"/>
              </w:rPr>
              <w:t xml:space="preserve">16</w:t>
            </w:r>
            <w:r>
              <w:rPr>
                <w:rFonts w:hint="eastAsia" w:ascii="宋体" w:hAnsi="宋体" w:eastAsia="宋体" w:cs="宋体"/>
                <w:b w:val="0"/>
                <w:bCs w:val="0"/>
                <w:i w:val="0"/>
                <w:iCs w:val="0"/>
                <w:color w:val="000000"/>
                <w:sz w:val="20"/>
                <w:szCs w:val="20"/>
                <w:highlight w:val="none"/>
                <w:u w:val="none"/>
                <w:lang w:val="en-US" w:eastAsia="zh-CN" w:bidi="ar"/>
              </w:rPr>
              <w:t xml:space="preserve">GB及以上,应保证能够储存</w:t>
            </w:r>
            <w:r>
              <w:rPr>
                <w:rFonts w:hint="eastAsia" w:ascii="宋体" w:hAnsi="宋体" w:cs="宋体"/>
                <w:b w:val="0"/>
                <w:bCs w:val="0"/>
                <w:i w:val="0"/>
                <w:iCs w:val="0"/>
                <w:color w:val="000000"/>
                <w:sz w:val="20"/>
                <w:szCs w:val="20"/>
                <w:highlight w:val="none"/>
                <w:u w:val="none"/>
                <w:lang w:val="en-US" w:eastAsia="zh-CN" w:bidi="ar"/>
              </w:rPr>
              <w:t xml:space="preserve">5</w:t>
            </w:r>
            <w:r>
              <w:rPr>
                <w:rFonts w:hint="eastAsia" w:ascii="宋体" w:hAnsi="宋体" w:eastAsia="宋体" w:cs="宋体"/>
                <w:b w:val="0"/>
                <w:bCs w:val="0"/>
                <w:i w:val="0"/>
                <w:iCs w:val="0"/>
                <w:color w:val="000000"/>
                <w:sz w:val="20"/>
                <w:szCs w:val="20"/>
                <w:highlight w:val="none"/>
                <w:u w:val="none"/>
                <w:lang w:val="en-US" w:eastAsia="zh-CN" w:bidi="ar"/>
              </w:rPr>
              <w:t xml:space="preserve">年以上的气象数据以及波浪、海流原始采样数据。3.采集处理器应能根据一定的时序控制各类传感器的加、断电,采集及处理各类传感器的信号,浮标实时观测数据及时存储于存储卡中,并将处理后的数据通过北斗卫星通信系统和CDMA(或GPRS)传输系统发送到用户的接收站,将原始数据保存到数据库中。4.系统应预留扩容接口,可提供扩展要素的观测。</w:t>
            </w:r>
            <w:r>
              <w:rPr>
                <w:rFonts w:hint="eastAsia" w:ascii="宋体" w:hAnsi="宋体" w:eastAsia="宋体" w:cs="宋体"/>
                <w:b w:val="0"/>
                <w:bCs w:val="0"/>
                <w:i w:val="0"/>
                <w:iCs w:val="0"/>
                <w:color w:val="000000"/>
                <w:sz w:val="20"/>
                <w:szCs w:val="20"/>
                <w:highlight w:val="none"/>
                <w:u w:val="none"/>
              </w:rPr>
            </w:r>
            <w:r/>
          </w:p>
        </w:tc>
        <w:tc>
          <w:tcPr>
            <w:tcW w:w="416"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套</w:t>
            </w:r>
            <w:r>
              <w:rPr>
                <w:rFonts w:hint="eastAsia" w:ascii="宋体" w:hAnsi="宋体" w:eastAsia="宋体" w:cs="宋体"/>
                <w:b w:val="0"/>
                <w:bCs w:val="0"/>
                <w:i w:val="0"/>
                <w:iCs w:val="0"/>
                <w:color w:val="000000"/>
                <w:sz w:val="20"/>
                <w:szCs w:val="20"/>
                <w:highlight w:val="none"/>
                <w:u w:val="none"/>
              </w:rPr>
            </w:r>
            <w:r/>
          </w:p>
        </w:tc>
        <w:tc>
          <w:tcPr>
            <w:tcW w:w="416"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2</w:t>
            </w:r>
            <w:r>
              <w:rPr>
                <w:rFonts w:hint="eastAsia" w:ascii="宋体" w:hAnsi="宋体" w:eastAsia="宋体" w:cs="宋体"/>
                <w:b w:val="0"/>
                <w:bCs w:val="0"/>
                <w:i w:val="0"/>
                <w:iCs w:val="0"/>
                <w:color w:val="000000"/>
                <w:sz w:val="20"/>
                <w:szCs w:val="20"/>
                <w:highlight w:val="none"/>
                <w:u w:val="none"/>
              </w:rPr>
            </w:r>
            <w:r/>
          </w:p>
        </w:tc>
        <w:tc>
          <w:tcPr>
            <w:tcW w:w="479"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b w:val="0"/>
                <w:bCs w:val="0"/>
                <w:i w:val="0"/>
                <w:iCs w:val="0"/>
                <w:color w:val="000000"/>
                <w:sz w:val="20"/>
                <w:szCs w:val="20"/>
                <w:highlight w:val="none"/>
                <w:u w:val="none"/>
                <w:lang w:val="en-US" w:eastAsia="zh-CN" w:bidi="ar"/>
              </w:rPr>
            </w:r>
            <w:r/>
          </w:p>
        </w:tc>
        <w:tc>
          <w:tcPr>
            <w:tcW w:w="481"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b w:val="0"/>
                <w:bCs w:val="0"/>
                <w:i w:val="0"/>
                <w:iCs w:val="0"/>
                <w:color w:val="000000"/>
                <w:sz w:val="20"/>
                <w:szCs w:val="20"/>
                <w:highlight w:val="none"/>
                <w:u w:val="none"/>
                <w:lang w:val="en-US" w:eastAsia="zh-CN" w:bidi="ar"/>
              </w:rPr>
            </w:r>
            <w:r/>
          </w:p>
        </w:tc>
        <w:tc>
          <w:tcPr>
            <w:tcW w:w="401"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b w:val="0"/>
                <w:bCs w:val="0"/>
                <w:i w:val="0"/>
                <w:iCs w:val="0"/>
                <w:color w:val="000000"/>
                <w:sz w:val="20"/>
                <w:szCs w:val="20"/>
                <w:highlight w:val="none"/>
                <w:u w:val="none"/>
                <w:lang w:val="en-US" w:eastAsia="zh-CN" w:bidi="ar"/>
              </w:rPr>
            </w:r>
            <w:r/>
          </w:p>
        </w:tc>
      </w:tr>
      <w:tr>
        <w:trPr>
          <w:trHeight w:val="840"/>
        </w:trPr>
        <w:tc>
          <w:tcPr>
            <w:tcW w:w="416"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2</w:t>
            </w:r>
            <w:r>
              <w:rPr>
                <w:rFonts w:hint="eastAsia" w:ascii="宋体" w:hAnsi="宋体" w:eastAsia="宋体" w:cs="宋体"/>
                <w:b w:val="0"/>
                <w:bCs w:val="0"/>
                <w:i w:val="0"/>
                <w:iCs w:val="0"/>
                <w:color w:val="000000"/>
                <w:sz w:val="20"/>
                <w:szCs w:val="20"/>
                <w:highlight w:val="none"/>
                <w:u w:val="none"/>
              </w:rPr>
            </w:r>
            <w:r/>
          </w:p>
        </w:tc>
        <w:tc>
          <w:tcPr>
            <w:tcW w:w="675"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胶体铅酸电池</w:t>
            </w:r>
            <w:r>
              <w:rPr>
                <w:rFonts w:hint="eastAsia" w:ascii="宋体" w:hAnsi="宋体" w:eastAsia="宋体" w:cs="宋体"/>
                <w:b w:val="0"/>
                <w:bCs w:val="0"/>
                <w:i w:val="0"/>
                <w:iCs w:val="0"/>
                <w:color w:val="000000"/>
                <w:sz w:val="20"/>
                <w:szCs w:val="20"/>
                <w:highlight w:val="none"/>
                <w:u w:val="none"/>
              </w:rPr>
            </w:r>
            <w:r/>
          </w:p>
        </w:tc>
        <w:tc>
          <w:tcPr>
            <w:tcW w:w="4265"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总电量:≥24千瓦时（kWh）;电池输出:12V;电池容量:≥2000Ah</w:t>
            </w:r>
            <w:r>
              <w:rPr>
                <w:rFonts w:hint="eastAsia" w:ascii="宋体" w:hAnsi="宋体" w:cs="宋体"/>
                <w:b w:val="0"/>
                <w:bCs w:val="0"/>
                <w:i w:val="0"/>
                <w:iCs w:val="0"/>
                <w:color w:val="000000"/>
                <w:sz w:val="20"/>
                <w:szCs w:val="20"/>
                <w:highlight w:val="none"/>
                <w:u w:val="none"/>
                <w:lang w:val="en-US" w:eastAsia="zh-CN" w:bidi="ar"/>
              </w:rPr>
              <w:t xml:space="preserve">。</w:t>
            </w:r>
            <w:r>
              <w:rPr>
                <w:rFonts w:hint="eastAsia"/>
                <w:color w:val="000000"/>
                <w:highlight w:val="none"/>
              </w:rPr>
              <w:t xml:space="preserve">使命寿命不低于5年</w:t>
            </w:r>
            <w:r>
              <w:rPr>
                <w:rFonts w:hint="eastAsia" w:ascii="宋体" w:hAnsi="宋体" w:eastAsia="宋体" w:cs="宋体"/>
                <w:b w:val="0"/>
                <w:bCs w:val="0"/>
                <w:i w:val="0"/>
                <w:iCs w:val="0"/>
                <w:color w:val="000000"/>
                <w:sz w:val="20"/>
                <w:szCs w:val="20"/>
                <w:highlight w:val="none"/>
                <w:u w:val="none"/>
              </w:rPr>
            </w:r>
            <w:r/>
          </w:p>
        </w:tc>
        <w:tc>
          <w:tcPr>
            <w:tcW w:w="416"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套</w:t>
            </w:r>
            <w:r>
              <w:rPr>
                <w:rFonts w:hint="eastAsia" w:ascii="宋体" w:hAnsi="宋体" w:eastAsia="宋体" w:cs="宋体"/>
                <w:b w:val="0"/>
                <w:bCs w:val="0"/>
                <w:i w:val="0"/>
                <w:iCs w:val="0"/>
                <w:color w:val="000000"/>
                <w:sz w:val="20"/>
                <w:szCs w:val="20"/>
                <w:highlight w:val="none"/>
                <w:u w:val="none"/>
              </w:rPr>
            </w:r>
            <w:r/>
          </w:p>
        </w:tc>
        <w:tc>
          <w:tcPr>
            <w:tcW w:w="416"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cs="宋体"/>
                <w:b w:val="0"/>
                <w:bCs w:val="0"/>
                <w:i w:val="0"/>
                <w:iCs w:val="0"/>
                <w:color w:val="000000"/>
                <w:sz w:val="20"/>
                <w:szCs w:val="20"/>
                <w:highlight w:val="none"/>
                <w:u w:val="none"/>
                <w:lang w:val="en-US" w:eastAsia="zh-CN" w:bidi="ar"/>
              </w:rPr>
              <w:t xml:space="preserve">2</w:t>
            </w:r>
            <w:r>
              <w:rPr>
                <w:rFonts w:hint="eastAsia" w:ascii="宋体" w:hAnsi="宋体" w:eastAsia="宋体" w:cs="宋体"/>
                <w:b w:val="0"/>
                <w:bCs w:val="0"/>
                <w:i w:val="0"/>
                <w:iCs w:val="0"/>
                <w:color w:val="000000"/>
                <w:sz w:val="20"/>
                <w:szCs w:val="20"/>
                <w:highlight w:val="none"/>
                <w:u w:val="none"/>
              </w:rPr>
            </w:r>
            <w:r/>
          </w:p>
        </w:tc>
        <w:tc>
          <w:tcPr>
            <w:tcW w:w="479"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b w:val="0"/>
                <w:bCs w:val="0"/>
                <w:i w:val="0"/>
                <w:iCs w:val="0"/>
                <w:color w:val="000000"/>
                <w:sz w:val="20"/>
                <w:szCs w:val="20"/>
                <w:highlight w:val="none"/>
                <w:u w:val="none"/>
                <w:lang w:val="en-US" w:eastAsia="zh-CN" w:bidi="ar"/>
              </w:rPr>
            </w:r>
            <w:r/>
          </w:p>
        </w:tc>
        <w:tc>
          <w:tcPr>
            <w:tcW w:w="481"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b w:val="0"/>
                <w:bCs w:val="0"/>
                <w:i w:val="0"/>
                <w:iCs w:val="0"/>
                <w:color w:val="000000"/>
                <w:sz w:val="20"/>
                <w:szCs w:val="20"/>
                <w:highlight w:val="none"/>
                <w:u w:val="none"/>
                <w:lang w:val="en-US" w:eastAsia="zh-CN" w:bidi="ar"/>
              </w:rPr>
            </w:r>
            <w:r/>
          </w:p>
        </w:tc>
        <w:tc>
          <w:tcPr>
            <w:tcW w:w="401"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b w:val="0"/>
                <w:bCs w:val="0"/>
                <w:i w:val="0"/>
                <w:iCs w:val="0"/>
                <w:color w:val="000000"/>
                <w:sz w:val="20"/>
                <w:szCs w:val="20"/>
                <w:highlight w:val="none"/>
                <w:u w:val="none"/>
                <w:lang w:val="en-US" w:eastAsia="zh-CN" w:bidi="ar"/>
              </w:rPr>
            </w:r>
            <w:r/>
          </w:p>
        </w:tc>
      </w:tr>
      <w:tr>
        <w:trPr>
          <w:trHeight w:val="1380"/>
        </w:trPr>
        <w:tc>
          <w:tcPr>
            <w:tcW w:w="416"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3</w:t>
            </w:r>
            <w:r>
              <w:rPr>
                <w:rFonts w:hint="eastAsia" w:ascii="宋体" w:hAnsi="宋体" w:eastAsia="宋体" w:cs="宋体"/>
                <w:b w:val="0"/>
                <w:bCs w:val="0"/>
                <w:i w:val="0"/>
                <w:iCs w:val="0"/>
                <w:color w:val="000000"/>
                <w:sz w:val="20"/>
                <w:szCs w:val="20"/>
                <w:highlight w:val="none"/>
                <w:u w:val="none"/>
              </w:rPr>
            </w:r>
            <w:r/>
          </w:p>
        </w:tc>
        <w:tc>
          <w:tcPr>
            <w:tcW w:w="675"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岸边站接收系统(含北斗通讯机)</w:t>
            </w:r>
            <w:r>
              <w:rPr>
                <w:rFonts w:hint="eastAsia" w:ascii="宋体" w:hAnsi="宋体" w:eastAsia="宋体" w:cs="宋体"/>
                <w:b w:val="0"/>
                <w:bCs w:val="0"/>
                <w:i w:val="0"/>
                <w:iCs w:val="0"/>
                <w:color w:val="000000"/>
                <w:sz w:val="20"/>
                <w:szCs w:val="20"/>
                <w:highlight w:val="none"/>
                <w:u w:val="none"/>
              </w:rPr>
            </w:r>
            <w:r/>
          </w:p>
        </w:tc>
        <w:tc>
          <w:tcPr>
            <w:tcW w:w="4265"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1.主机机柜,接收器、工控机、系统软件,防护箱具有防潮、防霉、防盐功能。2.机箱由抗腐蚀材料定制,内部装有电风扇和温度调节,箱体外部涂有特殊的油膜保护,适应海边恶劣环境下的长期应用,保护内部仪器不受气候和盐雾环境影响,保持测量数据的准确性。3.室外防护箱内部须放置数据采集器、蓄电池及其它附件(供电、通讯模块、电缆等箱内尺寸应满足要求。</w:t>
            </w:r>
            <w:r>
              <w:rPr>
                <w:rFonts w:hint="eastAsia" w:ascii="宋体" w:hAnsi="宋体" w:eastAsia="宋体" w:cs="宋体"/>
                <w:b w:val="0"/>
                <w:bCs w:val="0"/>
                <w:i w:val="0"/>
                <w:iCs w:val="0"/>
                <w:color w:val="000000"/>
                <w:sz w:val="20"/>
                <w:szCs w:val="20"/>
                <w:highlight w:val="none"/>
                <w:u w:val="none"/>
              </w:rPr>
            </w:r>
            <w:r/>
          </w:p>
        </w:tc>
        <w:tc>
          <w:tcPr>
            <w:tcW w:w="416"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个</w:t>
            </w:r>
            <w:r>
              <w:rPr>
                <w:rFonts w:hint="eastAsia" w:ascii="宋体" w:hAnsi="宋体" w:eastAsia="宋体" w:cs="宋体"/>
                <w:b w:val="0"/>
                <w:bCs w:val="0"/>
                <w:i w:val="0"/>
                <w:iCs w:val="0"/>
                <w:color w:val="000000"/>
                <w:sz w:val="20"/>
                <w:szCs w:val="20"/>
                <w:highlight w:val="none"/>
                <w:u w:val="none"/>
              </w:rPr>
            </w:r>
            <w:r/>
          </w:p>
        </w:tc>
        <w:tc>
          <w:tcPr>
            <w:tcW w:w="416"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1</w:t>
            </w:r>
            <w:r>
              <w:rPr>
                <w:rFonts w:hint="eastAsia" w:ascii="宋体" w:hAnsi="宋体" w:eastAsia="宋体" w:cs="宋体"/>
                <w:b w:val="0"/>
                <w:bCs w:val="0"/>
                <w:i w:val="0"/>
                <w:iCs w:val="0"/>
                <w:color w:val="000000"/>
                <w:sz w:val="20"/>
                <w:szCs w:val="20"/>
                <w:highlight w:val="none"/>
                <w:u w:val="none"/>
              </w:rPr>
            </w:r>
            <w:r/>
          </w:p>
        </w:tc>
        <w:tc>
          <w:tcPr>
            <w:tcW w:w="479"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b w:val="0"/>
                <w:bCs w:val="0"/>
                <w:i w:val="0"/>
                <w:iCs w:val="0"/>
                <w:color w:val="000000"/>
                <w:sz w:val="20"/>
                <w:szCs w:val="20"/>
                <w:highlight w:val="none"/>
                <w:u w:val="none"/>
                <w:lang w:val="en-US" w:eastAsia="zh-CN" w:bidi="ar"/>
              </w:rPr>
            </w:r>
            <w:r/>
          </w:p>
        </w:tc>
        <w:tc>
          <w:tcPr>
            <w:tcW w:w="481"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b w:val="0"/>
                <w:bCs w:val="0"/>
                <w:i w:val="0"/>
                <w:iCs w:val="0"/>
                <w:color w:val="000000"/>
                <w:sz w:val="20"/>
                <w:szCs w:val="20"/>
                <w:highlight w:val="none"/>
                <w:u w:val="none"/>
                <w:lang w:val="en-US" w:eastAsia="zh-CN" w:bidi="ar"/>
              </w:rPr>
            </w:r>
            <w:r/>
          </w:p>
        </w:tc>
        <w:tc>
          <w:tcPr>
            <w:tcW w:w="401"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b w:val="0"/>
                <w:bCs w:val="0"/>
                <w:i w:val="0"/>
                <w:iCs w:val="0"/>
                <w:color w:val="000000"/>
                <w:sz w:val="20"/>
                <w:szCs w:val="20"/>
                <w:highlight w:val="none"/>
                <w:u w:val="none"/>
                <w:lang w:val="en-US" w:eastAsia="zh-CN" w:bidi="ar"/>
              </w:rPr>
            </w:r>
            <w:r/>
          </w:p>
        </w:tc>
      </w:tr>
      <w:tr>
        <w:trPr>
          <w:trHeight w:val="1080"/>
        </w:trPr>
        <w:tc>
          <w:tcPr>
            <w:tcW w:w="416"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4</w:t>
            </w:r>
            <w:r>
              <w:rPr>
                <w:rFonts w:hint="eastAsia" w:ascii="宋体" w:hAnsi="宋体" w:eastAsia="宋体" w:cs="宋体"/>
                <w:b w:val="0"/>
                <w:bCs w:val="0"/>
                <w:i w:val="0"/>
                <w:iCs w:val="0"/>
                <w:color w:val="000000"/>
                <w:sz w:val="20"/>
                <w:szCs w:val="20"/>
                <w:highlight w:val="none"/>
                <w:u w:val="none"/>
              </w:rPr>
            </w:r>
            <w:r/>
          </w:p>
        </w:tc>
        <w:tc>
          <w:tcPr>
            <w:tcW w:w="675"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路基气象百叶箱</w:t>
            </w:r>
            <w:r>
              <w:rPr>
                <w:rFonts w:hint="eastAsia" w:ascii="宋体" w:hAnsi="宋体" w:eastAsia="宋体" w:cs="宋体"/>
                <w:b w:val="0"/>
                <w:bCs w:val="0"/>
                <w:i w:val="0"/>
                <w:iCs w:val="0"/>
                <w:color w:val="000000"/>
                <w:sz w:val="20"/>
                <w:szCs w:val="20"/>
                <w:highlight w:val="none"/>
                <w:u w:val="none"/>
              </w:rPr>
            </w:r>
            <w:r/>
          </w:p>
        </w:tc>
        <w:tc>
          <w:tcPr>
            <w:tcW w:w="4265"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1.百叶箱:箱内容积:470(长)x465(宽)x615(高);2.外形尺寸:720(长)x780(宽)X880(高)(mm)</w:t>
            </w:r>
            <w:r>
              <w:rPr>
                <w:rFonts w:hint="eastAsia" w:ascii="宋体" w:hAnsi="宋体" w:cs="宋体"/>
                <w:b w:val="0"/>
                <w:bCs w:val="0"/>
                <w:i w:val="0"/>
                <w:iCs w:val="0"/>
                <w:color w:val="000000"/>
                <w:sz w:val="20"/>
                <w:szCs w:val="20"/>
                <w:highlight w:val="none"/>
                <w:u w:val="none"/>
                <w:lang w:val="en-US" w:eastAsia="zh-CN" w:bidi="ar"/>
              </w:rPr>
              <w:t xml:space="preserve">，</w:t>
            </w:r>
            <w:r>
              <w:rPr>
                <w:rFonts w:hint="eastAsia" w:ascii="宋体" w:hAnsi="宋体" w:cs="宋体"/>
                <w:color w:val="000000"/>
                <w:sz w:val="20"/>
                <w:highlight w:val="none"/>
                <w:u w:val="none"/>
                <w:lang w:bidi="ar"/>
              </w:rPr>
              <w:t xml:space="preserve">玻璃钢或者木材，通风隔板厚度12毫米</w:t>
            </w:r>
            <w:r>
              <w:rPr>
                <w:rFonts w:hint="eastAsia" w:ascii="宋体" w:hAnsi="宋体" w:eastAsia="宋体" w:cs="宋体"/>
                <w:b w:val="0"/>
                <w:bCs w:val="0"/>
                <w:i w:val="0"/>
                <w:iCs w:val="0"/>
                <w:color w:val="000000"/>
                <w:sz w:val="20"/>
                <w:szCs w:val="20"/>
                <w:highlight w:val="none"/>
                <w:u w:val="none"/>
                <w:lang w:val="en-US" w:eastAsia="zh-CN" w:bidi="ar"/>
              </w:rPr>
              <w:t xml:space="preserve">3.重量:30kg;4.支架:高度1230(mm);重量14kg;5.安装:圆盘底板上安装孔3-中13;6.圆周直径中410,120°等分;7.整体高度:2095mm。监测指标：</w:t>
            </w:r>
            <w:r>
              <w:rPr>
                <w:rFonts w:hint="eastAsia" w:ascii="宋体" w:hAnsi="宋体" w:eastAsia="宋体" w:cs="宋体"/>
                <w:b w:val="0"/>
                <w:bCs w:val="0"/>
                <w:color w:val="000000"/>
                <w:sz w:val="20"/>
                <w:szCs w:val="20"/>
                <w:highlight w:val="none"/>
                <w:lang w:val="en-US" w:eastAsia="zh-CN"/>
              </w:rPr>
              <w:t xml:space="preserve">气温、气压、空气相对湿度、降雨、风速、风向、光照强度</w:t>
            </w:r>
            <w:r>
              <w:rPr>
                <w:rFonts w:hint="eastAsia" w:ascii="宋体" w:hAnsi="宋体" w:eastAsia="宋体" w:cs="宋体"/>
                <w:b w:val="0"/>
                <w:bCs w:val="0"/>
                <w:i w:val="0"/>
                <w:iCs w:val="0"/>
                <w:color w:val="000000"/>
                <w:sz w:val="20"/>
                <w:szCs w:val="20"/>
                <w:highlight w:val="none"/>
                <w:u w:val="none"/>
              </w:rPr>
            </w:r>
            <w:r/>
          </w:p>
        </w:tc>
        <w:tc>
          <w:tcPr>
            <w:tcW w:w="416"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套</w:t>
            </w:r>
            <w:r>
              <w:rPr>
                <w:rFonts w:hint="eastAsia" w:ascii="宋体" w:hAnsi="宋体" w:eastAsia="宋体" w:cs="宋体"/>
                <w:b w:val="0"/>
                <w:bCs w:val="0"/>
                <w:i w:val="0"/>
                <w:iCs w:val="0"/>
                <w:color w:val="000000"/>
                <w:sz w:val="20"/>
                <w:szCs w:val="20"/>
                <w:highlight w:val="none"/>
                <w:u w:val="none"/>
              </w:rPr>
            </w:r>
            <w:r/>
          </w:p>
        </w:tc>
        <w:tc>
          <w:tcPr>
            <w:tcW w:w="416"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1</w:t>
            </w:r>
            <w:r>
              <w:rPr>
                <w:rFonts w:hint="eastAsia" w:ascii="宋体" w:hAnsi="宋体" w:eastAsia="宋体" w:cs="宋体"/>
                <w:b w:val="0"/>
                <w:bCs w:val="0"/>
                <w:i w:val="0"/>
                <w:iCs w:val="0"/>
                <w:color w:val="000000"/>
                <w:sz w:val="20"/>
                <w:szCs w:val="20"/>
                <w:highlight w:val="none"/>
                <w:u w:val="none"/>
              </w:rPr>
            </w:r>
            <w:r/>
          </w:p>
        </w:tc>
        <w:tc>
          <w:tcPr>
            <w:tcW w:w="479"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b w:val="0"/>
                <w:bCs w:val="0"/>
                <w:i w:val="0"/>
                <w:iCs w:val="0"/>
                <w:color w:val="000000"/>
                <w:sz w:val="20"/>
                <w:szCs w:val="20"/>
                <w:highlight w:val="none"/>
                <w:u w:val="none"/>
                <w:lang w:val="en-US" w:eastAsia="zh-CN" w:bidi="ar"/>
              </w:rPr>
            </w:r>
            <w:r/>
          </w:p>
        </w:tc>
        <w:tc>
          <w:tcPr>
            <w:tcW w:w="481"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b w:val="0"/>
                <w:bCs w:val="0"/>
                <w:i w:val="0"/>
                <w:iCs w:val="0"/>
                <w:color w:val="000000"/>
                <w:sz w:val="20"/>
                <w:szCs w:val="20"/>
                <w:highlight w:val="none"/>
                <w:u w:val="none"/>
                <w:lang w:val="en-US" w:eastAsia="zh-CN" w:bidi="ar"/>
              </w:rPr>
            </w:r>
            <w:r/>
          </w:p>
        </w:tc>
        <w:tc>
          <w:tcPr>
            <w:tcW w:w="401"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b w:val="0"/>
                <w:bCs w:val="0"/>
                <w:i w:val="0"/>
                <w:iCs w:val="0"/>
                <w:color w:val="000000"/>
                <w:sz w:val="20"/>
                <w:szCs w:val="20"/>
                <w:highlight w:val="none"/>
                <w:u w:val="none"/>
                <w:lang w:val="en-US" w:eastAsia="zh-CN" w:bidi="ar"/>
              </w:rPr>
            </w:r>
            <w:r/>
          </w:p>
        </w:tc>
      </w:tr>
      <w:tr>
        <w:trPr>
          <w:trHeight w:val="410"/>
        </w:trPr>
        <w:tc>
          <w:tcPr>
            <w:tcW w:w="416"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5</w:t>
            </w:r>
            <w:r>
              <w:rPr>
                <w:rFonts w:hint="eastAsia" w:ascii="宋体" w:hAnsi="宋体" w:eastAsia="宋体" w:cs="宋体"/>
                <w:b w:val="0"/>
                <w:bCs w:val="0"/>
                <w:i w:val="0"/>
                <w:iCs w:val="0"/>
                <w:color w:val="000000"/>
                <w:sz w:val="20"/>
                <w:szCs w:val="20"/>
                <w:highlight w:val="none"/>
                <w:u w:val="none"/>
              </w:rPr>
            </w:r>
            <w:r/>
          </w:p>
        </w:tc>
        <w:tc>
          <w:tcPr>
            <w:tcW w:w="675"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浮标体</w:t>
            </w:r>
            <w:r>
              <w:rPr>
                <w:rFonts w:hint="eastAsia" w:ascii="宋体" w:hAnsi="宋体" w:eastAsia="宋体" w:cs="宋体"/>
                <w:b w:val="0"/>
                <w:bCs w:val="0"/>
                <w:i w:val="0"/>
                <w:iCs w:val="0"/>
                <w:color w:val="000000"/>
                <w:sz w:val="20"/>
                <w:szCs w:val="20"/>
                <w:highlight w:val="none"/>
                <w:u w:val="none"/>
              </w:rPr>
            </w:r>
            <w:r/>
          </w:p>
        </w:tc>
        <w:tc>
          <w:tcPr>
            <w:tcW w:w="4265"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1.浮标体直径6m,;2.主体及内部支架采用316L不锈钢制作,含专业浮标涂层系统,且具有良好的抗挤压、抗撞击能力,强度高、结构可靠、重量轻,便于安装维护及运输、布设;3.浮标体上方安装警示锚灯等,浮体外表面层具有优异的耐水性、耐气候性和耐腐蚀性,至少有3个水下仪器井,同时预留扩展端口可进行其他要素的观测。4.寿命:浮标体设计寿命大于5年,每两年一次大修;5.工作周期:连续在位工作时间达2年以上</w:t>
            </w:r>
            <w:r>
              <w:rPr>
                <w:rFonts w:hint="eastAsia" w:ascii="宋体" w:hAnsi="宋体" w:eastAsia="宋体" w:cs="宋体"/>
                <w:b w:val="0"/>
                <w:bCs w:val="0"/>
                <w:i w:val="0"/>
                <w:iCs w:val="0"/>
                <w:color w:val="000000"/>
                <w:sz w:val="20"/>
                <w:szCs w:val="20"/>
                <w:highlight w:val="none"/>
                <w:u w:val="none"/>
              </w:rPr>
            </w:r>
            <w:r/>
          </w:p>
        </w:tc>
        <w:tc>
          <w:tcPr>
            <w:tcW w:w="416"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套</w:t>
            </w:r>
            <w:r>
              <w:rPr>
                <w:rFonts w:hint="eastAsia" w:ascii="宋体" w:hAnsi="宋体" w:eastAsia="宋体" w:cs="宋体"/>
                <w:b w:val="0"/>
                <w:bCs w:val="0"/>
                <w:i w:val="0"/>
                <w:iCs w:val="0"/>
                <w:color w:val="000000"/>
                <w:sz w:val="20"/>
                <w:szCs w:val="20"/>
                <w:highlight w:val="none"/>
                <w:u w:val="none"/>
              </w:rPr>
            </w:r>
            <w:r/>
          </w:p>
        </w:tc>
        <w:tc>
          <w:tcPr>
            <w:tcW w:w="416"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2</w:t>
            </w:r>
            <w:r>
              <w:rPr>
                <w:rFonts w:hint="eastAsia" w:ascii="宋体" w:hAnsi="宋体" w:eastAsia="宋体" w:cs="宋体"/>
                <w:b w:val="0"/>
                <w:bCs w:val="0"/>
                <w:i w:val="0"/>
                <w:iCs w:val="0"/>
                <w:color w:val="000000"/>
                <w:sz w:val="20"/>
                <w:szCs w:val="20"/>
                <w:highlight w:val="none"/>
                <w:u w:val="none"/>
              </w:rPr>
            </w:r>
            <w:r/>
          </w:p>
        </w:tc>
        <w:tc>
          <w:tcPr>
            <w:tcW w:w="479"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b w:val="0"/>
                <w:bCs w:val="0"/>
                <w:i w:val="0"/>
                <w:iCs w:val="0"/>
                <w:color w:val="000000"/>
                <w:sz w:val="20"/>
                <w:szCs w:val="20"/>
                <w:highlight w:val="none"/>
                <w:u w:val="none"/>
                <w:lang w:val="en-US" w:eastAsia="zh-CN" w:bidi="ar"/>
              </w:rPr>
            </w:r>
            <w:r/>
          </w:p>
        </w:tc>
        <w:tc>
          <w:tcPr>
            <w:tcW w:w="481"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b w:val="0"/>
                <w:bCs w:val="0"/>
                <w:i w:val="0"/>
                <w:iCs w:val="0"/>
                <w:color w:val="000000"/>
                <w:sz w:val="20"/>
                <w:szCs w:val="20"/>
                <w:highlight w:val="none"/>
                <w:u w:val="none"/>
                <w:lang w:val="en-US" w:eastAsia="zh-CN" w:bidi="ar"/>
              </w:rPr>
            </w:r>
            <w:r/>
          </w:p>
        </w:tc>
        <w:tc>
          <w:tcPr>
            <w:tcW w:w="401"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b w:val="0"/>
                <w:bCs w:val="0"/>
                <w:i w:val="0"/>
                <w:iCs w:val="0"/>
                <w:color w:val="000000"/>
                <w:sz w:val="20"/>
                <w:szCs w:val="20"/>
                <w:highlight w:val="none"/>
                <w:u w:val="none"/>
                <w:lang w:val="en-US" w:eastAsia="zh-CN" w:bidi="ar"/>
              </w:rPr>
            </w:r>
            <w:r/>
          </w:p>
        </w:tc>
      </w:tr>
      <w:tr>
        <w:trPr>
          <w:trHeight w:val="780"/>
        </w:trPr>
        <w:tc>
          <w:tcPr>
            <w:tcW w:w="416"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6</w:t>
            </w:r>
            <w:r>
              <w:rPr>
                <w:rFonts w:hint="eastAsia" w:ascii="宋体" w:hAnsi="宋体" w:eastAsia="宋体" w:cs="宋体"/>
                <w:b w:val="0"/>
                <w:bCs w:val="0"/>
                <w:i w:val="0"/>
                <w:iCs w:val="0"/>
                <w:color w:val="000000"/>
                <w:sz w:val="20"/>
                <w:szCs w:val="20"/>
                <w:highlight w:val="none"/>
                <w:u w:val="none"/>
              </w:rPr>
            </w:r>
            <w:r/>
          </w:p>
        </w:tc>
        <w:tc>
          <w:tcPr>
            <w:tcW w:w="675"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水质传感器</w:t>
            </w:r>
            <w:r>
              <w:rPr>
                <w:rFonts w:hint="eastAsia" w:ascii="宋体" w:hAnsi="宋体" w:eastAsia="宋体" w:cs="宋体"/>
                <w:b w:val="0"/>
                <w:bCs w:val="0"/>
                <w:i w:val="0"/>
                <w:iCs w:val="0"/>
                <w:color w:val="000000"/>
                <w:sz w:val="20"/>
                <w:szCs w:val="20"/>
                <w:highlight w:val="none"/>
                <w:u w:val="none"/>
              </w:rPr>
            </w:r>
            <w:r/>
          </w:p>
        </w:tc>
        <w:tc>
          <w:tcPr>
            <w:tcW w:w="4265"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多参数水质仪:温度、盐度、溶解氧、浊度、叶绿素、蓝绿藻</w:t>
            </w:r>
            <w:r>
              <w:rPr>
                <w:rFonts w:hint="eastAsia" w:ascii="宋体" w:hAnsi="宋体" w:eastAsia="宋体" w:cs="宋体"/>
                <w:b w:val="0"/>
                <w:bCs w:val="0"/>
                <w:i w:val="0"/>
                <w:iCs w:val="0"/>
                <w:color w:val="000000"/>
                <w:sz w:val="20"/>
                <w:szCs w:val="20"/>
                <w:highlight w:val="none"/>
                <w:u w:val="none"/>
                <w:lang w:val="en-US" w:eastAsia="zh-CN" w:bidi="ar"/>
              </w:rPr>
              <w:br w:type="textWrapping" w:clear="all"/>
            </w:r>
            <w:r>
              <w:rPr>
                <w:rFonts w:hint="eastAsia" w:ascii="宋体" w:hAnsi="宋体" w:eastAsia="宋体" w:cs="宋体"/>
                <w:b w:val="0"/>
                <w:bCs w:val="0"/>
                <w:i w:val="0"/>
                <w:iCs w:val="0"/>
                <w:color w:val="000000"/>
                <w:sz w:val="20"/>
                <w:szCs w:val="20"/>
                <w:highlight w:val="none"/>
                <w:u w:val="none"/>
                <w:lang w:val="en-US" w:eastAsia="zh-CN" w:bidi="ar"/>
              </w:rPr>
              <w:t xml:space="preserve">营养盐传感器:氨氮、亚硝酸盐、硝酸盐、磷酸盐、</w:t>
            </w:r>
            <w:r>
              <w:rPr>
                <w:rFonts w:hint="eastAsia" w:ascii="宋体" w:hAnsi="宋体" w:eastAsia="宋体" w:cs="宋体"/>
                <w:b w:val="0"/>
                <w:bCs w:val="0"/>
                <w:color w:val="000000"/>
                <w:sz w:val="20"/>
                <w:szCs w:val="20"/>
                <w:highlight w:val="none"/>
                <w:lang w:val="en-US" w:eastAsia="zh-CN"/>
              </w:rPr>
              <w:t xml:space="preserve">pH、电导率、重金属</w:t>
            </w:r>
            <w:r>
              <w:rPr>
                <w:rFonts w:hint="eastAsia" w:ascii="宋体" w:hAnsi="宋体" w:eastAsia="宋体" w:cs="宋体"/>
                <w:b w:val="0"/>
                <w:bCs w:val="0"/>
                <w:i w:val="0"/>
                <w:iCs w:val="0"/>
                <w:color w:val="000000"/>
                <w:sz w:val="20"/>
                <w:szCs w:val="20"/>
                <w:highlight w:val="none"/>
                <w:u w:val="none"/>
                <w:lang w:val="en-US" w:eastAsia="zh-CN" w:bidi="ar"/>
              </w:rPr>
            </w:r>
            <w:r/>
          </w:p>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b w:val="0"/>
                <w:bCs w:val="0"/>
                <w:i w:val="0"/>
                <w:iCs w:val="0"/>
                <w:color w:val="000000"/>
                <w:sz w:val="20"/>
                <w:szCs w:val="20"/>
                <w:highlight w:val="none"/>
                <w:u w:val="none"/>
                <w:lang w:val="en-US" w:eastAsia="zh-CN" w:bidi="ar"/>
              </w:rPr>
            </w:r>
            <w:r/>
          </w:p>
        </w:tc>
        <w:tc>
          <w:tcPr>
            <w:tcW w:w="416"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套</w:t>
            </w:r>
            <w:r>
              <w:rPr>
                <w:rFonts w:hint="eastAsia" w:ascii="宋体" w:hAnsi="宋体" w:eastAsia="宋体" w:cs="宋体"/>
                <w:b w:val="0"/>
                <w:bCs w:val="0"/>
                <w:i w:val="0"/>
                <w:iCs w:val="0"/>
                <w:color w:val="000000"/>
                <w:sz w:val="20"/>
                <w:szCs w:val="20"/>
                <w:highlight w:val="none"/>
                <w:u w:val="none"/>
              </w:rPr>
            </w:r>
            <w:r/>
          </w:p>
        </w:tc>
        <w:tc>
          <w:tcPr>
            <w:tcW w:w="416"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2</w:t>
            </w:r>
            <w:r>
              <w:rPr>
                <w:rFonts w:hint="eastAsia" w:ascii="宋体" w:hAnsi="宋体" w:eastAsia="宋体" w:cs="宋体"/>
                <w:b w:val="0"/>
                <w:bCs w:val="0"/>
                <w:i w:val="0"/>
                <w:iCs w:val="0"/>
                <w:color w:val="000000"/>
                <w:sz w:val="20"/>
                <w:szCs w:val="20"/>
                <w:highlight w:val="none"/>
                <w:u w:val="none"/>
              </w:rPr>
            </w:r>
            <w:r/>
          </w:p>
        </w:tc>
        <w:tc>
          <w:tcPr>
            <w:tcW w:w="479"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b w:val="0"/>
                <w:bCs w:val="0"/>
                <w:i w:val="0"/>
                <w:iCs w:val="0"/>
                <w:color w:val="000000"/>
                <w:sz w:val="20"/>
                <w:szCs w:val="20"/>
                <w:highlight w:val="none"/>
                <w:u w:val="none"/>
                <w:lang w:val="en-US" w:eastAsia="zh-CN" w:bidi="ar"/>
              </w:rPr>
            </w:r>
            <w:r/>
          </w:p>
        </w:tc>
        <w:tc>
          <w:tcPr>
            <w:tcW w:w="481"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b w:val="0"/>
                <w:bCs w:val="0"/>
                <w:i w:val="0"/>
                <w:iCs w:val="0"/>
                <w:color w:val="000000"/>
                <w:sz w:val="20"/>
                <w:szCs w:val="20"/>
                <w:highlight w:val="none"/>
                <w:u w:val="none"/>
                <w:lang w:val="en-US" w:eastAsia="zh-CN" w:bidi="ar"/>
              </w:rPr>
            </w:r>
            <w:r/>
          </w:p>
        </w:tc>
        <w:tc>
          <w:tcPr>
            <w:tcW w:w="401"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b w:val="0"/>
                <w:bCs w:val="0"/>
                <w:i w:val="0"/>
                <w:iCs w:val="0"/>
                <w:color w:val="000000"/>
                <w:sz w:val="20"/>
                <w:szCs w:val="20"/>
                <w:highlight w:val="none"/>
                <w:u w:val="none"/>
                <w:lang w:val="en-US" w:eastAsia="zh-CN" w:bidi="ar"/>
              </w:rPr>
            </w:r>
            <w:r/>
          </w:p>
        </w:tc>
      </w:tr>
      <w:tr>
        <w:trPr>
          <w:trHeight w:val="1680"/>
        </w:trPr>
        <w:tc>
          <w:tcPr>
            <w:tcW w:w="416"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7</w:t>
            </w:r>
            <w:r>
              <w:rPr>
                <w:rFonts w:hint="eastAsia" w:ascii="宋体" w:hAnsi="宋体" w:eastAsia="宋体" w:cs="宋体"/>
                <w:b w:val="0"/>
                <w:bCs w:val="0"/>
                <w:i w:val="0"/>
                <w:iCs w:val="0"/>
                <w:color w:val="000000"/>
                <w:sz w:val="20"/>
                <w:szCs w:val="20"/>
                <w:highlight w:val="none"/>
                <w:u w:val="none"/>
              </w:rPr>
            </w:r>
            <w:r/>
          </w:p>
        </w:tc>
        <w:tc>
          <w:tcPr>
            <w:tcW w:w="675"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系锚系统</w:t>
            </w:r>
            <w:r>
              <w:rPr>
                <w:rFonts w:hint="eastAsia" w:ascii="宋体" w:hAnsi="宋体" w:eastAsia="宋体" w:cs="宋体"/>
                <w:b w:val="0"/>
                <w:bCs w:val="0"/>
                <w:i w:val="0"/>
                <w:iCs w:val="0"/>
                <w:color w:val="000000"/>
                <w:sz w:val="20"/>
                <w:szCs w:val="20"/>
                <w:highlight w:val="none"/>
                <w:u w:val="none"/>
              </w:rPr>
            </w:r>
            <w:r/>
          </w:p>
        </w:tc>
        <w:tc>
          <w:tcPr>
            <w:tcW w:w="4265" w:type="dxa"/>
            <w:vAlign w:val="center"/>
            <w:textDirection w:val="lrTb"/>
            <w:noWrap w:val="false"/>
          </w:tcPr>
          <w:p>
            <w:pPr>
              <w:pStyle w:val="680"/>
              <w:jc w:val="left"/>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1.组成部件：包含浮标端锚链、中间锚链、锚端锚链、缆绳、霍尔锚、深水浮球、转环</w:t>
            </w:r>
            <w:r>
              <w:rPr>
                <w:rFonts w:hint="eastAsia" w:ascii="宋体" w:hAnsi="宋体" w:cs="宋体"/>
                <w:b w:val="0"/>
                <w:bCs w:val="0"/>
                <w:i w:val="0"/>
                <w:iCs w:val="0"/>
                <w:color w:val="000000"/>
                <w:sz w:val="20"/>
                <w:szCs w:val="20"/>
                <w:highlight w:val="none"/>
                <w:u w:val="none"/>
                <w:lang w:val="en-US" w:eastAsia="zh-CN" w:bidi="ar"/>
              </w:rPr>
              <w:t xml:space="preserve">等配件</w:t>
            </w:r>
            <w:r>
              <w:rPr>
                <w:rFonts w:hint="eastAsia" w:ascii="宋体" w:hAnsi="宋体" w:eastAsia="宋体" w:cs="宋体"/>
                <w:b w:val="0"/>
                <w:bCs w:val="0"/>
                <w:i w:val="0"/>
                <w:iCs w:val="0"/>
                <w:color w:val="000000"/>
                <w:sz w:val="20"/>
                <w:szCs w:val="20"/>
                <w:highlight w:val="none"/>
                <w:u w:val="none"/>
                <w:lang w:val="en-US" w:eastAsia="zh-CN" w:bidi="ar"/>
              </w:rPr>
              <w:t xml:space="preserve">。</w:t>
            </w:r>
            <w:r>
              <w:rPr>
                <w:rFonts w:hint="eastAsia" w:ascii="宋体" w:hAnsi="宋体" w:eastAsia="宋体" w:cs="宋体"/>
                <w:b w:val="0"/>
                <w:bCs w:val="0"/>
                <w:i w:val="0"/>
                <w:iCs w:val="0"/>
                <w:color w:val="000000"/>
                <w:sz w:val="20"/>
                <w:szCs w:val="20"/>
                <w:highlight w:val="none"/>
                <w:u w:val="none"/>
                <w:lang w:val="en-US" w:eastAsia="zh-CN" w:bidi="ar"/>
              </w:rPr>
            </w:r>
            <w:r/>
          </w:p>
          <w:p>
            <w:pPr>
              <w:pStyle w:val="680"/>
              <w:jc w:val="left"/>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2.使用寿命：锚链寿命不少于</w:t>
            </w:r>
            <w:r>
              <w:rPr>
                <w:rFonts w:hint="eastAsia" w:ascii="宋体" w:hAnsi="宋体" w:cs="宋体"/>
                <w:b w:val="0"/>
                <w:bCs w:val="0"/>
                <w:i w:val="0"/>
                <w:iCs w:val="0"/>
                <w:color w:val="000000"/>
                <w:sz w:val="20"/>
                <w:szCs w:val="20"/>
                <w:highlight w:val="none"/>
                <w:u w:val="none"/>
                <w:lang w:val="en-US" w:eastAsia="zh-CN" w:bidi="ar"/>
              </w:rPr>
              <w:t xml:space="preserve">5</w:t>
            </w:r>
            <w:r>
              <w:rPr>
                <w:rFonts w:hint="eastAsia" w:ascii="宋体" w:hAnsi="宋体" w:eastAsia="宋体" w:cs="宋体"/>
                <w:b w:val="0"/>
                <w:bCs w:val="0"/>
                <w:i w:val="0"/>
                <w:iCs w:val="0"/>
                <w:color w:val="000000"/>
                <w:sz w:val="20"/>
                <w:szCs w:val="20"/>
                <w:highlight w:val="none"/>
                <w:u w:val="none"/>
                <w:lang w:val="en-US" w:eastAsia="zh-CN" w:bidi="ar"/>
              </w:rPr>
              <w:t xml:space="preserve">年。</w:t>
            </w:r>
            <w:r>
              <w:rPr>
                <w:rFonts w:hint="eastAsia" w:ascii="宋体" w:hAnsi="宋体" w:eastAsia="宋体" w:cs="宋体"/>
                <w:b w:val="0"/>
                <w:bCs w:val="0"/>
                <w:i w:val="0"/>
                <w:iCs w:val="0"/>
                <w:color w:val="000000"/>
                <w:sz w:val="20"/>
                <w:szCs w:val="20"/>
                <w:highlight w:val="none"/>
                <w:u w:val="none"/>
                <w:lang w:val="en-US" w:eastAsia="zh-CN" w:bidi="ar"/>
              </w:rPr>
            </w:r>
            <w:r/>
          </w:p>
          <w:p>
            <w:pPr>
              <w:pStyle w:val="680"/>
              <w:jc w:val="left"/>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3.固定性能：系锚具有良好的抓地性能，锚端处应向海底接触面下打20m埋铁链以加强固定；整个锚链系统稳固可靠，确保在灾害性天气及恶劣海况时不丢标。</w:t>
            </w:r>
            <w:r>
              <w:rPr>
                <w:rFonts w:hint="eastAsia" w:ascii="宋体" w:hAnsi="宋体" w:eastAsia="宋体" w:cs="宋体"/>
                <w:b w:val="0"/>
                <w:bCs w:val="0"/>
                <w:i w:val="0"/>
                <w:iCs w:val="0"/>
                <w:color w:val="000000"/>
                <w:sz w:val="20"/>
                <w:szCs w:val="20"/>
                <w:highlight w:val="none"/>
                <w:u w:val="none"/>
                <w:lang w:val="en-US" w:eastAsia="zh-CN" w:bidi="ar"/>
              </w:rPr>
            </w:r>
            <w:r/>
          </w:p>
          <w:p>
            <w:pPr>
              <w:pStyle w:val="680"/>
              <w:jc w:val="left"/>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4.锚链长度：布放点水深0~100m，锚链长度应符合相关设计要求（一般为水深的2.5~3倍）。</w:t>
            </w:r>
            <w:r>
              <w:rPr>
                <w:rFonts w:hint="eastAsia" w:ascii="宋体" w:hAnsi="宋体" w:eastAsia="宋体" w:cs="宋体"/>
                <w:b w:val="0"/>
                <w:bCs w:val="0"/>
                <w:i w:val="0"/>
                <w:iCs w:val="0"/>
                <w:color w:val="000000"/>
                <w:sz w:val="20"/>
                <w:szCs w:val="20"/>
                <w:highlight w:val="none"/>
                <w:u w:val="none"/>
                <w:lang w:val="en-US" w:eastAsia="zh-CN" w:bidi="ar"/>
              </w:rPr>
            </w:r>
            <w:r/>
          </w:p>
          <w:p>
            <w:pPr>
              <w:pStyle w:val="680"/>
              <w:jc w:val="left"/>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5.</w:t>
            </w:r>
            <w:r>
              <w:rPr>
                <w:rFonts w:hint="eastAsia" w:ascii="宋体" w:hAnsi="宋体" w:cs="宋体"/>
                <w:b w:val="0"/>
                <w:bCs w:val="0"/>
                <w:i w:val="0"/>
                <w:iCs w:val="0"/>
                <w:color w:val="000000"/>
                <w:sz w:val="20"/>
                <w:szCs w:val="20"/>
                <w:highlight w:val="none"/>
                <w:u w:val="none"/>
                <w:lang w:val="en-US" w:eastAsia="zh-CN" w:bidi="ar"/>
              </w:rPr>
              <w:t xml:space="preserve">型号</w:t>
            </w:r>
            <w:r>
              <w:rPr>
                <w:rFonts w:hint="eastAsia" w:ascii="宋体" w:hAnsi="宋体" w:eastAsia="宋体" w:cs="宋体"/>
                <w:b w:val="0"/>
                <w:bCs w:val="0"/>
                <w:i w:val="0"/>
                <w:iCs w:val="0"/>
                <w:color w:val="000000"/>
                <w:sz w:val="20"/>
                <w:szCs w:val="20"/>
                <w:highlight w:val="none"/>
                <w:u w:val="none"/>
                <w:lang w:val="en-US" w:eastAsia="zh-CN" w:bidi="ar"/>
              </w:rPr>
              <w:t xml:space="preserve">规格参数：</w:t>
            </w:r>
            <w:r>
              <w:rPr>
                <w:rFonts w:hint="eastAsia" w:ascii="宋体" w:hAnsi="宋体" w:cs="宋体"/>
                <w:b w:val="0"/>
                <w:bCs w:val="0"/>
                <w:i w:val="0"/>
                <w:iCs w:val="0"/>
                <w:color w:val="000000"/>
                <w:sz w:val="20"/>
                <w:szCs w:val="20"/>
                <w:highlight w:val="none"/>
                <w:u w:val="none"/>
                <w:lang w:val="en-US" w:eastAsia="zh-CN" w:bidi="ar"/>
              </w:rPr>
              <w:t xml:space="preserve">型号（FL 28 × 168 CM690 JT/T 100-2005）；</w:t>
            </w:r>
            <w:r>
              <w:rPr>
                <w:rFonts w:hint="eastAsia" w:ascii="宋体" w:hAnsi="宋体" w:eastAsia="宋体" w:cs="宋体"/>
                <w:b w:val="0"/>
                <w:bCs w:val="0"/>
                <w:i w:val="0"/>
                <w:iCs w:val="0"/>
                <w:color w:val="000000"/>
                <w:sz w:val="20"/>
                <w:szCs w:val="20"/>
                <w:highlight w:val="none"/>
                <w:u w:val="none"/>
                <w:lang w:val="en-US" w:eastAsia="zh-CN" w:bidi="ar"/>
              </w:rPr>
              <w:t xml:space="preserve">浮标锚链直径不小于28mm；锚链材质CM</w:t>
            </w:r>
            <w:r>
              <w:rPr>
                <w:rFonts w:hint="eastAsia" w:ascii="宋体" w:hAnsi="宋体" w:cs="宋体"/>
                <w:b w:val="0"/>
                <w:bCs w:val="0"/>
                <w:i w:val="0"/>
                <w:iCs w:val="0"/>
                <w:color w:val="000000"/>
                <w:sz w:val="20"/>
                <w:szCs w:val="20"/>
                <w:highlight w:val="none"/>
                <w:u w:val="none"/>
                <w:lang w:val="en-US" w:eastAsia="zh-CN" w:bidi="ar"/>
              </w:rPr>
              <w:t xml:space="preserve">6</w:t>
            </w:r>
            <w:r>
              <w:rPr>
                <w:rFonts w:hint="eastAsia" w:ascii="宋体" w:hAnsi="宋体" w:eastAsia="宋体" w:cs="宋体"/>
                <w:b w:val="0"/>
                <w:bCs w:val="0"/>
                <w:i w:val="0"/>
                <w:iCs w:val="0"/>
                <w:color w:val="000000"/>
                <w:sz w:val="20"/>
                <w:szCs w:val="20"/>
                <w:highlight w:val="none"/>
                <w:u w:val="none"/>
                <w:lang w:val="en-US" w:eastAsia="zh-CN" w:bidi="ar"/>
              </w:rPr>
              <w:t xml:space="preserve">90 级及以上的船用锚链圆钢</w:t>
            </w:r>
            <w:r>
              <w:rPr>
                <w:rFonts w:hint="eastAsia" w:ascii="宋体" w:hAnsi="宋体" w:cs="宋体"/>
                <w:b w:val="0"/>
                <w:bCs w:val="0"/>
                <w:i w:val="0"/>
                <w:iCs w:val="0"/>
                <w:color w:val="000000"/>
                <w:sz w:val="20"/>
                <w:szCs w:val="20"/>
                <w:highlight w:val="none"/>
                <w:u w:val="none"/>
                <w:lang w:val="en-US" w:eastAsia="zh-CN" w:bidi="ar"/>
              </w:rPr>
              <w:t xml:space="preserve">；</w:t>
            </w:r>
            <w:r>
              <w:rPr>
                <w:rFonts w:hint="eastAsia" w:ascii="宋体" w:hAnsi="宋体" w:eastAsia="宋体" w:cs="宋体"/>
                <w:b w:val="0"/>
                <w:bCs w:val="0"/>
                <w:i w:val="0"/>
                <w:iCs w:val="0"/>
                <w:color w:val="000000"/>
                <w:sz w:val="20"/>
                <w:szCs w:val="20"/>
                <w:highlight w:val="none"/>
                <w:u w:val="none"/>
                <w:lang w:val="en-US" w:eastAsia="zh-CN" w:bidi="ar"/>
              </w:rPr>
              <w:t xml:space="preserve">链环样式：档电焊锚链，带横档增强链环刚度，防止受力变形</w:t>
            </w:r>
            <w:r>
              <w:rPr>
                <w:rFonts w:hint="eastAsia" w:ascii="宋体" w:hAnsi="宋体" w:cs="宋体"/>
                <w:b w:val="0"/>
                <w:bCs w:val="0"/>
                <w:i w:val="0"/>
                <w:iCs w:val="0"/>
                <w:color w:val="000000"/>
                <w:sz w:val="20"/>
                <w:szCs w:val="20"/>
                <w:highlight w:val="none"/>
                <w:u w:val="none"/>
                <w:lang w:val="en-US" w:eastAsia="zh-CN" w:bidi="ar"/>
              </w:rPr>
              <w:t xml:space="preserve">；</w:t>
            </w:r>
            <w:r>
              <w:rPr>
                <w:rFonts w:hint="eastAsia" w:ascii="宋体" w:hAnsi="宋体" w:eastAsia="宋体" w:cs="宋体"/>
                <w:b w:val="0"/>
                <w:bCs w:val="0"/>
                <w:i w:val="0"/>
                <w:iCs w:val="0"/>
                <w:color w:val="000000"/>
                <w:sz w:val="20"/>
                <w:szCs w:val="20"/>
                <w:highlight w:val="none"/>
                <w:u w:val="none"/>
                <w:lang w:val="en-US" w:eastAsia="zh-CN" w:bidi="ar"/>
              </w:rPr>
              <w:t xml:space="preserve">浮标端 / 锚端末端链节：由普通链环 + 末端链环 + 转环 + 连接卸扣组成，用于连接浮标体 / 锚体与中间锚链，适配安装与受力转向需求</w:t>
            </w:r>
            <w:r>
              <w:rPr>
                <w:rFonts w:hint="eastAsia" w:ascii="宋体" w:hAnsi="宋体" w:cs="宋体"/>
                <w:b w:val="0"/>
                <w:bCs w:val="0"/>
                <w:i w:val="0"/>
                <w:iCs w:val="0"/>
                <w:color w:val="000000"/>
                <w:sz w:val="20"/>
                <w:szCs w:val="20"/>
                <w:highlight w:val="none"/>
                <w:u w:val="none"/>
                <w:lang w:val="en-US" w:eastAsia="zh-CN" w:bidi="ar"/>
              </w:rPr>
              <w:t xml:space="preserve">；</w:t>
            </w:r>
            <w:r>
              <w:rPr>
                <w:rFonts w:hint="eastAsia" w:ascii="宋体" w:hAnsi="宋体" w:eastAsia="宋体" w:cs="宋体"/>
                <w:b w:val="0"/>
                <w:bCs w:val="0"/>
                <w:i w:val="0"/>
                <w:iCs w:val="0"/>
                <w:color w:val="000000"/>
                <w:sz w:val="20"/>
                <w:szCs w:val="20"/>
                <w:highlight w:val="none"/>
                <w:u w:val="none"/>
                <w:lang w:val="en-US" w:eastAsia="zh-CN" w:bidi="ar"/>
              </w:rPr>
              <w:t xml:space="preserve"> 中间锚链：全普通有档链环组成的标准链节，可灵活拼接适配不同水深</w:t>
            </w:r>
            <w:r>
              <w:rPr>
                <w:rFonts w:hint="eastAsia" w:ascii="宋体" w:hAnsi="宋体" w:cs="宋体"/>
                <w:b w:val="0"/>
                <w:bCs w:val="0"/>
                <w:i w:val="0"/>
                <w:iCs w:val="0"/>
                <w:color w:val="000000"/>
                <w:sz w:val="20"/>
                <w:szCs w:val="20"/>
                <w:highlight w:val="none"/>
                <w:u w:val="none"/>
                <w:lang w:val="en-US" w:eastAsia="zh-CN" w:bidi="ar"/>
              </w:rPr>
              <w:t xml:space="preserve">；</w:t>
            </w:r>
            <w:r>
              <w:rPr>
                <w:rFonts w:hint="eastAsia" w:ascii="宋体" w:hAnsi="宋体" w:eastAsia="宋体" w:cs="宋体"/>
                <w:b w:val="0"/>
                <w:bCs w:val="0"/>
                <w:i w:val="0"/>
                <w:iCs w:val="0"/>
                <w:color w:val="000000"/>
                <w:sz w:val="20"/>
                <w:szCs w:val="20"/>
                <w:highlight w:val="none"/>
                <w:u w:val="none"/>
                <w:lang w:val="en-US" w:eastAsia="zh-CN" w:bidi="ar"/>
              </w:rPr>
            </w:r>
            <w:r/>
          </w:p>
          <w:p>
            <w:pPr>
              <w:pStyle w:val="680"/>
              <w:jc w:val="left"/>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埋入加强段：锚端 20m 埋入海底段，额外加装聚氨酯耐磨护套，适配泥沙摩擦工况</w:t>
            </w:r>
            <w:r>
              <w:rPr>
                <w:rFonts w:hint="eastAsia" w:ascii="宋体" w:hAnsi="宋体" w:cs="宋体"/>
                <w:b w:val="0"/>
                <w:bCs w:val="0"/>
                <w:i w:val="0"/>
                <w:iCs w:val="0"/>
                <w:color w:val="000000"/>
                <w:sz w:val="20"/>
                <w:szCs w:val="20"/>
                <w:highlight w:val="none"/>
                <w:u w:val="none"/>
                <w:lang w:val="en-US" w:eastAsia="zh-CN" w:bidi="ar"/>
              </w:rPr>
              <w:t xml:space="preserve">。</w:t>
            </w:r>
            <w:r>
              <w:rPr>
                <w:rFonts w:hint="eastAsia" w:ascii="宋体" w:hAnsi="宋体" w:eastAsia="宋体" w:cs="宋体"/>
                <w:b w:val="0"/>
                <w:bCs w:val="0"/>
                <w:i w:val="0"/>
                <w:iCs w:val="0"/>
                <w:color w:val="000000"/>
                <w:sz w:val="20"/>
                <w:szCs w:val="20"/>
                <w:highlight w:val="none"/>
                <w:u w:val="none"/>
                <w:lang w:val="en-US" w:eastAsia="zh-CN" w:bidi="ar"/>
              </w:rPr>
            </w:r>
            <w:r/>
          </w:p>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6.检验标准：满足中国船级社《材料与焊接规范》（2021）检验标准，且产品需取得中国船级社产品证书（CCS</w:t>
            </w:r>
            <w:r>
              <w:rPr>
                <w:rFonts w:hint="eastAsia" w:ascii="宋体" w:hAnsi="宋体" w:cs="宋体"/>
                <w:b w:val="0"/>
                <w:bCs w:val="0"/>
                <w:i w:val="0"/>
                <w:iCs w:val="0"/>
                <w:color w:val="000000"/>
                <w:sz w:val="20"/>
                <w:szCs w:val="20"/>
                <w:highlight w:val="none"/>
                <w:u w:val="none"/>
                <w:lang w:val="en-US" w:eastAsia="zh-CN" w:bidi="ar"/>
              </w:rPr>
              <w:t xml:space="preserve">）</w:t>
            </w:r>
            <w:r>
              <w:rPr>
                <w:rFonts w:hint="eastAsia" w:ascii="宋体" w:hAnsi="宋体" w:eastAsia="宋体" w:cs="宋体"/>
                <w:b w:val="0"/>
                <w:bCs w:val="0"/>
                <w:i w:val="0"/>
                <w:iCs w:val="0"/>
                <w:color w:val="000000"/>
                <w:sz w:val="20"/>
                <w:szCs w:val="20"/>
                <w:highlight w:val="none"/>
                <w:u w:val="none"/>
                <w:lang w:val="en-US" w:eastAsia="zh-CN" w:bidi="ar"/>
              </w:rPr>
              <w:t xml:space="preserve">及单件产品检验证书。</w:t>
            </w:r>
            <w:r>
              <w:rPr>
                <w:rFonts w:hint="eastAsia" w:ascii="宋体" w:hAnsi="宋体" w:cs="宋体"/>
                <w:b w:val="0"/>
                <w:bCs w:val="0"/>
                <w:i w:val="0"/>
                <w:iCs w:val="0"/>
                <w:color w:val="000000"/>
                <w:sz w:val="20"/>
                <w:szCs w:val="20"/>
                <w:highlight w:val="none"/>
                <w:u w:val="none"/>
                <w:lang w:val="en-US" w:eastAsia="zh-CN" w:bidi="ar"/>
              </w:rPr>
              <w:t xml:space="preserve">（相关证书项目验收时提供以供甲方核验）</w:t>
            </w:r>
            <w:r>
              <w:rPr>
                <w:rFonts w:hint="eastAsia" w:ascii="宋体" w:hAnsi="宋体" w:eastAsia="宋体" w:cs="宋体"/>
                <w:b w:val="0"/>
                <w:bCs w:val="0"/>
                <w:i w:val="0"/>
                <w:iCs w:val="0"/>
                <w:color w:val="000000"/>
                <w:sz w:val="20"/>
                <w:szCs w:val="20"/>
                <w:highlight w:val="none"/>
                <w:u w:val="none"/>
              </w:rPr>
            </w:r>
            <w:r/>
          </w:p>
        </w:tc>
        <w:tc>
          <w:tcPr>
            <w:tcW w:w="416"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套</w:t>
            </w:r>
            <w:r>
              <w:rPr>
                <w:rFonts w:hint="eastAsia" w:ascii="宋体" w:hAnsi="宋体" w:eastAsia="宋体" w:cs="宋体"/>
                <w:b w:val="0"/>
                <w:bCs w:val="0"/>
                <w:i w:val="0"/>
                <w:iCs w:val="0"/>
                <w:color w:val="000000"/>
                <w:sz w:val="20"/>
                <w:szCs w:val="20"/>
                <w:highlight w:val="none"/>
                <w:u w:val="none"/>
              </w:rPr>
            </w:r>
            <w:r/>
          </w:p>
        </w:tc>
        <w:tc>
          <w:tcPr>
            <w:tcW w:w="416"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2</w:t>
            </w:r>
            <w:r>
              <w:rPr>
                <w:rFonts w:hint="eastAsia" w:ascii="宋体" w:hAnsi="宋体" w:eastAsia="宋体" w:cs="宋体"/>
                <w:b w:val="0"/>
                <w:bCs w:val="0"/>
                <w:i w:val="0"/>
                <w:iCs w:val="0"/>
                <w:color w:val="000000"/>
                <w:sz w:val="20"/>
                <w:szCs w:val="20"/>
                <w:highlight w:val="none"/>
                <w:u w:val="none"/>
              </w:rPr>
            </w:r>
            <w:r/>
          </w:p>
        </w:tc>
        <w:tc>
          <w:tcPr>
            <w:tcW w:w="479"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b w:val="0"/>
                <w:bCs w:val="0"/>
                <w:i w:val="0"/>
                <w:iCs w:val="0"/>
                <w:color w:val="000000"/>
                <w:sz w:val="20"/>
                <w:szCs w:val="20"/>
                <w:highlight w:val="none"/>
                <w:u w:val="none"/>
                <w:lang w:val="en-US" w:eastAsia="zh-CN" w:bidi="ar"/>
              </w:rPr>
            </w:r>
            <w:r/>
          </w:p>
        </w:tc>
        <w:tc>
          <w:tcPr>
            <w:tcW w:w="481"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b w:val="0"/>
                <w:bCs w:val="0"/>
                <w:i w:val="0"/>
                <w:iCs w:val="0"/>
                <w:color w:val="000000"/>
                <w:sz w:val="20"/>
                <w:szCs w:val="20"/>
                <w:highlight w:val="none"/>
                <w:u w:val="none"/>
                <w:lang w:val="en-US" w:eastAsia="zh-CN" w:bidi="ar"/>
              </w:rPr>
            </w:r>
            <w:r/>
          </w:p>
        </w:tc>
        <w:tc>
          <w:tcPr>
            <w:tcW w:w="401"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b w:val="0"/>
                <w:bCs w:val="0"/>
                <w:i w:val="0"/>
                <w:iCs w:val="0"/>
                <w:color w:val="000000"/>
                <w:sz w:val="20"/>
                <w:szCs w:val="20"/>
                <w:highlight w:val="none"/>
                <w:u w:val="none"/>
                <w:lang w:val="en-US" w:eastAsia="zh-CN" w:bidi="ar"/>
              </w:rPr>
            </w:r>
            <w:r/>
          </w:p>
        </w:tc>
      </w:tr>
      <w:tr>
        <w:trPr>
          <w:trHeight w:val="1160"/>
        </w:trPr>
        <w:tc>
          <w:tcPr>
            <w:tcW w:w="416"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8</w:t>
            </w:r>
            <w:r>
              <w:rPr>
                <w:rFonts w:hint="eastAsia" w:ascii="宋体" w:hAnsi="宋体" w:eastAsia="宋体" w:cs="宋体"/>
                <w:b w:val="0"/>
                <w:bCs w:val="0"/>
                <w:i w:val="0"/>
                <w:iCs w:val="0"/>
                <w:color w:val="000000"/>
                <w:sz w:val="20"/>
                <w:szCs w:val="20"/>
                <w:highlight w:val="none"/>
                <w:u w:val="none"/>
              </w:rPr>
            </w:r>
            <w:r/>
          </w:p>
        </w:tc>
        <w:tc>
          <w:tcPr>
            <w:tcW w:w="675"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供电系统</w:t>
            </w:r>
            <w:r>
              <w:rPr>
                <w:rFonts w:hint="eastAsia" w:ascii="宋体" w:hAnsi="宋体" w:eastAsia="宋体" w:cs="宋体"/>
                <w:b w:val="0"/>
                <w:bCs w:val="0"/>
                <w:i w:val="0"/>
                <w:iCs w:val="0"/>
                <w:color w:val="000000"/>
                <w:sz w:val="20"/>
                <w:szCs w:val="20"/>
                <w:highlight w:val="none"/>
                <w:u w:val="none"/>
              </w:rPr>
            </w:r>
            <w:r/>
          </w:p>
        </w:tc>
        <w:tc>
          <w:tcPr>
            <w:tcW w:w="4265"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1.供电系统采用高效率太阳能板和铅酸密闭式免维护蓄电池组合供电方式,对浮标系统提供单一工作电压。2.要求:供电系统在太阳能电池板损坏或连续阴雨天(不出太阳)的情况下,仍能向浮标系统正常供电30天。3.蓄电池有经过大电流放电、防酸雾性能、耐过充电能力、再充电性能测试。</w:t>
            </w:r>
            <w:r>
              <w:rPr>
                <w:rFonts w:hint="eastAsia" w:ascii="宋体" w:hAnsi="宋体" w:eastAsia="宋体" w:cs="宋体"/>
                <w:b w:val="0"/>
                <w:bCs w:val="0"/>
                <w:i w:val="0"/>
                <w:iCs w:val="0"/>
                <w:color w:val="000000"/>
                <w:sz w:val="20"/>
                <w:szCs w:val="20"/>
                <w:highlight w:val="none"/>
                <w:u w:val="none"/>
              </w:rPr>
            </w:r>
            <w:r/>
          </w:p>
        </w:tc>
        <w:tc>
          <w:tcPr>
            <w:tcW w:w="416"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套</w:t>
            </w:r>
            <w:r>
              <w:rPr>
                <w:rFonts w:hint="eastAsia" w:ascii="宋体" w:hAnsi="宋体" w:eastAsia="宋体" w:cs="宋体"/>
                <w:b w:val="0"/>
                <w:bCs w:val="0"/>
                <w:i w:val="0"/>
                <w:iCs w:val="0"/>
                <w:color w:val="000000"/>
                <w:sz w:val="20"/>
                <w:szCs w:val="20"/>
                <w:highlight w:val="none"/>
                <w:u w:val="none"/>
              </w:rPr>
            </w:r>
            <w:r/>
          </w:p>
        </w:tc>
        <w:tc>
          <w:tcPr>
            <w:tcW w:w="416"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2</w:t>
            </w:r>
            <w:r>
              <w:rPr>
                <w:rFonts w:hint="eastAsia" w:ascii="宋体" w:hAnsi="宋体" w:eastAsia="宋体" w:cs="宋体"/>
                <w:b w:val="0"/>
                <w:bCs w:val="0"/>
                <w:i w:val="0"/>
                <w:iCs w:val="0"/>
                <w:color w:val="000000"/>
                <w:sz w:val="20"/>
                <w:szCs w:val="20"/>
                <w:highlight w:val="none"/>
                <w:u w:val="none"/>
              </w:rPr>
            </w:r>
            <w:r/>
          </w:p>
        </w:tc>
        <w:tc>
          <w:tcPr>
            <w:tcW w:w="479"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b w:val="0"/>
                <w:bCs w:val="0"/>
                <w:i w:val="0"/>
                <w:iCs w:val="0"/>
                <w:color w:val="000000"/>
                <w:sz w:val="20"/>
                <w:szCs w:val="20"/>
                <w:highlight w:val="none"/>
                <w:u w:val="none"/>
                <w:lang w:val="en-US" w:eastAsia="zh-CN" w:bidi="ar"/>
              </w:rPr>
            </w:r>
            <w:r/>
          </w:p>
        </w:tc>
        <w:tc>
          <w:tcPr>
            <w:tcW w:w="481"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b w:val="0"/>
                <w:bCs w:val="0"/>
                <w:i w:val="0"/>
                <w:iCs w:val="0"/>
                <w:color w:val="000000"/>
                <w:sz w:val="20"/>
                <w:szCs w:val="20"/>
                <w:highlight w:val="none"/>
                <w:u w:val="none"/>
                <w:lang w:val="en-US" w:eastAsia="zh-CN" w:bidi="ar"/>
              </w:rPr>
            </w:r>
            <w:r/>
          </w:p>
        </w:tc>
        <w:tc>
          <w:tcPr>
            <w:tcW w:w="401"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b w:val="0"/>
                <w:bCs w:val="0"/>
                <w:i w:val="0"/>
                <w:iCs w:val="0"/>
                <w:color w:val="000000"/>
                <w:sz w:val="20"/>
                <w:szCs w:val="20"/>
                <w:highlight w:val="none"/>
                <w:u w:val="none"/>
                <w:lang w:val="en-US" w:eastAsia="zh-CN" w:bidi="ar"/>
              </w:rPr>
            </w:r>
            <w:r/>
          </w:p>
        </w:tc>
      </w:tr>
      <w:tr>
        <w:trPr>
          <w:trHeight w:val="1060"/>
        </w:trPr>
        <w:tc>
          <w:tcPr>
            <w:tcW w:w="416"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9</w:t>
            </w:r>
            <w:r>
              <w:rPr>
                <w:rFonts w:hint="eastAsia" w:ascii="宋体" w:hAnsi="宋体" w:eastAsia="宋体" w:cs="宋体"/>
                <w:b w:val="0"/>
                <w:bCs w:val="0"/>
                <w:i w:val="0"/>
                <w:iCs w:val="0"/>
                <w:color w:val="000000"/>
                <w:sz w:val="20"/>
                <w:szCs w:val="20"/>
                <w:highlight w:val="none"/>
                <w:u w:val="none"/>
              </w:rPr>
            </w:r>
            <w:r/>
          </w:p>
        </w:tc>
        <w:tc>
          <w:tcPr>
            <w:tcW w:w="675"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其他配件</w:t>
            </w:r>
            <w:r>
              <w:rPr>
                <w:rFonts w:hint="eastAsia" w:ascii="宋体" w:hAnsi="宋体" w:eastAsia="宋体" w:cs="宋体"/>
                <w:b w:val="0"/>
                <w:bCs w:val="0"/>
                <w:i w:val="0"/>
                <w:iCs w:val="0"/>
                <w:color w:val="000000"/>
                <w:sz w:val="20"/>
                <w:szCs w:val="20"/>
                <w:highlight w:val="none"/>
                <w:u w:val="none"/>
              </w:rPr>
            </w:r>
            <w:r/>
          </w:p>
        </w:tc>
        <w:tc>
          <w:tcPr>
            <w:tcW w:w="4265"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1.锚灯、雷达响应器:浮标系统配有符合国标的航标灯,安装橙色锚灯和雷达响应器,灯号和雷达响应器应符合国际助航标);2.避雷针:浮标系统应配备避雷针,其设 计、结构、功能等应符合相关国标或行业标准;3.电缆以及水密插头、安装工具包等必要的配件。</w:t>
            </w:r>
            <w:r>
              <w:rPr>
                <w:rFonts w:hint="eastAsia" w:ascii="宋体" w:hAnsi="宋体" w:eastAsia="宋体" w:cs="宋体"/>
                <w:b w:val="0"/>
                <w:bCs w:val="0"/>
                <w:i w:val="0"/>
                <w:iCs w:val="0"/>
                <w:color w:val="000000"/>
                <w:sz w:val="20"/>
                <w:szCs w:val="20"/>
                <w:highlight w:val="none"/>
                <w:u w:val="none"/>
              </w:rPr>
            </w:r>
            <w:r/>
          </w:p>
        </w:tc>
        <w:tc>
          <w:tcPr>
            <w:tcW w:w="416"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台</w:t>
            </w:r>
            <w:r>
              <w:rPr>
                <w:rFonts w:hint="eastAsia" w:ascii="宋体" w:hAnsi="宋体" w:eastAsia="宋体" w:cs="宋体"/>
                <w:b w:val="0"/>
                <w:bCs w:val="0"/>
                <w:i w:val="0"/>
                <w:iCs w:val="0"/>
                <w:color w:val="000000"/>
                <w:sz w:val="20"/>
                <w:szCs w:val="20"/>
                <w:highlight w:val="none"/>
                <w:u w:val="none"/>
              </w:rPr>
            </w:r>
            <w:r/>
          </w:p>
        </w:tc>
        <w:tc>
          <w:tcPr>
            <w:tcW w:w="416"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2</w:t>
            </w:r>
            <w:r>
              <w:rPr>
                <w:rFonts w:hint="eastAsia" w:ascii="宋体" w:hAnsi="宋体" w:eastAsia="宋体" w:cs="宋体"/>
                <w:b w:val="0"/>
                <w:bCs w:val="0"/>
                <w:i w:val="0"/>
                <w:iCs w:val="0"/>
                <w:color w:val="000000"/>
                <w:sz w:val="20"/>
                <w:szCs w:val="20"/>
                <w:highlight w:val="none"/>
                <w:u w:val="none"/>
              </w:rPr>
            </w:r>
            <w:r/>
          </w:p>
        </w:tc>
        <w:tc>
          <w:tcPr>
            <w:tcW w:w="479"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b w:val="0"/>
                <w:bCs w:val="0"/>
                <w:i w:val="0"/>
                <w:iCs w:val="0"/>
                <w:color w:val="000000"/>
                <w:sz w:val="20"/>
                <w:szCs w:val="20"/>
                <w:highlight w:val="none"/>
                <w:u w:val="none"/>
                <w:lang w:val="en-US" w:eastAsia="zh-CN" w:bidi="ar"/>
              </w:rPr>
            </w:r>
            <w:r/>
          </w:p>
        </w:tc>
        <w:tc>
          <w:tcPr>
            <w:tcW w:w="481"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b w:val="0"/>
                <w:bCs w:val="0"/>
                <w:i w:val="0"/>
                <w:iCs w:val="0"/>
                <w:color w:val="000000"/>
                <w:sz w:val="20"/>
                <w:szCs w:val="20"/>
                <w:highlight w:val="none"/>
                <w:u w:val="none"/>
                <w:lang w:val="en-US" w:eastAsia="zh-CN" w:bidi="ar"/>
              </w:rPr>
            </w:r>
            <w:r/>
          </w:p>
        </w:tc>
        <w:tc>
          <w:tcPr>
            <w:tcW w:w="401"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b w:val="0"/>
                <w:bCs w:val="0"/>
                <w:i w:val="0"/>
                <w:iCs w:val="0"/>
                <w:color w:val="000000"/>
                <w:sz w:val="20"/>
                <w:szCs w:val="20"/>
                <w:highlight w:val="none"/>
                <w:u w:val="none"/>
                <w:lang w:val="en-US" w:eastAsia="zh-CN" w:bidi="ar"/>
              </w:rPr>
            </w:r>
            <w:r/>
          </w:p>
        </w:tc>
      </w:tr>
      <w:tr>
        <w:trPr>
          <w:trHeight w:val="840"/>
        </w:trPr>
        <w:tc>
          <w:tcPr>
            <w:tcW w:w="416"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10</w:t>
            </w:r>
            <w:r>
              <w:rPr>
                <w:rFonts w:hint="eastAsia" w:ascii="宋体" w:hAnsi="宋体" w:eastAsia="宋体" w:cs="宋体"/>
                <w:b w:val="0"/>
                <w:bCs w:val="0"/>
                <w:i w:val="0"/>
                <w:iCs w:val="0"/>
                <w:color w:val="000000"/>
                <w:sz w:val="20"/>
                <w:szCs w:val="20"/>
                <w:highlight w:val="none"/>
                <w:u w:val="none"/>
              </w:rPr>
            </w:r>
            <w:r/>
          </w:p>
        </w:tc>
        <w:tc>
          <w:tcPr>
            <w:tcW w:w="675"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风速风向仪</w:t>
            </w:r>
            <w:r>
              <w:rPr>
                <w:rFonts w:hint="eastAsia" w:ascii="宋体" w:hAnsi="宋体" w:eastAsia="宋体" w:cs="宋体"/>
                <w:b w:val="0"/>
                <w:bCs w:val="0"/>
                <w:i w:val="0"/>
                <w:iCs w:val="0"/>
                <w:color w:val="000000"/>
                <w:sz w:val="20"/>
                <w:szCs w:val="20"/>
                <w:highlight w:val="none"/>
                <w:u w:val="none"/>
              </w:rPr>
            </w:r>
            <w:r/>
          </w:p>
        </w:tc>
        <w:tc>
          <w:tcPr>
            <w:tcW w:w="4265"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1.风速:测量范围:0m/s~100m/s,准确度:±0.3m/s(0. 6mph);2.风向:测量范围:(0~355)。(5°开角),准确度:±3°</w:t>
            </w:r>
            <w:r>
              <w:rPr>
                <w:rFonts w:hint="eastAsia" w:ascii="宋体" w:hAnsi="宋体" w:eastAsia="宋体" w:cs="宋体"/>
                <w:b w:val="0"/>
                <w:bCs w:val="0"/>
                <w:i w:val="0"/>
                <w:iCs w:val="0"/>
                <w:color w:val="000000"/>
                <w:sz w:val="20"/>
                <w:szCs w:val="20"/>
                <w:highlight w:val="none"/>
                <w:u w:val="none"/>
              </w:rPr>
            </w:r>
            <w:r/>
          </w:p>
        </w:tc>
        <w:tc>
          <w:tcPr>
            <w:tcW w:w="416"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台</w:t>
            </w:r>
            <w:r>
              <w:rPr>
                <w:rFonts w:hint="eastAsia" w:ascii="宋体" w:hAnsi="宋体" w:eastAsia="宋体" w:cs="宋体"/>
                <w:b w:val="0"/>
                <w:bCs w:val="0"/>
                <w:i w:val="0"/>
                <w:iCs w:val="0"/>
                <w:color w:val="000000"/>
                <w:sz w:val="20"/>
                <w:szCs w:val="20"/>
                <w:highlight w:val="none"/>
                <w:u w:val="none"/>
              </w:rPr>
            </w:r>
            <w:r/>
          </w:p>
        </w:tc>
        <w:tc>
          <w:tcPr>
            <w:tcW w:w="416"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5</w:t>
            </w:r>
            <w:r>
              <w:rPr>
                <w:rFonts w:hint="eastAsia" w:ascii="宋体" w:hAnsi="宋体" w:eastAsia="宋体" w:cs="宋体"/>
                <w:b w:val="0"/>
                <w:bCs w:val="0"/>
                <w:i w:val="0"/>
                <w:iCs w:val="0"/>
                <w:color w:val="000000"/>
                <w:sz w:val="20"/>
                <w:szCs w:val="20"/>
                <w:highlight w:val="none"/>
                <w:u w:val="none"/>
              </w:rPr>
            </w:r>
            <w:r/>
          </w:p>
        </w:tc>
        <w:tc>
          <w:tcPr>
            <w:tcW w:w="479"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b w:val="0"/>
                <w:bCs w:val="0"/>
                <w:i w:val="0"/>
                <w:iCs w:val="0"/>
                <w:color w:val="000000"/>
                <w:sz w:val="20"/>
                <w:szCs w:val="20"/>
                <w:highlight w:val="none"/>
                <w:u w:val="none"/>
                <w:lang w:val="en-US" w:eastAsia="zh-CN" w:bidi="ar"/>
              </w:rPr>
            </w:r>
            <w:r/>
          </w:p>
        </w:tc>
        <w:tc>
          <w:tcPr>
            <w:tcW w:w="481"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b w:val="0"/>
                <w:bCs w:val="0"/>
                <w:i w:val="0"/>
                <w:iCs w:val="0"/>
                <w:color w:val="000000"/>
                <w:sz w:val="20"/>
                <w:szCs w:val="20"/>
                <w:highlight w:val="none"/>
                <w:u w:val="none"/>
                <w:lang w:val="en-US" w:eastAsia="zh-CN" w:bidi="ar"/>
              </w:rPr>
            </w:r>
            <w:r/>
          </w:p>
        </w:tc>
        <w:tc>
          <w:tcPr>
            <w:tcW w:w="401"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b w:val="0"/>
                <w:bCs w:val="0"/>
                <w:i w:val="0"/>
                <w:iCs w:val="0"/>
                <w:color w:val="000000"/>
                <w:sz w:val="20"/>
                <w:szCs w:val="20"/>
                <w:highlight w:val="none"/>
                <w:u w:val="none"/>
                <w:lang w:val="en-US" w:eastAsia="zh-CN" w:bidi="ar"/>
              </w:rPr>
            </w:r>
            <w:r/>
          </w:p>
        </w:tc>
      </w:tr>
      <w:tr>
        <w:trPr>
          <w:trHeight w:val="840"/>
        </w:trPr>
        <w:tc>
          <w:tcPr>
            <w:tcW w:w="416"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11</w:t>
            </w:r>
            <w:r>
              <w:rPr>
                <w:rFonts w:hint="eastAsia" w:ascii="宋体" w:hAnsi="宋体" w:eastAsia="宋体" w:cs="宋体"/>
                <w:b w:val="0"/>
                <w:bCs w:val="0"/>
                <w:i w:val="0"/>
                <w:iCs w:val="0"/>
                <w:color w:val="000000"/>
                <w:sz w:val="20"/>
                <w:szCs w:val="20"/>
                <w:highlight w:val="none"/>
                <w:u w:val="none"/>
              </w:rPr>
            </w:r>
            <w:r/>
          </w:p>
        </w:tc>
        <w:tc>
          <w:tcPr>
            <w:tcW w:w="675"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温湿度传感器</w:t>
            </w:r>
            <w:r>
              <w:rPr>
                <w:rFonts w:hint="eastAsia" w:ascii="宋体" w:hAnsi="宋体" w:eastAsia="宋体" w:cs="宋体"/>
                <w:b w:val="0"/>
                <w:bCs w:val="0"/>
                <w:i w:val="0"/>
                <w:iCs w:val="0"/>
                <w:color w:val="000000"/>
                <w:sz w:val="20"/>
                <w:szCs w:val="20"/>
                <w:highlight w:val="none"/>
                <w:u w:val="none"/>
              </w:rPr>
            </w:r>
            <w:r/>
          </w:p>
        </w:tc>
        <w:tc>
          <w:tcPr>
            <w:tcW w:w="4265"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1.气温:测量范围:(-10~60)℃,准确度:正负偏离均小于等于0.3 ℃;2.相对湿度:测量范围:(0~100)%;准确度:正负偏离均小于等于3%。</w:t>
            </w:r>
            <w:r>
              <w:rPr>
                <w:rFonts w:hint="eastAsia" w:ascii="宋体" w:hAnsi="宋体" w:eastAsia="宋体" w:cs="宋体"/>
                <w:b w:val="0"/>
                <w:bCs w:val="0"/>
                <w:i w:val="0"/>
                <w:iCs w:val="0"/>
                <w:color w:val="000000"/>
                <w:sz w:val="20"/>
                <w:szCs w:val="20"/>
                <w:highlight w:val="none"/>
                <w:u w:val="none"/>
              </w:rPr>
            </w:r>
            <w:r/>
          </w:p>
        </w:tc>
        <w:tc>
          <w:tcPr>
            <w:tcW w:w="416"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台</w:t>
            </w:r>
            <w:r>
              <w:rPr>
                <w:rFonts w:hint="eastAsia" w:ascii="宋体" w:hAnsi="宋体" w:eastAsia="宋体" w:cs="宋体"/>
                <w:b w:val="0"/>
                <w:bCs w:val="0"/>
                <w:i w:val="0"/>
                <w:iCs w:val="0"/>
                <w:color w:val="000000"/>
                <w:sz w:val="20"/>
                <w:szCs w:val="20"/>
                <w:highlight w:val="none"/>
                <w:u w:val="none"/>
              </w:rPr>
            </w:r>
            <w:r/>
          </w:p>
        </w:tc>
        <w:tc>
          <w:tcPr>
            <w:tcW w:w="416"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7</w:t>
            </w:r>
            <w:r>
              <w:rPr>
                <w:rFonts w:hint="eastAsia" w:ascii="宋体" w:hAnsi="宋体" w:eastAsia="宋体" w:cs="宋体"/>
                <w:b w:val="0"/>
                <w:bCs w:val="0"/>
                <w:i w:val="0"/>
                <w:iCs w:val="0"/>
                <w:color w:val="000000"/>
                <w:sz w:val="20"/>
                <w:szCs w:val="20"/>
                <w:highlight w:val="none"/>
                <w:u w:val="none"/>
              </w:rPr>
            </w:r>
            <w:r/>
          </w:p>
        </w:tc>
        <w:tc>
          <w:tcPr>
            <w:tcW w:w="479"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b w:val="0"/>
                <w:bCs w:val="0"/>
                <w:i w:val="0"/>
                <w:iCs w:val="0"/>
                <w:color w:val="000000"/>
                <w:sz w:val="20"/>
                <w:szCs w:val="20"/>
                <w:highlight w:val="none"/>
                <w:u w:val="none"/>
                <w:lang w:val="en-US" w:eastAsia="zh-CN" w:bidi="ar"/>
              </w:rPr>
            </w:r>
            <w:r/>
          </w:p>
        </w:tc>
        <w:tc>
          <w:tcPr>
            <w:tcW w:w="481"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b w:val="0"/>
                <w:bCs w:val="0"/>
                <w:i w:val="0"/>
                <w:iCs w:val="0"/>
                <w:color w:val="000000"/>
                <w:sz w:val="20"/>
                <w:szCs w:val="20"/>
                <w:highlight w:val="none"/>
                <w:u w:val="none"/>
                <w:lang w:val="en-US" w:eastAsia="zh-CN" w:bidi="ar"/>
              </w:rPr>
            </w:r>
            <w:r/>
          </w:p>
        </w:tc>
        <w:tc>
          <w:tcPr>
            <w:tcW w:w="401"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b w:val="0"/>
                <w:bCs w:val="0"/>
                <w:i w:val="0"/>
                <w:iCs w:val="0"/>
                <w:color w:val="000000"/>
                <w:sz w:val="20"/>
                <w:szCs w:val="20"/>
                <w:highlight w:val="none"/>
                <w:u w:val="none"/>
                <w:lang w:val="en-US" w:eastAsia="zh-CN" w:bidi="ar"/>
              </w:rPr>
            </w:r>
            <w:r/>
          </w:p>
        </w:tc>
      </w:tr>
      <w:tr>
        <w:trPr>
          <w:trHeight w:val="840"/>
        </w:trPr>
        <w:tc>
          <w:tcPr>
            <w:tcW w:w="416"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12</w:t>
            </w:r>
            <w:r>
              <w:rPr>
                <w:rFonts w:hint="eastAsia" w:ascii="宋体" w:hAnsi="宋体" w:eastAsia="宋体" w:cs="宋体"/>
                <w:b w:val="0"/>
                <w:bCs w:val="0"/>
                <w:i w:val="0"/>
                <w:iCs w:val="0"/>
                <w:color w:val="000000"/>
                <w:sz w:val="20"/>
                <w:szCs w:val="20"/>
                <w:highlight w:val="none"/>
                <w:u w:val="none"/>
              </w:rPr>
            </w:r>
            <w:r/>
          </w:p>
        </w:tc>
        <w:tc>
          <w:tcPr>
            <w:tcW w:w="675"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气压传感器</w:t>
            </w:r>
            <w:r>
              <w:rPr>
                <w:rFonts w:hint="eastAsia" w:ascii="宋体" w:hAnsi="宋体" w:eastAsia="宋体" w:cs="宋体"/>
                <w:b w:val="0"/>
                <w:bCs w:val="0"/>
                <w:i w:val="0"/>
                <w:iCs w:val="0"/>
                <w:color w:val="000000"/>
                <w:sz w:val="20"/>
                <w:szCs w:val="20"/>
                <w:highlight w:val="none"/>
                <w:u w:val="none"/>
              </w:rPr>
            </w:r>
            <w:r/>
          </w:p>
        </w:tc>
        <w:tc>
          <w:tcPr>
            <w:tcW w:w="4265"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1.测量范围:(600~1100)hPa;2.准确度:正负偏离均小于等于0.3hpa。</w:t>
            </w:r>
            <w:r>
              <w:rPr>
                <w:rFonts w:hint="eastAsia" w:ascii="宋体" w:hAnsi="宋体" w:eastAsia="宋体" w:cs="宋体"/>
                <w:b w:val="0"/>
                <w:bCs w:val="0"/>
                <w:i w:val="0"/>
                <w:iCs w:val="0"/>
                <w:color w:val="000000"/>
                <w:sz w:val="20"/>
                <w:szCs w:val="20"/>
                <w:highlight w:val="none"/>
                <w:u w:val="none"/>
              </w:rPr>
            </w:r>
            <w:r/>
          </w:p>
        </w:tc>
        <w:tc>
          <w:tcPr>
            <w:tcW w:w="416"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台</w:t>
            </w:r>
            <w:r>
              <w:rPr>
                <w:rFonts w:hint="eastAsia" w:ascii="宋体" w:hAnsi="宋体" w:eastAsia="宋体" w:cs="宋体"/>
                <w:b w:val="0"/>
                <w:bCs w:val="0"/>
                <w:i w:val="0"/>
                <w:iCs w:val="0"/>
                <w:color w:val="000000"/>
                <w:sz w:val="20"/>
                <w:szCs w:val="20"/>
                <w:highlight w:val="none"/>
                <w:u w:val="none"/>
              </w:rPr>
            </w:r>
            <w:r/>
          </w:p>
        </w:tc>
        <w:tc>
          <w:tcPr>
            <w:tcW w:w="416"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7</w:t>
            </w:r>
            <w:r>
              <w:rPr>
                <w:rFonts w:hint="eastAsia" w:ascii="宋体" w:hAnsi="宋体" w:eastAsia="宋体" w:cs="宋体"/>
                <w:b w:val="0"/>
                <w:bCs w:val="0"/>
                <w:i w:val="0"/>
                <w:iCs w:val="0"/>
                <w:color w:val="000000"/>
                <w:sz w:val="20"/>
                <w:szCs w:val="20"/>
                <w:highlight w:val="none"/>
                <w:u w:val="none"/>
              </w:rPr>
            </w:r>
            <w:r/>
          </w:p>
        </w:tc>
        <w:tc>
          <w:tcPr>
            <w:tcW w:w="479"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b w:val="0"/>
                <w:bCs w:val="0"/>
                <w:i w:val="0"/>
                <w:iCs w:val="0"/>
                <w:color w:val="000000"/>
                <w:sz w:val="20"/>
                <w:szCs w:val="20"/>
                <w:highlight w:val="none"/>
                <w:u w:val="none"/>
                <w:lang w:val="en-US" w:eastAsia="zh-CN" w:bidi="ar"/>
              </w:rPr>
            </w:r>
            <w:r/>
          </w:p>
        </w:tc>
        <w:tc>
          <w:tcPr>
            <w:tcW w:w="481"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b w:val="0"/>
                <w:bCs w:val="0"/>
                <w:i w:val="0"/>
                <w:iCs w:val="0"/>
                <w:color w:val="000000"/>
                <w:sz w:val="20"/>
                <w:szCs w:val="20"/>
                <w:highlight w:val="none"/>
                <w:u w:val="none"/>
                <w:lang w:val="en-US" w:eastAsia="zh-CN" w:bidi="ar"/>
              </w:rPr>
            </w:r>
            <w:r/>
          </w:p>
        </w:tc>
        <w:tc>
          <w:tcPr>
            <w:tcW w:w="401"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b w:val="0"/>
                <w:bCs w:val="0"/>
                <w:i w:val="0"/>
                <w:iCs w:val="0"/>
                <w:color w:val="000000"/>
                <w:sz w:val="20"/>
                <w:szCs w:val="20"/>
                <w:highlight w:val="none"/>
                <w:u w:val="none"/>
                <w:lang w:val="en-US" w:eastAsia="zh-CN" w:bidi="ar"/>
              </w:rPr>
            </w:r>
            <w:r/>
          </w:p>
        </w:tc>
      </w:tr>
      <w:tr>
        <w:trPr>
          <w:trHeight w:val="1980"/>
        </w:trPr>
        <w:tc>
          <w:tcPr>
            <w:tcW w:w="416"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13</w:t>
            </w:r>
            <w:r>
              <w:rPr>
                <w:rFonts w:hint="eastAsia" w:ascii="宋体" w:hAnsi="宋体" w:eastAsia="宋体" w:cs="宋体"/>
                <w:b w:val="0"/>
                <w:bCs w:val="0"/>
                <w:i w:val="0"/>
                <w:iCs w:val="0"/>
                <w:color w:val="000000"/>
                <w:sz w:val="20"/>
                <w:szCs w:val="20"/>
                <w:highlight w:val="none"/>
                <w:u w:val="none"/>
              </w:rPr>
            </w:r>
            <w:r/>
          </w:p>
        </w:tc>
        <w:tc>
          <w:tcPr>
            <w:tcW w:w="675"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单点海流计</w:t>
            </w:r>
            <w:r>
              <w:rPr>
                <w:rFonts w:hint="eastAsia" w:ascii="宋体" w:hAnsi="宋体" w:eastAsia="宋体" w:cs="宋体"/>
                <w:b w:val="0"/>
                <w:bCs w:val="0"/>
                <w:i w:val="0"/>
                <w:iCs w:val="0"/>
                <w:color w:val="000000"/>
                <w:sz w:val="20"/>
                <w:szCs w:val="20"/>
                <w:highlight w:val="none"/>
                <w:u w:val="none"/>
              </w:rPr>
            </w:r>
            <w:r/>
          </w:p>
        </w:tc>
        <w:tc>
          <w:tcPr>
            <w:tcW w:w="4265"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1.单点海流计测</w:t>
            </w:r>
            <w:r>
              <w:rPr>
                <w:rFonts w:hint="eastAsia" w:ascii="宋体" w:hAnsi="宋体" w:eastAsia="宋体" w:cs="宋体"/>
                <w:b w:val="0"/>
                <w:bCs w:val="0"/>
                <w:i w:val="0"/>
                <w:iCs w:val="0"/>
                <w:color w:val="000000"/>
                <w:sz w:val="20"/>
                <w:szCs w:val="20"/>
                <w:highlight w:val="none"/>
                <w:u w:val="none"/>
                <w:lang w:val="en-US" w:eastAsia="zh-CN" w:bidi="ar"/>
              </w:rPr>
              <w:t xml:space="preserve">量原理与剖面海流计同为声学多普勒测量原理,以保证数据的一致性;2.单点海流计具备前向测量功能,可自动选择流来向的两个正交的传感器进行测量,避免传感器周边涡流对测量的干扰;3.单点海流计声学频率为1.9到2.0mHz多频测量技术,以提高测量精度,降低电耗;4.流速;5.流向;6.倾斜度传感器:量程范围:0~35°,分辨率:≤0.01°,准确度:正负偏离均小于等于1.5°;7.具备罗盘功能,以防止金属(如锚系)磁化对流向数据的影响;罗盘分辨率:&lt;0.01;准确度:正负偏离均小于等于3°;8.每台含一条原厂线缆。</w:t>
            </w:r>
            <w:r>
              <w:rPr>
                <w:rFonts w:hint="eastAsia" w:ascii="宋体" w:hAnsi="宋体" w:eastAsia="宋体" w:cs="宋体"/>
                <w:b w:val="0"/>
                <w:bCs w:val="0"/>
                <w:i w:val="0"/>
                <w:iCs w:val="0"/>
                <w:color w:val="000000"/>
                <w:sz w:val="20"/>
                <w:szCs w:val="20"/>
                <w:highlight w:val="none"/>
                <w:u w:val="none"/>
              </w:rPr>
            </w:r>
            <w:r/>
          </w:p>
        </w:tc>
        <w:tc>
          <w:tcPr>
            <w:tcW w:w="416"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台</w:t>
            </w:r>
            <w:r>
              <w:rPr>
                <w:rFonts w:hint="eastAsia" w:ascii="宋体" w:hAnsi="宋体" w:eastAsia="宋体" w:cs="宋体"/>
                <w:b w:val="0"/>
                <w:bCs w:val="0"/>
                <w:i w:val="0"/>
                <w:iCs w:val="0"/>
                <w:color w:val="000000"/>
                <w:sz w:val="20"/>
                <w:szCs w:val="20"/>
                <w:highlight w:val="none"/>
                <w:u w:val="none"/>
              </w:rPr>
            </w:r>
            <w:r/>
          </w:p>
        </w:tc>
        <w:tc>
          <w:tcPr>
            <w:tcW w:w="416"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2</w:t>
            </w:r>
            <w:r>
              <w:rPr>
                <w:rFonts w:hint="eastAsia" w:ascii="宋体" w:hAnsi="宋体" w:eastAsia="宋体" w:cs="宋体"/>
                <w:b w:val="0"/>
                <w:bCs w:val="0"/>
                <w:i w:val="0"/>
                <w:iCs w:val="0"/>
                <w:color w:val="000000"/>
                <w:sz w:val="20"/>
                <w:szCs w:val="20"/>
                <w:highlight w:val="none"/>
                <w:u w:val="none"/>
              </w:rPr>
            </w:r>
            <w:r/>
          </w:p>
        </w:tc>
        <w:tc>
          <w:tcPr>
            <w:tcW w:w="479"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b w:val="0"/>
                <w:bCs w:val="0"/>
                <w:i w:val="0"/>
                <w:iCs w:val="0"/>
                <w:color w:val="000000"/>
                <w:sz w:val="20"/>
                <w:szCs w:val="20"/>
                <w:highlight w:val="none"/>
                <w:u w:val="none"/>
                <w:lang w:val="en-US" w:eastAsia="zh-CN" w:bidi="ar"/>
              </w:rPr>
            </w:r>
            <w:r/>
          </w:p>
        </w:tc>
        <w:tc>
          <w:tcPr>
            <w:tcW w:w="481"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b w:val="0"/>
                <w:bCs w:val="0"/>
                <w:i w:val="0"/>
                <w:iCs w:val="0"/>
                <w:color w:val="000000"/>
                <w:sz w:val="20"/>
                <w:szCs w:val="20"/>
                <w:highlight w:val="none"/>
                <w:u w:val="none"/>
                <w:lang w:val="en-US" w:eastAsia="zh-CN" w:bidi="ar"/>
              </w:rPr>
            </w:r>
            <w:r/>
          </w:p>
        </w:tc>
        <w:tc>
          <w:tcPr>
            <w:tcW w:w="401"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b w:val="0"/>
                <w:bCs w:val="0"/>
                <w:i w:val="0"/>
                <w:iCs w:val="0"/>
                <w:color w:val="000000"/>
                <w:sz w:val="20"/>
                <w:szCs w:val="20"/>
                <w:highlight w:val="none"/>
                <w:u w:val="none"/>
                <w:lang w:val="en-US" w:eastAsia="zh-CN" w:bidi="ar"/>
              </w:rPr>
            </w:r>
            <w:r/>
          </w:p>
        </w:tc>
      </w:tr>
      <w:tr>
        <w:trPr>
          <w:trHeight w:val="1180"/>
        </w:trPr>
        <w:tc>
          <w:tcPr>
            <w:tcW w:w="416"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14</w:t>
            </w:r>
            <w:r>
              <w:rPr>
                <w:rFonts w:hint="eastAsia" w:ascii="宋体" w:hAnsi="宋体" w:eastAsia="宋体" w:cs="宋体"/>
                <w:b w:val="0"/>
                <w:bCs w:val="0"/>
                <w:i w:val="0"/>
                <w:iCs w:val="0"/>
                <w:color w:val="000000"/>
                <w:sz w:val="20"/>
                <w:szCs w:val="20"/>
                <w:highlight w:val="none"/>
                <w:u w:val="none"/>
              </w:rPr>
            </w:r>
            <w:r/>
          </w:p>
        </w:tc>
        <w:tc>
          <w:tcPr>
            <w:tcW w:w="675"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剖面海流计</w:t>
            </w:r>
            <w:r>
              <w:rPr>
                <w:rFonts w:hint="eastAsia" w:ascii="宋体" w:hAnsi="宋体" w:eastAsia="宋体" w:cs="宋体"/>
                <w:b w:val="0"/>
                <w:bCs w:val="0"/>
                <w:i w:val="0"/>
                <w:iCs w:val="0"/>
                <w:color w:val="000000"/>
                <w:sz w:val="20"/>
                <w:szCs w:val="20"/>
                <w:highlight w:val="none"/>
                <w:u w:val="none"/>
              </w:rPr>
            </w:r>
            <w:r/>
          </w:p>
        </w:tc>
        <w:tc>
          <w:tcPr>
            <w:tcW w:w="4265"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1.设备要拥有至少四个模拟输出通道,一个串行通道,用于扩展外接电源、构建实时系统或连接第三方传感器;2.最大创面层数≥15层;3.应具备至少1G6的内存,以满足长期监测时存储数据的需求;4.每台含一条原厂线缆.</w:t>
            </w:r>
            <w:r>
              <w:rPr>
                <w:rFonts w:hint="eastAsia" w:ascii="宋体" w:hAnsi="宋体" w:eastAsia="宋体" w:cs="宋体"/>
                <w:b w:val="0"/>
                <w:bCs w:val="0"/>
                <w:i w:val="0"/>
                <w:iCs w:val="0"/>
                <w:color w:val="000000"/>
                <w:sz w:val="20"/>
                <w:szCs w:val="20"/>
                <w:highlight w:val="none"/>
                <w:u w:val="none"/>
              </w:rPr>
            </w:r>
            <w:r/>
          </w:p>
        </w:tc>
        <w:tc>
          <w:tcPr>
            <w:tcW w:w="416"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台</w:t>
            </w:r>
            <w:r>
              <w:rPr>
                <w:rFonts w:hint="eastAsia" w:ascii="宋体" w:hAnsi="宋体" w:eastAsia="宋体" w:cs="宋体"/>
                <w:b w:val="0"/>
                <w:bCs w:val="0"/>
                <w:i w:val="0"/>
                <w:iCs w:val="0"/>
                <w:color w:val="000000"/>
                <w:sz w:val="20"/>
                <w:szCs w:val="20"/>
                <w:highlight w:val="none"/>
                <w:u w:val="none"/>
              </w:rPr>
            </w:r>
            <w:r/>
          </w:p>
        </w:tc>
        <w:tc>
          <w:tcPr>
            <w:tcW w:w="416"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2</w:t>
            </w:r>
            <w:r>
              <w:rPr>
                <w:rFonts w:hint="eastAsia" w:ascii="宋体" w:hAnsi="宋体" w:eastAsia="宋体" w:cs="宋体"/>
                <w:b w:val="0"/>
                <w:bCs w:val="0"/>
                <w:i w:val="0"/>
                <w:iCs w:val="0"/>
                <w:color w:val="000000"/>
                <w:sz w:val="20"/>
                <w:szCs w:val="20"/>
                <w:highlight w:val="none"/>
                <w:u w:val="none"/>
              </w:rPr>
            </w:r>
            <w:r/>
          </w:p>
        </w:tc>
        <w:tc>
          <w:tcPr>
            <w:tcW w:w="479"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b w:val="0"/>
                <w:bCs w:val="0"/>
                <w:i w:val="0"/>
                <w:iCs w:val="0"/>
                <w:color w:val="000000"/>
                <w:sz w:val="20"/>
                <w:szCs w:val="20"/>
                <w:highlight w:val="none"/>
                <w:u w:val="none"/>
                <w:lang w:val="en-US" w:eastAsia="zh-CN" w:bidi="ar"/>
              </w:rPr>
            </w:r>
            <w:r/>
          </w:p>
        </w:tc>
        <w:tc>
          <w:tcPr>
            <w:tcW w:w="481"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b w:val="0"/>
                <w:bCs w:val="0"/>
                <w:i w:val="0"/>
                <w:iCs w:val="0"/>
                <w:color w:val="000000"/>
                <w:sz w:val="20"/>
                <w:szCs w:val="20"/>
                <w:highlight w:val="none"/>
                <w:u w:val="none"/>
                <w:lang w:val="en-US" w:eastAsia="zh-CN" w:bidi="ar"/>
              </w:rPr>
            </w:r>
            <w:r/>
          </w:p>
        </w:tc>
        <w:tc>
          <w:tcPr>
            <w:tcW w:w="401"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b w:val="0"/>
                <w:bCs w:val="0"/>
                <w:i w:val="0"/>
                <w:iCs w:val="0"/>
                <w:color w:val="000000"/>
                <w:sz w:val="20"/>
                <w:szCs w:val="20"/>
                <w:highlight w:val="none"/>
                <w:u w:val="none"/>
                <w:lang w:val="en-US" w:eastAsia="zh-CN" w:bidi="ar"/>
              </w:rPr>
            </w:r>
            <w:r/>
          </w:p>
        </w:tc>
      </w:tr>
      <w:tr>
        <w:trPr>
          <w:trHeight w:val="980"/>
        </w:trPr>
        <w:tc>
          <w:tcPr>
            <w:tcW w:w="416"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15</w:t>
            </w:r>
            <w:r>
              <w:rPr>
                <w:rFonts w:hint="eastAsia" w:ascii="宋体" w:hAnsi="宋体" w:eastAsia="宋体" w:cs="宋体"/>
                <w:b w:val="0"/>
                <w:bCs w:val="0"/>
                <w:i w:val="0"/>
                <w:iCs w:val="0"/>
                <w:color w:val="000000"/>
                <w:sz w:val="20"/>
                <w:szCs w:val="20"/>
                <w:highlight w:val="none"/>
                <w:u w:val="none"/>
              </w:rPr>
            </w:r>
            <w:r/>
          </w:p>
        </w:tc>
        <w:tc>
          <w:tcPr>
            <w:tcW w:w="675"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波浪仪</w:t>
            </w:r>
            <w:r>
              <w:rPr>
                <w:rFonts w:hint="eastAsia" w:ascii="宋体" w:hAnsi="宋体" w:eastAsia="宋体" w:cs="宋体"/>
                <w:b w:val="0"/>
                <w:bCs w:val="0"/>
                <w:i w:val="0"/>
                <w:iCs w:val="0"/>
                <w:color w:val="000000"/>
                <w:sz w:val="20"/>
                <w:szCs w:val="20"/>
                <w:highlight w:val="none"/>
                <w:u w:val="none"/>
              </w:rPr>
            </w:r>
            <w:r/>
          </w:p>
        </w:tc>
        <w:tc>
          <w:tcPr>
            <w:tcW w:w="4265"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1.测量范围:波高:(0.2~20)m,准确度:正负偏离均小于等于(0.2+0.05x测值)m;2.测量范围:周期:(2~20)s,准确度:正负偏离均小于等于0.5s;3.测量范围:波向:(0~360)。,准确度:正负偏离均小于等于10。</w:t>
            </w:r>
            <w:r>
              <w:rPr>
                <w:rFonts w:hint="eastAsia" w:ascii="宋体" w:hAnsi="宋体" w:eastAsia="宋体" w:cs="宋体"/>
                <w:b w:val="0"/>
                <w:bCs w:val="0"/>
                <w:i w:val="0"/>
                <w:iCs w:val="0"/>
                <w:color w:val="000000"/>
                <w:sz w:val="20"/>
                <w:szCs w:val="20"/>
                <w:highlight w:val="none"/>
                <w:u w:val="none"/>
              </w:rPr>
            </w:r>
            <w:r/>
          </w:p>
        </w:tc>
        <w:tc>
          <w:tcPr>
            <w:tcW w:w="416"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台</w:t>
            </w:r>
            <w:r>
              <w:rPr>
                <w:rFonts w:hint="eastAsia" w:ascii="宋体" w:hAnsi="宋体" w:eastAsia="宋体" w:cs="宋体"/>
                <w:b w:val="0"/>
                <w:bCs w:val="0"/>
                <w:i w:val="0"/>
                <w:iCs w:val="0"/>
                <w:color w:val="000000"/>
                <w:sz w:val="20"/>
                <w:szCs w:val="20"/>
                <w:highlight w:val="none"/>
                <w:u w:val="none"/>
              </w:rPr>
            </w:r>
            <w:r/>
          </w:p>
        </w:tc>
        <w:tc>
          <w:tcPr>
            <w:tcW w:w="416"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2</w:t>
            </w:r>
            <w:r>
              <w:rPr>
                <w:rFonts w:hint="eastAsia" w:ascii="宋体" w:hAnsi="宋体" w:eastAsia="宋体" w:cs="宋体"/>
                <w:b w:val="0"/>
                <w:bCs w:val="0"/>
                <w:i w:val="0"/>
                <w:iCs w:val="0"/>
                <w:color w:val="000000"/>
                <w:sz w:val="20"/>
                <w:szCs w:val="20"/>
                <w:highlight w:val="none"/>
                <w:u w:val="none"/>
              </w:rPr>
            </w:r>
            <w:r/>
          </w:p>
        </w:tc>
        <w:tc>
          <w:tcPr>
            <w:tcW w:w="479"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b w:val="0"/>
                <w:bCs w:val="0"/>
                <w:i w:val="0"/>
                <w:iCs w:val="0"/>
                <w:color w:val="000000"/>
                <w:sz w:val="20"/>
                <w:szCs w:val="20"/>
                <w:highlight w:val="none"/>
                <w:u w:val="none"/>
                <w:lang w:val="en-US" w:eastAsia="zh-CN" w:bidi="ar"/>
              </w:rPr>
            </w:r>
            <w:r/>
          </w:p>
        </w:tc>
        <w:tc>
          <w:tcPr>
            <w:tcW w:w="481"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b w:val="0"/>
                <w:bCs w:val="0"/>
                <w:i w:val="0"/>
                <w:iCs w:val="0"/>
                <w:color w:val="000000"/>
                <w:sz w:val="20"/>
                <w:szCs w:val="20"/>
                <w:highlight w:val="none"/>
                <w:u w:val="none"/>
                <w:lang w:val="en-US" w:eastAsia="zh-CN" w:bidi="ar"/>
              </w:rPr>
            </w:r>
            <w:r/>
          </w:p>
        </w:tc>
        <w:tc>
          <w:tcPr>
            <w:tcW w:w="401"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b w:val="0"/>
                <w:bCs w:val="0"/>
                <w:i w:val="0"/>
                <w:iCs w:val="0"/>
                <w:color w:val="000000"/>
                <w:sz w:val="20"/>
                <w:szCs w:val="20"/>
                <w:highlight w:val="none"/>
                <w:u w:val="none"/>
                <w:lang w:val="en-US" w:eastAsia="zh-CN" w:bidi="ar"/>
              </w:rPr>
            </w:r>
            <w:r/>
          </w:p>
        </w:tc>
      </w:tr>
      <w:tr>
        <w:trPr>
          <w:trHeight w:val="840"/>
        </w:trPr>
        <w:tc>
          <w:tcPr>
            <w:tcW w:w="416"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16</w:t>
            </w:r>
            <w:r>
              <w:rPr>
                <w:rFonts w:hint="eastAsia" w:ascii="宋体" w:hAnsi="宋体" w:eastAsia="宋体" w:cs="宋体"/>
                <w:b w:val="0"/>
                <w:bCs w:val="0"/>
                <w:i w:val="0"/>
                <w:iCs w:val="0"/>
                <w:color w:val="000000"/>
                <w:sz w:val="20"/>
                <w:szCs w:val="20"/>
                <w:highlight w:val="none"/>
                <w:u w:val="none"/>
              </w:rPr>
            </w:r>
            <w:r/>
          </w:p>
        </w:tc>
        <w:tc>
          <w:tcPr>
            <w:tcW w:w="675"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出海踏勘、布放及维修</w:t>
            </w:r>
            <w:r>
              <w:rPr>
                <w:rFonts w:hint="eastAsia" w:ascii="宋体" w:hAnsi="宋体" w:eastAsia="宋体" w:cs="宋体"/>
                <w:b w:val="0"/>
                <w:bCs w:val="0"/>
                <w:i w:val="0"/>
                <w:iCs w:val="0"/>
                <w:color w:val="000000"/>
                <w:sz w:val="20"/>
                <w:szCs w:val="20"/>
                <w:highlight w:val="none"/>
                <w:u w:val="none"/>
              </w:rPr>
            </w:r>
            <w:r/>
          </w:p>
        </w:tc>
        <w:tc>
          <w:tcPr>
            <w:tcW w:w="4265"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出海踏勘现场海域水深、海流等现场实际情况;实际施工浮标安装布放;以及后期2次出海维护。</w:t>
            </w:r>
            <w:r>
              <w:rPr>
                <w:rFonts w:hint="eastAsia" w:ascii="宋体" w:hAnsi="宋体" w:eastAsia="宋体" w:cs="宋体"/>
                <w:b w:val="0"/>
                <w:bCs w:val="0"/>
                <w:i w:val="0"/>
                <w:iCs w:val="0"/>
                <w:color w:val="000000"/>
                <w:sz w:val="20"/>
                <w:szCs w:val="20"/>
                <w:highlight w:val="none"/>
                <w:u w:val="none"/>
              </w:rPr>
            </w:r>
            <w:r/>
          </w:p>
        </w:tc>
        <w:tc>
          <w:tcPr>
            <w:tcW w:w="416"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次</w:t>
            </w:r>
            <w:r>
              <w:rPr>
                <w:rFonts w:hint="eastAsia" w:ascii="宋体" w:hAnsi="宋体" w:eastAsia="宋体" w:cs="宋体"/>
                <w:b w:val="0"/>
                <w:bCs w:val="0"/>
                <w:i w:val="0"/>
                <w:iCs w:val="0"/>
                <w:color w:val="000000"/>
                <w:sz w:val="20"/>
                <w:szCs w:val="20"/>
                <w:highlight w:val="none"/>
                <w:u w:val="none"/>
              </w:rPr>
            </w:r>
            <w:r/>
          </w:p>
        </w:tc>
        <w:tc>
          <w:tcPr>
            <w:tcW w:w="416"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4</w:t>
            </w:r>
            <w:r>
              <w:rPr>
                <w:rFonts w:hint="eastAsia" w:ascii="宋体" w:hAnsi="宋体" w:eastAsia="宋体" w:cs="宋体"/>
                <w:b w:val="0"/>
                <w:bCs w:val="0"/>
                <w:i w:val="0"/>
                <w:iCs w:val="0"/>
                <w:color w:val="000000"/>
                <w:sz w:val="20"/>
                <w:szCs w:val="20"/>
                <w:highlight w:val="none"/>
                <w:u w:val="none"/>
              </w:rPr>
            </w:r>
            <w:r/>
          </w:p>
        </w:tc>
        <w:tc>
          <w:tcPr>
            <w:tcW w:w="479"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b w:val="0"/>
                <w:bCs w:val="0"/>
                <w:i w:val="0"/>
                <w:iCs w:val="0"/>
                <w:color w:val="000000"/>
                <w:sz w:val="20"/>
                <w:szCs w:val="20"/>
                <w:highlight w:val="none"/>
                <w:u w:val="none"/>
                <w:lang w:val="en-US" w:eastAsia="zh-CN" w:bidi="ar"/>
              </w:rPr>
            </w:r>
            <w:r/>
          </w:p>
        </w:tc>
        <w:tc>
          <w:tcPr>
            <w:tcW w:w="481"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b w:val="0"/>
                <w:bCs w:val="0"/>
                <w:i w:val="0"/>
                <w:iCs w:val="0"/>
                <w:color w:val="000000"/>
                <w:sz w:val="20"/>
                <w:szCs w:val="20"/>
                <w:highlight w:val="none"/>
                <w:u w:val="none"/>
                <w:lang w:val="en-US" w:eastAsia="zh-CN" w:bidi="ar"/>
              </w:rPr>
            </w:r>
            <w:r/>
          </w:p>
        </w:tc>
        <w:tc>
          <w:tcPr>
            <w:tcW w:w="401"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b w:val="0"/>
                <w:bCs w:val="0"/>
                <w:i w:val="0"/>
                <w:iCs w:val="0"/>
                <w:color w:val="000000"/>
                <w:sz w:val="20"/>
                <w:szCs w:val="20"/>
                <w:highlight w:val="none"/>
                <w:u w:val="none"/>
                <w:lang w:val="en-US" w:eastAsia="zh-CN" w:bidi="ar"/>
              </w:rPr>
            </w:r>
            <w:r/>
          </w:p>
        </w:tc>
      </w:tr>
      <w:tr>
        <w:trPr>
          <w:trHeight w:val="840"/>
        </w:trPr>
        <w:tc>
          <w:tcPr>
            <w:tcW w:w="416"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17</w:t>
            </w:r>
            <w:r>
              <w:rPr>
                <w:rFonts w:hint="eastAsia" w:ascii="宋体" w:hAnsi="宋体" w:eastAsia="宋体" w:cs="宋体"/>
                <w:b w:val="0"/>
                <w:bCs w:val="0"/>
                <w:i w:val="0"/>
                <w:iCs w:val="0"/>
                <w:color w:val="000000"/>
                <w:sz w:val="20"/>
                <w:szCs w:val="20"/>
                <w:highlight w:val="none"/>
                <w:u w:val="none"/>
              </w:rPr>
            </w:r>
            <w:r/>
          </w:p>
        </w:tc>
        <w:tc>
          <w:tcPr>
            <w:tcW w:w="675"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方位传感器</w:t>
            </w:r>
            <w:r>
              <w:rPr>
                <w:rFonts w:hint="eastAsia" w:ascii="宋体" w:hAnsi="宋体" w:eastAsia="宋体" w:cs="宋体"/>
                <w:b w:val="0"/>
                <w:bCs w:val="0"/>
                <w:i w:val="0"/>
                <w:iCs w:val="0"/>
                <w:color w:val="000000"/>
                <w:sz w:val="20"/>
                <w:szCs w:val="20"/>
                <w:highlight w:val="none"/>
                <w:u w:val="none"/>
              </w:rPr>
            </w:r>
            <w:r/>
          </w:p>
        </w:tc>
        <w:tc>
          <w:tcPr>
            <w:tcW w:w="4265"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1.测量范围:(0~359)°;2.精度:正负偏离均小于等于5°,最大倾角不小于30°</w:t>
            </w:r>
            <w:r>
              <w:rPr>
                <w:rFonts w:hint="eastAsia" w:ascii="宋体" w:hAnsi="宋体" w:eastAsia="宋体" w:cs="宋体"/>
                <w:b w:val="0"/>
                <w:bCs w:val="0"/>
                <w:i w:val="0"/>
                <w:iCs w:val="0"/>
                <w:color w:val="000000"/>
                <w:sz w:val="20"/>
                <w:szCs w:val="20"/>
                <w:highlight w:val="none"/>
                <w:u w:val="none"/>
              </w:rPr>
            </w:r>
            <w:r/>
          </w:p>
        </w:tc>
        <w:tc>
          <w:tcPr>
            <w:tcW w:w="416"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台</w:t>
            </w:r>
            <w:r>
              <w:rPr>
                <w:rFonts w:hint="eastAsia" w:ascii="宋体" w:hAnsi="宋体" w:eastAsia="宋体" w:cs="宋体"/>
                <w:b w:val="0"/>
                <w:bCs w:val="0"/>
                <w:i w:val="0"/>
                <w:iCs w:val="0"/>
                <w:color w:val="000000"/>
                <w:sz w:val="20"/>
                <w:szCs w:val="20"/>
                <w:highlight w:val="none"/>
                <w:u w:val="none"/>
              </w:rPr>
            </w:r>
            <w:r/>
          </w:p>
        </w:tc>
        <w:tc>
          <w:tcPr>
            <w:tcW w:w="416"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2</w:t>
            </w:r>
            <w:r>
              <w:rPr>
                <w:rFonts w:hint="eastAsia" w:ascii="宋体" w:hAnsi="宋体" w:eastAsia="宋体" w:cs="宋体"/>
                <w:b w:val="0"/>
                <w:bCs w:val="0"/>
                <w:i w:val="0"/>
                <w:iCs w:val="0"/>
                <w:color w:val="000000"/>
                <w:sz w:val="20"/>
                <w:szCs w:val="20"/>
                <w:highlight w:val="none"/>
                <w:u w:val="none"/>
              </w:rPr>
            </w:r>
            <w:r/>
          </w:p>
        </w:tc>
        <w:tc>
          <w:tcPr>
            <w:tcW w:w="479"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b w:val="0"/>
                <w:bCs w:val="0"/>
                <w:i w:val="0"/>
                <w:iCs w:val="0"/>
                <w:color w:val="000000"/>
                <w:sz w:val="20"/>
                <w:szCs w:val="20"/>
                <w:highlight w:val="none"/>
                <w:u w:val="none"/>
                <w:lang w:val="en-US" w:eastAsia="zh-CN" w:bidi="ar"/>
              </w:rPr>
            </w:r>
            <w:r/>
          </w:p>
        </w:tc>
        <w:tc>
          <w:tcPr>
            <w:tcW w:w="481"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b w:val="0"/>
                <w:bCs w:val="0"/>
                <w:i w:val="0"/>
                <w:iCs w:val="0"/>
                <w:color w:val="000000"/>
                <w:sz w:val="20"/>
                <w:szCs w:val="20"/>
                <w:highlight w:val="none"/>
                <w:u w:val="none"/>
                <w:lang w:val="en-US" w:eastAsia="zh-CN" w:bidi="ar"/>
              </w:rPr>
            </w:r>
            <w:r/>
          </w:p>
        </w:tc>
        <w:tc>
          <w:tcPr>
            <w:tcW w:w="401"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b w:val="0"/>
                <w:bCs w:val="0"/>
                <w:i w:val="0"/>
                <w:iCs w:val="0"/>
                <w:color w:val="000000"/>
                <w:sz w:val="20"/>
                <w:szCs w:val="20"/>
                <w:highlight w:val="none"/>
                <w:u w:val="none"/>
                <w:lang w:val="en-US" w:eastAsia="zh-CN" w:bidi="ar"/>
              </w:rPr>
            </w:r>
            <w:r/>
          </w:p>
        </w:tc>
      </w:tr>
      <w:tr>
        <w:trPr>
          <w:trHeight w:val="840"/>
        </w:trPr>
        <w:tc>
          <w:tcPr>
            <w:gridSpan w:val="8"/>
            <w:tcW w:w="8517"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合计：人民币大写</w:t>
            </w:r>
            <w:r>
              <w:rPr>
                <w:rFonts w:hint="eastAsia" w:ascii="宋体" w:hAnsi="宋体" w:eastAsia="宋体" w:cs="宋体"/>
                <w:b w:val="0"/>
                <w:bCs w:val="0"/>
                <w:i w:val="0"/>
                <w:iCs w:val="0"/>
                <w:color w:val="000000"/>
                <w:sz w:val="20"/>
                <w:szCs w:val="20"/>
                <w:highlight w:val="none"/>
                <w:u w:val="single"/>
                <w:lang w:val="en-US" w:eastAsia="zh-CN" w:bidi="ar"/>
              </w:rPr>
              <w:t xml:space="preserve">               </w:t>
            </w:r>
            <w:r>
              <w:rPr>
                <w:rFonts w:hint="eastAsia" w:ascii="宋体" w:hAnsi="宋体" w:eastAsia="宋体" w:cs="宋体"/>
                <w:b w:val="0"/>
                <w:bCs w:val="0"/>
                <w:i w:val="0"/>
                <w:iCs w:val="0"/>
                <w:color w:val="000000"/>
                <w:sz w:val="20"/>
                <w:szCs w:val="20"/>
                <w:highlight w:val="none"/>
                <w:u w:val="none"/>
                <w:lang w:val="en-US" w:eastAsia="zh-CN" w:bidi="ar"/>
              </w:rPr>
              <w:t xml:space="preserve">（小写¥：</w:t>
            </w:r>
            <w:r>
              <w:rPr>
                <w:rFonts w:hint="eastAsia" w:ascii="宋体" w:hAnsi="宋体" w:eastAsia="宋体" w:cs="宋体"/>
                <w:b w:val="0"/>
                <w:bCs w:val="0"/>
                <w:i w:val="0"/>
                <w:iCs w:val="0"/>
                <w:color w:val="000000"/>
                <w:sz w:val="20"/>
                <w:szCs w:val="20"/>
                <w:highlight w:val="none"/>
                <w:u w:val="single"/>
                <w:lang w:val="en-US" w:eastAsia="zh-CN" w:bidi="ar"/>
              </w:rPr>
              <w:t xml:space="preserve">              </w:t>
            </w:r>
            <w:r>
              <w:rPr>
                <w:rFonts w:hint="eastAsia" w:ascii="宋体" w:hAnsi="宋体" w:eastAsia="宋体" w:cs="宋体"/>
                <w:b w:val="0"/>
                <w:bCs w:val="0"/>
                <w:i w:val="0"/>
                <w:iCs w:val="0"/>
                <w:color w:val="000000"/>
                <w:sz w:val="20"/>
                <w:szCs w:val="20"/>
                <w:highlight w:val="none"/>
                <w:u w:val="none"/>
                <w:lang w:val="en-US" w:eastAsia="zh-CN" w:bidi="ar"/>
              </w:rPr>
              <w:t xml:space="preserve">）</w:t>
            </w:r>
            <w:r>
              <w:rPr>
                <w:rFonts w:hint="eastAsia" w:ascii="宋体" w:hAnsi="宋体" w:eastAsia="宋体" w:cs="宋体"/>
                <w:b w:val="0"/>
                <w:bCs w:val="0"/>
                <w:i w:val="0"/>
                <w:iCs w:val="0"/>
                <w:color w:val="000000"/>
                <w:sz w:val="20"/>
                <w:szCs w:val="20"/>
                <w:highlight w:val="none"/>
                <w:u w:val="none"/>
                <w:lang w:val="en-US" w:eastAsia="zh-CN" w:bidi="ar"/>
              </w:rPr>
            </w:r>
            <w:r/>
          </w:p>
        </w:tc>
      </w:tr>
      <w:tr>
        <w:trPr>
          <w:trHeight w:val="840"/>
        </w:trPr>
        <w:tc>
          <w:tcPr>
            <w:gridSpan w:val="8"/>
            <w:tcW w:w="8517" w:type="dxa"/>
            <w:vAlign w:val="center"/>
            <w:textDirection w:val="lrTb"/>
            <w:noWrap w:val="false"/>
          </w:tcPr>
          <w:p>
            <w:pPr>
              <w:pStyle w:val="680"/>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本采购包中提供的符合本国产品标准的产品成本之和占该采购包提供的全部产品成本之和的比例为</w:t>
            </w:r>
            <w:r>
              <w:rPr>
                <w:rFonts w:hint="eastAsia" w:ascii="宋体" w:hAnsi="宋体" w:eastAsia="宋体" w:cs="宋体"/>
                <w:b w:val="0"/>
                <w:bCs w:val="0"/>
                <w:i w:val="0"/>
                <w:iCs w:val="0"/>
                <w:color w:val="000000"/>
                <w:sz w:val="20"/>
                <w:szCs w:val="20"/>
                <w:highlight w:val="none"/>
                <w:u w:val="single"/>
                <w:lang w:val="en-US" w:eastAsia="zh-CN" w:bidi="ar"/>
              </w:rPr>
              <w:t xml:space="preserve">   </w:t>
            </w:r>
            <w:r>
              <w:rPr>
                <w:rFonts w:hint="eastAsia" w:ascii="宋体" w:hAnsi="宋体" w:eastAsia="宋体" w:cs="宋体"/>
                <w:b w:val="0"/>
                <w:bCs w:val="0"/>
                <w:i w:val="0"/>
                <w:iCs w:val="0"/>
                <w:color w:val="000000"/>
                <w:sz w:val="20"/>
                <w:szCs w:val="20"/>
                <w:highlight w:val="none"/>
                <w:u w:val="none"/>
                <w:lang w:val="en-US" w:eastAsia="zh-CN" w:bidi="ar"/>
              </w:rPr>
              <w:t xml:space="preserve">%。</w:t>
            </w:r>
            <w:r>
              <w:rPr>
                <w:rFonts w:hint="eastAsia" w:ascii="宋体" w:hAnsi="宋体" w:eastAsia="宋体" w:cs="宋体"/>
                <w:b w:val="0"/>
                <w:bCs w:val="0"/>
                <w:i w:val="0"/>
                <w:iCs w:val="0"/>
                <w:color w:val="000000"/>
                <w:sz w:val="20"/>
                <w:szCs w:val="20"/>
                <w:highlight w:val="none"/>
                <w:u w:val="none"/>
                <w:lang w:val="en-US" w:eastAsia="zh-CN" w:bidi="ar"/>
              </w:rPr>
            </w:r>
            <w:r/>
          </w:p>
        </w:tc>
      </w:tr>
    </w:tbl>
    <w:p>
      <w:pPr>
        <w:pStyle w:val="698"/>
        <w:jc w:val="both"/>
        <w:keepLines w:val="0"/>
        <w:keepNext w:val="0"/>
        <w:pageBreakBefore w:val="0"/>
        <w:spacing w:beforeAutospacing="0" w:afterAutospacing="0" w:line="500" w:lineRule="exact"/>
        <w:widowControl w:val="off"/>
        <w:rPr>
          <w:rFonts w:hint="eastAsia" w:ascii="宋体" w:hAnsi="宋体" w:eastAsia="宋体" w:cs="Times New Roman"/>
          <w:b w:val="0"/>
          <w:bCs/>
          <w:color w:val="ff0000"/>
          <w:sz w:val="24"/>
          <w:szCs w:val="24"/>
          <w:highlight w:val="none"/>
          <w:lang w:val="en-US" w:eastAsia="zh-CN" w:bidi="ar-SA"/>
        </w:rPr>
        <w:outlineLvl w:val="1"/>
      </w:pPr>
      <w:r>
        <w:rPr>
          <w:rFonts w:hint="eastAsia" w:ascii="宋体" w:hAnsi="宋体" w:eastAsia="宋体" w:cs="Times New Roman"/>
          <w:b w:val="0"/>
          <w:bCs/>
          <w:sz w:val="24"/>
          <w:szCs w:val="24"/>
          <w:highlight w:val="none"/>
          <w:lang w:val="en-US" w:eastAsia="zh-CN" w:bidi="ar-SA"/>
        </w:rPr>
        <w:t xml:space="preserve">注：</w:t>
      </w:r>
      <w:r>
        <w:rPr>
          <w:rFonts w:hint="eastAsia" w:ascii="宋体" w:hAnsi="宋体" w:cs="Times New Roman"/>
          <w:b w:val="0"/>
          <w:bCs/>
          <w:sz w:val="24"/>
          <w:szCs w:val="24"/>
          <w:highlight w:val="none"/>
          <w:lang w:val="en-US" w:eastAsia="zh-CN" w:bidi="ar-SA"/>
        </w:rPr>
        <w:t xml:space="preserve">1、</w:t>
      </w:r>
      <w:r>
        <w:rPr>
          <w:rFonts w:hint="eastAsia" w:ascii="宋体" w:hAnsi="宋体" w:eastAsia="宋体" w:cs="Times New Roman"/>
          <w:b w:val="0"/>
          <w:bCs/>
          <w:sz w:val="24"/>
          <w:szCs w:val="24"/>
          <w:highlight w:val="none"/>
          <w:lang w:val="en-US" w:eastAsia="zh-CN" w:bidi="ar-SA"/>
        </w:rPr>
        <w:t xml:space="preserve">分别放置在东沙沙洲近岸侧海域和离岸侧海域，实时在线监测系统具备同时连续监测海洋水质多参数(水温、pH、电导率、盐度、溶解氧、浊度、叶绿素、蓝绿藻、氨氮、亚硝酸盐、硝酸盐、磷酸盐、重金属)、海洋气象(气温、气压、空气相对湿度、降雨、风速、风向、光照强度)、海洋水文(流量、波高、波向、波周期、沉积物粒度)的功能。并且按照每年2次的频次计对水文监测设</w:t>
      </w:r>
      <w:r>
        <w:rPr>
          <w:rFonts w:hint="eastAsia" w:ascii="宋体" w:hAnsi="宋体" w:eastAsia="宋体" w:cs="Times New Roman"/>
          <w:b w:val="0"/>
          <w:bCs/>
          <w:color w:val="000000"/>
          <w:sz w:val="24"/>
          <w:szCs w:val="24"/>
          <w:highlight w:val="none"/>
          <w:lang w:val="en-US" w:eastAsia="zh-CN" w:bidi="ar-SA"/>
        </w:rPr>
        <w:t xml:space="preserve">备进行检修维护，以保障数据的准确性和设备的长期稳定运行，5年不丢标。自交货验收合格之日起5年内，如浮标丢失，其责任由乙方承担，需由乙方恢复到位。</w:t>
      </w:r>
      <w:r>
        <w:rPr>
          <w:rFonts w:hint="eastAsia" w:ascii="宋体" w:hAnsi="宋体" w:eastAsia="宋体" w:cs="Times New Roman"/>
          <w:b w:val="0"/>
          <w:bCs/>
          <w:color w:val="ff0000"/>
          <w:sz w:val="24"/>
          <w:szCs w:val="24"/>
          <w:highlight w:val="none"/>
          <w:lang w:val="en-US" w:eastAsia="zh-CN" w:bidi="ar-SA"/>
        </w:rPr>
      </w:r>
      <w:r/>
    </w:p>
    <w:p>
      <w:pPr>
        <w:pStyle w:val="698"/>
        <w:numPr>
          <w:ilvl w:val="0"/>
          <w:numId w:val="3"/>
        </w:numPr>
        <w:jc w:val="both"/>
        <w:keepLines w:val="0"/>
        <w:keepNext w:val="0"/>
        <w:pageBreakBefore w:val="0"/>
        <w:spacing w:beforeAutospacing="0" w:afterAutospacing="0" w:line="500" w:lineRule="exact"/>
        <w:widowControl w:val="off"/>
        <w:rPr>
          <w:rFonts w:hint="eastAsia" w:ascii="宋体" w:hAnsi="宋体" w:eastAsia="宋体" w:cs="Times New Roman"/>
          <w:b w:val="0"/>
          <w:bCs/>
          <w:sz w:val="24"/>
          <w:szCs w:val="24"/>
          <w:highlight w:val="none"/>
          <w:lang w:val="en-US" w:eastAsia="zh-CN" w:bidi="ar-SA"/>
        </w:rPr>
        <w:outlineLvl w:val="1"/>
      </w:pPr>
      <w:r>
        <w:rPr>
          <w:rFonts w:hint="eastAsia" w:ascii="宋体" w:hAnsi="宋体" w:eastAsia="宋体" w:cs="Times New Roman"/>
          <w:b w:val="0"/>
          <w:bCs/>
          <w:sz w:val="24"/>
          <w:szCs w:val="24"/>
          <w:highlight w:val="none"/>
          <w:lang w:val="en-US" w:eastAsia="zh-CN" w:bidi="ar-SA"/>
        </w:rPr>
        <w:t xml:space="preserve">响应报价超过最高限价作无效标处理。投标报价包含但不限于完成本项目的一切费用，包括但不限于人员、设备、安装调试、管理费、利润、规费、税金、培训费，售后服务费、政策性文件规定费用、专家咨询费、验收费、评审费等一切费用。</w:t>
      </w:r>
      <w:r>
        <w:rPr>
          <w:rFonts w:hint="eastAsia" w:ascii="宋体" w:hAnsi="宋体" w:eastAsia="宋体" w:cs="Times New Roman"/>
          <w:b w:val="0"/>
          <w:bCs/>
          <w:sz w:val="24"/>
          <w:szCs w:val="24"/>
          <w:highlight w:val="none"/>
          <w:lang w:val="en-US" w:eastAsia="zh-CN" w:bidi="ar-SA"/>
        </w:rPr>
      </w:r>
      <w:r/>
    </w:p>
    <w:p>
      <w:pPr>
        <w:pStyle w:val="698"/>
        <w:numPr>
          <w:ilvl w:val="0"/>
          <w:numId w:val="3"/>
        </w:numPr>
        <w:jc w:val="both"/>
        <w:keepLines w:val="0"/>
        <w:keepNext w:val="0"/>
        <w:pageBreakBefore w:val="0"/>
        <w:spacing w:beforeAutospacing="0" w:afterAutospacing="0" w:line="500" w:lineRule="exact"/>
        <w:widowControl w:val="off"/>
        <w:rPr>
          <w:rFonts w:hint="eastAsia" w:ascii="宋体" w:hAnsi="宋体" w:eastAsia="宋体" w:cs="Times New Roman"/>
          <w:b w:val="0"/>
          <w:bCs/>
          <w:sz w:val="24"/>
          <w:szCs w:val="24"/>
          <w:highlight w:val="none"/>
          <w:lang w:val="en-US" w:eastAsia="zh-CN" w:bidi="ar-SA"/>
        </w:rPr>
        <w:outlineLvl w:val="1"/>
      </w:pPr>
      <w:r>
        <w:rPr>
          <w:rFonts w:hint="eastAsia" w:ascii="宋体" w:hAnsi="宋体" w:eastAsia="宋体" w:cs="Times New Roman"/>
          <w:b w:val="0"/>
          <w:bCs/>
          <w:sz w:val="24"/>
          <w:szCs w:val="24"/>
          <w:highlight w:val="none"/>
          <w:lang w:val="en-US" w:eastAsia="zh-CN" w:bidi="ar-SA"/>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eastAsia="宋体" w:cs="Times New Roman"/>
          <w:b w:val="0"/>
          <w:bCs/>
          <w:sz w:val="24"/>
          <w:szCs w:val="24"/>
          <w:highlight w:val="none"/>
          <w:lang w:val="en-US" w:eastAsia="zh-CN" w:bidi="ar-SA"/>
        </w:rPr>
      </w:r>
      <w:r/>
    </w:p>
    <w:p>
      <w:pPr>
        <w:pStyle w:val="680"/>
        <w:ind w:firstLine="3513"/>
        <w:jc w:val="right"/>
        <w:rPr>
          <w:sz w:val="24"/>
          <w:szCs w:val="24"/>
        </w:rPr>
      </w:pPr>
      <w:r>
        <w:rPr>
          <w:rFonts w:hint="eastAsia" w:ascii="宋体" w:hAnsi="宋体" w:eastAsia="宋体" w:cs="宋体"/>
          <w:color w:val="000000"/>
          <w:sz w:val="24"/>
          <w:szCs w:val="24"/>
          <w:highlight w:val="none"/>
          <w:lang w:val="en-US" w:eastAsia="zh-CN" w:bidi="ar-SA"/>
        </w:rPr>
        <w:t xml:space="preserve">企业名称（加盖CA电子公章）：</w:t>
      </w:r>
      <w:r>
        <w:rPr>
          <w:rFonts w:hint="eastAsia"/>
          <w:sz w:val="24"/>
          <w:szCs w:val="24"/>
        </w:rPr>
        <w:t xml:space="preserve">      </w:t>
      </w:r>
      <w:r>
        <w:rPr>
          <w:sz w:val="24"/>
          <w:szCs w:val="24"/>
        </w:rPr>
      </w:r>
      <w:r/>
    </w:p>
    <w:p>
      <w:pPr>
        <w:pStyle w:val="698"/>
        <w:ind w:firstLine="5520"/>
        <w:jc w:val="right"/>
        <w:spacing w:beforeAutospacing="0" w:afterAutospacing="0"/>
        <w:rPr>
          <w:rFonts w:hint="eastAsia" w:ascii="黑体" w:hAnsi="宋体" w:eastAsia="黑体" w:cs="黑体"/>
          <w:b/>
          <w:color w:val="000000"/>
          <w:sz w:val="24"/>
          <w:szCs w:val="24"/>
          <w:highlight w:val="none"/>
        </w:rPr>
      </w:pP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w:t>
      </w:r>
      <w:r>
        <w:rPr>
          <w:rFonts w:hint="eastAsia" w:ascii="黑体" w:hAnsi="宋体" w:eastAsia="黑体" w:cs="黑体"/>
          <w:b/>
          <w:color w:val="000000"/>
          <w:sz w:val="24"/>
          <w:szCs w:val="24"/>
          <w:highlight w:val="none"/>
        </w:rPr>
      </w:r>
      <w:r/>
    </w:p>
    <w:p>
      <w:pPr>
        <w:pStyle w:val="698"/>
        <w:jc w:val="center"/>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698"/>
        <w:jc w:val="center"/>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698"/>
        <w:jc w:val="center"/>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698"/>
        <w:jc w:val="center"/>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698"/>
        <w:jc w:val="center"/>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698"/>
        <w:jc w:val="center"/>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698"/>
        <w:jc w:val="center"/>
        <w:spacing w:beforeAutospacing="0" w:afterAutospacing="0"/>
        <w:rPr>
          <w:highlight w:val="none"/>
        </w:rPr>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三</w:t>
      </w:r>
      <w:r>
        <w:rPr>
          <w:rFonts w:hint="eastAsia" w:ascii="黑体" w:hAnsi="宋体" w:eastAsia="黑体" w:cs="黑体"/>
          <w:b/>
          <w:color w:val="000000"/>
          <w:sz w:val="32"/>
          <w:szCs w:val="32"/>
          <w:highlight w:val="none"/>
        </w:rPr>
        <w:t xml:space="preserve">、技术要求响应及偏离表</w:t>
      </w:r>
      <w:r>
        <w:rPr>
          <w:highlight w:val="none"/>
        </w:rPr>
      </w:r>
      <w:r/>
    </w:p>
    <w:tbl>
      <w:tblPr>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8"/>
              <w:jc w:val="center"/>
              <w:spacing w:beforeAutospacing="0" w:afterAutospacing="0"/>
              <w:rPr>
                <w:highlight w:val="none"/>
              </w:rPr>
            </w:pPr>
            <w:r>
              <w:rPr>
                <w:rFonts w:hint="eastAsia" w:ascii="宋体" w:hAnsi="宋体" w:eastAsia="宋体" w:cs="宋体"/>
                <w:color w:val="000000"/>
                <w:highlight w:val="none"/>
              </w:rPr>
              <w:t xml:space="preserve">序号</w:t>
            </w:r>
            <w:r>
              <w:rPr>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8"/>
              <w:jc w:val="center"/>
              <w:spacing w:beforeAutospacing="0" w:afterAutospacing="0"/>
              <w:rPr>
                <w:highlight w:val="none"/>
              </w:rPr>
            </w:pPr>
            <w:r>
              <w:rPr>
                <w:rFonts w:hint="eastAsia" w:ascii="宋体" w:hAnsi="宋体" w:eastAsia="宋体" w:cs="宋体"/>
                <w:color w:val="000000"/>
                <w:highlight w:val="none"/>
              </w:rPr>
              <w:t xml:space="preserve">招标文件要求</w:t>
            </w:r>
            <w:r>
              <w:rPr>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8"/>
              <w:jc w:val="center"/>
              <w:spacing w:beforeAutospacing="0" w:afterAutospacing="0"/>
              <w:rPr>
                <w:highlight w:val="none"/>
              </w:rPr>
            </w:pPr>
            <w:r>
              <w:rPr>
                <w:rFonts w:hint="eastAsia" w:ascii="宋体" w:hAnsi="宋体" w:eastAsia="宋体" w:cs="宋体"/>
                <w:color w:val="000000"/>
                <w:highlight w:val="none"/>
              </w:rPr>
              <w:t xml:space="preserve">投标响应情况</w:t>
            </w:r>
            <w:r>
              <w:rPr>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8"/>
              <w:jc w:val="center"/>
              <w:spacing w:beforeAutospacing="0" w:afterAutospacing="0"/>
              <w:rPr>
                <w:highlight w:val="none"/>
              </w:rPr>
            </w:pPr>
            <w:r>
              <w:rPr>
                <w:rFonts w:hint="eastAsia" w:ascii="宋体" w:hAnsi="宋体" w:eastAsia="宋体" w:cs="宋体"/>
                <w:color w:val="000000"/>
                <w:highlight w:val="none"/>
              </w:rPr>
              <w:t xml:space="preserve">超出、符合或偏离</w:t>
            </w:r>
            <w:r>
              <w:rPr>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8"/>
              <w:jc w:val="center"/>
              <w:spacing w:beforeAutospacing="0" w:afterAutospacing="0"/>
              <w:rPr>
                <w:highlight w:val="none"/>
              </w:rPr>
            </w:pPr>
            <w:r>
              <w:rPr>
                <w:rFonts w:hint="eastAsia" w:ascii="宋体" w:hAnsi="宋体" w:eastAsia="宋体" w:cs="宋体"/>
                <w:color w:val="000000"/>
                <w:highlight w:val="none"/>
              </w:rPr>
              <w:t xml:space="preserve">证明</w:t>
            </w:r>
            <w:r>
              <w:rPr>
                <w:highlight w:val="none"/>
              </w:rPr>
            </w:r>
            <w:r/>
          </w:p>
          <w:p>
            <w:pPr>
              <w:pStyle w:val="698"/>
              <w:jc w:val="center"/>
              <w:spacing w:beforeAutospacing="0" w:afterAutospacing="0"/>
              <w:rPr>
                <w:highlight w:val="none"/>
              </w:rPr>
            </w:pPr>
            <w:r>
              <w:rPr>
                <w:rFonts w:hint="eastAsia" w:ascii="宋体" w:hAnsi="宋体" w:eastAsia="宋体" w:cs="宋体"/>
                <w:color w:val="000000"/>
                <w:highlight w:val="none"/>
              </w:rPr>
              <w:t xml:space="preserve">材料</w:t>
            </w:r>
            <w:r>
              <w:rPr>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8"/>
              <w:jc w:val="center"/>
              <w:spacing w:beforeAutospacing="0" w:afterAutospacing="0"/>
              <w:rPr>
                <w:highlight w:val="none"/>
              </w:rPr>
            </w:pPr>
            <w:r>
              <w:rPr>
                <w:highlight w:val="none"/>
              </w:rPr>
              <w:t xml:space="preserve"> </w:t>
            </w:r>
            <w:r>
              <w:rPr>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8"/>
              <w:jc w:val="center"/>
              <w:spacing w:beforeAutospacing="0" w:afterAutospacing="0"/>
              <w:rPr>
                <w:highlight w:val="none"/>
              </w:rPr>
            </w:pPr>
            <w:r>
              <w:rPr>
                <w:highlight w:val="none"/>
              </w:rPr>
              <w:t xml:space="preserve"> </w:t>
            </w:r>
            <w:r>
              <w:rPr>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8"/>
              <w:jc w:val="center"/>
              <w:spacing w:beforeAutospacing="0" w:afterAutospacing="0"/>
              <w:rPr>
                <w:highlight w:val="none"/>
              </w:rPr>
            </w:pPr>
            <w:r>
              <w:rPr>
                <w:highlight w:val="none"/>
              </w:rPr>
              <w:t xml:space="preserve"> </w:t>
            </w:r>
            <w:r>
              <w:rPr>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8"/>
              <w:jc w:val="center"/>
              <w:spacing w:beforeAutospacing="0" w:afterAutospacing="0"/>
              <w:rPr>
                <w:highlight w:val="none"/>
              </w:rPr>
            </w:pPr>
            <w:r>
              <w:rPr>
                <w:highlight w:val="none"/>
              </w:rPr>
              <w:t xml:space="preserve"> </w:t>
            </w:r>
            <w:r>
              <w:rPr>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8"/>
              <w:jc w:val="center"/>
              <w:spacing w:beforeAutospacing="0" w:afterAutospacing="0"/>
              <w:rPr>
                <w:highlight w:val="none"/>
              </w:rPr>
            </w:pPr>
            <w:r>
              <w:rPr>
                <w:highlight w:val="none"/>
              </w:rPr>
              <w:t xml:space="preserve"> </w:t>
            </w:r>
            <w:r>
              <w:rPr>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8"/>
              <w:jc w:val="center"/>
              <w:spacing w:beforeAutospacing="0" w:afterAutospacing="0"/>
              <w:rPr>
                <w:highlight w:val="none"/>
              </w:rPr>
            </w:pPr>
            <w:r>
              <w:rPr>
                <w:highlight w:val="none"/>
              </w:rPr>
              <w:t xml:space="preserve"> </w:t>
            </w:r>
            <w:r>
              <w:rPr>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8"/>
              <w:jc w:val="center"/>
              <w:spacing w:beforeAutospacing="0" w:afterAutospacing="0"/>
              <w:rPr>
                <w:highlight w:val="none"/>
              </w:rPr>
            </w:pPr>
            <w:r>
              <w:rPr>
                <w:highlight w:val="none"/>
              </w:rPr>
              <w:t xml:space="preserve"> </w:t>
            </w:r>
            <w:r>
              <w:rPr>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8"/>
              <w:jc w:val="center"/>
              <w:spacing w:beforeAutospacing="0" w:afterAutospacing="0"/>
              <w:rPr>
                <w:highlight w:val="none"/>
              </w:rPr>
            </w:pPr>
            <w:r>
              <w:rPr>
                <w:rFonts w:hint="eastAsia" w:ascii="宋体" w:hAnsi="宋体" w:eastAsia="宋体" w:cs="宋体"/>
                <w:color w:val="000000"/>
                <w:highlight w:val="none"/>
              </w:rPr>
              <w:t xml:space="preserve">……</w:t>
            </w:r>
            <w:r>
              <w:rPr>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8"/>
              <w:jc w:val="center"/>
              <w:spacing w:beforeAutospacing="0" w:afterAutospacing="0"/>
              <w:rPr>
                <w:highlight w:val="none"/>
              </w:rPr>
            </w:pPr>
            <w:r>
              <w:rPr>
                <w:highlight w:val="none"/>
              </w:rPr>
              <w:t xml:space="preserve"> </w:t>
            </w:r>
            <w:r>
              <w:rPr>
                <w:highlight w:val="none"/>
              </w:rPr>
            </w:r>
            <w:r/>
          </w:p>
        </w:tc>
      </w:tr>
    </w:tbl>
    <w:p>
      <w:pPr>
        <w:pStyle w:val="698"/>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rPr>
          <w:highlight w:val="none"/>
        </w:rPr>
      </w:r>
      <w:r/>
    </w:p>
    <w:p>
      <w:pPr>
        <w:pStyle w:val="698"/>
        <w:jc w:val="center"/>
        <w:spacing w:beforeAutospacing="0" w:afterAutospacing="0"/>
        <w:rPr>
          <w:highlight w:val="none"/>
        </w:rPr>
      </w:pPr>
      <w:r>
        <w:rPr>
          <w:highlight w:val="none"/>
        </w:rPr>
        <w:t xml:space="preserve"> </w:t>
      </w:r>
      <w:r>
        <w:rPr>
          <w:highlight w:val="none"/>
        </w:rPr>
      </w:r>
      <w:r/>
    </w:p>
    <w:p>
      <w:pPr>
        <w:pStyle w:val="698"/>
        <w:jc w:val="center"/>
        <w:spacing w:beforeAutospacing="0" w:afterAutospacing="0"/>
        <w:rPr>
          <w:highlight w:val="none"/>
        </w:rPr>
      </w:pPr>
      <w:r>
        <w:rPr>
          <w:highlight w:val="none"/>
        </w:rPr>
        <w:t xml:space="preserve"> </w:t>
      </w:r>
      <w:r>
        <w:rPr>
          <w:highlight w:val="none"/>
        </w:rPr>
      </w:r>
      <w:r/>
    </w:p>
    <w:p>
      <w:pPr>
        <w:pStyle w:val="698"/>
        <w:jc w:val="center"/>
        <w:spacing w:beforeAutospacing="0" w:afterAutospacing="0"/>
        <w:rPr>
          <w:highlight w:val="none"/>
        </w:rPr>
      </w:pPr>
      <w:r>
        <w:rPr>
          <w:highlight w:val="none"/>
        </w:rPr>
        <w:t xml:space="preserve"> </w:t>
      </w:r>
      <w:r>
        <w:rPr>
          <w:highlight w:val="none"/>
        </w:rPr>
      </w:r>
      <w:r/>
    </w:p>
    <w:p>
      <w:pPr>
        <w:pStyle w:val="698"/>
        <w:jc w:val="center"/>
        <w:spacing w:beforeAutospacing="0" w:afterAutospacing="0"/>
        <w:rPr>
          <w:highlight w:val="none"/>
        </w:rPr>
      </w:pPr>
      <w:r>
        <w:rPr>
          <w:highlight w:val="none"/>
        </w:rPr>
        <w:t xml:space="preserve"> </w:t>
      </w:r>
      <w:r>
        <w:rPr>
          <w:highlight w:val="none"/>
        </w:rPr>
      </w:r>
      <w:r/>
    </w:p>
    <w:p>
      <w:pPr>
        <w:pStyle w:val="698"/>
        <w:jc w:val="both"/>
        <w:spacing w:beforeAutospacing="0" w:afterAutospacing="0"/>
        <w:rPr>
          <w:highlight w:val="none"/>
        </w:rPr>
      </w:pPr>
      <w:r>
        <w:rPr>
          <w:highlight w:val="none"/>
        </w:rPr>
        <w:t xml:space="preserve"> </w:t>
      </w:r>
      <w:r>
        <w:rPr>
          <w:highlight w:val="none"/>
        </w:rPr>
      </w:r>
      <w:r/>
    </w:p>
    <w:p>
      <w:pPr>
        <w:pStyle w:val="698"/>
        <w:jc w:val="both"/>
        <w:spacing w:beforeAutospacing="0" w:afterAutospacing="0"/>
        <w:rPr>
          <w:highlight w:val="none"/>
        </w:rPr>
      </w:pPr>
      <w:r>
        <w:rPr>
          <w:highlight w:val="none"/>
        </w:rPr>
        <w:t xml:space="preserve"> </w:t>
      </w:r>
      <w:r>
        <w:rPr>
          <w:highlight w:val="none"/>
        </w:rPr>
      </w:r>
      <w:r/>
    </w:p>
    <w:p>
      <w:pPr>
        <w:pStyle w:val="698"/>
        <w:jc w:val="both"/>
        <w:spacing w:beforeAutospacing="0" w:afterAutospacing="0"/>
        <w:rPr>
          <w:highlight w:val="none"/>
        </w:rPr>
      </w:pPr>
      <w:r>
        <w:rPr>
          <w:highlight w:val="none"/>
        </w:rPr>
        <w:t xml:space="preserve"> </w:t>
      </w:r>
      <w:r>
        <w:rPr>
          <w:highlight w:val="none"/>
        </w:rPr>
      </w:r>
      <w:r/>
    </w:p>
    <w:p>
      <w:pPr>
        <w:pStyle w:val="698"/>
        <w:jc w:val="both"/>
        <w:spacing w:beforeAutospacing="0" w:afterAutospacing="0"/>
        <w:rPr>
          <w:highlight w:val="none"/>
        </w:rPr>
      </w:pPr>
      <w:r>
        <w:rPr>
          <w:highlight w:val="none"/>
        </w:rPr>
        <w:t xml:space="preserve"> </w:t>
      </w:r>
      <w:r>
        <w:rPr>
          <w:highlight w:val="none"/>
        </w:rPr>
      </w:r>
      <w:r/>
    </w:p>
    <w:p>
      <w:pPr>
        <w:pStyle w:val="698"/>
        <w:jc w:val="both"/>
        <w:spacing w:beforeAutospacing="0" w:afterAutospacing="0"/>
        <w:rPr>
          <w:highlight w:val="none"/>
        </w:rPr>
      </w:pPr>
      <w:r>
        <w:rPr>
          <w:highlight w:val="none"/>
        </w:rPr>
        <w:t xml:space="preserve"> </w:t>
      </w:r>
      <w:r>
        <w:rPr>
          <w:highlight w:val="none"/>
        </w:rPr>
      </w:r>
      <w:r/>
    </w:p>
    <w:p>
      <w:pPr>
        <w:pStyle w:val="698"/>
        <w:jc w:val="both"/>
        <w:spacing w:beforeAutospacing="0" w:afterAutospacing="0"/>
        <w:rPr>
          <w:highlight w:val="none"/>
        </w:rPr>
      </w:pPr>
      <w:r>
        <w:rPr>
          <w:highlight w:val="none"/>
        </w:rPr>
      </w:r>
      <w:r/>
    </w:p>
    <w:p>
      <w:pPr>
        <w:pStyle w:val="698"/>
        <w:jc w:val="both"/>
        <w:spacing w:beforeAutospacing="0" w:afterAutospacing="0"/>
        <w:rPr>
          <w:highlight w:val="none"/>
        </w:rPr>
      </w:pPr>
      <w:r>
        <w:rPr>
          <w:highlight w:val="none"/>
        </w:rPr>
      </w:r>
      <w:r/>
    </w:p>
    <w:p>
      <w:pPr>
        <w:pStyle w:val="698"/>
        <w:jc w:val="both"/>
        <w:spacing w:beforeAutospacing="0" w:afterAutospacing="0"/>
        <w:rPr>
          <w:highlight w:val="none"/>
        </w:rPr>
      </w:pPr>
      <w:r>
        <w:rPr>
          <w:highlight w:val="none"/>
        </w:rPr>
      </w:r>
      <w:r/>
    </w:p>
    <w:p>
      <w:pPr>
        <w:pStyle w:val="698"/>
        <w:jc w:val="both"/>
        <w:spacing w:beforeAutospacing="0" w:afterAutospacing="0"/>
        <w:rPr>
          <w:highlight w:val="none"/>
        </w:rPr>
      </w:pPr>
      <w:r>
        <w:rPr>
          <w:highlight w:val="none"/>
        </w:rPr>
      </w:r>
      <w:r/>
    </w:p>
    <w:p>
      <w:pPr>
        <w:pStyle w:val="698"/>
        <w:jc w:val="both"/>
        <w:spacing w:beforeAutospacing="0" w:afterAutospacing="0"/>
        <w:rPr>
          <w:highlight w:val="none"/>
        </w:rPr>
      </w:pPr>
      <w:r>
        <w:rPr>
          <w:highlight w:val="none"/>
        </w:rPr>
      </w:r>
      <w:r/>
    </w:p>
    <w:p>
      <w:pPr>
        <w:pStyle w:val="698"/>
        <w:jc w:val="both"/>
        <w:spacing w:beforeAutospacing="0" w:afterAutospacing="0"/>
        <w:rPr>
          <w:highlight w:val="none"/>
        </w:rPr>
      </w:pPr>
      <w:r>
        <w:rPr>
          <w:highlight w:val="none"/>
        </w:rPr>
      </w:r>
      <w:r/>
    </w:p>
    <w:p>
      <w:pPr>
        <w:pStyle w:val="698"/>
        <w:jc w:val="both"/>
        <w:spacing w:beforeAutospacing="0" w:afterAutospacing="0"/>
        <w:rPr>
          <w:highlight w:val="none"/>
        </w:rPr>
      </w:pPr>
      <w:r>
        <w:rPr>
          <w:highlight w:val="none"/>
        </w:rPr>
      </w:r>
      <w:r/>
    </w:p>
    <w:p>
      <w:pPr>
        <w:pStyle w:val="698"/>
        <w:jc w:val="both"/>
        <w:spacing w:beforeAutospacing="0" w:afterAutospacing="0"/>
        <w:rPr>
          <w:highlight w:val="none"/>
        </w:rPr>
      </w:pPr>
      <w:r>
        <w:rPr>
          <w:highlight w:val="none"/>
        </w:rPr>
      </w:r>
      <w:r/>
    </w:p>
    <w:p>
      <w:pPr>
        <w:pStyle w:val="698"/>
        <w:jc w:val="both"/>
        <w:spacing w:beforeAutospacing="0" w:afterAutospacing="0"/>
        <w:rPr>
          <w:highlight w:val="none"/>
        </w:rPr>
      </w:pPr>
      <w:r>
        <w:rPr>
          <w:highlight w:val="none"/>
        </w:rPr>
      </w:r>
      <w:r/>
    </w:p>
    <w:p>
      <w:pPr>
        <w:pStyle w:val="698"/>
        <w:jc w:val="both"/>
        <w:spacing w:beforeAutospacing="0" w:afterAutospacing="0"/>
        <w:rPr>
          <w:highlight w:val="none"/>
        </w:rPr>
      </w:pPr>
      <w:r>
        <w:rPr>
          <w:highlight w:val="none"/>
        </w:rPr>
      </w:r>
      <w:r/>
    </w:p>
    <w:p>
      <w:pPr>
        <w:pStyle w:val="698"/>
        <w:jc w:val="both"/>
        <w:spacing w:beforeAutospacing="0" w:afterAutospacing="0"/>
        <w:rPr>
          <w:highlight w:val="none"/>
        </w:rPr>
      </w:pPr>
      <w:r>
        <w:rPr>
          <w:highlight w:val="none"/>
        </w:rPr>
        <w:t xml:space="preserve"> </w:t>
      </w:r>
      <w:r>
        <w:rPr>
          <w:highlight w:val="none"/>
        </w:rPr>
      </w:r>
      <w:r/>
    </w:p>
    <w:p>
      <w:pPr>
        <w:pStyle w:val="698"/>
        <w:jc w:val="both"/>
        <w:spacing w:beforeAutospacing="0" w:afterAutospacing="0"/>
        <w:rPr>
          <w:highlight w:val="none"/>
        </w:rPr>
      </w:pPr>
      <w:r>
        <w:rPr>
          <w:highlight w:val="none"/>
        </w:rPr>
        <w:t xml:space="preserve"> </w:t>
      </w:r>
      <w:r>
        <w:rPr>
          <w:highlight w:val="none"/>
        </w:rPr>
      </w:r>
      <w:r/>
    </w:p>
    <w:p>
      <w:pPr>
        <w:pStyle w:val="698"/>
        <w:jc w:val="both"/>
        <w:spacing w:beforeAutospacing="0" w:afterAutospacing="0"/>
        <w:rPr>
          <w:highlight w:val="none"/>
        </w:rPr>
      </w:pPr>
      <w:r>
        <w:rPr>
          <w:highlight w:val="none"/>
        </w:rPr>
        <w:t xml:space="preserve"> </w:t>
      </w:r>
      <w:r>
        <w:rPr>
          <w:highlight w:val="none"/>
        </w:rPr>
      </w:r>
      <w:r/>
    </w:p>
    <w:p>
      <w:pPr>
        <w:pStyle w:val="698"/>
        <w:jc w:val="center"/>
        <w:spacing w:beforeAutospacing="0" w:afterAutospacing="0"/>
        <w:rPr>
          <w:highlight w:val="none"/>
        </w:rPr>
      </w:pPr>
      <w:r/>
      <w:bookmarkStart w:id="179" w:name="_Hlt26955054"/>
      <w:r/>
      <w:bookmarkStart w:id="180" w:name="_Toc462564146"/>
      <w:r/>
      <w:bookmarkStart w:id="181" w:name="_Hlt26671374"/>
      <w:r/>
      <w:bookmarkStart w:id="182" w:name="_格式2__法定代表人授权书"/>
      <w:r/>
      <w:bookmarkStart w:id="183" w:name="_Hlt26609389"/>
      <w:r/>
      <w:bookmarkStart w:id="184" w:name="_Hlt26955066"/>
      <w:r>
        <w:rPr>
          <w:rFonts w:hint="eastAsia" w:ascii="黑体" w:hAnsi="宋体" w:eastAsia="黑体" w:cs="黑体"/>
          <w:b/>
          <w:color w:val="000000"/>
          <w:sz w:val="32"/>
          <w:szCs w:val="32"/>
          <w:highlight w:val="none"/>
          <w:lang w:val="en-US" w:eastAsia="zh-CN"/>
        </w:rPr>
        <w:t xml:space="preserve">十四、</w:t>
      </w:r>
      <w:r>
        <w:rPr>
          <w:rFonts w:hint="eastAsia" w:ascii="黑体" w:hAnsi="宋体" w:eastAsia="黑体" w:cs="黑体"/>
          <w:b/>
          <w:color w:val="000000"/>
          <w:sz w:val="32"/>
          <w:szCs w:val="32"/>
          <w:highlight w:val="none"/>
        </w:rPr>
        <w:t xml:space="preserve">商务要求响应及偏离表</w:t>
      </w:r>
      <w:r>
        <w:rPr>
          <w:highlight w:val="none"/>
        </w:rPr>
      </w:r>
      <w:r/>
    </w:p>
    <w:tbl>
      <w:tblPr>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8"/>
              <w:jc w:val="center"/>
              <w:spacing w:beforeAutospacing="0" w:afterAutospacing="0"/>
              <w:rPr>
                <w:highlight w:val="none"/>
              </w:rPr>
            </w:pPr>
            <w:r/>
            <w:bookmarkStart w:id="185" w:name="_Hlt26955064"/>
            <w:r/>
            <w:bookmarkStart w:id="186" w:name="_Hlt24879081"/>
            <w:r/>
            <w:bookmarkStart w:id="187" w:name="_Hlt26671372"/>
            <w:r/>
            <w:bookmarkStart w:id="188" w:name="_Hlt26782999"/>
            <w:r/>
            <w:bookmarkStart w:id="189" w:name="_Hlt26580838"/>
            <w:r/>
            <w:bookmarkStart w:id="190" w:name="_Hlt26609391"/>
            <w:r/>
            <w:bookmarkStart w:id="191" w:name="_Hlt26671343"/>
            <w:r/>
            <w:bookmarkStart w:id="192" w:name="_Hlt26955056"/>
            <w:r>
              <w:rPr>
                <w:rFonts w:hint="eastAsia" w:ascii="宋体" w:hAnsi="宋体" w:eastAsia="宋体" w:cs="宋体"/>
                <w:color w:val="000000"/>
                <w:highlight w:val="none"/>
              </w:rPr>
              <w:t xml:space="preserve">序号</w:t>
            </w:r>
            <w:r>
              <w:rPr>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8"/>
              <w:jc w:val="center"/>
              <w:spacing w:beforeAutospacing="0" w:afterAutospacing="0"/>
              <w:rPr>
                <w:highlight w:val="none"/>
              </w:rPr>
            </w:pPr>
            <w:r/>
            <w:bookmarkEnd w:id="185"/>
            <w:r/>
            <w:bookmarkEnd w:id="186"/>
            <w:r/>
            <w:bookmarkEnd w:id="187"/>
            <w:r/>
            <w:bookmarkEnd w:id="188"/>
            <w:r/>
            <w:bookmarkEnd w:id="189"/>
            <w:r/>
            <w:bookmarkEnd w:id="190"/>
            <w:r/>
            <w:bookmarkEnd w:id="191"/>
            <w:r/>
            <w:bookmarkEnd w:id="192"/>
            <w:r>
              <w:rPr>
                <w:rFonts w:hint="eastAsia" w:ascii="宋体" w:hAnsi="宋体" w:eastAsia="宋体" w:cs="宋体"/>
                <w:color w:val="000000"/>
                <w:highlight w:val="none"/>
              </w:rPr>
              <w:t xml:space="preserve">招标文件要求</w:t>
            </w:r>
            <w:r>
              <w:rPr>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8"/>
              <w:jc w:val="center"/>
              <w:spacing w:beforeAutospacing="0" w:afterAutospacing="0"/>
              <w:rPr>
                <w:highlight w:val="none"/>
              </w:rPr>
            </w:pPr>
            <w:r>
              <w:rPr>
                <w:rFonts w:hint="eastAsia" w:ascii="宋体" w:hAnsi="宋体" w:eastAsia="宋体" w:cs="宋体"/>
                <w:color w:val="000000"/>
                <w:highlight w:val="none"/>
              </w:rPr>
              <w:t xml:space="preserve">投标响应情况</w:t>
            </w:r>
            <w:r>
              <w:rPr>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8"/>
              <w:jc w:val="center"/>
              <w:spacing w:beforeAutospacing="0" w:afterAutospacing="0"/>
              <w:rPr>
                <w:highlight w:val="none"/>
              </w:rPr>
            </w:pPr>
            <w:r>
              <w:rPr>
                <w:rFonts w:hint="eastAsia" w:ascii="宋体" w:hAnsi="宋体" w:eastAsia="宋体" w:cs="宋体"/>
                <w:color w:val="000000"/>
                <w:highlight w:val="none"/>
              </w:rPr>
              <w:t xml:space="preserve">超出、符合或偏离</w:t>
            </w:r>
            <w:r>
              <w:rPr>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8"/>
              <w:jc w:val="center"/>
              <w:spacing w:beforeAutospacing="0" w:afterAutospacing="0"/>
              <w:rPr>
                <w:highlight w:val="none"/>
              </w:rPr>
            </w:pPr>
            <w:r>
              <w:rPr>
                <w:rFonts w:hint="eastAsia" w:ascii="宋体" w:hAnsi="宋体" w:eastAsia="宋体" w:cs="宋体"/>
                <w:color w:val="000000"/>
                <w:highlight w:val="none"/>
              </w:rPr>
              <w:t xml:space="preserve">证明</w:t>
            </w:r>
            <w:r>
              <w:rPr>
                <w:highlight w:val="none"/>
              </w:rPr>
            </w:r>
            <w:r/>
          </w:p>
          <w:p>
            <w:pPr>
              <w:pStyle w:val="698"/>
              <w:jc w:val="center"/>
              <w:spacing w:beforeAutospacing="0" w:afterAutospacing="0"/>
              <w:rPr>
                <w:highlight w:val="none"/>
              </w:rPr>
            </w:pPr>
            <w:r>
              <w:rPr>
                <w:rFonts w:hint="eastAsia" w:ascii="宋体" w:hAnsi="宋体" w:eastAsia="宋体" w:cs="宋体"/>
                <w:color w:val="000000"/>
                <w:highlight w:val="none"/>
              </w:rPr>
              <w:t xml:space="preserve">材料</w:t>
            </w:r>
            <w:r>
              <w:rPr>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8"/>
              <w:jc w:val="center"/>
              <w:spacing w:beforeAutospacing="0" w:afterAutospacing="0"/>
              <w:rPr>
                <w:highlight w:val="none"/>
              </w:rPr>
            </w:pPr>
            <w:r>
              <w:rPr>
                <w:highlight w:val="none"/>
              </w:rPr>
              <w:t xml:space="preserve"> </w:t>
            </w:r>
            <w:r>
              <w:rPr>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8"/>
              <w:jc w:val="center"/>
              <w:spacing w:beforeAutospacing="0" w:afterAutospacing="0"/>
              <w:rPr>
                <w:highlight w:val="none"/>
              </w:rPr>
            </w:pPr>
            <w:r>
              <w:rPr>
                <w:highlight w:val="none"/>
              </w:rPr>
              <w:t xml:space="preserve"> </w:t>
            </w:r>
            <w:r>
              <w:rPr>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8"/>
              <w:jc w:val="center"/>
              <w:spacing w:beforeAutospacing="0" w:afterAutospacing="0"/>
              <w:rPr>
                <w:highlight w:val="none"/>
              </w:rPr>
            </w:pPr>
            <w:r>
              <w:rPr>
                <w:highlight w:val="none"/>
              </w:rPr>
              <w:t xml:space="preserve"> </w:t>
            </w:r>
            <w:r>
              <w:rPr>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8"/>
              <w:jc w:val="center"/>
              <w:spacing w:beforeAutospacing="0" w:afterAutospacing="0"/>
              <w:rPr>
                <w:highlight w:val="none"/>
              </w:rPr>
            </w:pPr>
            <w:r>
              <w:rPr>
                <w:highlight w:val="none"/>
              </w:rPr>
              <w:t xml:space="preserve"> </w:t>
            </w:r>
            <w:r>
              <w:rPr>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8"/>
              <w:jc w:val="center"/>
              <w:spacing w:beforeAutospacing="0" w:afterAutospacing="0"/>
              <w:rPr>
                <w:highlight w:val="none"/>
              </w:rPr>
            </w:pPr>
            <w:r>
              <w:rPr>
                <w:highlight w:val="none"/>
              </w:rPr>
              <w:t xml:space="preserve"> </w:t>
            </w:r>
            <w:r>
              <w:rPr>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8"/>
              <w:jc w:val="center"/>
              <w:spacing w:beforeAutospacing="0" w:afterAutospacing="0"/>
              <w:rPr>
                <w:highlight w:val="none"/>
              </w:rPr>
            </w:pPr>
            <w:r>
              <w:rPr>
                <w:highlight w:val="none"/>
              </w:rPr>
              <w:t xml:space="preserve"> </w:t>
            </w:r>
            <w:r>
              <w:rPr>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8"/>
              <w:jc w:val="center"/>
              <w:spacing w:beforeAutospacing="0" w:afterAutospacing="0"/>
              <w:rPr>
                <w:highlight w:val="none"/>
              </w:rPr>
            </w:pPr>
            <w:r>
              <w:rPr>
                <w:highlight w:val="none"/>
              </w:rPr>
              <w:t xml:space="preserve"> </w:t>
            </w:r>
            <w:r>
              <w:rPr>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8"/>
              <w:jc w:val="center"/>
              <w:spacing w:beforeAutospacing="0" w:afterAutospacing="0"/>
              <w:rPr>
                <w:highlight w:val="none"/>
              </w:rPr>
            </w:pPr>
            <w:r>
              <w:rPr>
                <w:rFonts w:hint="eastAsia" w:ascii="宋体" w:hAnsi="宋体" w:eastAsia="宋体" w:cs="宋体"/>
                <w:color w:val="000000"/>
                <w:highlight w:val="none"/>
              </w:rPr>
              <w:t xml:space="preserve">……</w:t>
            </w:r>
            <w:r>
              <w:rPr>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8"/>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8"/>
              <w:jc w:val="center"/>
              <w:spacing w:beforeAutospacing="0" w:afterAutospacing="0"/>
              <w:rPr>
                <w:highlight w:val="none"/>
              </w:rPr>
            </w:pPr>
            <w:r>
              <w:rPr>
                <w:highlight w:val="none"/>
              </w:rPr>
              <w:t xml:space="preserve"> </w:t>
            </w:r>
            <w:r>
              <w:rPr>
                <w:highlight w:val="none"/>
              </w:rPr>
            </w:r>
            <w:r/>
          </w:p>
        </w:tc>
      </w:tr>
    </w:tbl>
    <w:p>
      <w:pPr>
        <w:pStyle w:val="680"/>
        <w:jc w:val="both"/>
        <w:spacing w:before="50" w:after="50"/>
        <w:widowControl/>
        <w:rPr>
          <w:highlight w:val="none"/>
        </w:rPr>
      </w:pPr>
      <w:r>
        <w:rPr>
          <w:rFonts w:hint="eastAsia" w:ascii="宋体" w:hAnsi="宋体" w:eastAsia="宋体" w:cs="宋体"/>
          <w:color w:val="000000"/>
          <w:highlight w:val="none"/>
        </w:rPr>
        <w:t xml:space="preserve">注： 行数不够，可自行添加。</w:t>
      </w:r>
      <w:r>
        <w:rPr>
          <w:highlight w:val="none"/>
        </w:rPr>
        <w:tab/>
      </w:r>
      <w:r>
        <w:rPr>
          <w:highlight w:val="none"/>
        </w:rPr>
      </w:r>
      <w:r/>
    </w:p>
    <w:p>
      <w:pPr>
        <w:pStyle w:val="680"/>
        <w:jc w:val="center"/>
        <w:spacing w:before="50" w:after="50"/>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80"/>
        <w:jc w:val="center"/>
        <w:spacing w:before="50" w:after="50"/>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80"/>
        <w:jc w:val="center"/>
        <w:spacing w:before="50" w:after="50"/>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80"/>
        <w:jc w:val="center"/>
        <w:spacing w:before="50" w:after="50"/>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80"/>
        <w:jc w:val="center"/>
        <w:spacing w:before="50" w:after="50"/>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80"/>
        <w:jc w:val="center"/>
        <w:spacing w:before="50" w:after="50"/>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80"/>
        <w:jc w:val="center"/>
        <w:spacing w:before="50" w:after="50"/>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80"/>
        <w:jc w:val="center"/>
        <w:spacing w:before="50" w:after="50"/>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80"/>
        <w:jc w:val="center"/>
        <w:spacing w:before="50" w:after="50"/>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80"/>
        <w:jc w:val="center"/>
        <w:spacing w:before="50" w:after="50"/>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98"/>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bidi="ar-SA"/>
        </w:rPr>
        <w:t xml:space="preserve">十五、</w:t>
      </w:r>
      <w:r>
        <w:rPr>
          <w:rFonts w:hint="eastAsia" w:ascii="黑体" w:hAnsi="宋体" w:eastAsia="黑体" w:cs="黑体"/>
          <w:b/>
          <w:color w:val="000000"/>
          <w:sz w:val="32"/>
          <w:szCs w:val="32"/>
          <w:highlight w:val="none"/>
          <w:lang w:val="en-US" w:eastAsia="zh-CN"/>
        </w:rPr>
        <w:t xml:space="preserve">开标一览表</w:t>
      </w:r>
      <w:r>
        <w:rPr>
          <w:rFonts w:hint="eastAsia" w:ascii="黑体" w:hAnsi="宋体" w:eastAsia="黑体" w:cs="黑体"/>
          <w:b/>
          <w:color w:val="000000"/>
          <w:sz w:val="32"/>
          <w:szCs w:val="32"/>
          <w:highlight w:val="none"/>
          <w:lang w:val="en-US" w:eastAsia="zh-CN"/>
        </w:rPr>
      </w:r>
      <w:r/>
    </w:p>
    <w:p>
      <w:pPr>
        <w:pStyle w:val="698"/>
        <w:ind w:firstLine="480"/>
        <w:jc w:val="both"/>
        <w:spacing w:beforeAutospacing="0" w:afterAutospacing="0"/>
        <w:rPr>
          <w:rFonts w:hint="eastAsia" w:ascii="仿宋" w:hAnsi="仿宋" w:eastAsia="仿宋" w:cs="仿宋"/>
        </w:rPr>
      </w:pPr>
      <w:r>
        <w:rPr>
          <w:rFonts w:hint="eastAsia" w:ascii="仿宋" w:hAnsi="仿宋" w:eastAsia="仿宋" w:cs="仿宋"/>
          <w:color w:val="000000"/>
        </w:rPr>
        <w:t xml:space="preserve">投标人全称（加盖CA电子签章）：</w:t>
      </w:r>
      <w:r>
        <w:rPr>
          <w:rFonts w:hint="eastAsia" w:ascii="仿宋" w:hAnsi="仿宋" w:eastAsia="仿宋" w:cs="仿宋"/>
        </w:rPr>
      </w:r>
      <w:r/>
    </w:p>
    <w:p>
      <w:pPr>
        <w:pStyle w:val="698"/>
        <w:ind w:firstLine="480"/>
        <w:jc w:val="both"/>
        <w:spacing w:beforeAutospacing="0" w:afterAutospacing="0"/>
        <w:rPr>
          <w:rFonts w:hint="eastAsia" w:ascii="仿宋" w:hAnsi="仿宋" w:eastAsia="仿宋" w:cs="仿宋"/>
        </w:rPr>
      </w:pPr>
      <w:r>
        <w:rPr>
          <w:rFonts w:hint="eastAsia" w:ascii="仿宋" w:hAnsi="仿宋" w:eastAsia="仿宋" w:cs="仿宋"/>
          <w:color w:val="000000"/>
        </w:rPr>
        <w:t xml:space="preserve">项目名称：东沙岛浮标监测系统设备及安装（二次）</w:t>
      </w:r>
      <w:r>
        <w:rPr>
          <w:rFonts w:hint="eastAsia" w:ascii="仿宋" w:hAnsi="仿宋" w:eastAsia="仿宋" w:cs="仿宋"/>
        </w:rPr>
      </w:r>
      <w:r/>
    </w:p>
    <w:p>
      <w:pPr>
        <w:pStyle w:val="698"/>
        <w:ind w:firstLine="480"/>
        <w:jc w:val="both"/>
        <w:spacing w:beforeAutospacing="0" w:afterAutospacing="0"/>
        <w:rPr>
          <w:rFonts w:hint="eastAsia" w:ascii="仿宋" w:hAnsi="仿宋" w:eastAsia="仿宋" w:cs="仿宋"/>
          <w:color w:val="000000"/>
        </w:rPr>
      </w:pPr>
      <w:r>
        <w:rPr>
          <w:rFonts w:hint="eastAsia" w:ascii="仿宋" w:hAnsi="仿宋" w:eastAsia="仿宋" w:cs="仿宋"/>
          <w:color w:val="000000"/>
        </w:rPr>
        <w:t xml:space="preserve">招标编号：JSZC-320000-JDHC-G2026-0006</w:t>
      </w:r>
      <w:r>
        <w:rPr>
          <w:rFonts w:hint="eastAsia" w:ascii="仿宋" w:hAnsi="仿宋" w:eastAsia="仿宋" w:cs="仿宋"/>
          <w:color w:val="000000"/>
        </w:rPr>
      </w:r>
      <w:r/>
    </w:p>
    <w:tbl>
      <w:tblPr>
        <w:tblW w:w="8206"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98"/>
              <w:ind w:firstLine="480"/>
              <w:jc w:val="both"/>
              <w:spacing w:beforeAutospacing="0" w:afterAutospacing="0"/>
              <w:rPr>
                <w:rFonts w:hint="eastAsia" w:ascii="仿宋" w:hAnsi="仿宋" w:eastAsia="仿宋" w:cs="仿宋"/>
                <w:color w:val="000000"/>
              </w:rPr>
            </w:pPr>
            <w:r>
              <w:rPr>
                <w:rFonts w:hint="eastAsia" w:ascii="仿宋" w:hAnsi="仿宋" w:eastAsia="仿宋" w:cs="仿宋"/>
                <w:color w:val="000000"/>
              </w:rPr>
              <w:t xml:space="preserve">投标总价报价（大写）：                       </w:t>
            </w:r>
            <w:r>
              <w:rPr>
                <w:rFonts w:hint="eastAsia" w:ascii="仿宋" w:hAnsi="仿宋" w:eastAsia="仿宋" w:cs="仿宋"/>
                <w:color w:val="000000"/>
              </w:rPr>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98"/>
              <w:ind w:firstLine="480"/>
              <w:jc w:val="both"/>
              <w:spacing w:beforeAutospacing="0" w:afterAutospacing="0"/>
              <w:rPr>
                <w:rFonts w:hint="eastAsia" w:ascii="仿宋" w:hAnsi="仿宋" w:eastAsia="仿宋" w:cs="仿宋"/>
                <w:color w:val="000000"/>
              </w:rPr>
            </w:pPr>
            <w:r>
              <w:rPr>
                <w:rFonts w:hint="eastAsia" w:ascii="仿宋" w:hAnsi="仿宋" w:eastAsia="仿宋" w:cs="仿宋"/>
                <w:color w:val="000000"/>
              </w:rPr>
              <w:t xml:space="preserve">小写：（人民币：元）</w:t>
            </w:r>
            <w:r>
              <w:rPr>
                <w:rFonts w:hint="eastAsia" w:ascii="仿宋" w:hAnsi="仿宋" w:eastAsia="仿宋" w:cs="仿宋"/>
                <w:color w:val="000000"/>
              </w:rPr>
            </w:r>
            <w:r/>
          </w:p>
        </w:tc>
      </w:tr>
    </w:tbl>
    <w:p>
      <w:pPr>
        <w:pStyle w:val="698"/>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pStyle w:val="698"/>
        <w:ind w:firstLine="480"/>
        <w:jc w:val="both"/>
        <w:spacing w:beforeAutospacing="0" w:afterAutospacing="0"/>
        <w:rPr>
          <w:rFonts w:hint="eastAsia" w:ascii="仿宋" w:hAnsi="仿宋" w:eastAsia="仿宋" w:cs="仿宋"/>
        </w:rPr>
      </w:pPr>
      <w:r>
        <w:rPr>
          <w:rFonts w:hint="eastAsia" w:ascii="仿宋" w:hAnsi="仿宋" w:eastAsia="仿宋" w:cs="仿宋"/>
          <w:color w:val="000000"/>
          <w:lang w:val="en-US" w:eastAsia="zh-CN"/>
        </w:rPr>
        <w:t xml:space="preserve">                                           </w:t>
      </w:r>
      <w:r>
        <w:rPr>
          <w:rFonts w:hint="eastAsia" w:ascii="仿宋" w:hAnsi="仿宋" w:eastAsia="仿宋" w:cs="仿宋"/>
          <w:color w:val="000000"/>
        </w:rPr>
        <w:t xml:space="preserve">日期：  </w:t>
      </w:r>
      <w:r>
        <w:rPr>
          <w:rFonts w:hint="eastAsia" w:ascii="仿宋" w:hAnsi="仿宋" w:eastAsia="仿宋" w:cs="仿宋"/>
          <w:color w:val="000000"/>
          <w:u w:val="single"/>
        </w:rPr>
        <w:t xml:space="preserve">     </w:t>
      </w:r>
      <w:r>
        <w:rPr>
          <w:rFonts w:hint="eastAsia" w:ascii="仿宋" w:hAnsi="仿宋" w:eastAsia="仿宋" w:cs="仿宋"/>
          <w:color w:val="000000"/>
        </w:rPr>
        <w:t xml:space="preserve">年</w:t>
      </w:r>
      <w:r>
        <w:rPr>
          <w:rFonts w:hint="eastAsia" w:ascii="仿宋" w:hAnsi="仿宋" w:eastAsia="仿宋" w:cs="仿宋"/>
          <w:color w:val="000000"/>
          <w:u w:val="single"/>
        </w:rPr>
        <w:t xml:space="preserve">   </w:t>
      </w:r>
      <w:r>
        <w:rPr>
          <w:rFonts w:hint="eastAsia" w:ascii="仿宋" w:hAnsi="仿宋" w:eastAsia="仿宋" w:cs="仿宋"/>
          <w:color w:val="000000"/>
        </w:rPr>
        <w:t xml:space="preserve">月</w:t>
      </w:r>
      <w:r>
        <w:rPr>
          <w:rFonts w:hint="eastAsia" w:ascii="仿宋" w:hAnsi="仿宋" w:eastAsia="仿宋" w:cs="仿宋"/>
          <w:color w:val="000000"/>
          <w:u w:val="single"/>
        </w:rPr>
        <w:t xml:space="preserve">   </w:t>
      </w:r>
      <w:r>
        <w:rPr>
          <w:rFonts w:hint="eastAsia" w:ascii="仿宋" w:hAnsi="仿宋" w:eastAsia="仿宋" w:cs="仿宋"/>
          <w:color w:val="000000"/>
        </w:rPr>
        <w:t xml:space="preserve">日</w:t>
      </w:r>
      <w:r>
        <w:rPr>
          <w:rFonts w:hint="eastAsia" w:ascii="仿宋" w:hAnsi="仿宋" w:eastAsia="仿宋" w:cs="仿宋"/>
        </w:rPr>
      </w:r>
      <w:r/>
    </w:p>
    <w:p>
      <w:pPr>
        <w:pStyle w:val="698"/>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pStyle w:val="698"/>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98"/>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98"/>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98"/>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98"/>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80"/>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80"/>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80"/>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80"/>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80"/>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80"/>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80"/>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80"/>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80"/>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80"/>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80"/>
        <w:ind w:firstLine="1600"/>
        <w:jc w:val="center"/>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t xml:space="preserve">十六、项目团队人员一览表</w:t>
      </w:r>
      <w:r>
        <w:rPr>
          <w:rFonts w:hint="eastAsia" w:ascii="黑体" w:hAnsi="宋体" w:eastAsia="黑体" w:cs="黑体"/>
          <w:b/>
          <w:color w:val="000000"/>
          <w:sz w:val="32"/>
          <w:szCs w:val="32"/>
          <w:highlight w:val="none"/>
          <w:lang w:val="en-US" w:eastAsia="zh-CN" w:bidi="ar-SA"/>
        </w:rPr>
      </w:r>
      <w:r/>
    </w:p>
    <w:p>
      <w:pPr>
        <w:pStyle w:val="699"/>
        <w:ind w:left="0" w:firstLine="0"/>
        <w:jc w:val="both"/>
        <w:rPr>
          <w:rFonts w:hint="eastAsia" w:ascii="宋体" w:hAnsi="宋体" w:eastAsia="宋体" w:cs="宋体"/>
          <w:b/>
          <w:color w:val="000000"/>
          <w:sz w:val="24"/>
          <w:szCs w:val="24"/>
          <w:highlight w:val="none"/>
          <w:lang w:val="en-US" w:eastAsia="zh-CN"/>
        </w:rPr>
        <w:outlineLvl w:val="9"/>
      </w:pPr>
      <w:r>
        <w:rPr>
          <w:rFonts w:hint="eastAsia" w:ascii="宋体" w:hAnsi="宋体" w:eastAsia="宋体" w:cs="宋体"/>
          <w:b/>
          <w:color w:val="000000"/>
          <w:sz w:val="24"/>
          <w:szCs w:val="24"/>
          <w:highlight w:val="none"/>
          <w:lang w:val="en-US" w:eastAsia="zh-CN"/>
        </w:rPr>
        <w:t xml:space="preserve">项目名称：东沙岛浮标监测系统设备及安装（二次）</w:t>
      </w:r>
      <w:r>
        <w:rPr>
          <w:rFonts w:hint="eastAsia" w:ascii="宋体" w:hAnsi="宋体" w:eastAsia="宋体" w:cs="宋体"/>
          <w:b/>
          <w:color w:val="000000"/>
          <w:sz w:val="24"/>
          <w:szCs w:val="24"/>
          <w:highlight w:val="none"/>
          <w:lang w:val="en-US" w:eastAsia="zh-CN"/>
        </w:rPr>
      </w:r>
      <w:r/>
    </w:p>
    <w:p>
      <w:pPr>
        <w:pStyle w:val="699"/>
        <w:ind w:left="0" w:firstLine="0"/>
        <w:jc w:val="both"/>
        <w:rPr>
          <w:rFonts w:ascii="宋体" w:hAnsi="宋体" w:eastAsia="宋体" w:cs="宋体"/>
          <w:b/>
          <w:color w:val="000000"/>
          <w:sz w:val="24"/>
          <w:szCs w:val="24"/>
          <w:highlight w:val="none"/>
          <w:lang w:val="en-US" w:eastAsia="zh-CN"/>
        </w:rPr>
        <w:outlineLvl w:val="9"/>
      </w:pPr>
      <w:r>
        <w:rPr>
          <w:rFonts w:hint="eastAsia" w:ascii="宋体" w:hAnsi="宋体" w:eastAsia="宋体" w:cs="宋体"/>
          <w:b/>
          <w:color w:val="000000"/>
          <w:sz w:val="24"/>
          <w:szCs w:val="24"/>
          <w:highlight w:val="none"/>
          <w:lang w:val="en-US" w:eastAsia="zh-CN"/>
        </w:rPr>
        <w:t xml:space="preserve">项目编号：JSZC-320000-JDHC-G2026-0006</w:t>
      </w:r>
      <w:r>
        <w:rPr>
          <w:rFonts w:ascii="宋体" w:hAnsi="宋体" w:eastAsia="宋体" w:cs="宋体"/>
          <w:b/>
          <w:color w:val="000000"/>
          <w:sz w:val="24"/>
          <w:szCs w:val="24"/>
          <w:highlight w:val="none"/>
          <w:lang w:val="en-US" w:eastAsia="zh-CN"/>
        </w:rPr>
      </w:r>
      <w:r/>
    </w:p>
    <w:tbl>
      <w:tblPr>
        <w:tblW w:w="4995" w:type="pct"/>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16"/>
        <w:gridCol w:w="616"/>
        <w:gridCol w:w="617"/>
        <w:gridCol w:w="617"/>
        <w:gridCol w:w="1683"/>
        <w:gridCol w:w="617"/>
        <w:gridCol w:w="617"/>
        <w:gridCol w:w="1683"/>
        <w:gridCol w:w="830"/>
        <w:gridCol w:w="617"/>
      </w:tblGrid>
      <w:tr>
        <w:trPr/>
        <w:tc>
          <w:tcPr>
            <w:tcW w:w="362" w:type="dxa"/>
            <w:vAlign w:val="center"/>
            <w:textDirection w:val="lrTb"/>
            <w:noWrap w:val="false"/>
          </w:tcPr>
          <w:p>
            <w:pPr>
              <w:pStyle w:val="68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362" w:type="dxa"/>
            <w:vAlign w:val="center"/>
            <w:textDirection w:val="lrTb"/>
            <w:noWrap w:val="false"/>
          </w:tcPr>
          <w:p>
            <w:pPr>
              <w:pStyle w:val="68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362" w:type="dxa"/>
            <w:vAlign w:val="center"/>
            <w:textDirection w:val="lrTb"/>
            <w:noWrap w:val="false"/>
          </w:tcPr>
          <w:p>
            <w:pPr>
              <w:pStyle w:val="68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362" w:type="dxa"/>
            <w:vAlign w:val="center"/>
            <w:textDirection w:val="lrTb"/>
            <w:noWrap w:val="false"/>
          </w:tcPr>
          <w:p>
            <w:pPr>
              <w:pStyle w:val="68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88" w:type="dxa"/>
            <w:vAlign w:val="center"/>
            <w:textDirection w:val="lrTb"/>
            <w:noWrap w:val="false"/>
          </w:tcPr>
          <w:p>
            <w:pPr>
              <w:pStyle w:val="68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362" w:type="dxa"/>
            <w:vAlign w:val="center"/>
            <w:textDirection w:val="lrTb"/>
            <w:noWrap w:val="false"/>
          </w:tcPr>
          <w:p>
            <w:pPr>
              <w:pStyle w:val="68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362" w:type="dxa"/>
            <w:vAlign w:val="center"/>
            <w:textDirection w:val="lrTb"/>
            <w:noWrap w:val="false"/>
          </w:tcPr>
          <w:p>
            <w:pPr>
              <w:pStyle w:val="68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88" w:type="dxa"/>
            <w:vAlign w:val="center"/>
            <w:textDirection w:val="lrTb"/>
            <w:noWrap w:val="false"/>
          </w:tcPr>
          <w:p>
            <w:pPr>
              <w:pStyle w:val="68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487" w:type="dxa"/>
            <w:vAlign w:val="center"/>
            <w:textDirection w:val="lrTb"/>
            <w:noWrap w:val="false"/>
          </w:tcPr>
          <w:p>
            <w:pPr>
              <w:pStyle w:val="68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68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362" w:type="dxa"/>
            <w:vAlign w:val="center"/>
            <w:textDirection w:val="lrTb"/>
            <w:noWrap w:val="false"/>
          </w:tcPr>
          <w:p>
            <w:pPr>
              <w:pStyle w:val="680"/>
              <w:jc w:val="center"/>
              <w:spacing w:line="360" w:lineRule="auto"/>
              <w:tabs>
                <w:tab w:val="left" w:pos="9765" w:leader="none"/>
              </w:tabs>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备注</w:t>
            </w:r>
            <w:r>
              <w:rPr>
                <w:rFonts w:hint="eastAsia" w:ascii="宋体" w:hAnsi="宋体" w:eastAsia="宋体" w:cs="宋体"/>
                <w:color w:val="000000"/>
                <w:sz w:val="24"/>
                <w:highlight w:val="none"/>
                <w:lang w:val="en-US" w:eastAsia="zh-CN"/>
              </w:rPr>
            </w:r>
            <w:r/>
          </w:p>
        </w:tc>
      </w:tr>
      <w:tr>
        <w:trPr/>
        <w:tc>
          <w:tcPr>
            <w:tcW w:w="362" w:type="dxa"/>
            <w:vAlign w:val="top"/>
            <w:textDirection w:val="lrTb"/>
            <w:noWrap w:val="false"/>
          </w:tcPr>
          <w:p>
            <w:pPr>
              <w:pStyle w:val="68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362" w:type="dxa"/>
            <w:vAlign w:val="top"/>
            <w:textDirection w:val="lrTb"/>
            <w:noWrap w:val="false"/>
          </w:tcPr>
          <w:p>
            <w:pPr>
              <w:pStyle w:val="68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362" w:type="dxa"/>
            <w:vAlign w:val="top"/>
            <w:textDirection w:val="lrTb"/>
            <w:noWrap w:val="false"/>
          </w:tcPr>
          <w:p>
            <w:pPr>
              <w:pStyle w:val="68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362" w:type="dxa"/>
            <w:vAlign w:val="top"/>
            <w:textDirection w:val="lrTb"/>
            <w:noWrap w:val="false"/>
          </w:tcPr>
          <w:p>
            <w:pPr>
              <w:pStyle w:val="68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88" w:type="dxa"/>
            <w:vAlign w:val="top"/>
            <w:textDirection w:val="lrTb"/>
            <w:noWrap w:val="false"/>
          </w:tcPr>
          <w:p>
            <w:pPr>
              <w:pStyle w:val="68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362" w:type="dxa"/>
            <w:vAlign w:val="top"/>
            <w:textDirection w:val="lrTb"/>
            <w:noWrap w:val="false"/>
          </w:tcPr>
          <w:p>
            <w:pPr>
              <w:pStyle w:val="68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362" w:type="dxa"/>
            <w:vAlign w:val="top"/>
            <w:textDirection w:val="lrTb"/>
            <w:noWrap w:val="false"/>
          </w:tcPr>
          <w:p>
            <w:pPr>
              <w:pStyle w:val="68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88" w:type="dxa"/>
            <w:vAlign w:val="top"/>
            <w:textDirection w:val="lrTb"/>
            <w:noWrap w:val="false"/>
          </w:tcPr>
          <w:p>
            <w:pPr>
              <w:pStyle w:val="68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487" w:type="dxa"/>
            <w:vAlign w:val="top"/>
            <w:textDirection w:val="lrTb"/>
            <w:noWrap w:val="false"/>
          </w:tcPr>
          <w:p>
            <w:pPr>
              <w:pStyle w:val="68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362" w:type="dxa"/>
            <w:vAlign w:val="top"/>
            <w:textDirection w:val="lrTb"/>
            <w:noWrap w:val="false"/>
          </w:tcPr>
          <w:p>
            <w:pPr>
              <w:pStyle w:val="680"/>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362" w:type="dxa"/>
            <w:vAlign w:val="top"/>
            <w:textDirection w:val="lrTb"/>
            <w:noWrap w:val="false"/>
          </w:tcPr>
          <w:p>
            <w:pPr>
              <w:pStyle w:val="68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362" w:type="dxa"/>
            <w:vAlign w:val="top"/>
            <w:textDirection w:val="lrTb"/>
            <w:noWrap w:val="false"/>
          </w:tcPr>
          <w:p>
            <w:pPr>
              <w:pStyle w:val="68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362" w:type="dxa"/>
            <w:vAlign w:val="top"/>
            <w:textDirection w:val="lrTb"/>
            <w:noWrap w:val="false"/>
          </w:tcPr>
          <w:p>
            <w:pPr>
              <w:pStyle w:val="68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362" w:type="dxa"/>
            <w:vAlign w:val="top"/>
            <w:textDirection w:val="lrTb"/>
            <w:noWrap w:val="false"/>
          </w:tcPr>
          <w:p>
            <w:pPr>
              <w:pStyle w:val="68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88" w:type="dxa"/>
            <w:vAlign w:val="top"/>
            <w:textDirection w:val="lrTb"/>
            <w:noWrap w:val="false"/>
          </w:tcPr>
          <w:p>
            <w:pPr>
              <w:pStyle w:val="68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362" w:type="dxa"/>
            <w:vAlign w:val="top"/>
            <w:textDirection w:val="lrTb"/>
            <w:noWrap w:val="false"/>
          </w:tcPr>
          <w:p>
            <w:pPr>
              <w:pStyle w:val="68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362" w:type="dxa"/>
            <w:vAlign w:val="top"/>
            <w:textDirection w:val="lrTb"/>
            <w:noWrap w:val="false"/>
          </w:tcPr>
          <w:p>
            <w:pPr>
              <w:pStyle w:val="68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88" w:type="dxa"/>
            <w:vAlign w:val="top"/>
            <w:textDirection w:val="lrTb"/>
            <w:noWrap w:val="false"/>
          </w:tcPr>
          <w:p>
            <w:pPr>
              <w:pStyle w:val="68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487" w:type="dxa"/>
            <w:vAlign w:val="top"/>
            <w:textDirection w:val="lrTb"/>
            <w:noWrap w:val="false"/>
          </w:tcPr>
          <w:p>
            <w:pPr>
              <w:pStyle w:val="68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362" w:type="dxa"/>
            <w:vAlign w:val="top"/>
            <w:textDirection w:val="lrTb"/>
            <w:noWrap w:val="false"/>
          </w:tcPr>
          <w:p>
            <w:pPr>
              <w:pStyle w:val="680"/>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362" w:type="dxa"/>
            <w:vAlign w:val="top"/>
            <w:textDirection w:val="lrTb"/>
            <w:noWrap w:val="false"/>
          </w:tcPr>
          <w:p>
            <w:pPr>
              <w:pStyle w:val="6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362" w:type="dxa"/>
            <w:vAlign w:val="top"/>
            <w:textDirection w:val="lrTb"/>
            <w:noWrap w:val="false"/>
          </w:tcPr>
          <w:p>
            <w:pPr>
              <w:pStyle w:val="6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362" w:type="dxa"/>
            <w:vAlign w:val="top"/>
            <w:textDirection w:val="lrTb"/>
            <w:noWrap w:val="false"/>
          </w:tcPr>
          <w:p>
            <w:pPr>
              <w:pStyle w:val="6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362" w:type="dxa"/>
            <w:vAlign w:val="top"/>
            <w:textDirection w:val="lrTb"/>
            <w:noWrap w:val="false"/>
          </w:tcPr>
          <w:p>
            <w:pPr>
              <w:pStyle w:val="6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88" w:type="dxa"/>
            <w:vAlign w:val="top"/>
            <w:textDirection w:val="lrTb"/>
            <w:noWrap w:val="false"/>
          </w:tcPr>
          <w:p>
            <w:pPr>
              <w:pStyle w:val="6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362" w:type="dxa"/>
            <w:vAlign w:val="top"/>
            <w:textDirection w:val="lrTb"/>
            <w:noWrap w:val="false"/>
          </w:tcPr>
          <w:p>
            <w:pPr>
              <w:pStyle w:val="6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362" w:type="dxa"/>
            <w:vAlign w:val="top"/>
            <w:textDirection w:val="lrTb"/>
            <w:noWrap w:val="false"/>
          </w:tcPr>
          <w:p>
            <w:pPr>
              <w:pStyle w:val="6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88" w:type="dxa"/>
            <w:vAlign w:val="top"/>
            <w:textDirection w:val="lrTb"/>
            <w:noWrap w:val="false"/>
          </w:tcPr>
          <w:p>
            <w:pPr>
              <w:pStyle w:val="6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487" w:type="dxa"/>
            <w:vAlign w:val="top"/>
            <w:textDirection w:val="lrTb"/>
            <w:noWrap w:val="false"/>
          </w:tcPr>
          <w:p>
            <w:pPr>
              <w:pStyle w:val="6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362" w:type="dxa"/>
            <w:vAlign w:val="top"/>
            <w:textDirection w:val="lrTb"/>
            <w:noWrap w:val="false"/>
          </w:tcPr>
          <w:p>
            <w:pPr>
              <w:pStyle w:val="6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362" w:type="dxa"/>
            <w:vAlign w:val="top"/>
            <w:textDirection w:val="lrTb"/>
            <w:noWrap w:val="false"/>
          </w:tcPr>
          <w:p>
            <w:pPr>
              <w:pStyle w:val="6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362" w:type="dxa"/>
            <w:vAlign w:val="top"/>
            <w:textDirection w:val="lrTb"/>
            <w:noWrap w:val="false"/>
          </w:tcPr>
          <w:p>
            <w:pPr>
              <w:pStyle w:val="6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362" w:type="dxa"/>
            <w:vAlign w:val="top"/>
            <w:textDirection w:val="lrTb"/>
            <w:noWrap w:val="false"/>
          </w:tcPr>
          <w:p>
            <w:pPr>
              <w:pStyle w:val="6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362" w:type="dxa"/>
            <w:vAlign w:val="top"/>
            <w:textDirection w:val="lrTb"/>
            <w:noWrap w:val="false"/>
          </w:tcPr>
          <w:p>
            <w:pPr>
              <w:pStyle w:val="6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88" w:type="dxa"/>
            <w:vAlign w:val="top"/>
            <w:textDirection w:val="lrTb"/>
            <w:noWrap w:val="false"/>
          </w:tcPr>
          <w:p>
            <w:pPr>
              <w:pStyle w:val="6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362" w:type="dxa"/>
            <w:vAlign w:val="top"/>
            <w:textDirection w:val="lrTb"/>
            <w:noWrap w:val="false"/>
          </w:tcPr>
          <w:p>
            <w:pPr>
              <w:pStyle w:val="6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362" w:type="dxa"/>
            <w:vAlign w:val="top"/>
            <w:textDirection w:val="lrTb"/>
            <w:noWrap w:val="false"/>
          </w:tcPr>
          <w:p>
            <w:pPr>
              <w:pStyle w:val="6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88" w:type="dxa"/>
            <w:vAlign w:val="top"/>
            <w:textDirection w:val="lrTb"/>
            <w:noWrap w:val="false"/>
          </w:tcPr>
          <w:p>
            <w:pPr>
              <w:pStyle w:val="6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487" w:type="dxa"/>
            <w:vAlign w:val="top"/>
            <w:textDirection w:val="lrTb"/>
            <w:noWrap w:val="false"/>
          </w:tcPr>
          <w:p>
            <w:pPr>
              <w:pStyle w:val="6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362" w:type="dxa"/>
            <w:vAlign w:val="top"/>
            <w:textDirection w:val="lrTb"/>
            <w:noWrap w:val="false"/>
          </w:tcPr>
          <w:p>
            <w:pPr>
              <w:pStyle w:val="6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362" w:type="dxa"/>
            <w:vAlign w:val="top"/>
            <w:textDirection w:val="lrTb"/>
            <w:noWrap w:val="false"/>
          </w:tcPr>
          <w:p>
            <w:pPr>
              <w:pStyle w:val="6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362" w:type="dxa"/>
            <w:vAlign w:val="top"/>
            <w:textDirection w:val="lrTb"/>
            <w:noWrap w:val="false"/>
          </w:tcPr>
          <w:p>
            <w:pPr>
              <w:pStyle w:val="6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362" w:type="dxa"/>
            <w:vAlign w:val="top"/>
            <w:textDirection w:val="lrTb"/>
            <w:noWrap w:val="false"/>
          </w:tcPr>
          <w:p>
            <w:pPr>
              <w:pStyle w:val="6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362" w:type="dxa"/>
            <w:vAlign w:val="top"/>
            <w:textDirection w:val="lrTb"/>
            <w:noWrap w:val="false"/>
          </w:tcPr>
          <w:p>
            <w:pPr>
              <w:pStyle w:val="6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88" w:type="dxa"/>
            <w:vAlign w:val="top"/>
            <w:textDirection w:val="lrTb"/>
            <w:noWrap w:val="false"/>
          </w:tcPr>
          <w:p>
            <w:pPr>
              <w:pStyle w:val="6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362" w:type="dxa"/>
            <w:vAlign w:val="top"/>
            <w:textDirection w:val="lrTb"/>
            <w:noWrap w:val="false"/>
          </w:tcPr>
          <w:p>
            <w:pPr>
              <w:pStyle w:val="6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362" w:type="dxa"/>
            <w:vAlign w:val="top"/>
            <w:textDirection w:val="lrTb"/>
            <w:noWrap w:val="false"/>
          </w:tcPr>
          <w:p>
            <w:pPr>
              <w:pStyle w:val="6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88" w:type="dxa"/>
            <w:vAlign w:val="top"/>
            <w:textDirection w:val="lrTb"/>
            <w:noWrap w:val="false"/>
          </w:tcPr>
          <w:p>
            <w:pPr>
              <w:pStyle w:val="6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487" w:type="dxa"/>
            <w:vAlign w:val="top"/>
            <w:textDirection w:val="lrTb"/>
            <w:noWrap w:val="false"/>
          </w:tcPr>
          <w:p>
            <w:pPr>
              <w:pStyle w:val="6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362" w:type="dxa"/>
            <w:vAlign w:val="top"/>
            <w:textDirection w:val="lrTb"/>
            <w:noWrap w:val="false"/>
          </w:tcPr>
          <w:p>
            <w:pPr>
              <w:pStyle w:val="6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362" w:type="dxa"/>
            <w:vAlign w:val="top"/>
            <w:textDirection w:val="lrTb"/>
            <w:noWrap w:val="false"/>
          </w:tcPr>
          <w:p>
            <w:pPr>
              <w:pStyle w:val="68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362" w:type="dxa"/>
            <w:vAlign w:val="top"/>
            <w:textDirection w:val="lrTb"/>
            <w:noWrap w:val="false"/>
          </w:tcPr>
          <w:p>
            <w:pPr>
              <w:pStyle w:val="68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362" w:type="dxa"/>
            <w:vAlign w:val="top"/>
            <w:textDirection w:val="lrTb"/>
            <w:noWrap w:val="false"/>
          </w:tcPr>
          <w:p>
            <w:pPr>
              <w:pStyle w:val="68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362" w:type="dxa"/>
            <w:vAlign w:val="top"/>
            <w:textDirection w:val="lrTb"/>
            <w:noWrap w:val="false"/>
          </w:tcPr>
          <w:p>
            <w:pPr>
              <w:pStyle w:val="68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88" w:type="dxa"/>
            <w:vAlign w:val="top"/>
            <w:textDirection w:val="lrTb"/>
            <w:noWrap w:val="false"/>
          </w:tcPr>
          <w:p>
            <w:pPr>
              <w:pStyle w:val="68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362" w:type="dxa"/>
            <w:vAlign w:val="top"/>
            <w:textDirection w:val="lrTb"/>
            <w:noWrap w:val="false"/>
          </w:tcPr>
          <w:p>
            <w:pPr>
              <w:pStyle w:val="68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362" w:type="dxa"/>
            <w:vAlign w:val="top"/>
            <w:textDirection w:val="lrTb"/>
            <w:noWrap w:val="false"/>
          </w:tcPr>
          <w:p>
            <w:pPr>
              <w:pStyle w:val="68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88" w:type="dxa"/>
            <w:vAlign w:val="top"/>
            <w:textDirection w:val="lrTb"/>
            <w:noWrap w:val="false"/>
          </w:tcPr>
          <w:p>
            <w:pPr>
              <w:pStyle w:val="68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487" w:type="dxa"/>
            <w:vAlign w:val="top"/>
            <w:textDirection w:val="lrTb"/>
            <w:noWrap w:val="false"/>
          </w:tcPr>
          <w:p>
            <w:pPr>
              <w:pStyle w:val="68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362" w:type="dxa"/>
            <w:vAlign w:val="top"/>
            <w:textDirection w:val="lrTb"/>
            <w:noWrap w:val="false"/>
          </w:tcPr>
          <w:p>
            <w:pPr>
              <w:pStyle w:val="680"/>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699"/>
        <w:ind w:left="0" w:firstLine="0"/>
        <w:jc w:val="both"/>
        <w:rPr>
          <w:rFonts w:hint="eastAsia" w:ascii="宋体" w:hAnsi="宋体" w:eastAsia="宋体" w:cs="宋体"/>
          <w:b/>
          <w:color w:val="000000"/>
          <w:sz w:val="24"/>
          <w:szCs w:val="24"/>
          <w:highlight w:val="none"/>
          <w:lang w:val="en-US" w:eastAsia="zh-CN"/>
        </w:rPr>
        <w:outlineLvl w:val="9"/>
      </w:pPr>
      <w:r>
        <w:rPr>
          <w:rFonts w:hint="eastAsia" w:ascii="宋体" w:hAnsi="宋体" w:eastAsia="宋体" w:cs="宋体"/>
          <w:b/>
          <w:color w:val="000000"/>
          <w:sz w:val="24"/>
          <w:szCs w:val="24"/>
          <w:highlight w:val="none"/>
          <w:lang w:val="en-US" w:eastAsia="zh-CN"/>
        </w:rPr>
      </w:r>
      <w:r/>
    </w:p>
    <w:p>
      <w:pPr>
        <w:pStyle w:val="699"/>
        <w:ind w:left="0" w:firstLine="0"/>
        <w:jc w:val="both"/>
        <w:rPr>
          <w:rFonts w:ascii="宋体" w:hAnsi="宋体" w:eastAsia="宋体" w:cs="宋体"/>
          <w:b/>
          <w:color w:val="000000"/>
          <w:sz w:val="24"/>
          <w:szCs w:val="24"/>
          <w:highlight w:val="none"/>
          <w:lang w:val="en-US" w:eastAsia="zh-CN"/>
        </w:rPr>
        <w:outlineLvl w:val="9"/>
      </w:pPr>
      <w:r>
        <w:rPr>
          <w:rFonts w:ascii="宋体" w:hAnsi="宋体" w:eastAsia="宋体" w:cs="宋体"/>
          <w:b/>
          <w:color w:val="000000"/>
          <w:sz w:val="24"/>
          <w:szCs w:val="24"/>
          <w:highlight w:val="none"/>
          <w:lang w:val="en-US" w:eastAsia="zh-CN"/>
        </w:rPr>
      </w:r>
      <w:r/>
    </w:p>
    <w:p>
      <w:pPr>
        <w:pStyle w:val="68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8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特别说明：</w:t>
      </w:r>
      <w:r>
        <w:rPr>
          <w:rFonts w:hint="eastAsia" w:ascii="宋体" w:hAnsi="宋体" w:eastAsia="宋体" w:cs="宋体"/>
          <w:b/>
          <w:bCs/>
          <w:color w:val="000000"/>
          <w:sz w:val="24"/>
          <w:szCs w:val="24"/>
          <w:highlight w:val="none"/>
        </w:rPr>
      </w:r>
      <w:r/>
    </w:p>
    <w:p>
      <w:pPr>
        <w:pStyle w:val="680"/>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本表为参考格式，供应商可根据实际情况自行调整。</w:t>
      </w:r>
      <w:r>
        <w:rPr>
          <w:rFonts w:ascii="宋体" w:hAnsi="宋体" w:eastAsia="宋体" w:cs="宋体"/>
          <w:color w:val="000000"/>
          <w:sz w:val="24"/>
          <w:szCs w:val="24"/>
          <w:highlight w:val="none"/>
          <w:lang w:val="en-US" w:eastAsia="zh-CN"/>
        </w:rPr>
      </w:r>
      <w:r/>
    </w:p>
    <w:p>
      <w:pPr>
        <w:pStyle w:val="680"/>
        <w:ind w:firstLine="480"/>
        <w:spacing w:line="360" w:lineRule="auto"/>
        <w:rPr>
          <w:rFonts w:hint="eastAsia"/>
          <w:color w:val="000000"/>
          <w:sz w:val="24"/>
          <w:szCs w:val="24"/>
          <w:highlight w:val="none"/>
        </w:rPr>
      </w:pPr>
      <w:r>
        <w:rPr>
          <w:rFonts w:hint="eastAsia"/>
          <w:color w:val="000000"/>
          <w:sz w:val="24"/>
          <w:szCs w:val="24"/>
          <w:highlight w:val="none"/>
        </w:rPr>
      </w:r>
      <w:r/>
    </w:p>
    <w:p>
      <w:pPr>
        <w:pStyle w:val="680"/>
        <w:ind w:firstLine="480"/>
        <w:spacing w:line="360" w:lineRule="auto"/>
        <w:rPr>
          <w:color w:val="000000"/>
          <w:sz w:val="24"/>
          <w:szCs w:val="24"/>
          <w:highlight w:val="none"/>
        </w:rPr>
      </w:pPr>
      <w:r>
        <w:rPr>
          <w:rFonts w:hint="eastAsia"/>
          <w:color w:val="000000"/>
          <w:sz w:val="24"/>
          <w:szCs w:val="24"/>
          <w:highlight w:val="none"/>
        </w:rPr>
        <w:t xml:space="preserve">供应商（加盖CA电子公章）：</w:t>
      </w:r>
      <w:r>
        <w:rPr>
          <w:color w:val="000000"/>
          <w:sz w:val="24"/>
          <w:szCs w:val="24"/>
          <w:highlight w:val="none"/>
        </w:rPr>
      </w:r>
      <w:r/>
    </w:p>
    <w:p>
      <w:pPr>
        <w:pStyle w:val="680"/>
        <w:ind w:firstLine="480"/>
        <w:spacing w:line="360" w:lineRule="auto"/>
        <w:rPr>
          <w:color w:val="000000"/>
          <w:sz w:val="24"/>
          <w:szCs w:val="24"/>
          <w:highlight w:val="none"/>
        </w:rPr>
      </w:pPr>
      <w:r>
        <w:rPr>
          <w:rFonts w:hint="eastAsia"/>
          <w:color w:val="000000"/>
          <w:sz w:val="24"/>
          <w:szCs w:val="24"/>
          <w:highlight w:val="none"/>
        </w:rPr>
        <w:t xml:space="preserve">法定代表人或委托代理人（签字或</w:t>
      </w:r>
      <w:r>
        <w:rPr>
          <w:rFonts w:hint="eastAsia"/>
          <w:color w:val="000000"/>
          <w:sz w:val="24"/>
          <w:szCs w:val="24"/>
          <w:highlight w:val="none"/>
          <w:lang w:val="en-US" w:eastAsia="zh-CN"/>
        </w:rPr>
        <w:t xml:space="preserve">签</w:t>
      </w:r>
      <w:r>
        <w:rPr>
          <w:rFonts w:hint="eastAsia"/>
          <w:color w:val="000000"/>
          <w:sz w:val="24"/>
          <w:szCs w:val="24"/>
          <w:highlight w:val="none"/>
        </w:rPr>
        <w:t xml:space="preserve">章）：</w:t>
      </w:r>
      <w:r>
        <w:rPr>
          <w:color w:val="000000"/>
          <w:sz w:val="24"/>
          <w:szCs w:val="24"/>
          <w:highlight w:val="none"/>
        </w:rPr>
      </w:r>
      <w:r/>
    </w:p>
    <w:p>
      <w:pPr>
        <w:pStyle w:val="680"/>
        <w:ind w:firstLine="480"/>
        <w:spacing w:line="500" w:lineRule="exact"/>
        <w:rPr>
          <w:color w:val="000000"/>
          <w:sz w:val="24"/>
          <w:szCs w:val="24"/>
          <w:highlight w:val="none"/>
        </w:rPr>
      </w:pPr>
      <w:r>
        <w:rPr>
          <w:rFonts w:hint="eastAsia"/>
          <w:color w:val="000000"/>
          <w:sz w:val="24"/>
          <w:szCs w:val="24"/>
          <w:highlight w:val="none"/>
        </w:rPr>
        <w:t xml:space="preserve">日期：    年     月     日</w:t>
      </w:r>
      <w:r>
        <w:rPr>
          <w:color w:val="000000"/>
          <w:sz w:val="24"/>
          <w:szCs w:val="24"/>
          <w:highlight w:val="none"/>
        </w:rPr>
      </w:r>
      <w:r/>
    </w:p>
    <w:p>
      <w:pPr>
        <w:pStyle w:val="680"/>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80"/>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80"/>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80"/>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80"/>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80"/>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80"/>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80"/>
        <w:numPr>
          <w:ilvl w:val="0"/>
          <w:numId w:val="0"/>
        </w:numPr>
        <w:jc w:val="center"/>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t xml:space="preserve">十七、业绩一览表</w:t>
      </w:r>
      <w:r>
        <w:rPr>
          <w:rFonts w:hint="eastAsia" w:ascii="黑体" w:hAnsi="宋体" w:eastAsia="黑体" w:cs="黑体"/>
          <w:b/>
          <w:color w:val="000000"/>
          <w:sz w:val="32"/>
          <w:szCs w:val="32"/>
          <w:highlight w:val="none"/>
          <w:lang w:val="en-US" w:eastAsia="zh-CN" w:bidi="ar-SA"/>
        </w:rPr>
      </w:r>
      <w:r/>
    </w:p>
    <w:p>
      <w:pPr>
        <w:pStyle w:val="699"/>
        <w:ind w:left="0" w:firstLine="0"/>
        <w:jc w:val="both"/>
        <w:rPr>
          <w:rFonts w:hint="eastAsia" w:ascii="宋体" w:hAnsi="宋体" w:eastAsia="宋体" w:cs="宋体"/>
          <w:b/>
          <w:color w:val="000000"/>
          <w:sz w:val="24"/>
          <w:szCs w:val="24"/>
          <w:highlight w:val="none"/>
          <w:lang w:val="en-US" w:eastAsia="zh-CN"/>
        </w:rPr>
        <w:outlineLvl w:val="9"/>
      </w:pPr>
      <w:r>
        <w:rPr>
          <w:rFonts w:hint="eastAsia" w:ascii="宋体" w:hAnsi="宋体" w:eastAsia="宋体" w:cs="宋体"/>
          <w:b/>
          <w:color w:val="000000"/>
          <w:sz w:val="24"/>
          <w:szCs w:val="24"/>
          <w:highlight w:val="none"/>
          <w:lang w:val="en-US" w:eastAsia="zh-CN"/>
        </w:rPr>
        <w:t xml:space="preserve">项目名称：东沙岛浮标监测系统设备及安装（二次）</w:t>
      </w:r>
      <w:r>
        <w:rPr>
          <w:rFonts w:hint="eastAsia" w:ascii="宋体" w:hAnsi="宋体" w:eastAsia="宋体" w:cs="宋体"/>
          <w:b/>
          <w:color w:val="000000"/>
          <w:sz w:val="24"/>
          <w:szCs w:val="24"/>
          <w:highlight w:val="none"/>
          <w:lang w:val="en-US" w:eastAsia="zh-CN"/>
        </w:rPr>
      </w:r>
      <w:r/>
    </w:p>
    <w:p>
      <w:pPr>
        <w:pStyle w:val="699"/>
        <w:ind w:left="0" w:firstLine="0"/>
        <w:jc w:val="both"/>
        <w:rPr>
          <w:rFonts w:ascii="宋体" w:hAnsi="宋体" w:eastAsia="宋体" w:cs="宋体"/>
          <w:b/>
          <w:color w:val="000000"/>
          <w:sz w:val="24"/>
          <w:szCs w:val="24"/>
          <w:highlight w:val="none"/>
          <w:lang w:val="en-US" w:eastAsia="zh-CN"/>
        </w:rPr>
        <w:outlineLvl w:val="9"/>
      </w:pPr>
      <w:r>
        <w:rPr>
          <w:rFonts w:hint="eastAsia" w:ascii="宋体" w:hAnsi="宋体" w:eastAsia="宋体" w:cs="宋体"/>
          <w:b/>
          <w:color w:val="000000"/>
          <w:sz w:val="24"/>
          <w:szCs w:val="24"/>
          <w:highlight w:val="none"/>
          <w:lang w:val="en-US" w:eastAsia="zh-CN"/>
        </w:rPr>
        <w:t xml:space="preserve">项目编号：JSZC-320000-JDHC-G2026-0006</w:t>
      </w:r>
      <w:r>
        <w:rPr>
          <w:rFonts w:ascii="宋体" w:hAnsi="宋体" w:eastAsia="宋体" w:cs="宋体"/>
          <w:b/>
          <w:color w:val="000000"/>
          <w:sz w:val="24"/>
          <w:szCs w:val="24"/>
          <w:highlight w:val="none"/>
          <w:lang w:val="en-US" w:eastAsia="zh-CN"/>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2692"/>
        <w:gridCol w:w="1853"/>
        <w:gridCol w:w="1988"/>
        <w:gridCol w:w="1311"/>
      </w:tblGrid>
      <w:tr>
        <w:trPr>
          <w:cantSplit/>
          <w:trHeight w:val="752"/>
        </w:trPr>
        <w:tc>
          <w:tcPr>
            <w:tcW w:w="396" w:type="dxa"/>
            <w:vAlign w:val="center"/>
            <w:textDirection w:val="lrTb"/>
            <w:noWrap w:val="false"/>
          </w:tcPr>
          <w:p>
            <w:pPr>
              <w:pStyle w:val="680"/>
              <w:jc w:val="center"/>
              <w:rPr>
                <w:rFonts w:ascii="宋体" w:hAnsi="宋体"/>
                <w:color w:val="000000"/>
                <w:sz w:val="24"/>
                <w:szCs w:val="24"/>
                <w:highlight w:val="none"/>
              </w:rPr>
            </w:pPr>
            <w:r>
              <w:rPr>
                <w:rFonts w:ascii="宋体" w:hAnsi="宋体"/>
                <w:color w:val="000000"/>
                <w:sz w:val="24"/>
                <w:szCs w:val="24"/>
                <w:highlight w:val="none"/>
              </w:rPr>
              <w:t xml:space="preserve">序号</w:t>
            </w:r>
            <w:r>
              <w:rPr>
                <w:rFonts w:ascii="宋体" w:hAnsi="宋体"/>
                <w:color w:val="000000"/>
                <w:sz w:val="24"/>
                <w:szCs w:val="24"/>
                <w:highlight w:val="none"/>
              </w:rPr>
            </w:r>
            <w:r/>
          </w:p>
        </w:tc>
        <w:tc>
          <w:tcPr>
            <w:tcW w:w="1579" w:type="dxa"/>
            <w:vAlign w:val="center"/>
            <w:textDirection w:val="lrTb"/>
            <w:noWrap w:val="false"/>
          </w:tcPr>
          <w:p>
            <w:pPr>
              <w:pStyle w:val="680"/>
              <w:jc w:val="center"/>
              <w:rPr>
                <w:rFonts w:ascii="宋体" w:hAnsi="宋体"/>
                <w:color w:val="000000"/>
                <w:sz w:val="24"/>
                <w:szCs w:val="24"/>
                <w:highlight w:val="none"/>
              </w:rPr>
            </w:pPr>
            <w:r>
              <w:rPr>
                <w:rFonts w:ascii="宋体" w:hAnsi="宋体"/>
                <w:color w:val="000000"/>
                <w:sz w:val="24"/>
                <w:szCs w:val="24"/>
                <w:highlight w:val="none"/>
              </w:rPr>
              <w:t xml:space="preserve">项目名称</w:t>
            </w:r>
            <w:r>
              <w:rPr>
                <w:rFonts w:ascii="宋体" w:hAnsi="宋体"/>
                <w:color w:val="000000"/>
                <w:sz w:val="24"/>
                <w:szCs w:val="24"/>
                <w:highlight w:val="none"/>
              </w:rPr>
            </w:r>
            <w:r/>
          </w:p>
        </w:tc>
        <w:tc>
          <w:tcPr>
            <w:tcW w:w="1087" w:type="dxa"/>
            <w:vAlign w:val="center"/>
            <w:textDirection w:val="lrTb"/>
            <w:noWrap w:val="false"/>
          </w:tcPr>
          <w:p>
            <w:pPr>
              <w:pStyle w:val="680"/>
              <w:jc w:val="center"/>
              <w:rPr>
                <w:rFonts w:ascii="宋体" w:hAnsi="宋体"/>
                <w:color w:val="000000"/>
                <w:sz w:val="24"/>
                <w:szCs w:val="24"/>
                <w:highlight w:val="none"/>
              </w:rPr>
            </w:pPr>
            <w:r>
              <w:rPr>
                <w:rFonts w:ascii="宋体" w:hAnsi="宋体"/>
                <w:color w:val="000000"/>
                <w:sz w:val="24"/>
                <w:szCs w:val="24"/>
                <w:highlight w:val="none"/>
              </w:rPr>
              <w:t xml:space="preserve">签订时间</w:t>
            </w:r>
            <w:r>
              <w:rPr>
                <w:rFonts w:ascii="宋体" w:hAnsi="宋体"/>
                <w:color w:val="000000"/>
                <w:sz w:val="24"/>
                <w:szCs w:val="24"/>
                <w:highlight w:val="none"/>
              </w:rPr>
            </w:r>
            <w:r/>
          </w:p>
        </w:tc>
        <w:tc>
          <w:tcPr>
            <w:tcW w:w="1166" w:type="dxa"/>
            <w:vAlign w:val="center"/>
            <w:textDirection w:val="lrTb"/>
            <w:noWrap w:val="false"/>
          </w:tcPr>
          <w:p>
            <w:pPr>
              <w:pStyle w:val="680"/>
              <w:jc w:val="center"/>
              <w:rPr>
                <w:rFonts w:ascii="宋体" w:hAnsi="宋体"/>
                <w:color w:val="000000"/>
                <w:sz w:val="24"/>
                <w:szCs w:val="24"/>
                <w:highlight w:val="none"/>
              </w:rPr>
            </w:pPr>
            <w:r>
              <w:rPr>
                <w:rFonts w:ascii="宋体" w:hAnsi="宋体"/>
                <w:color w:val="000000"/>
                <w:sz w:val="24"/>
                <w:szCs w:val="24"/>
                <w:highlight w:val="none"/>
              </w:rPr>
              <w:t xml:space="preserve">采购单位</w:t>
            </w:r>
            <w:r>
              <w:rPr>
                <w:rFonts w:ascii="宋体" w:hAnsi="宋体"/>
                <w:color w:val="000000"/>
                <w:sz w:val="24"/>
                <w:szCs w:val="24"/>
                <w:highlight w:val="none"/>
              </w:rPr>
            </w:r>
            <w:r/>
          </w:p>
        </w:tc>
        <w:tc>
          <w:tcPr>
            <w:tcW w:w="769" w:type="dxa"/>
            <w:vAlign w:val="center"/>
            <w:textDirection w:val="lrTb"/>
            <w:noWrap w:val="false"/>
          </w:tcPr>
          <w:p>
            <w:pPr>
              <w:pStyle w:val="680"/>
              <w:jc w:val="center"/>
              <w:rPr>
                <w:rFonts w:ascii="宋体" w:hAnsi="宋体"/>
                <w:color w:val="000000"/>
                <w:sz w:val="24"/>
                <w:szCs w:val="24"/>
                <w:highlight w:val="none"/>
              </w:rPr>
            </w:pPr>
            <w:r>
              <w:rPr>
                <w:rFonts w:ascii="宋体" w:hAnsi="宋体"/>
                <w:color w:val="000000"/>
                <w:sz w:val="24"/>
                <w:szCs w:val="24"/>
                <w:highlight w:val="none"/>
              </w:rPr>
              <w:t xml:space="preserve">主要标的</w:t>
            </w:r>
            <w:r>
              <w:rPr>
                <w:rFonts w:ascii="宋体" w:hAnsi="宋体"/>
                <w:color w:val="000000"/>
                <w:sz w:val="24"/>
                <w:szCs w:val="24"/>
                <w:highlight w:val="none"/>
              </w:rPr>
            </w:r>
            <w:r/>
          </w:p>
        </w:tc>
      </w:tr>
      <w:tr>
        <w:trPr>
          <w:cantSplit/>
          <w:trHeight w:val="640"/>
        </w:trPr>
        <w:tc>
          <w:tcPr>
            <w:tcW w:w="396" w:type="dxa"/>
            <w:vAlign w:val="center"/>
            <w:textDirection w:val="lrTb"/>
            <w:noWrap w:val="false"/>
          </w:tcPr>
          <w:p>
            <w:pPr>
              <w:pStyle w:val="680"/>
              <w:jc w:val="center"/>
              <w:rPr>
                <w:rFonts w:ascii="宋体" w:hAnsi="宋体"/>
                <w:color w:val="000000"/>
                <w:sz w:val="24"/>
                <w:szCs w:val="24"/>
                <w:highlight w:val="none"/>
              </w:rPr>
            </w:pPr>
            <w:r>
              <w:rPr>
                <w:rFonts w:ascii="宋体" w:hAnsi="宋体"/>
                <w:color w:val="000000"/>
                <w:sz w:val="24"/>
                <w:szCs w:val="24"/>
                <w:highlight w:val="none"/>
              </w:rPr>
            </w:r>
            <w:r/>
          </w:p>
        </w:tc>
        <w:tc>
          <w:tcPr>
            <w:tcW w:w="1579" w:type="dxa"/>
            <w:vAlign w:val="center"/>
            <w:textDirection w:val="lrTb"/>
            <w:noWrap w:val="false"/>
          </w:tcPr>
          <w:p>
            <w:pPr>
              <w:pStyle w:val="680"/>
              <w:jc w:val="center"/>
              <w:rPr>
                <w:rFonts w:ascii="宋体" w:hAnsi="宋体"/>
                <w:color w:val="000000"/>
                <w:sz w:val="24"/>
                <w:szCs w:val="24"/>
                <w:highlight w:val="none"/>
              </w:rPr>
            </w:pPr>
            <w:r>
              <w:rPr>
                <w:rFonts w:ascii="宋体" w:hAnsi="宋体"/>
                <w:color w:val="000000"/>
                <w:sz w:val="24"/>
                <w:szCs w:val="24"/>
                <w:highlight w:val="none"/>
              </w:rPr>
            </w:r>
            <w:r/>
          </w:p>
        </w:tc>
        <w:tc>
          <w:tcPr>
            <w:tcW w:w="1087" w:type="dxa"/>
            <w:vAlign w:val="top"/>
            <w:textDirection w:val="lrTb"/>
            <w:noWrap w:val="false"/>
          </w:tcPr>
          <w:p>
            <w:pPr>
              <w:pStyle w:val="680"/>
              <w:jc w:val="center"/>
              <w:rPr>
                <w:rFonts w:ascii="宋体" w:hAnsi="宋体"/>
                <w:color w:val="000000"/>
                <w:sz w:val="24"/>
                <w:szCs w:val="24"/>
                <w:highlight w:val="none"/>
              </w:rPr>
            </w:pPr>
            <w:r>
              <w:rPr>
                <w:rFonts w:ascii="宋体" w:hAnsi="宋体"/>
                <w:color w:val="000000"/>
                <w:sz w:val="24"/>
                <w:szCs w:val="24"/>
                <w:highlight w:val="none"/>
              </w:rPr>
            </w:r>
            <w:r/>
          </w:p>
        </w:tc>
        <w:tc>
          <w:tcPr>
            <w:tcW w:w="1166" w:type="dxa"/>
            <w:vAlign w:val="center"/>
            <w:textDirection w:val="lrTb"/>
            <w:noWrap w:val="false"/>
          </w:tcPr>
          <w:p>
            <w:pPr>
              <w:pStyle w:val="680"/>
              <w:jc w:val="center"/>
              <w:rPr>
                <w:rFonts w:ascii="宋体" w:hAnsi="宋体"/>
                <w:color w:val="000000"/>
                <w:sz w:val="24"/>
                <w:szCs w:val="24"/>
                <w:highlight w:val="none"/>
              </w:rPr>
            </w:pPr>
            <w:r>
              <w:rPr>
                <w:rFonts w:ascii="宋体" w:hAnsi="宋体"/>
                <w:color w:val="000000"/>
                <w:sz w:val="24"/>
                <w:szCs w:val="24"/>
                <w:highlight w:val="none"/>
              </w:rPr>
            </w:r>
            <w:r/>
          </w:p>
        </w:tc>
        <w:tc>
          <w:tcPr>
            <w:tcW w:w="769" w:type="dxa"/>
            <w:vAlign w:val="center"/>
            <w:textDirection w:val="lrTb"/>
            <w:noWrap w:val="false"/>
          </w:tcPr>
          <w:p>
            <w:pPr>
              <w:pStyle w:val="680"/>
              <w:jc w:val="center"/>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396" w:type="dxa"/>
            <w:vAlign w:val="center"/>
            <w:textDirection w:val="lrTb"/>
            <w:noWrap w:val="false"/>
          </w:tcPr>
          <w:p>
            <w:pPr>
              <w:pStyle w:val="680"/>
              <w:jc w:val="center"/>
              <w:rPr>
                <w:rFonts w:ascii="宋体" w:hAnsi="宋体"/>
                <w:color w:val="000000"/>
                <w:sz w:val="24"/>
                <w:szCs w:val="24"/>
                <w:highlight w:val="none"/>
              </w:rPr>
            </w:pPr>
            <w:r>
              <w:rPr>
                <w:rFonts w:ascii="宋体" w:hAnsi="宋体"/>
                <w:color w:val="000000"/>
                <w:sz w:val="24"/>
                <w:szCs w:val="24"/>
                <w:highlight w:val="none"/>
              </w:rPr>
            </w:r>
            <w:r/>
          </w:p>
        </w:tc>
        <w:tc>
          <w:tcPr>
            <w:tcW w:w="1579" w:type="dxa"/>
            <w:vAlign w:val="center"/>
            <w:textDirection w:val="lrTb"/>
            <w:noWrap w:val="false"/>
          </w:tcPr>
          <w:p>
            <w:pPr>
              <w:pStyle w:val="680"/>
              <w:jc w:val="center"/>
              <w:rPr>
                <w:rFonts w:ascii="宋体" w:hAnsi="宋体"/>
                <w:color w:val="000000"/>
                <w:sz w:val="24"/>
                <w:szCs w:val="24"/>
                <w:highlight w:val="none"/>
              </w:rPr>
            </w:pPr>
            <w:r>
              <w:rPr>
                <w:rFonts w:ascii="宋体" w:hAnsi="宋体"/>
                <w:color w:val="000000"/>
                <w:sz w:val="24"/>
                <w:szCs w:val="24"/>
                <w:highlight w:val="none"/>
              </w:rPr>
            </w:r>
            <w:r/>
          </w:p>
        </w:tc>
        <w:tc>
          <w:tcPr>
            <w:tcW w:w="1087" w:type="dxa"/>
            <w:vAlign w:val="top"/>
            <w:textDirection w:val="lrTb"/>
            <w:noWrap w:val="false"/>
          </w:tcPr>
          <w:p>
            <w:pPr>
              <w:pStyle w:val="680"/>
              <w:jc w:val="center"/>
              <w:rPr>
                <w:rFonts w:ascii="宋体" w:hAnsi="宋体"/>
                <w:color w:val="000000"/>
                <w:sz w:val="24"/>
                <w:szCs w:val="24"/>
                <w:highlight w:val="none"/>
              </w:rPr>
            </w:pPr>
            <w:r>
              <w:rPr>
                <w:rFonts w:ascii="宋体" w:hAnsi="宋体"/>
                <w:color w:val="000000"/>
                <w:sz w:val="24"/>
                <w:szCs w:val="24"/>
                <w:highlight w:val="none"/>
              </w:rPr>
            </w:r>
            <w:r/>
          </w:p>
        </w:tc>
        <w:tc>
          <w:tcPr>
            <w:tcW w:w="1166" w:type="dxa"/>
            <w:vAlign w:val="center"/>
            <w:textDirection w:val="lrTb"/>
            <w:noWrap w:val="false"/>
          </w:tcPr>
          <w:p>
            <w:pPr>
              <w:pStyle w:val="680"/>
              <w:jc w:val="center"/>
              <w:rPr>
                <w:rFonts w:ascii="宋体" w:hAnsi="宋体"/>
                <w:color w:val="000000"/>
                <w:sz w:val="24"/>
                <w:szCs w:val="24"/>
                <w:highlight w:val="none"/>
              </w:rPr>
            </w:pPr>
            <w:r>
              <w:rPr>
                <w:rFonts w:ascii="宋体" w:hAnsi="宋体"/>
                <w:color w:val="000000"/>
                <w:sz w:val="24"/>
                <w:szCs w:val="24"/>
                <w:highlight w:val="none"/>
              </w:rPr>
            </w:r>
            <w:r/>
          </w:p>
        </w:tc>
        <w:tc>
          <w:tcPr>
            <w:tcW w:w="769" w:type="dxa"/>
            <w:vAlign w:val="center"/>
            <w:textDirection w:val="lrTb"/>
            <w:noWrap w:val="false"/>
          </w:tcPr>
          <w:p>
            <w:pPr>
              <w:pStyle w:val="680"/>
              <w:jc w:val="center"/>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396" w:type="dxa"/>
            <w:vAlign w:val="center"/>
            <w:textDirection w:val="lrTb"/>
            <w:noWrap w:val="false"/>
          </w:tcPr>
          <w:p>
            <w:pPr>
              <w:pStyle w:val="680"/>
              <w:jc w:val="center"/>
              <w:rPr>
                <w:rFonts w:ascii="宋体" w:hAnsi="宋体"/>
                <w:color w:val="000000"/>
                <w:sz w:val="24"/>
                <w:szCs w:val="24"/>
                <w:highlight w:val="none"/>
              </w:rPr>
            </w:pPr>
            <w:r>
              <w:rPr>
                <w:rFonts w:ascii="宋体" w:hAnsi="宋体"/>
                <w:color w:val="000000"/>
                <w:sz w:val="24"/>
                <w:szCs w:val="24"/>
                <w:highlight w:val="none"/>
              </w:rPr>
            </w:r>
            <w:r/>
          </w:p>
        </w:tc>
        <w:tc>
          <w:tcPr>
            <w:tcW w:w="1579" w:type="dxa"/>
            <w:vAlign w:val="center"/>
            <w:textDirection w:val="lrTb"/>
            <w:noWrap w:val="false"/>
          </w:tcPr>
          <w:p>
            <w:pPr>
              <w:pStyle w:val="680"/>
              <w:jc w:val="center"/>
              <w:rPr>
                <w:rFonts w:ascii="宋体" w:hAnsi="宋体"/>
                <w:color w:val="000000"/>
                <w:sz w:val="24"/>
                <w:szCs w:val="24"/>
                <w:highlight w:val="none"/>
              </w:rPr>
            </w:pPr>
            <w:r>
              <w:rPr>
                <w:rFonts w:ascii="宋体" w:hAnsi="宋体"/>
                <w:color w:val="000000"/>
                <w:sz w:val="24"/>
                <w:szCs w:val="24"/>
                <w:highlight w:val="none"/>
              </w:rPr>
            </w:r>
            <w:r/>
          </w:p>
        </w:tc>
        <w:tc>
          <w:tcPr>
            <w:tcW w:w="1087" w:type="dxa"/>
            <w:vAlign w:val="top"/>
            <w:textDirection w:val="lrTb"/>
            <w:noWrap w:val="false"/>
          </w:tcPr>
          <w:p>
            <w:pPr>
              <w:pStyle w:val="680"/>
              <w:jc w:val="center"/>
              <w:rPr>
                <w:rFonts w:ascii="宋体" w:hAnsi="宋体"/>
                <w:color w:val="000000"/>
                <w:sz w:val="24"/>
                <w:szCs w:val="24"/>
                <w:highlight w:val="none"/>
              </w:rPr>
            </w:pPr>
            <w:r>
              <w:rPr>
                <w:rFonts w:ascii="宋体" w:hAnsi="宋体"/>
                <w:color w:val="000000"/>
                <w:sz w:val="24"/>
                <w:szCs w:val="24"/>
                <w:highlight w:val="none"/>
              </w:rPr>
            </w:r>
            <w:r/>
          </w:p>
        </w:tc>
        <w:tc>
          <w:tcPr>
            <w:tcW w:w="1166" w:type="dxa"/>
            <w:vAlign w:val="center"/>
            <w:textDirection w:val="lrTb"/>
            <w:noWrap w:val="false"/>
          </w:tcPr>
          <w:p>
            <w:pPr>
              <w:pStyle w:val="680"/>
              <w:jc w:val="center"/>
              <w:rPr>
                <w:rFonts w:ascii="宋体" w:hAnsi="宋体"/>
                <w:color w:val="000000"/>
                <w:sz w:val="24"/>
                <w:szCs w:val="24"/>
                <w:highlight w:val="none"/>
              </w:rPr>
            </w:pPr>
            <w:r>
              <w:rPr>
                <w:rFonts w:ascii="宋体" w:hAnsi="宋体"/>
                <w:color w:val="000000"/>
                <w:sz w:val="24"/>
                <w:szCs w:val="24"/>
                <w:highlight w:val="none"/>
              </w:rPr>
            </w:r>
            <w:r/>
          </w:p>
        </w:tc>
        <w:tc>
          <w:tcPr>
            <w:tcW w:w="769" w:type="dxa"/>
            <w:vAlign w:val="center"/>
            <w:textDirection w:val="lrTb"/>
            <w:noWrap w:val="false"/>
          </w:tcPr>
          <w:p>
            <w:pPr>
              <w:pStyle w:val="680"/>
              <w:jc w:val="center"/>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396" w:type="dxa"/>
            <w:vAlign w:val="center"/>
            <w:textDirection w:val="lrTb"/>
            <w:noWrap w:val="false"/>
          </w:tcPr>
          <w:p>
            <w:pPr>
              <w:pStyle w:val="680"/>
              <w:jc w:val="center"/>
              <w:rPr>
                <w:rFonts w:ascii="宋体" w:hAnsi="宋体"/>
                <w:color w:val="000000"/>
                <w:sz w:val="24"/>
                <w:szCs w:val="24"/>
                <w:highlight w:val="none"/>
              </w:rPr>
            </w:pPr>
            <w:r>
              <w:rPr>
                <w:rFonts w:ascii="宋体" w:hAnsi="宋体"/>
                <w:color w:val="000000"/>
                <w:sz w:val="24"/>
                <w:szCs w:val="24"/>
                <w:highlight w:val="none"/>
              </w:rPr>
            </w:r>
            <w:r/>
          </w:p>
        </w:tc>
        <w:tc>
          <w:tcPr>
            <w:tcW w:w="1579" w:type="dxa"/>
            <w:vAlign w:val="center"/>
            <w:textDirection w:val="lrTb"/>
            <w:noWrap w:val="false"/>
          </w:tcPr>
          <w:p>
            <w:pPr>
              <w:pStyle w:val="680"/>
              <w:jc w:val="center"/>
              <w:rPr>
                <w:rFonts w:ascii="宋体" w:hAnsi="宋体"/>
                <w:color w:val="000000"/>
                <w:sz w:val="24"/>
                <w:szCs w:val="24"/>
                <w:highlight w:val="none"/>
              </w:rPr>
            </w:pPr>
            <w:r>
              <w:rPr>
                <w:rFonts w:ascii="宋体" w:hAnsi="宋体"/>
                <w:color w:val="000000"/>
                <w:sz w:val="24"/>
                <w:szCs w:val="24"/>
                <w:highlight w:val="none"/>
              </w:rPr>
            </w:r>
            <w:r/>
          </w:p>
        </w:tc>
        <w:tc>
          <w:tcPr>
            <w:tcW w:w="1087" w:type="dxa"/>
            <w:vAlign w:val="top"/>
            <w:textDirection w:val="lrTb"/>
            <w:noWrap w:val="false"/>
          </w:tcPr>
          <w:p>
            <w:pPr>
              <w:pStyle w:val="680"/>
              <w:jc w:val="center"/>
              <w:rPr>
                <w:rFonts w:ascii="宋体" w:hAnsi="宋体"/>
                <w:color w:val="000000"/>
                <w:sz w:val="24"/>
                <w:szCs w:val="24"/>
                <w:highlight w:val="none"/>
              </w:rPr>
            </w:pPr>
            <w:r>
              <w:rPr>
                <w:rFonts w:ascii="宋体" w:hAnsi="宋体"/>
                <w:color w:val="000000"/>
                <w:sz w:val="24"/>
                <w:szCs w:val="24"/>
                <w:highlight w:val="none"/>
              </w:rPr>
            </w:r>
            <w:r/>
          </w:p>
        </w:tc>
        <w:tc>
          <w:tcPr>
            <w:tcW w:w="1166" w:type="dxa"/>
            <w:vAlign w:val="center"/>
            <w:textDirection w:val="lrTb"/>
            <w:noWrap w:val="false"/>
          </w:tcPr>
          <w:p>
            <w:pPr>
              <w:pStyle w:val="680"/>
              <w:jc w:val="center"/>
              <w:rPr>
                <w:rFonts w:ascii="宋体" w:hAnsi="宋体"/>
                <w:color w:val="000000"/>
                <w:sz w:val="24"/>
                <w:szCs w:val="24"/>
                <w:highlight w:val="none"/>
              </w:rPr>
            </w:pPr>
            <w:r>
              <w:rPr>
                <w:rFonts w:ascii="宋体" w:hAnsi="宋体"/>
                <w:color w:val="000000"/>
                <w:sz w:val="24"/>
                <w:szCs w:val="24"/>
                <w:highlight w:val="none"/>
              </w:rPr>
            </w:r>
            <w:r/>
          </w:p>
        </w:tc>
        <w:tc>
          <w:tcPr>
            <w:tcW w:w="769" w:type="dxa"/>
            <w:vAlign w:val="center"/>
            <w:textDirection w:val="lrTb"/>
            <w:noWrap w:val="false"/>
          </w:tcPr>
          <w:p>
            <w:pPr>
              <w:pStyle w:val="680"/>
              <w:jc w:val="center"/>
              <w:rPr>
                <w:rFonts w:ascii="宋体" w:hAnsi="宋体"/>
                <w:color w:val="000000"/>
                <w:sz w:val="24"/>
                <w:szCs w:val="24"/>
                <w:highlight w:val="none"/>
              </w:rPr>
            </w:pPr>
            <w:r>
              <w:rPr>
                <w:rFonts w:ascii="宋体" w:hAnsi="宋体"/>
                <w:color w:val="000000"/>
                <w:sz w:val="24"/>
                <w:szCs w:val="24"/>
                <w:highlight w:val="none"/>
              </w:rPr>
            </w:r>
            <w:r/>
          </w:p>
        </w:tc>
      </w:tr>
    </w:tbl>
    <w:p>
      <w:pPr>
        <w:pStyle w:val="680"/>
        <w:ind w:firstLine="480"/>
        <w:spacing w:line="360" w:lineRule="auto"/>
        <w:rPr>
          <w:rFonts w:hint="eastAsia"/>
          <w:color w:val="000000"/>
          <w:sz w:val="24"/>
          <w:szCs w:val="24"/>
          <w:highlight w:val="none"/>
        </w:rPr>
      </w:pPr>
      <w:r>
        <w:rPr>
          <w:rFonts w:hint="eastAsia"/>
          <w:color w:val="000000"/>
          <w:sz w:val="24"/>
          <w:szCs w:val="24"/>
          <w:highlight w:val="none"/>
        </w:rPr>
      </w:r>
      <w:r/>
    </w:p>
    <w:p>
      <w:pPr>
        <w:pStyle w:val="68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特别说明：</w:t>
      </w:r>
      <w:r>
        <w:rPr>
          <w:rFonts w:hint="eastAsia" w:ascii="宋体" w:hAnsi="宋体" w:eastAsia="宋体" w:cs="宋体"/>
          <w:b/>
          <w:bCs/>
          <w:color w:val="000000"/>
          <w:sz w:val="24"/>
          <w:szCs w:val="24"/>
          <w:highlight w:val="none"/>
        </w:rPr>
      </w:r>
      <w:r/>
    </w:p>
    <w:p>
      <w:pPr>
        <w:pStyle w:val="680"/>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本表为参考格式，供应商可根据实际情况自行调整。</w:t>
      </w:r>
      <w:r>
        <w:rPr>
          <w:rFonts w:ascii="宋体" w:hAnsi="宋体" w:eastAsia="宋体" w:cs="宋体"/>
          <w:color w:val="000000"/>
          <w:sz w:val="24"/>
          <w:szCs w:val="24"/>
          <w:highlight w:val="none"/>
          <w:lang w:val="en-US" w:eastAsia="zh-CN"/>
        </w:rPr>
      </w:r>
      <w:r/>
    </w:p>
    <w:p>
      <w:pPr>
        <w:pStyle w:val="680"/>
        <w:ind w:firstLine="480"/>
        <w:spacing w:line="360" w:lineRule="auto"/>
        <w:rPr>
          <w:rFonts w:hint="eastAsia"/>
          <w:color w:val="000000"/>
          <w:sz w:val="24"/>
          <w:szCs w:val="24"/>
          <w:highlight w:val="none"/>
        </w:rPr>
      </w:pPr>
      <w:r>
        <w:rPr>
          <w:rFonts w:hint="eastAsia"/>
          <w:color w:val="000000"/>
          <w:sz w:val="24"/>
          <w:szCs w:val="24"/>
          <w:highlight w:val="none"/>
        </w:rPr>
      </w:r>
      <w:r/>
    </w:p>
    <w:p>
      <w:pPr>
        <w:pStyle w:val="680"/>
        <w:ind w:firstLine="480"/>
        <w:spacing w:line="360" w:lineRule="auto"/>
        <w:rPr>
          <w:color w:val="000000"/>
          <w:sz w:val="24"/>
          <w:szCs w:val="24"/>
          <w:highlight w:val="none"/>
        </w:rPr>
      </w:pPr>
      <w:r>
        <w:rPr>
          <w:rFonts w:hint="eastAsia"/>
          <w:color w:val="000000"/>
          <w:sz w:val="24"/>
          <w:szCs w:val="24"/>
          <w:highlight w:val="none"/>
        </w:rPr>
        <w:t xml:space="preserve">供应商（加盖CA电子公章）：</w:t>
      </w:r>
      <w:r>
        <w:rPr>
          <w:color w:val="000000"/>
          <w:sz w:val="24"/>
          <w:szCs w:val="24"/>
          <w:highlight w:val="none"/>
        </w:rPr>
      </w:r>
      <w:r/>
    </w:p>
    <w:p>
      <w:pPr>
        <w:pStyle w:val="680"/>
        <w:ind w:firstLine="480"/>
        <w:spacing w:line="360" w:lineRule="auto"/>
        <w:rPr>
          <w:color w:val="000000"/>
          <w:sz w:val="24"/>
          <w:szCs w:val="24"/>
          <w:highlight w:val="none"/>
        </w:rPr>
      </w:pPr>
      <w:r>
        <w:rPr>
          <w:rFonts w:hint="eastAsia"/>
          <w:color w:val="000000"/>
          <w:sz w:val="24"/>
          <w:szCs w:val="24"/>
          <w:highlight w:val="none"/>
        </w:rPr>
        <w:t xml:space="preserve">法定代表人或委托代理人（签字或</w:t>
      </w:r>
      <w:r>
        <w:rPr>
          <w:rFonts w:hint="eastAsia"/>
          <w:color w:val="000000"/>
          <w:sz w:val="24"/>
          <w:szCs w:val="24"/>
          <w:highlight w:val="none"/>
          <w:lang w:val="en-US" w:eastAsia="zh-CN"/>
        </w:rPr>
        <w:t xml:space="preserve">签</w:t>
      </w:r>
      <w:r>
        <w:rPr>
          <w:rFonts w:hint="eastAsia"/>
          <w:color w:val="000000"/>
          <w:sz w:val="24"/>
          <w:szCs w:val="24"/>
          <w:highlight w:val="none"/>
        </w:rPr>
        <w:t xml:space="preserve">章）：</w:t>
      </w:r>
      <w:r>
        <w:rPr>
          <w:color w:val="000000"/>
          <w:sz w:val="24"/>
          <w:szCs w:val="24"/>
          <w:highlight w:val="none"/>
        </w:rPr>
      </w:r>
      <w:r/>
    </w:p>
    <w:p>
      <w:pPr>
        <w:pStyle w:val="680"/>
        <w:ind w:firstLine="480"/>
        <w:spacing w:line="500" w:lineRule="exact"/>
        <w:rPr>
          <w:color w:val="000000"/>
          <w:sz w:val="24"/>
          <w:szCs w:val="24"/>
          <w:highlight w:val="none"/>
        </w:rPr>
      </w:pPr>
      <w:r>
        <w:rPr>
          <w:rFonts w:hint="eastAsia"/>
          <w:color w:val="000000"/>
          <w:sz w:val="24"/>
          <w:szCs w:val="24"/>
          <w:highlight w:val="none"/>
        </w:rPr>
        <w:t xml:space="preserve">日期：    年     月     日</w:t>
      </w:r>
      <w:r>
        <w:rPr>
          <w:color w:val="000000"/>
          <w:sz w:val="24"/>
          <w:szCs w:val="24"/>
          <w:highlight w:val="none"/>
        </w:rPr>
      </w:r>
      <w:r/>
    </w:p>
    <w:p>
      <w:pPr>
        <w:pStyle w:val="680"/>
        <w:numPr>
          <w:ilvl w:val="0"/>
          <w:numId w:val="0"/>
        </w:numPr>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80"/>
        <w:numPr>
          <w:ilvl w:val="0"/>
          <w:numId w:val="0"/>
        </w:numPr>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80"/>
        <w:numPr>
          <w:ilvl w:val="0"/>
          <w:numId w:val="0"/>
        </w:numPr>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80"/>
        <w:numPr>
          <w:ilvl w:val="0"/>
          <w:numId w:val="0"/>
        </w:numPr>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80"/>
        <w:numPr>
          <w:ilvl w:val="0"/>
          <w:numId w:val="0"/>
        </w:numPr>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80"/>
        <w:numPr>
          <w:ilvl w:val="0"/>
          <w:numId w:val="0"/>
        </w:numPr>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80"/>
        <w:numPr>
          <w:ilvl w:val="0"/>
          <w:numId w:val="0"/>
        </w:numPr>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80"/>
        <w:numPr>
          <w:ilvl w:val="0"/>
          <w:numId w:val="0"/>
        </w:numPr>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80"/>
        <w:numPr>
          <w:ilvl w:val="0"/>
          <w:numId w:val="0"/>
        </w:numPr>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80"/>
        <w:numPr>
          <w:ilvl w:val="0"/>
          <w:numId w:val="0"/>
        </w:numPr>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80"/>
        <w:numPr>
          <w:ilvl w:val="0"/>
          <w:numId w:val="0"/>
        </w:numPr>
        <w:ind w:left="1600"/>
        <w:jc w:val="center"/>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t xml:space="preserve">十八、企业综合实力</w:t>
      </w:r>
      <w:r>
        <w:rPr>
          <w:rFonts w:hint="eastAsia" w:ascii="黑体" w:hAnsi="宋体" w:eastAsia="黑体" w:cs="黑体"/>
          <w:b/>
          <w:color w:val="000000"/>
          <w:sz w:val="32"/>
          <w:szCs w:val="32"/>
          <w:highlight w:val="none"/>
          <w:lang w:val="en-US" w:eastAsia="zh-CN" w:bidi="ar-SA"/>
        </w:rPr>
      </w:r>
      <w:r/>
    </w:p>
    <w:p>
      <w:pPr>
        <w:pStyle w:val="680"/>
        <w:numPr>
          <w:ilvl w:val="0"/>
          <w:numId w:val="0"/>
        </w:numPr>
        <w:spacing w:line="499" w:lineRule="atLeast"/>
        <w:widowControl/>
        <w:rPr>
          <w:rFonts w:ascii="黑体" w:hAnsi="宋体" w:eastAsia="黑体" w:cs="黑体"/>
          <w:b/>
          <w:color w:val="000000"/>
          <w:sz w:val="32"/>
          <w:szCs w:val="32"/>
          <w:highlight w:val="none"/>
          <w:lang w:val="en-US" w:eastAsia="zh-CN" w:bidi="ar-SA"/>
        </w:rPr>
      </w:pPr>
      <w:r>
        <w:rPr>
          <w:rFonts w:ascii="黑体" w:hAnsi="宋体" w:eastAsia="黑体" w:cs="黑体"/>
          <w:b/>
          <w:color w:val="000000"/>
          <w:sz w:val="32"/>
          <w:szCs w:val="32"/>
          <w:highlight w:val="none"/>
          <w:lang w:val="en-US" w:eastAsia="zh-CN" w:bidi="ar-SA"/>
        </w:rPr>
      </w:r>
      <w:r/>
    </w:p>
    <w:p>
      <w:pPr>
        <w:pStyle w:val="680"/>
        <w:numPr>
          <w:ilvl w:val="0"/>
          <w:numId w:val="0"/>
        </w:numPr>
        <w:spacing w:line="499" w:lineRule="atLeast"/>
        <w:widowControl/>
        <w:rPr>
          <w:rFonts w:ascii="黑体" w:hAnsi="宋体" w:eastAsia="黑体" w:cs="黑体"/>
          <w:b/>
          <w:color w:val="000000"/>
          <w:sz w:val="32"/>
          <w:szCs w:val="32"/>
          <w:highlight w:val="none"/>
          <w:lang w:val="en-US" w:eastAsia="zh-CN" w:bidi="ar-SA"/>
        </w:rPr>
      </w:pPr>
      <w:r>
        <w:rPr>
          <w:rFonts w:ascii="黑体" w:hAnsi="宋体" w:eastAsia="黑体" w:cs="黑体"/>
          <w:b/>
          <w:color w:val="000000"/>
          <w:sz w:val="32"/>
          <w:szCs w:val="32"/>
          <w:highlight w:val="none"/>
          <w:lang w:val="en-US" w:eastAsia="zh-CN" w:bidi="ar-SA"/>
        </w:rPr>
      </w:r>
      <w:r/>
    </w:p>
    <w:p>
      <w:pPr>
        <w:pStyle w:val="680"/>
        <w:numPr>
          <w:ilvl w:val="0"/>
          <w:numId w:val="0"/>
        </w:numPr>
        <w:spacing w:line="499" w:lineRule="atLeast"/>
        <w:widowControl/>
        <w:rPr>
          <w:rFonts w:ascii="黑体" w:hAnsi="宋体" w:eastAsia="黑体" w:cs="黑体"/>
          <w:b/>
          <w:color w:val="000000"/>
          <w:sz w:val="32"/>
          <w:szCs w:val="32"/>
          <w:highlight w:val="none"/>
          <w:lang w:val="en-US" w:eastAsia="zh-CN" w:bidi="ar-SA"/>
        </w:rPr>
      </w:pPr>
      <w:r>
        <w:rPr>
          <w:rFonts w:ascii="黑体" w:hAnsi="宋体" w:eastAsia="黑体" w:cs="黑体"/>
          <w:b/>
          <w:color w:val="000000"/>
          <w:sz w:val="32"/>
          <w:szCs w:val="32"/>
          <w:highlight w:val="none"/>
          <w:lang w:val="en-US" w:eastAsia="zh-CN" w:bidi="ar-SA"/>
        </w:rPr>
      </w:r>
      <w:r/>
    </w:p>
    <w:p>
      <w:pPr>
        <w:pStyle w:val="680"/>
        <w:numPr>
          <w:ilvl w:val="0"/>
          <w:numId w:val="0"/>
        </w:numPr>
        <w:spacing w:line="499" w:lineRule="atLeast"/>
        <w:widowControl/>
        <w:rPr>
          <w:rFonts w:ascii="黑体" w:hAnsi="宋体" w:eastAsia="黑体" w:cs="黑体"/>
          <w:b/>
          <w:color w:val="000000"/>
          <w:sz w:val="32"/>
          <w:szCs w:val="32"/>
          <w:highlight w:val="none"/>
          <w:lang w:val="en-US" w:eastAsia="zh-CN" w:bidi="ar-SA"/>
        </w:rPr>
      </w:pPr>
      <w:r>
        <w:rPr>
          <w:rFonts w:ascii="黑体" w:hAnsi="宋体" w:eastAsia="黑体" w:cs="黑体"/>
          <w:b/>
          <w:color w:val="000000"/>
          <w:sz w:val="32"/>
          <w:szCs w:val="32"/>
          <w:highlight w:val="none"/>
          <w:lang w:val="en-US" w:eastAsia="zh-CN" w:bidi="ar-SA"/>
        </w:rPr>
      </w:r>
      <w:r/>
    </w:p>
    <w:p>
      <w:pPr>
        <w:pStyle w:val="680"/>
        <w:numPr>
          <w:ilvl w:val="0"/>
          <w:numId w:val="0"/>
        </w:numPr>
        <w:spacing w:line="499" w:lineRule="atLeast"/>
        <w:widowControl/>
        <w:rPr>
          <w:rFonts w:ascii="黑体" w:hAnsi="宋体" w:eastAsia="黑体" w:cs="黑体"/>
          <w:b/>
          <w:color w:val="000000"/>
          <w:sz w:val="32"/>
          <w:szCs w:val="32"/>
          <w:highlight w:val="none"/>
          <w:lang w:val="en-US" w:eastAsia="zh-CN" w:bidi="ar-SA"/>
        </w:rPr>
      </w:pPr>
      <w:r>
        <w:rPr>
          <w:rFonts w:ascii="黑体" w:hAnsi="宋体" w:eastAsia="黑体" w:cs="黑体"/>
          <w:b/>
          <w:color w:val="000000"/>
          <w:sz w:val="32"/>
          <w:szCs w:val="32"/>
          <w:highlight w:val="none"/>
          <w:lang w:val="en-US" w:eastAsia="zh-CN" w:bidi="ar-SA"/>
        </w:rPr>
      </w:r>
      <w:r/>
    </w:p>
    <w:p>
      <w:pPr>
        <w:pStyle w:val="680"/>
        <w:numPr>
          <w:ilvl w:val="0"/>
          <w:numId w:val="0"/>
        </w:numPr>
        <w:spacing w:line="499" w:lineRule="atLeast"/>
        <w:widowControl/>
        <w:rPr>
          <w:rFonts w:ascii="黑体" w:hAnsi="宋体" w:eastAsia="黑体" w:cs="黑体"/>
          <w:b/>
          <w:color w:val="000000"/>
          <w:sz w:val="32"/>
          <w:szCs w:val="32"/>
          <w:highlight w:val="none"/>
          <w:lang w:val="en-US" w:eastAsia="zh-CN" w:bidi="ar-SA"/>
        </w:rPr>
      </w:pPr>
      <w:r>
        <w:rPr>
          <w:rFonts w:ascii="黑体" w:hAnsi="宋体" w:eastAsia="黑体" w:cs="黑体"/>
          <w:b/>
          <w:color w:val="000000"/>
          <w:sz w:val="32"/>
          <w:szCs w:val="32"/>
          <w:highlight w:val="none"/>
          <w:lang w:val="en-US" w:eastAsia="zh-CN" w:bidi="ar-SA"/>
        </w:rPr>
      </w:r>
      <w:r/>
    </w:p>
    <w:p>
      <w:pPr>
        <w:pStyle w:val="680"/>
        <w:numPr>
          <w:ilvl w:val="0"/>
          <w:numId w:val="0"/>
        </w:numPr>
        <w:spacing w:line="499" w:lineRule="atLeast"/>
        <w:widowControl/>
        <w:rPr>
          <w:rFonts w:ascii="黑体" w:hAnsi="宋体" w:eastAsia="黑体" w:cs="黑体"/>
          <w:b/>
          <w:color w:val="000000"/>
          <w:sz w:val="32"/>
          <w:szCs w:val="32"/>
          <w:highlight w:val="none"/>
          <w:lang w:val="en-US" w:eastAsia="zh-CN" w:bidi="ar-SA"/>
        </w:rPr>
      </w:pPr>
      <w:r>
        <w:rPr>
          <w:rFonts w:ascii="黑体" w:hAnsi="宋体" w:eastAsia="黑体" w:cs="黑体"/>
          <w:b/>
          <w:color w:val="000000"/>
          <w:sz w:val="32"/>
          <w:szCs w:val="32"/>
          <w:highlight w:val="none"/>
          <w:lang w:val="en-US" w:eastAsia="zh-CN" w:bidi="ar-SA"/>
        </w:rPr>
      </w:r>
      <w:r/>
    </w:p>
    <w:p>
      <w:pPr>
        <w:pStyle w:val="680"/>
        <w:numPr>
          <w:ilvl w:val="0"/>
          <w:numId w:val="0"/>
        </w:numPr>
        <w:spacing w:line="499" w:lineRule="atLeast"/>
        <w:widowControl/>
        <w:rPr>
          <w:rFonts w:ascii="黑体" w:hAnsi="宋体" w:eastAsia="黑体" w:cs="黑体"/>
          <w:b/>
          <w:color w:val="000000"/>
          <w:sz w:val="32"/>
          <w:szCs w:val="32"/>
          <w:highlight w:val="none"/>
          <w:lang w:val="en-US" w:eastAsia="zh-CN" w:bidi="ar-SA"/>
        </w:rPr>
      </w:pPr>
      <w:r>
        <w:rPr>
          <w:rFonts w:ascii="黑体" w:hAnsi="宋体" w:eastAsia="黑体" w:cs="黑体"/>
          <w:b/>
          <w:color w:val="000000"/>
          <w:sz w:val="32"/>
          <w:szCs w:val="32"/>
          <w:highlight w:val="none"/>
          <w:lang w:val="en-US" w:eastAsia="zh-CN" w:bidi="ar-SA"/>
        </w:rPr>
      </w:r>
      <w:r/>
    </w:p>
    <w:p>
      <w:pPr>
        <w:pStyle w:val="680"/>
        <w:numPr>
          <w:ilvl w:val="0"/>
          <w:numId w:val="0"/>
        </w:numPr>
        <w:spacing w:line="499" w:lineRule="atLeast"/>
        <w:widowControl/>
        <w:rPr>
          <w:rFonts w:ascii="黑体" w:hAnsi="宋体" w:eastAsia="黑体" w:cs="黑体"/>
          <w:b/>
          <w:color w:val="000000"/>
          <w:sz w:val="32"/>
          <w:szCs w:val="32"/>
          <w:highlight w:val="none"/>
          <w:lang w:val="en-US" w:eastAsia="zh-CN" w:bidi="ar-SA"/>
        </w:rPr>
      </w:pPr>
      <w:r>
        <w:rPr>
          <w:rFonts w:ascii="黑体" w:hAnsi="宋体" w:eastAsia="黑体" w:cs="黑体"/>
          <w:b/>
          <w:color w:val="000000"/>
          <w:sz w:val="32"/>
          <w:szCs w:val="32"/>
          <w:highlight w:val="none"/>
          <w:lang w:val="en-US" w:eastAsia="zh-CN" w:bidi="ar-SA"/>
        </w:rPr>
      </w:r>
      <w:r/>
    </w:p>
    <w:p>
      <w:pPr>
        <w:pStyle w:val="680"/>
        <w:numPr>
          <w:ilvl w:val="0"/>
          <w:numId w:val="0"/>
        </w:numPr>
        <w:spacing w:line="499" w:lineRule="atLeast"/>
        <w:widowControl/>
        <w:rPr>
          <w:rFonts w:ascii="黑体" w:hAnsi="宋体" w:eastAsia="黑体" w:cs="黑体"/>
          <w:b/>
          <w:color w:val="000000"/>
          <w:sz w:val="32"/>
          <w:szCs w:val="32"/>
          <w:highlight w:val="none"/>
          <w:lang w:val="en-US" w:eastAsia="zh-CN" w:bidi="ar-SA"/>
        </w:rPr>
      </w:pPr>
      <w:r>
        <w:rPr>
          <w:rFonts w:ascii="黑体" w:hAnsi="宋体" w:eastAsia="黑体" w:cs="黑体"/>
          <w:b/>
          <w:color w:val="000000"/>
          <w:sz w:val="32"/>
          <w:szCs w:val="32"/>
          <w:highlight w:val="none"/>
          <w:lang w:val="en-US" w:eastAsia="zh-CN" w:bidi="ar-SA"/>
        </w:rPr>
      </w:r>
      <w:r/>
    </w:p>
    <w:p>
      <w:pPr>
        <w:pStyle w:val="680"/>
        <w:numPr>
          <w:ilvl w:val="0"/>
          <w:numId w:val="0"/>
        </w:numPr>
        <w:spacing w:line="499" w:lineRule="atLeast"/>
        <w:widowControl/>
        <w:rPr>
          <w:rFonts w:ascii="黑体" w:hAnsi="宋体" w:eastAsia="黑体" w:cs="黑体"/>
          <w:b/>
          <w:color w:val="000000"/>
          <w:sz w:val="32"/>
          <w:szCs w:val="32"/>
          <w:highlight w:val="none"/>
          <w:lang w:val="en-US" w:eastAsia="zh-CN" w:bidi="ar-SA"/>
        </w:rPr>
      </w:pPr>
      <w:r>
        <w:rPr>
          <w:rFonts w:ascii="黑体" w:hAnsi="宋体" w:eastAsia="黑体" w:cs="黑体"/>
          <w:b/>
          <w:color w:val="000000"/>
          <w:sz w:val="32"/>
          <w:szCs w:val="32"/>
          <w:highlight w:val="none"/>
          <w:lang w:val="en-US" w:eastAsia="zh-CN" w:bidi="ar-SA"/>
        </w:rPr>
      </w:r>
      <w:r/>
    </w:p>
    <w:p>
      <w:pPr>
        <w:pStyle w:val="680"/>
        <w:numPr>
          <w:ilvl w:val="0"/>
          <w:numId w:val="0"/>
        </w:numPr>
        <w:spacing w:line="499" w:lineRule="atLeast"/>
        <w:widowControl/>
        <w:rPr>
          <w:rFonts w:ascii="黑体" w:hAnsi="宋体" w:eastAsia="黑体" w:cs="黑体"/>
          <w:b/>
          <w:color w:val="000000"/>
          <w:sz w:val="32"/>
          <w:szCs w:val="32"/>
          <w:highlight w:val="none"/>
          <w:lang w:val="en-US" w:eastAsia="zh-CN" w:bidi="ar-SA"/>
        </w:rPr>
      </w:pPr>
      <w:r>
        <w:rPr>
          <w:rFonts w:ascii="黑体" w:hAnsi="宋体" w:eastAsia="黑体" w:cs="黑体"/>
          <w:b/>
          <w:color w:val="000000"/>
          <w:sz w:val="32"/>
          <w:szCs w:val="32"/>
          <w:highlight w:val="none"/>
          <w:lang w:val="en-US" w:eastAsia="zh-CN" w:bidi="ar-SA"/>
        </w:rPr>
      </w:r>
      <w:r/>
    </w:p>
    <w:p>
      <w:pPr>
        <w:pStyle w:val="680"/>
        <w:numPr>
          <w:ilvl w:val="0"/>
          <w:numId w:val="0"/>
        </w:numPr>
        <w:spacing w:line="499" w:lineRule="atLeast"/>
        <w:widowControl/>
        <w:rPr>
          <w:rFonts w:ascii="黑体" w:hAnsi="宋体" w:eastAsia="黑体" w:cs="黑体"/>
          <w:b/>
          <w:color w:val="000000"/>
          <w:sz w:val="32"/>
          <w:szCs w:val="32"/>
          <w:highlight w:val="none"/>
          <w:lang w:val="en-US" w:eastAsia="zh-CN" w:bidi="ar-SA"/>
        </w:rPr>
      </w:pPr>
      <w:r>
        <w:rPr>
          <w:rFonts w:ascii="黑体" w:hAnsi="宋体" w:eastAsia="黑体" w:cs="黑体"/>
          <w:b/>
          <w:color w:val="000000"/>
          <w:sz w:val="32"/>
          <w:szCs w:val="32"/>
          <w:highlight w:val="none"/>
          <w:lang w:val="en-US" w:eastAsia="zh-CN" w:bidi="ar-SA"/>
        </w:rPr>
      </w:r>
      <w:r/>
    </w:p>
    <w:p>
      <w:pPr>
        <w:pStyle w:val="680"/>
        <w:numPr>
          <w:ilvl w:val="0"/>
          <w:numId w:val="0"/>
        </w:numPr>
        <w:spacing w:line="499" w:lineRule="atLeast"/>
        <w:widowControl/>
        <w:rPr>
          <w:rFonts w:ascii="黑体" w:hAnsi="宋体" w:eastAsia="黑体" w:cs="黑体"/>
          <w:b/>
          <w:color w:val="000000"/>
          <w:sz w:val="32"/>
          <w:szCs w:val="32"/>
          <w:highlight w:val="none"/>
          <w:lang w:val="en-US" w:eastAsia="zh-CN" w:bidi="ar-SA"/>
        </w:rPr>
      </w:pPr>
      <w:r>
        <w:rPr>
          <w:rFonts w:ascii="黑体" w:hAnsi="宋体" w:eastAsia="黑体" w:cs="黑体"/>
          <w:b/>
          <w:color w:val="000000"/>
          <w:sz w:val="32"/>
          <w:szCs w:val="32"/>
          <w:highlight w:val="none"/>
          <w:lang w:val="en-US" w:eastAsia="zh-CN" w:bidi="ar-SA"/>
        </w:rPr>
      </w:r>
      <w:r/>
    </w:p>
    <w:p>
      <w:pPr>
        <w:pStyle w:val="680"/>
        <w:numPr>
          <w:ilvl w:val="0"/>
          <w:numId w:val="0"/>
        </w:numPr>
        <w:spacing w:line="499" w:lineRule="atLeast"/>
        <w:widowControl/>
        <w:rPr>
          <w:rFonts w:ascii="黑体" w:hAnsi="宋体" w:eastAsia="黑体" w:cs="黑体"/>
          <w:b/>
          <w:color w:val="000000"/>
          <w:sz w:val="32"/>
          <w:szCs w:val="32"/>
          <w:highlight w:val="none"/>
          <w:lang w:val="en-US" w:eastAsia="zh-CN" w:bidi="ar-SA"/>
        </w:rPr>
      </w:pPr>
      <w:r>
        <w:rPr>
          <w:rFonts w:ascii="黑体" w:hAnsi="宋体" w:eastAsia="黑体" w:cs="黑体"/>
          <w:b/>
          <w:color w:val="000000"/>
          <w:sz w:val="32"/>
          <w:szCs w:val="32"/>
          <w:highlight w:val="none"/>
          <w:lang w:val="en-US" w:eastAsia="zh-CN" w:bidi="ar-SA"/>
        </w:rPr>
      </w:r>
      <w:r/>
    </w:p>
    <w:p>
      <w:pPr>
        <w:pStyle w:val="680"/>
        <w:numPr>
          <w:ilvl w:val="0"/>
          <w:numId w:val="0"/>
        </w:numPr>
        <w:spacing w:line="499" w:lineRule="atLeast"/>
        <w:widowControl/>
        <w:rPr>
          <w:rFonts w:ascii="黑体" w:hAnsi="宋体" w:eastAsia="黑体" w:cs="黑体"/>
          <w:b/>
          <w:color w:val="000000"/>
          <w:sz w:val="32"/>
          <w:szCs w:val="32"/>
          <w:highlight w:val="none"/>
          <w:lang w:val="en-US" w:eastAsia="zh-CN" w:bidi="ar-SA"/>
        </w:rPr>
      </w:pPr>
      <w:r>
        <w:rPr>
          <w:rFonts w:ascii="黑体" w:hAnsi="宋体" w:eastAsia="黑体" w:cs="黑体"/>
          <w:b/>
          <w:color w:val="000000"/>
          <w:sz w:val="32"/>
          <w:szCs w:val="32"/>
          <w:highlight w:val="none"/>
          <w:lang w:val="en-US" w:eastAsia="zh-CN" w:bidi="ar-SA"/>
        </w:rPr>
      </w:r>
      <w:r/>
    </w:p>
    <w:p>
      <w:pPr>
        <w:pStyle w:val="680"/>
        <w:numPr>
          <w:ilvl w:val="0"/>
          <w:numId w:val="0"/>
        </w:numPr>
        <w:spacing w:line="499" w:lineRule="atLeast"/>
        <w:widowControl/>
        <w:rPr>
          <w:rFonts w:ascii="黑体" w:hAnsi="宋体" w:eastAsia="黑体" w:cs="黑体"/>
          <w:b/>
          <w:color w:val="000000"/>
          <w:sz w:val="32"/>
          <w:szCs w:val="32"/>
          <w:highlight w:val="none"/>
          <w:lang w:val="en-US" w:eastAsia="zh-CN" w:bidi="ar-SA"/>
        </w:rPr>
      </w:pPr>
      <w:r>
        <w:rPr>
          <w:rFonts w:ascii="黑体" w:hAnsi="宋体" w:eastAsia="黑体" w:cs="黑体"/>
          <w:b/>
          <w:color w:val="000000"/>
          <w:sz w:val="32"/>
          <w:szCs w:val="32"/>
          <w:highlight w:val="none"/>
          <w:lang w:val="en-US" w:eastAsia="zh-CN" w:bidi="ar-SA"/>
        </w:rPr>
      </w:r>
      <w:r/>
    </w:p>
    <w:p>
      <w:pPr>
        <w:pStyle w:val="680"/>
        <w:numPr>
          <w:ilvl w:val="0"/>
          <w:numId w:val="0"/>
        </w:numPr>
        <w:spacing w:line="499" w:lineRule="atLeast"/>
        <w:widowControl/>
        <w:rPr>
          <w:rFonts w:ascii="黑体" w:hAnsi="宋体" w:eastAsia="黑体" w:cs="黑体"/>
          <w:b/>
          <w:color w:val="000000"/>
          <w:sz w:val="32"/>
          <w:szCs w:val="32"/>
          <w:highlight w:val="none"/>
          <w:lang w:val="en-US" w:eastAsia="zh-CN" w:bidi="ar-SA"/>
        </w:rPr>
      </w:pPr>
      <w:r>
        <w:rPr>
          <w:rFonts w:ascii="黑体" w:hAnsi="宋体" w:eastAsia="黑体" w:cs="黑体"/>
          <w:b/>
          <w:color w:val="000000"/>
          <w:sz w:val="32"/>
          <w:szCs w:val="32"/>
          <w:highlight w:val="none"/>
          <w:lang w:val="en-US" w:eastAsia="zh-CN" w:bidi="ar-SA"/>
        </w:rPr>
      </w:r>
      <w:r/>
    </w:p>
    <w:p>
      <w:pPr>
        <w:pStyle w:val="680"/>
        <w:numPr>
          <w:ilvl w:val="0"/>
          <w:numId w:val="0"/>
        </w:numPr>
        <w:spacing w:line="499" w:lineRule="atLeast"/>
        <w:widowControl/>
        <w:rPr>
          <w:rFonts w:ascii="黑体" w:hAnsi="宋体" w:eastAsia="黑体" w:cs="黑体"/>
          <w:b/>
          <w:color w:val="000000"/>
          <w:sz w:val="32"/>
          <w:szCs w:val="32"/>
          <w:highlight w:val="none"/>
          <w:lang w:val="en-US" w:eastAsia="zh-CN" w:bidi="ar-SA"/>
        </w:rPr>
      </w:pPr>
      <w:r>
        <w:rPr>
          <w:rFonts w:ascii="黑体" w:hAnsi="宋体" w:eastAsia="黑体" w:cs="黑体"/>
          <w:b/>
          <w:color w:val="000000"/>
          <w:sz w:val="32"/>
          <w:szCs w:val="32"/>
          <w:highlight w:val="none"/>
          <w:lang w:val="en-US" w:eastAsia="zh-CN" w:bidi="ar-SA"/>
        </w:rPr>
      </w:r>
      <w:r/>
    </w:p>
    <w:p>
      <w:pPr>
        <w:pStyle w:val="680"/>
        <w:numPr>
          <w:ilvl w:val="0"/>
          <w:numId w:val="0"/>
        </w:numPr>
        <w:spacing w:line="499" w:lineRule="atLeast"/>
        <w:widowControl/>
        <w:rPr>
          <w:rFonts w:ascii="黑体" w:hAnsi="宋体" w:eastAsia="黑体" w:cs="黑体"/>
          <w:b/>
          <w:color w:val="000000"/>
          <w:sz w:val="32"/>
          <w:szCs w:val="32"/>
          <w:highlight w:val="none"/>
          <w:lang w:val="en-US" w:eastAsia="zh-CN" w:bidi="ar-SA"/>
        </w:rPr>
      </w:pPr>
      <w:r>
        <w:rPr>
          <w:rFonts w:ascii="黑体" w:hAnsi="宋体" w:eastAsia="黑体" w:cs="黑体"/>
          <w:b/>
          <w:color w:val="000000"/>
          <w:sz w:val="32"/>
          <w:szCs w:val="32"/>
          <w:highlight w:val="none"/>
          <w:lang w:val="en-US" w:eastAsia="zh-CN" w:bidi="ar-SA"/>
        </w:rPr>
      </w:r>
      <w:r/>
    </w:p>
    <w:p>
      <w:pPr>
        <w:pStyle w:val="680"/>
        <w:numPr>
          <w:ilvl w:val="0"/>
          <w:numId w:val="0"/>
        </w:numPr>
        <w:spacing w:line="499" w:lineRule="atLeast"/>
        <w:widowControl/>
        <w:rPr>
          <w:rFonts w:ascii="黑体" w:hAnsi="宋体" w:eastAsia="黑体" w:cs="黑体"/>
          <w:b/>
          <w:color w:val="000000"/>
          <w:sz w:val="32"/>
          <w:szCs w:val="32"/>
          <w:highlight w:val="none"/>
          <w:lang w:val="en-US" w:eastAsia="zh-CN" w:bidi="ar-SA"/>
        </w:rPr>
      </w:pPr>
      <w:r>
        <w:rPr>
          <w:rFonts w:ascii="黑体" w:hAnsi="宋体" w:eastAsia="黑体" w:cs="黑体"/>
          <w:b/>
          <w:color w:val="000000"/>
          <w:sz w:val="32"/>
          <w:szCs w:val="32"/>
          <w:highlight w:val="none"/>
          <w:lang w:val="en-US" w:eastAsia="zh-CN" w:bidi="ar-SA"/>
        </w:rPr>
      </w:r>
      <w:r/>
    </w:p>
    <w:p>
      <w:pPr>
        <w:pStyle w:val="680"/>
        <w:ind w:firstLine="2766"/>
        <w:jc w:val="both"/>
        <w:spacing w:line="499" w:lineRule="atLeast"/>
        <w:widowControl/>
        <w:rPr>
          <w:rFonts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t xml:space="preserve">十九、技术服务方案</w:t>
      </w:r>
      <w:r>
        <w:rPr>
          <w:rFonts w:ascii="黑体" w:hAnsi="宋体" w:eastAsia="黑体" w:cs="黑体"/>
          <w:b/>
          <w:color w:val="000000"/>
          <w:sz w:val="32"/>
          <w:szCs w:val="32"/>
          <w:highlight w:val="none"/>
          <w:lang w:val="en-US" w:eastAsia="zh-CN" w:bidi="ar-SA"/>
        </w:rPr>
      </w:r>
      <w:r/>
    </w:p>
    <w:p>
      <w:pPr>
        <w:pStyle w:val="680"/>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80"/>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80"/>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80"/>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80"/>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80"/>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80"/>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80"/>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80"/>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80"/>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80"/>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80"/>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80"/>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80"/>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80"/>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80"/>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80"/>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80"/>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80"/>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8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pStyle w:val="680"/>
        <w:ind w:firstLine="1600"/>
        <w:spacing w:line="499" w:lineRule="atLeast"/>
        <w:widowControl/>
        <w:rPr>
          <w:rFonts w:ascii="宋体" w:hAnsi="宋体" w:eastAsia="宋体" w:cs="宋体"/>
          <w:sz w:val="24"/>
          <w:highlight w:val="none"/>
        </w:rPr>
      </w:pPr>
      <w:r>
        <w:rPr>
          <w:rFonts w:hint="eastAsia" w:ascii="黑体" w:hAnsi="宋体" w:eastAsia="黑体" w:cs="黑体"/>
          <w:b/>
          <w:color w:val="000000"/>
          <w:sz w:val="32"/>
          <w:szCs w:val="32"/>
          <w:highlight w:val="none"/>
          <w:lang w:val="en-US" w:eastAsia="zh-CN" w:bidi="ar-SA"/>
        </w:rPr>
        <w:t xml:space="preserve">二十、盐城市政府采购事前信用承诺书</w:t>
      </w:r>
      <w:r>
        <w:rPr>
          <w:rFonts w:ascii="宋体" w:hAnsi="宋体" w:eastAsia="宋体" w:cs="宋体"/>
          <w:sz w:val="24"/>
          <w:highlight w:val="none"/>
        </w:rPr>
      </w:r>
      <w:r/>
    </w:p>
    <w:p>
      <w:pPr>
        <w:pStyle w:val="680"/>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形象，本人代表本单位作出以下承诺：</w:t>
      </w:r>
      <w:r>
        <w:rPr>
          <w:rFonts w:ascii="宋体" w:hAnsi="宋体" w:eastAsia="宋体" w:cs="宋体"/>
          <w:sz w:val="24"/>
          <w:highlight w:val="none"/>
        </w:rPr>
      </w:r>
      <w:r/>
    </w:p>
    <w:p>
      <w:pPr>
        <w:pStyle w:val="680"/>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 xml:space="preserve">虚假成分</w:t>
      </w:r>
      <w:r>
        <w:rPr>
          <w:rFonts w:hint="eastAsia" w:ascii="宋体" w:hAnsi="宋体" w:eastAsia="宋体" w:cs="宋体"/>
          <w:color w:val="000000"/>
          <w:sz w:val="24"/>
          <w:highlight w:val="none"/>
        </w:rPr>
        <w:t xml:space="preserve">，并对所提供资料的真实性负责；</w:t>
      </w:r>
      <w:r>
        <w:rPr>
          <w:rFonts w:ascii="宋体" w:hAnsi="宋体" w:eastAsia="宋体" w:cs="宋体"/>
          <w:sz w:val="24"/>
          <w:highlight w:val="none"/>
        </w:rPr>
      </w:r>
      <w:r/>
    </w:p>
    <w:p>
      <w:pPr>
        <w:pStyle w:val="680"/>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ascii="宋体" w:hAnsi="宋体" w:eastAsia="宋体" w:cs="宋体"/>
          <w:sz w:val="24"/>
          <w:highlight w:val="none"/>
        </w:rPr>
      </w:r>
      <w:r/>
    </w:p>
    <w:p>
      <w:pPr>
        <w:pStyle w:val="680"/>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（三）严格依照国家和省、市关于政府采购的法律、法规、规章、规范性文件，参加政府采购投标活动；积极履行社会责任，促进廉政建设； </w:t>
      </w:r>
      <w:r>
        <w:rPr>
          <w:rFonts w:ascii="宋体" w:hAnsi="宋体" w:eastAsia="宋体" w:cs="宋体"/>
          <w:sz w:val="24"/>
          <w:highlight w:val="none"/>
        </w:rPr>
      </w:r>
      <w:r/>
    </w:p>
    <w:p>
      <w:pPr>
        <w:pStyle w:val="680"/>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（四）严格遵守即时信息公示规定，及时</w:t>
      </w:r>
      <w:r>
        <w:rPr>
          <w:rFonts w:hint="eastAsia" w:ascii="宋体" w:hAnsi="宋体" w:eastAsia="宋体" w:cs="宋体"/>
          <w:color w:val="000000"/>
          <w:sz w:val="24"/>
          <w:highlight w:val="none"/>
          <w:lang w:eastAsia="zh-CN"/>
        </w:rPr>
        <w:t xml:space="preserve">维护和更新</w:t>
      </w:r>
      <w:r>
        <w:rPr>
          <w:rFonts w:hint="eastAsia" w:ascii="宋体" w:hAnsi="宋体" w:eastAsia="宋体" w:cs="宋体"/>
          <w:color w:val="000000"/>
          <w:sz w:val="24"/>
          <w:highlight w:val="none"/>
        </w:rPr>
        <w:t xml:space="preserve">盐城市政府采购网中与本单位相关的信息；</w:t>
      </w:r>
      <w:r>
        <w:rPr>
          <w:rFonts w:ascii="宋体" w:hAnsi="宋体" w:eastAsia="宋体" w:cs="宋体"/>
          <w:sz w:val="24"/>
          <w:highlight w:val="none"/>
        </w:rPr>
      </w:r>
      <w:r/>
    </w:p>
    <w:p>
      <w:pPr>
        <w:pStyle w:val="680"/>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rPr>
          <w:rFonts w:ascii="宋体" w:hAnsi="宋体" w:eastAsia="宋体" w:cs="宋体"/>
          <w:sz w:val="24"/>
          <w:highlight w:val="none"/>
        </w:rPr>
      </w:r>
      <w:r/>
    </w:p>
    <w:p>
      <w:pPr>
        <w:pStyle w:val="680"/>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（六）自觉接受政府、行业组织、社会公众、新闻舆论的监督；</w:t>
      </w:r>
      <w:r>
        <w:rPr>
          <w:rFonts w:ascii="宋体" w:hAnsi="宋体" w:eastAsia="宋体" w:cs="宋体"/>
          <w:sz w:val="24"/>
          <w:highlight w:val="none"/>
        </w:rPr>
      </w:r>
      <w:r/>
    </w:p>
    <w:p>
      <w:pPr>
        <w:pStyle w:val="680"/>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ascii="宋体" w:hAnsi="宋体" w:eastAsia="宋体" w:cs="宋体"/>
          <w:sz w:val="24"/>
          <w:highlight w:val="none"/>
        </w:rPr>
      </w:r>
      <w:r/>
    </w:p>
    <w:p>
      <w:pPr>
        <w:pStyle w:val="680"/>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（八）本人已认真阅读了上述承诺，并向本单位员工作了宣传教育。</w:t>
      </w:r>
      <w:r>
        <w:rPr>
          <w:rFonts w:ascii="宋体" w:hAnsi="宋体" w:eastAsia="宋体" w:cs="宋体"/>
          <w:sz w:val="24"/>
          <w:highlight w:val="none"/>
        </w:rPr>
      </w:r>
      <w:r/>
    </w:p>
    <w:p>
      <w:pPr>
        <w:pStyle w:val="680"/>
        <w:ind w:firstLine="480"/>
        <w:jc w:val="left"/>
        <w:keepLines w:val="0"/>
        <w:keepNext w:val="0"/>
        <w:pageBreakBefore w:val="0"/>
        <w:spacing w:line="49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680"/>
        <w:ind w:firstLine="4800"/>
        <w:jc w:val="left"/>
        <w:keepLines w:val="0"/>
        <w:keepNext w:val="0"/>
        <w:pageBreakBefore w:val="0"/>
        <w:spacing w:line="54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法定代表人签名：  </w:t>
      </w:r>
      <w:r>
        <w:rPr>
          <w:rFonts w:hint="eastAsia" w:ascii="宋体" w:hAnsi="宋体" w:eastAsia="宋体" w:cs="宋体"/>
          <w:color w:val="000000"/>
          <w:sz w:val="24"/>
          <w:highlight w:val="none"/>
        </w:rPr>
      </w:r>
      <w:r/>
    </w:p>
    <w:p>
      <w:pPr>
        <w:pStyle w:val="680"/>
        <w:ind w:firstLine="480"/>
        <w:jc w:val="center"/>
        <w:keepLines w:val="0"/>
        <w:keepNext w:val="0"/>
        <w:pageBreakBefore w:val="0"/>
        <w:spacing w:line="540" w:lineRule="exact"/>
        <w:widowControl/>
        <w:rPr>
          <w:rFonts w:ascii="宋体" w:hAnsi="宋体" w:eastAsia="宋体" w:cs="宋体"/>
          <w:sz w:val="24"/>
          <w:highlight w:val="none"/>
        </w:rPr>
      </w:pP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单位名称（盖章）：</w:t>
      </w:r>
      <w:r>
        <w:rPr>
          <w:rFonts w:ascii="宋体" w:hAnsi="宋体" w:eastAsia="宋体" w:cs="宋体"/>
          <w:sz w:val="24"/>
          <w:highlight w:val="none"/>
        </w:rPr>
      </w:r>
      <w:r/>
    </w:p>
    <w:p>
      <w:pPr>
        <w:pStyle w:val="698"/>
        <w:jc w:val="center"/>
        <w:spacing w:beforeAutospacing="0" w:afterAutospacing="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698"/>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w:t>
      </w:r>
      <w:bookmarkEnd w:id="6"/>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166"/>
      <w:r/>
      <w:bookmarkEnd w:id="169"/>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rPr>
          <w:rFonts w:hint="eastAsia" w:ascii="宋体" w:hAnsi="宋体" w:eastAsia="宋体" w:cs="宋体"/>
          <w:b/>
          <w:color w:val="000000"/>
          <w:sz w:val="32"/>
          <w:szCs w:val="32"/>
          <w:highlight w:val="none"/>
        </w:rPr>
      </w:r>
      <w:r/>
    </w:p>
    <w:p>
      <w:pPr>
        <w:pStyle w:val="698"/>
        <w:jc w:val="both"/>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98"/>
        <w:jc w:val="center"/>
        <w:spacing w:beforeAutospacing="0" w:afterAutospacing="0"/>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质疑函范本</w:t>
      </w:r>
      <w:r>
        <w:rPr>
          <w:rFonts w:ascii="宋体" w:hAnsi="宋体" w:eastAsia="宋体" w:cs="宋体"/>
          <w:b/>
          <w:color w:val="000000"/>
          <w:sz w:val="32"/>
          <w:szCs w:val="32"/>
          <w:highlight w:val="none"/>
        </w:rPr>
      </w:r>
      <w:r/>
    </w:p>
    <w:p>
      <w:pPr>
        <w:pStyle w:val="698"/>
        <w:jc w:val="both"/>
        <w:spacing w:before="290"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一、质疑供应商基本信息</w:t>
      </w:r>
      <w:r>
        <w:rPr>
          <w:rFonts w:ascii="宋体" w:hAnsi="宋体" w:eastAsia="宋体" w:cs="宋体"/>
          <w:highlight w:val="none"/>
        </w:rPr>
      </w:r>
      <w:r/>
    </w:p>
    <w:p>
      <w:pPr>
        <w:pStyle w:val="69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ascii="宋体" w:hAnsi="宋体" w:eastAsia="宋体" w:cs="宋体"/>
          <w:highlight w:val="none"/>
        </w:rPr>
      </w:r>
      <w:r/>
    </w:p>
    <w:p>
      <w:pPr>
        <w:pStyle w:val="698"/>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ascii="宋体" w:hAnsi="宋体" w:eastAsia="宋体" w:cs="宋体"/>
          <w:color w:val="000000"/>
          <w:highlight w:val="none"/>
          <w:u w:val="single"/>
        </w:rPr>
      </w:r>
      <w:r/>
    </w:p>
    <w:p>
      <w:pPr>
        <w:pStyle w:val="69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ascii="宋体" w:hAnsi="宋体" w:eastAsia="宋体" w:cs="宋体"/>
          <w:highlight w:val="none"/>
        </w:rPr>
      </w:r>
      <w:r/>
    </w:p>
    <w:p>
      <w:pPr>
        <w:pStyle w:val="698"/>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ascii="宋体" w:hAnsi="宋体" w:eastAsia="宋体" w:cs="宋体"/>
          <w:color w:val="000000"/>
          <w:highlight w:val="none"/>
          <w:u w:val="single"/>
        </w:rPr>
      </w:r>
      <w:r/>
    </w:p>
    <w:p>
      <w:pPr>
        <w:pStyle w:val="69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ascii="宋体" w:hAnsi="宋体" w:eastAsia="宋体" w:cs="宋体"/>
          <w:highlight w:val="none"/>
        </w:rPr>
      </w:r>
      <w:r/>
    </w:p>
    <w:p>
      <w:pPr>
        <w:pStyle w:val="69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ascii="宋体" w:hAnsi="宋体" w:eastAsia="宋体" w:cs="宋体"/>
          <w:highlight w:val="none"/>
        </w:rPr>
      </w:r>
      <w:r/>
    </w:p>
    <w:p>
      <w:pPr>
        <w:pStyle w:val="69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ascii="宋体" w:hAnsi="宋体" w:eastAsia="宋体" w:cs="宋体"/>
          <w:highlight w:val="none"/>
        </w:rPr>
      </w:r>
      <w:r/>
    </w:p>
    <w:p>
      <w:pPr>
        <w:pStyle w:val="698"/>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ascii="宋体" w:hAnsi="宋体" w:eastAsia="宋体" w:cs="宋体"/>
          <w:color w:val="000000"/>
          <w:highlight w:val="none"/>
          <w:u w:val="single"/>
        </w:rPr>
      </w:r>
      <w:r/>
    </w:p>
    <w:p>
      <w:pPr>
        <w:pStyle w:val="69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ascii="宋体" w:hAnsi="宋体" w:eastAsia="宋体" w:cs="宋体"/>
          <w:highlight w:val="none"/>
        </w:rPr>
      </w:r>
      <w:r/>
    </w:p>
    <w:p>
      <w:pPr>
        <w:pStyle w:val="69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二、质疑项目基本情况</w:t>
      </w:r>
      <w:r>
        <w:rPr>
          <w:rFonts w:ascii="宋体" w:hAnsi="宋体" w:eastAsia="宋体" w:cs="宋体"/>
          <w:highlight w:val="none"/>
        </w:rPr>
      </w:r>
      <w:r/>
    </w:p>
    <w:p>
      <w:pPr>
        <w:pStyle w:val="69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rPr>
          <w:rFonts w:ascii="宋体" w:hAnsi="宋体" w:eastAsia="宋体" w:cs="宋体"/>
          <w:highlight w:val="none"/>
        </w:rPr>
      </w:r>
      <w:r/>
    </w:p>
    <w:p>
      <w:pPr>
        <w:pStyle w:val="698"/>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rPr>
          <w:rFonts w:ascii="宋体" w:hAnsi="宋体" w:eastAsia="宋体" w:cs="宋体"/>
          <w:color w:val="000000"/>
          <w:highlight w:val="none"/>
          <w:u w:val="single"/>
        </w:rPr>
      </w:r>
      <w:r/>
    </w:p>
    <w:p>
      <w:pPr>
        <w:pStyle w:val="69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ascii="宋体" w:hAnsi="宋体" w:eastAsia="宋体" w:cs="宋体"/>
          <w:highlight w:val="none"/>
        </w:rPr>
      </w:r>
      <w:r/>
    </w:p>
    <w:p>
      <w:pPr>
        <w:pStyle w:val="69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rPr>
          <w:rFonts w:ascii="宋体" w:hAnsi="宋体" w:eastAsia="宋体" w:cs="宋体"/>
          <w:highlight w:val="none"/>
        </w:rPr>
      </w:r>
      <w:r/>
    </w:p>
    <w:p>
      <w:pPr>
        <w:pStyle w:val="69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rPr>
          <w:rFonts w:ascii="宋体" w:hAnsi="宋体" w:eastAsia="宋体" w:cs="宋体"/>
          <w:highlight w:val="none"/>
        </w:rPr>
      </w:r>
      <w:r/>
    </w:p>
    <w:p>
      <w:pPr>
        <w:pStyle w:val="69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三、质疑事项具体内容</w:t>
      </w:r>
      <w:r>
        <w:rPr>
          <w:rFonts w:ascii="宋体" w:hAnsi="宋体" w:eastAsia="宋体" w:cs="宋体"/>
          <w:highlight w:val="none"/>
        </w:rPr>
      </w:r>
      <w:r/>
    </w:p>
    <w:p>
      <w:pPr>
        <w:pStyle w:val="69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rPr>
          <w:rFonts w:ascii="宋体" w:hAnsi="宋体" w:eastAsia="宋体" w:cs="宋体"/>
          <w:highlight w:val="none"/>
        </w:rPr>
      </w:r>
      <w:r/>
    </w:p>
    <w:p>
      <w:pPr>
        <w:pStyle w:val="698"/>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rPr>
          <w:rFonts w:ascii="宋体" w:hAnsi="宋体" w:eastAsia="宋体" w:cs="宋体"/>
          <w:highlight w:val="none"/>
        </w:rPr>
      </w:r>
      <w:r/>
    </w:p>
    <w:p>
      <w:pPr>
        <w:pStyle w:val="69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rPr>
          <w:rFonts w:ascii="宋体" w:hAnsi="宋体" w:eastAsia="宋体" w:cs="宋体"/>
          <w:highlight w:val="none"/>
        </w:rPr>
      </w:r>
      <w:r/>
    </w:p>
    <w:p>
      <w:pPr>
        <w:pStyle w:val="69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质疑事项2</w:t>
      </w:r>
      <w:r>
        <w:rPr>
          <w:rFonts w:ascii="宋体" w:hAnsi="宋体" w:eastAsia="宋体" w:cs="宋体"/>
          <w:highlight w:val="none"/>
        </w:rPr>
      </w:r>
      <w:r/>
    </w:p>
    <w:p>
      <w:pPr>
        <w:pStyle w:val="69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w:t>
      </w:r>
      <w:r>
        <w:rPr>
          <w:rFonts w:ascii="宋体" w:hAnsi="宋体" w:eastAsia="宋体" w:cs="宋体"/>
          <w:highlight w:val="none"/>
        </w:rPr>
      </w:r>
      <w:r/>
    </w:p>
    <w:p>
      <w:pPr>
        <w:pStyle w:val="69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四、与质疑事项相关的质疑请求</w:t>
      </w:r>
      <w:r>
        <w:rPr>
          <w:rFonts w:ascii="宋体" w:hAnsi="宋体" w:eastAsia="宋体" w:cs="宋体"/>
          <w:highlight w:val="none"/>
        </w:rPr>
      </w:r>
      <w:r/>
    </w:p>
    <w:p>
      <w:pPr>
        <w:pStyle w:val="69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rPr>
          <w:rFonts w:ascii="宋体" w:hAnsi="宋体" w:eastAsia="宋体" w:cs="宋体"/>
          <w:highlight w:val="none"/>
        </w:rPr>
      </w:r>
      <w:r/>
    </w:p>
    <w:p>
      <w:pPr>
        <w:pStyle w:val="698"/>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签字(签章)：                 公章：               日期：    </w:t>
      </w:r>
      <w:r>
        <w:rPr>
          <w:rFonts w:ascii="宋体" w:hAnsi="宋体" w:eastAsia="宋体" w:cs="宋体"/>
          <w:highlight w:val="none"/>
        </w:rPr>
      </w:r>
      <w:r/>
    </w:p>
    <w:p>
      <w:pPr>
        <w:pStyle w:val="698"/>
        <w:jc w:val="both"/>
        <w:spacing w:beforeAutospacing="0" w:afterAutospacing="0" w:line="0" w:lineRule="atLeast"/>
        <w:rPr>
          <w:rFonts w:ascii="宋体" w:hAnsi="宋体" w:eastAsia="宋体" w:cs="宋体"/>
          <w:highlight w:val="none"/>
        </w:rPr>
      </w:pPr>
      <w:r>
        <w:rPr>
          <w:rFonts w:hint="eastAsia" w:ascii="宋体" w:hAnsi="宋体" w:eastAsia="宋体" w:cs="宋体"/>
          <w:b/>
          <w:color w:val="000000"/>
          <w:highlight w:val="none"/>
        </w:rPr>
        <w:t xml:space="preserve">质疑函制作说明：</w:t>
      </w:r>
      <w:r>
        <w:rPr>
          <w:rFonts w:ascii="宋体" w:hAnsi="宋体" w:eastAsia="宋体" w:cs="宋体"/>
          <w:highlight w:val="none"/>
        </w:rPr>
      </w:r>
      <w:r/>
    </w:p>
    <w:p>
      <w:pPr>
        <w:pStyle w:val="698"/>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rPr>
          <w:rFonts w:ascii="宋体" w:hAnsi="宋体" w:eastAsia="宋体" w:cs="宋体"/>
          <w:highlight w:val="none"/>
        </w:rPr>
      </w:r>
      <w:r/>
    </w:p>
    <w:p>
      <w:pPr>
        <w:pStyle w:val="698"/>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ascii="宋体" w:hAnsi="宋体" w:eastAsia="宋体" w:cs="宋体"/>
          <w:highlight w:val="none"/>
        </w:rPr>
      </w:r>
      <w:r/>
    </w:p>
    <w:p>
      <w:pPr>
        <w:pStyle w:val="698"/>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rPr>
          <w:rFonts w:ascii="宋体" w:hAnsi="宋体" w:eastAsia="宋体" w:cs="宋体"/>
          <w:highlight w:val="none"/>
        </w:rPr>
      </w:r>
      <w:r/>
    </w:p>
    <w:p>
      <w:pPr>
        <w:pStyle w:val="698"/>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rPr>
          <w:rFonts w:ascii="宋体" w:hAnsi="宋体" w:eastAsia="宋体" w:cs="宋体"/>
          <w:highlight w:val="none"/>
        </w:rPr>
      </w:r>
      <w:r/>
    </w:p>
    <w:p>
      <w:pPr>
        <w:pStyle w:val="698"/>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rPr>
          <w:rFonts w:ascii="宋体" w:hAnsi="宋体" w:eastAsia="宋体" w:cs="宋体"/>
          <w:highlight w:val="none"/>
        </w:rPr>
      </w:r>
      <w:r/>
    </w:p>
    <w:p>
      <w:pPr>
        <w:pStyle w:val="698"/>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rPr>
          <w:rFonts w:ascii="宋体" w:hAnsi="宋体" w:eastAsia="宋体" w:cs="宋体"/>
          <w:highlight w:val="none"/>
        </w:rPr>
      </w:r>
      <w:r/>
    </w:p>
    <w:sectPr>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仿宋">
    <w:panose1 w:val="02010609060101010101"/>
  </w:font>
  <w:font w:name="等线">
    <w:panose1 w:val="02010600030101010101"/>
  </w:font>
  <w:font w:name="Wingdings">
    <w:panose1 w:val="05000000000000000000"/>
  </w:font>
  <w:font w:name="华文楷体">
    <w:panose1 w:val="02010600040101010101"/>
  </w:font>
  <w:font w:name="Courier New">
    <w:panose1 w:val="02070309020205020404"/>
  </w:font>
  <w:font w:name="仿宋_GB2312">
    <w:panose1 w:val="02010609060101010101"/>
  </w:font>
  <w:font w:name="黑体">
    <w:panose1 w:val="02010609060101010101"/>
  </w:font>
  <w:font w:name="Calibri">
    <w:panose1 w:val="020F0502020204030204"/>
  </w:font>
  <w:font w:name="Arial">
    <w:panose1 w:val="020B0604020202020204"/>
  </w:font>
  <w:font w:name="宋体">
    <w:panose1 w:val="02010600030101010101"/>
  </w:font>
  <w:font w:name="KaiTi_GB2312">
    <w:panose1 w:val="0201060906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4"/>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69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68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69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680"/>
                    </w:pPr>
                    <w:r/>
                    <w:r/>
                  </w:p>
                </w:txbxContent>
              </v:textbox>
            </v:shape>
          </w:pict>
        </mc:Fallback>
      </mc:AlternateContent>
    </w:r>
    <w:r>
      <w:rPr>
        <w:rFonts w:hint="eastAsia"/>
        <w:lang w:eastAsia="zh-CN"/>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5"/>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694"/>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pPr>
                            <w:pStyle w:val="680"/>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694"/>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pPr>
                      <w:pStyle w:val="68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680"/>
        <w:tabs>
          <w:tab w:val="num" w:pos="312" w:leader="none"/>
        </w:tabs>
      </w:pPr>
    </w:lvl>
    <w:lvl w:ilvl="1">
      <w:start w:val="1"/>
      <w:numFmt w:val="bullet"/>
      <w:isLgl w:val="false"/>
      <w:suff w:val="tab"/>
      <w:lvlText w:val="o"/>
      <w:lvlJc w:val="left"/>
      <w:pPr>
        <w:pStyle w:val="680"/>
        <w:ind w:left="1440" w:hanging="360"/>
      </w:pPr>
      <w:rPr>
        <w:rFonts w:ascii="Courier New" w:hAnsi="Courier New" w:eastAsia="Courier New" w:cs="Courier New"/>
      </w:rPr>
    </w:lvl>
    <w:lvl w:ilvl="2">
      <w:start w:val="1"/>
      <w:numFmt w:val="bullet"/>
      <w:isLgl w:val="false"/>
      <w:suff w:val="tab"/>
      <w:lvlText w:val="§"/>
      <w:lvlJc w:val="left"/>
      <w:pPr>
        <w:pStyle w:val="680"/>
        <w:ind w:left="2160" w:hanging="360"/>
      </w:pPr>
      <w:rPr>
        <w:rFonts w:ascii="Wingdings" w:hAnsi="Wingdings" w:eastAsia="Wingdings" w:cs="Wingdings"/>
      </w:rPr>
    </w:lvl>
    <w:lvl w:ilvl="3">
      <w:start w:val="1"/>
      <w:numFmt w:val="bullet"/>
      <w:isLgl w:val="false"/>
      <w:suff w:val="tab"/>
      <w:lvlText w:val="·"/>
      <w:lvlJc w:val="left"/>
      <w:pPr>
        <w:pStyle w:val="680"/>
        <w:ind w:left="2880" w:hanging="360"/>
      </w:pPr>
      <w:rPr>
        <w:rFonts w:ascii="Symbol" w:hAnsi="Symbol" w:eastAsia="Symbol" w:cs="Symbol"/>
      </w:rPr>
    </w:lvl>
    <w:lvl w:ilvl="4">
      <w:start w:val="1"/>
      <w:numFmt w:val="bullet"/>
      <w:isLgl w:val="false"/>
      <w:suff w:val="tab"/>
      <w:lvlText w:val="o"/>
      <w:lvlJc w:val="left"/>
      <w:pPr>
        <w:pStyle w:val="680"/>
        <w:ind w:left="3600" w:hanging="360"/>
      </w:pPr>
      <w:rPr>
        <w:rFonts w:ascii="Courier New" w:hAnsi="Courier New" w:eastAsia="Courier New" w:cs="Courier New"/>
      </w:rPr>
    </w:lvl>
    <w:lvl w:ilvl="5">
      <w:start w:val="1"/>
      <w:numFmt w:val="bullet"/>
      <w:isLgl w:val="false"/>
      <w:suff w:val="tab"/>
      <w:lvlText w:val="§"/>
      <w:lvlJc w:val="left"/>
      <w:pPr>
        <w:pStyle w:val="680"/>
        <w:ind w:left="4320" w:hanging="360"/>
      </w:pPr>
      <w:rPr>
        <w:rFonts w:ascii="Wingdings" w:hAnsi="Wingdings" w:eastAsia="Wingdings" w:cs="Wingdings"/>
      </w:rPr>
    </w:lvl>
    <w:lvl w:ilvl="6">
      <w:start w:val="1"/>
      <w:numFmt w:val="bullet"/>
      <w:isLgl w:val="false"/>
      <w:suff w:val="tab"/>
      <w:lvlText w:val="·"/>
      <w:lvlJc w:val="left"/>
      <w:pPr>
        <w:pStyle w:val="680"/>
        <w:ind w:left="5040" w:hanging="360"/>
      </w:pPr>
      <w:rPr>
        <w:rFonts w:ascii="Symbol" w:hAnsi="Symbol" w:eastAsia="Symbol" w:cs="Symbol"/>
      </w:rPr>
    </w:lvl>
    <w:lvl w:ilvl="7">
      <w:start w:val="1"/>
      <w:numFmt w:val="bullet"/>
      <w:isLgl w:val="false"/>
      <w:suff w:val="tab"/>
      <w:lvlText w:val="o"/>
      <w:lvlJc w:val="left"/>
      <w:pPr>
        <w:pStyle w:val="680"/>
        <w:ind w:left="5760" w:hanging="360"/>
      </w:pPr>
      <w:rPr>
        <w:rFonts w:ascii="Courier New" w:hAnsi="Courier New" w:eastAsia="Courier New" w:cs="Courier New"/>
      </w:rPr>
    </w:lvl>
    <w:lvl w:ilvl="8">
      <w:start w:val="1"/>
      <w:numFmt w:val="bullet"/>
      <w:isLgl w:val="false"/>
      <w:suff w:val="tab"/>
      <w:lvlText w:val="§"/>
      <w:lvlJc w:val="left"/>
      <w:pPr>
        <w:pStyle w:val="680"/>
        <w:ind w:left="6480" w:hanging="360"/>
      </w:pPr>
      <w:rPr>
        <w:rFonts w:ascii="Wingdings" w:hAnsi="Wingdings" w:eastAsia="Wingdings" w:cs="Wingdings"/>
      </w:rPr>
    </w:lvl>
  </w:abstractNum>
  <w:abstractNum w:abstractNumId="1">
    <w:multiLevelType w:val="hybridMultilevel"/>
    <w:lvl w:ilvl="0">
      <w:start w:val="1"/>
      <w:numFmt w:val="decimal"/>
      <w:isLgl w:val="false"/>
      <w:suff w:val="space"/>
      <w:lvlText w:val="%1."/>
      <w:lvlJc w:val="left"/>
      <w:pPr>
        <w:pStyle w:val="680"/>
      </w:pPr>
    </w:lvl>
    <w:lvl w:ilvl="1">
      <w:start w:val="1"/>
      <w:numFmt w:val="bullet"/>
      <w:isLgl w:val="false"/>
      <w:suff w:val="tab"/>
      <w:lvlText w:val="o"/>
      <w:lvlJc w:val="left"/>
      <w:pPr>
        <w:pStyle w:val="680"/>
        <w:ind w:left="1440" w:hanging="360"/>
      </w:pPr>
      <w:rPr>
        <w:rFonts w:ascii="Courier New" w:hAnsi="Courier New" w:eastAsia="Courier New" w:cs="Courier New"/>
      </w:rPr>
    </w:lvl>
    <w:lvl w:ilvl="2">
      <w:start w:val="1"/>
      <w:numFmt w:val="bullet"/>
      <w:isLgl w:val="false"/>
      <w:suff w:val="tab"/>
      <w:lvlText w:val="§"/>
      <w:lvlJc w:val="left"/>
      <w:pPr>
        <w:pStyle w:val="680"/>
        <w:ind w:left="2160" w:hanging="360"/>
      </w:pPr>
      <w:rPr>
        <w:rFonts w:ascii="Wingdings" w:hAnsi="Wingdings" w:eastAsia="Wingdings" w:cs="Wingdings"/>
      </w:rPr>
    </w:lvl>
    <w:lvl w:ilvl="3">
      <w:start w:val="1"/>
      <w:numFmt w:val="bullet"/>
      <w:isLgl w:val="false"/>
      <w:suff w:val="tab"/>
      <w:lvlText w:val="·"/>
      <w:lvlJc w:val="left"/>
      <w:pPr>
        <w:pStyle w:val="680"/>
        <w:ind w:left="2880" w:hanging="360"/>
      </w:pPr>
      <w:rPr>
        <w:rFonts w:ascii="Symbol" w:hAnsi="Symbol" w:eastAsia="Symbol" w:cs="Symbol"/>
      </w:rPr>
    </w:lvl>
    <w:lvl w:ilvl="4">
      <w:start w:val="1"/>
      <w:numFmt w:val="bullet"/>
      <w:isLgl w:val="false"/>
      <w:suff w:val="tab"/>
      <w:lvlText w:val="o"/>
      <w:lvlJc w:val="left"/>
      <w:pPr>
        <w:pStyle w:val="680"/>
        <w:ind w:left="3600" w:hanging="360"/>
      </w:pPr>
      <w:rPr>
        <w:rFonts w:ascii="Courier New" w:hAnsi="Courier New" w:eastAsia="Courier New" w:cs="Courier New"/>
      </w:rPr>
    </w:lvl>
    <w:lvl w:ilvl="5">
      <w:start w:val="1"/>
      <w:numFmt w:val="bullet"/>
      <w:isLgl w:val="false"/>
      <w:suff w:val="tab"/>
      <w:lvlText w:val="§"/>
      <w:lvlJc w:val="left"/>
      <w:pPr>
        <w:pStyle w:val="680"/>
        <w:ind w:left="4320" w:hanging="360"/>
      </w:pPr>
      <w:rPr>
        <w:rFonts w:ascii="Wingdings" w:hAnsi="Wingdings" w:eastAsia="Wingdings" w:cs="Wingdings"/>
      </w:rPr>
    </w:lvl>
    <w:lvl w:ilvl="6">
      <w:start w:val="1"/>
      <w:numFmt w:val="bullet"/>
      <w:isLgl w:val="false"/>
      <w:suff w:val="tab"/>
      <w:lvlText w:val="·"/>
      <w:lvlJc w:val="left"/>
      <w:pPr>
        <w:pStyle w:val="680"/>
        <w:ind w:left="5040" w:hanging="360"/>
      </w:pPr>
      <w:rPr>
        <w:rFonts w:ascii="Symbol" w:hAnsi="Symbol" w:eastAsia="Symbol" w:cs="Symbol"/>
      </w:rPr>
    </w:lvl>
    <w:lvl w:ilvl="7">
      <w:start w:val="1"/>
      <w:numFmt w:val="bullet"/>
      <w:isLgl w:val="false"/>
      <w:suff w:val="tab"/>
      <w:lvlText w:val="o"/>
      <w:lvlJc w:val="left"/>
      <w:pPr>
        <w:pStyle w:val="680"/>
        <w:ind w:left="5760" w:hanging="360"/>
      </w:pPr>
      <w:rPr>
        <w:rFonts w:ascii="Courier New" w:hAnsi="Courier New" w:eastAsia="Courier New" w:cs="Courier New"/>
      </w:rPr>
    </w:lvl>
    <w:lvl w:ilvl="8">
      <w:start w:val="1"/>
      <w:numFmt w:val="bullet"/>
      <w:isLgl w:val="false"/>
      <w:suff w:val="tab"/>
      <w:lvlText w:val="§"/>
      <w:lvlJc w:val="left"/>
      <w:pPr>
        <w:pStyle w:val="680"/>
        <w:ind w:left="6480" w:hanging="360"/>
      </w:pPr>
      <w:rPr>
        <w:rFonts w:ascii="Wingdings" w:hAnsi="Wingdings" w:eastAsia="Wingdings" w:cs="Wingdings"/>
      </w:rPr>
    </w:lvl>
  </w:abstractNum>
  <w:abstractNum w:abstractNumId="2">
    <w:multiLevelType w:val="hybridMultilevel"/>
    <w:lvl w:ilvl="0">
      <w:start w:val="2"/>
      <w:numFmt w:val="decimal"/>
      <w:isLgl w:val="false"/>
      <w:suff w:val="nothing"/>
      <w:lvlText w:val="%1、"/>
      <w:lvlJc w:val="left"/>
      <w:pPr>
        <w:pStyle w:val="6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80"/>
    <w:next w:val="68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80"/>
    <w:next w:val="68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80"/>
    <w:next w:val="68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80"/>
    <w:next w:val="68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80"/>
    <w:next w:val="68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80"/>
    <w:next w:val="68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80"/>
    <w:next w:val="68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80"/>
    <w:next w:val="68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80"/>
    <w:next w:val="68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80"/>
    <w:next w:val="68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80"/>
    <w:next w:val="68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80"/>
    <w:next w:val="680"/>
    <w:link w:val="38"/>
    <w:uiPriority w:val="29"/>
    <w:qFormat/>
    <w:pPr>
      <w:ind w:left="720" w:right="720"/>
    </w:pPr>
    <w:rPr>
      <w:i/>
    </w:rPr>
  </w:style>
  <w:style w:type="character" w:styleId="38">
    <w:name w:val="Quote Char"/>
    <w:link w:val="37"/>
    <w:uiPriority w:val="29"/>
    <w:rPr>
      <w:i/>
    </w:rPr>
  </w:style>
  <w:style w:type="paragraph" w:styleId="39">
    <w:name w:val="Intense Quote"/>
    <w:basedOn w:val="680"/>
    <w:next w:val="68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8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8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80"/>
    <w:next w:val="68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8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8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80"/>
    <w:next w:val="680"/>
    <w:uiPriority w:val="39"/>
    <w:unhideWhenUsed/>
    <w:pPr>
      <w:ind w:left="0" w:right="0" w:firstLine="0"/>
      <w:spacing w:after="57"/>
    </w:pPr>
  </w:style>
  <w:style w:type="paragraph" w:styleId="181">
    <w:name w:val="toc 2"/>
    <w:basedOn w:val="680"/>
    <w:next w:val="680"/>
    <w:uiPriority w:val="39"/>
    <w:unhideWhenUsed/>
    <w:pPr>
      <w:ind w:left="283" w:right="0" w:firstLine="0"/>
      <w:spacing w:after="57"/>
    </w:pPr>
  </w:style>
  <w:style w:type="paragraph" w:styleId="182">
    <w:name w:val="toc 3"/>
    <w:basedOn w:val="680"/>
    <w:next w:val="680"/>
    <w:uiPriority w:val="39"/>
    <w:unhideWhenUsed/>
    <w:pPr>
      <w:ind w:left="567" w:right="0" w:firstLine="0"/>
      <w:spacing w:after="57"/>
    </w:pPr>
  </w:style>
  <w:style w:type="paragraph" w:styleId="183">
    <w:name w:val="toc 4"/>
    <w:basedOn w:val="680"/>
    <w:next w:val="680"/>
    <w:uiPriority w:val="39"/>
    <w:unhideWhenUsed/>
    <w:pPr>
      <w:ind w:left="850" w:right="0" w:firstLine="0"/>
      <w:spacing w:after="57"/>
    </w:pPr>
  </w:style>
  <w:style w:type="paragraph" w:styleId="184">
    <w:name w:val="toc 5"/>
    <w:basedOn w:val="680"/>
    <w:next w:val="680"/>
    <w:uiPriority w:val="39"/>
    <w:unhideWhenUsed/>
    <w:pPr>
      <w:ind w:left="1134" w:right="0" w:firstLine="0"/>
      <w:spacing w:after="57"/>
    </w:pPr>
  </w:style>
  <w:style w:type="paragraph" w:styleId="185">
    <w:name w:val="toc 6"/>
    <w:basedOn w:val="680"/>
    <w:next w:val="680"/>
    <w:uiPriority w:val="39"/>
    <w:unhideWhenUsed/>
    <w:pPr>
      <w:ind w:left="1417" w:right="0" w:firstLine="0"/>
      <w:spacing w:after="57"/>
    </w:pPr>
  </w:style>
  <w:style w:type="paragraph" w:styleId="186">
    <w:name w:val="toc 7"/>
    <w:basedOn w:val="680"/>
    <w:next w:val="680"/>
    <w:uiPriority w:val="39"/>
    <w:unhideWhenUsed/>
    <w:pPr>
      <w:ind w:left="1701" w:right="0" w:firstLine="0"/>
      <w:spacing w:after="57"/>
    </w:pPr>
  </w:style>
  <w:style w:type="paragraph" w:styleId="187">
    <w:name w:val="toc 8"/>
    <w:basedOn w:val="680"/>
    <w:next w:val="680"/>
    <w:uiPriority w:val="39"/>
    <w:unhideWhenUsed/>
    <w:pPr>
      <w:ind w:left="1984" w:right="0" w:firstLine="0"/>
      <w:spacing w:after="57"/>
    </w:pPr>
  </w:style>
  <w:style w:type="paragraph" w:styleId="188">
    <w:name w:val="toc 9"/>
    <w:basedOn w:val="680"/>
    <w:next w:val="680"/>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0"/>
    <w:next w:val="680"/>
    <w:uiPriority w:val="99"/>
    <w:unhideWhenUsed/>
    <w:pPr>
      <w:spacing w:after="0" w:afterAutospacing="0"/>
    </w:pPr>
  </w:style>
  <w:style w:type="paragraph" w:styleId="680" w:default="1">
    <w:name w:val="Normal"/>
    <w:next w:val="680"/>
    <w:link w:val="680"/>
    <w:qFormat/>
    <w:pPr>
      <w:jc w:val="both"/>
      <w:widowControl w:val="off"/>
    </w:pPr>
    <w:rPr>
      <w:rFonts w:ascii="Calibri" w:hAnsi="Calibri" w:eastAsia="宋体" w:cs="Times New Roman"/>
      <w:sz w:val="21"/>
      <w:szCs w:val="24"/>
      <w:lang w:val="en-US" w:eastAsia="zh-CN" w:bidi="ar-SA"/>
    </w:rPr>
  </w:style>
  <w:style w:type="paragraph" w:styleId="681">
    <w:name w:val="标题 2"/>
    <w:basedOn w:val="680"/>
    <w:next w:val="680"/>
    <w:link w:val="680"/>
    <w:unhideWhenUsed/>
    <w:qFormat/>
    <w:pPr>
      <w:jc w:val="left"/>
      <w:spacing w:before="100" w:beforeAutospacing="1" w:after="100" w:afterAutospacing="1"/>
      <w:outlineLvl w:val="1"/>
    </w:pPr>
    <w:rPr>
      <w:rFonts w:hint="eastAsia" w:ascii="宋体" w:hAnsi="宋体" w:eastAsia="宋体" w:cs="宋体"/>
      <w:b/>
      <w:bCs/>
      <w:sz w:val="36"/>
      <w:szCs w:val="36"/>
      <w:lang w:val="en-US" w:eastAsia="zh-CN" w:bidi="ar"/>
    </w:rPr>
  </w:style>
  <w:style w:type="paragraph" w:styleId="682">
    <w:name w:val="标题 3"/>
    <w:basedOn w:val="680"/>
    <w:next w:val="686"/>
    <w:link w:val="680"/>
    <w:uiPriority w:val="99"/>
    <w:qFormat/>
    <w:pPr>
      <w:ind w:firstLine="137"/>
      <w:keepLines/>
      <w:keepNext/>
      <w:spacing w:line="415" w:lineRule="auto"/>
      <w:outlineLvl w:val="2"/>
    </w:pPr>
    <w:rPr>
      <w:rFonts w:hAnsi="黑体" w:eastAsia="黑体"/>
      <w:sz w:val="24"/>
      <w:szCs w:val="20"/>
    </w:rPr>
  </w:style>
  <w:style w:type="paragraph" w:styleId="683">
    <w:name w:val="标题 4"/>
    <w:basedOn w:val="680"/>
    <w:next w:val="680"/>
    <w:link w:val="680"/>
    <w:qFormat/>
    <w:pPr>
      <w:keepLines/>
      <w:keepNext/>
      <w:spacing w:before="280" w:after="290" w:line="376" w:lineRule="auto"/>
      <w:outlineLvl w:val="3"/>
    </w:pPr>
    <w:rPr>
      <w:rFonts w:ascii="Arial" w:hAnsi="Arial" w:eastAsia="黑体" w:cs="Arial"/>
      <w:b/>
      <w:bCs/>
      <w:sz w:val="28"/>
      <w:szCs w:val="28"/>
    </w:rPr>
  </w:style>
  <w:style w:type="character" w:styleId="684">
    <w:name w:val="默认段落字体"/>
    <w:next w:val="684"/>
    <w:link w:val="680"/>
    <w:uiPriority w:val="1"/>
    <w:unhideWhenUsed/>
    <w:qFormat/>
  </w:style>
  <w:style w:type="table" w:styleId="685">
    <w:name w:val="普通表格"/>
    <w:next w:val="685"/>
    <w:link w:val="680"/>
    <w:uiPriority w:val="99"/>
    <w:unhideWhenUsed/>
    <w:qFormat/>
    <w:tblPr/>
  </w:style>
  <w:style w:type="paragraph" w:styleId="686">
    <w:name w:val="正文缩进"/>
    <w:basedOn w:val="680"/>
    <w:next w:val="686"/>
    <w:link w:val="680"/>
    <w:qFormat/>
    <w:pPr>
      <w:ind w:firstLine="420"/>
    </w:pPr>
    <w:rPr>
      <w:szCs w:val="21"/>
    </w:rPr>
  </w:style>
  <w:style w:type="paragraph" w:styleId="687">
    <w:name w:val="批注文字"/>
    <w:basedOn w:val="680"/>
    <w:next w:val="687"/>
    <w:link w:val="680"/>
    <w:qFormat/>
    <w:pPr>
      <w:jc w:val="left"/>
    </w:pPr>
  </w:style>
  <w:style w:type="paragraph" w:styleId="688">
    <w:name w:val="正文文本"/>
    <w:basedOn w:val="680"/>
    <w:next w:val="689"/>
    <w:link w:val="680"/>
    <w:unhideWhenUsed/>
    <w:qFormat/>
    <w:pPr>
      <w:spacing w:after="120"/>
    </w:pPr>
    <w:rPr>
      <w:rFonts w:ascii="Calibri" w:hAnsi="Calibri"/>
      <w:szCs w:val="22"/>
    </w:rPr>
  </w:style>
  <w:style w:type="paragraph" w:styleId="689">
    <w:name w:val="正文首行缩进"/>
    <w:basedOn w:val="688"/>
    <w:next w:val="689"/>
    <w:link w:val="680"/>
    <w:qFormat/>
    <w:pPr>
      <w:ind w:firstLine="420"/>
    </w:pPr>
    <w:rPr>
      <w:sz w:val="24"/>
    </w:rPr>
  </w:style>
  <w:style w:type="paragraph" w:styleId="690">
    <w:name w:val="正文文本缩进"/>
    <w:basedOn w:val="680"/>
    <w:next w:val="691"/>
    <w:link w:val="680"/>
    <w:qFormat/>
    <w:pPr>
      <w:ind w:firstLine="645"/>
    </w:pPr>
    <w:rPr>
      <w:rFonts w:ascii="KaiTi_GB2312" w:eastAsia="KaiTi_GB2312"/>
      <w:sz w:val="32"/>
      <w:szCs w:val="32"/>
    </w:rPr>
  </w:style>
  <w:style w:type="paragraph" w:styleId="691">
    <w:name w:val="寄信人地址"/>
    <w:basedOn w:val="680"/>
    <w:next w:val="691"/>
    <w:link w:val="680"/>
    <w:uiPriority w:val="99"/>
    <w:qFormat/>
    <w:rPr>
      <w:rFonts w:ascii="Arial" w:hAnsi="Arial" w:cs="Arial"/>
    </w:rPr>
  </w:style>
  <w:style w:type="paragraph" w:styleId="692">
    <w:name w:val="文本块"/>
    <w:basedOn w:val="680"/>
    <w:next w:val="683"/>
    <w:link w:val="680"/>
    <w:qFormat/>
    <w:pPr>
      <w:ind w:left="1440" w:right="1440"/>
      <w:spacing w:after="120"/>
    </w:pPr>
  </w:style>
  <w:style w:type="paragraph" w:styleId="693">
    <w:name w:val="纯文本"/>
    <w:basedOn w:val="680"/>
    <w:next w:val="693"/>
    <w:link w:val="680"/>
    <w:unhideWhenUsed/>
    <w:qFormat/>
    <w:rPr>
      <w:rFonts w:ascii="宋体" w:hAnsi="Courier New" w:cs="Courier New"/>
      <w:szCs w:val="21"/>
    </w:rPr>
  </w:style>
  <w:style w:type="paragraph" w:styleId="694">
    <w:name w:val="页脚"/>
    <w:basedOn w:val="680"/>
    <w:next w:val="694"/>
    <w:link w:val="695"/>
    <w:qFormat/>
    <w:pPr>
      <w:jc w:val="left"/>
      <w:tabs>
        <w:tab w:val="center" w:pos="4153" w:leader="none"/>
        <w:tab w:val="right" w:pos="8306" w:leader="none"/>
      </w:tabs>
    </w:pPr>
    <w:rPr>
      <w:sz w:val="18"/>
      <w:szCs w:val="18"/>
    </w:rPr>
  </w:style>
  <w:style w:type="character" w:styleId="695">
    <w:name w:val="页脚 Char"/>
    <w:basedOn w:val="684"/>
    <w:next w:val="695"/>
    <w:link w:val="694"/>
    <w:qFormat/>
    <w:rPr>
      <w:rFonts w:ascii="Calibri" w:hAnsi="Calibri" w:eastAsia="宋体" w:cs="Times New Roman"/>
      <w:sz w:val="18"/>
      <w:szCs w:val="18"/>
    </w:rPr>
  </w:style>
  <w:style w:type="paragraph" w:styleId="696">
    <w:name w:val="页眉"/>
    <w:basedOn w:val="680"/>
    <w:next w:val="696"/>
    <w:link w:val="697"/>
    <w:qFormat/>
    <w:pPr>
      <w:jc w:val="center"/>
      <w:tabs>
        <w:tab w:val="center" w:pos="4153" w:leader="none"/>
        <w:tab w:val="right" w:pos="8306" w:leader="none"/>
      </w:tabs>
      <w:pBdr>
        <w:bottom w:val="single" w:color="000000" w:sz="6" w:space="1"/>
      </w:pBdr>
    </w:pPr>
    <w:rPr>
      <w:sz w:val="18"/>
      <w:szCs w:val="18"/>
    </w:rPr>
  </w:style>
  <w:style w:type="character" w:styleId="697">
    <w:name w:val="页眉 Char"/>
    <w:basedOn w:val="684"/>
    <w:next w:val="697"/>
    <w:link w:val="696"/>
    <w:qFormat/>
    <w:rPr>
      <w:rFonts w:ascii="Calibri" w:hAnsi="Calibri" w:eastAsia="宋体" w:cs="Times New Roman"/>
      <w:sz w:val="18"/>
      <w:szCs w:val="18"/>
    </w:rPr>
  </w:style>
  <w:style w:type="paragraph" w:styleId="698">
    <w:name w:val="普通(网站)"/>
    <w:basedOn w:val="680"/>
    <w:next w:val="698"/>
    <w:link w:val="680"/>
    <w:qFormat/>
    <w:pPr>
      <w:jc w:val="left"/>
      <w:spacing w:beforeAutospacing="1" w:afterAutospacing="1"/>
    </w:pPr>
    <w:rPr>
      <w:rFonts w:cs="Times New Roman"/>
      <w:sz w:val="24"/>
    </w:rPr>
  </w:style>
  <w:style w:type="paragraph" w:styleId="699">
    <w:name w:val="正文首行缩进 2"/>
    <w:basedOn w:val="690"/>
    <w:next w:val="699"/>
    <w:link w:val="680"/>
    <w:qFormat/>
    <w:pPr>
      <w:ind w:left="420" w:firstLine="420"/>
      <w:spacing w:after="120"/>
    </w:pPr>
    <w:rPr>
      <w:sz w:val="21"/>
    </w:rPr>
  </w:style>
  <w:style w:type="table" w:styleId="700">
    <w:name w:val="网格型"/>
    <w:basedOn w:val="685"/>
    <w:next w:val="700"/>
    <w:link w:val="680"/>
    <w:qFormat/>
    <w:pPr>
      <w:jc w:val="both"/>
      <w:widowControl w:val="off"/>
    </w:pPr>
    <w:tblPr/>
  </w:style>
  <w:style w:type="paragraph" w:styleId="701">
    <w:name w:val="List Paragraph"/>
    <w:basedOn w:val="680"/>
    <w:next w:val="680"/>
    <w:link w:val="680"/>
    <w:uiPriority w:val="34"/>
    <w:qFormat/>
    <w:pPr>
      <w:contextualSpacing/>
      <w:ind w:left="720"/>
    </w:pPr>
  </w:style>
  <w:style w:type="paragraph" w:styleId="702">
    <w:name w:val="文本块1"/>
    <w:basedOn w:val="680"/>
    <w:next w:val="702"/>
    <w:link w:val="680"/>
    <w:qFormat/>
    <w:pPr>
      <w:ind w:left="1440"/>
      <w:spacing w:after="120"/>
    </w:pPr>
    <w:rPr>
      <w:rFonts w:hint="eastAsia"/>
    </w:rPr>
  </w:style>
  <w:style w:type="paragraph" w:styleId="703">
    <w:name w:val="Default"/>
    <w:basedOn w:val="680"/>
    <w:next w:val="703"/>
    <w:link w:val="680"/>
    <w:semiHidden/>
    <w:qFormat/>
    <w:pPr>
      <w:jc w:val="left"/>
    </w:pPr>
    <w:rPr>
      <w:rFonts w:ascii="宋体" w:hAnsi="Calibri" w:cs="宋体"/>
      <w:color w:val="000000"/>
      <w:sz w:val="24"/>
    </w:rPr>
  </w:style>
  <w:style w:type="paragraph" w:styleId="704">
    <w:name w:val="AONormal"/>
    <w:next w:val="704"/>
    <w:link w:val="680"/>
    <w:qFormat/>
    <w:pPr>
      <w:ind w:firstLine="440"/>
      <w:spacing w:line="400" w:lineRule="exact"/>
    </w:pPr>
    <w:rPr>
      <w:rFonts w:ascii="华文楷体" w:hAnsi="华文楷体" w:eastAsia="华文楷体" w:cs="华文楷体"/>
      <w:sz w:val="22"/>
      <w:szCs w:val="21"/>
      <w:lang w:val="en-US" w:eastAsia="zh-CN" w:bidi="ar-SA"/>
    </w:rPr>
  </w:style>
  <w:style w:type="paragraph" w:styleId="705">
    <w:name w:val="页脚1"/>
    <w:basedOn w:val="680"/>
    <w:next w:val="705"/>
    <w:link w:val="680"/>
    <w:uiPriority w:val="99"/>
    <w:unhideWhenUsed/>
    <w:qFormat/>
    <w:pPr>
      <w:jc w:val="left"/>
      <w:tabs>
        <w:tab w:val="center" w:pos="4153" w:leader="none"/>
        <w:tab w:val="right" w:pos="8306" w:leader="none"/>
      </w:tabs>
    </w:pPr>
    <w:rPr>
      <w:sz w:val="18"/>
      <w:szCs w:val="18"/>
    </w:rPr>
  </w:style>
  <w:style w:type="paragraph" w:styleId="706">
    <w:name w:val="普通正文"/>
    <w:basedOn w:val="680"/>
    <w:next w:val="706"/>
    <w:link w:val="680"/>
    <w:qFormat/>
    <w:pPr>
      <w:ind w:firstLine="480"/>
      <w:jc w:val="left"/>
      <w:spacing w:before="120" w:after="120" w:line="360" w:lineRule="auto"/>
    </w:pPr>
    <w:rPr>
      <w:rFonts w:ascii="Arial" w:hAnsi="Arial" w:eastAsia="等线" w:cs="Arial"/>
      <w:sz w:val="24"/>
      <w:szCs w:val="24"/>
    </w:rPr>
  </w:style>
  <w:style w:type="paragraph" w:styleId="707">
    <w:name w:val="正文首行缩进 21"/>
    <w:basedOn w:val="708"/>
    <w:next w:val="707"/>
    <w:link w:val="680"/>
    <w:qFormat/>
    <w:pPr>
      <w:ind w:firstLine="420"/>
    </w:pPr>
  </w:style>
  <w:style w:type="paragraph" w:styleId="708">
    <w:name w:val="正文文本缩进1"/>
    <w:basedOn w:val="680"/>
    <w:next w:val="708"/>
    <w:link w:val="680"/>
    <w:qFormat/>
    <w:pPr>
      <w:ind w:left="420"/>
      <w:spacing w:after="120"/>
    </w:pPr>
  </w:style>
  <w:style w:type="paragraph" w:styleId="709">
    <w:name w:val="_Style 1"/>
    <w:basedOn w:val="680"/>
    <w:next w:val="709"/>
    <w:link w:val="680"/>
    <w:qFormat/>
    <w:pPr>
      <w:ind w:firstLine="200"/>
    </w:pPr>
    <w:rPr>
      <w:rFonts w:ascii="Times New Roman" w:hAnsi="Times New Roman" w:cs="Times New Roman"/>
      <w:szCs w:val="24"/>
    </w:rPr>
  </w:style>
  <w:style w:type="paragraph" w:styleId="710">
    <w:name w:val="正"/>
    <w:basedOn w:val="703"/>
    <w:next w:val="710"/>
    <w:link w:val="680"/>
    <w:qFormat/>
    <w:pPr>
      <w:ind w:firstLine="480"/>
    </w:pPr>
    <w:rPr>
      <w:rFonts w:ascii="宋体" w:hAnsi="宋体"/>
    </w:rPr>
  </w:style>
  <w:style w:type="paragraph" w:styleId="711">
    <w:name w:val="表格"/>
    <w:basedOn w:val="680"/>
    <w:next w:val="711"/>
    <w:link w:val="680"/>
    <w:qFormat/>
    <w:pPr>
      <w:ind w:firstLine="0"/>
      <w:jc w:val="center"/>
      <w:spacing w:line="240" w:lineRule="auto"/>
    </w:pPr>
    <w:rPr>
      <w:sz w:val="24"/>
    </w:rPr>
  </w:style>
  <w:style w:type="paragraph" w:styleId="712">
    <w:name w:val="Fließtext"/>
    <w:basedOn w:val="680"/>
    <w:next w:val="712"/>
    <w:link w:val="680"/>
    <w:qFormat/>
    <w:rPr>
      <w:szCs w:val="20"/>
    </w:rPr>
  </w:style>
  <w:style w:type="character" w:styleId="11908" w:default="1">
    <w:name w:val="Default Paragraph Font"/>
    <w:uiPriority w:val="1"/>
    <w:semiHidden/>
    <w:unhideWhenUsed/>
  </w:style>
  <w:style w:type="numbering" w:styleId="11909" w:default="1">
    <w:name w:val="No List"/>
    <w:uiPriority w:val="99"/>
    <w:semiHidden/>
    <w:unhideWhenUsed/>
  </w:style>
  <w:style w:type="table" w:styleId="1191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dc:creator>
  <cp:lastModifiedBy>黄海燕</cp:lastModifiedBy>
  <cp:revision>12</cp:revision>
  <dcterms:created xsi:type="dcterms:W3CDTF">2014-10-29T12:08:00Z</dcterms:created>
  <dcterms:modified xsi:type="dcterms:W3CDTF">2026-04-28T07:34:26Z</dcterms:modified>
</cp:coreProperties>
</file>