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spacing w:val="40"/>
          <w:sz w:val="72"/>
          <w:szCs w:val="72"/>
        </w:rPr>
      </w:pPr>
      <w:r>
        <w:rPr>
          <w:b/>
          <w:spacing w:val="40"/>
          <w:sz w:val="72"/>
          <w:szCs w:val="72"/>
        </w:rPr>
      </w:r>
      <w:r/>
    </w:p>
    <w:p>
      <w:pPr>
        <w:pStyle w:val="949"/>
        <w:rPr>
          <w:rFonts w:hint="eastAsia"/>
        </w:rPr>
      </w:pPr>
      <w:r>
        <w:rPr>
          <w:rFonts w:hint="eastAsia"/>
        </w:rPr>
      </w:r>
      <w:r/>
    </w:p>
    <w:p>
      <w:pPr>
        <w:jc w:val="center"/>
        <w:spacing w:line="360" w:lineRule="auto"/>
        <w:rPr>
          <w:b/>
          <w:spacing w:val="40"/>
          <w:sz w:val="72"/>
          <w:szCs w:val="72"/>
        </w:rPr>
      </w:pPr>
      <w:r>
        <w:rPr>
          <w:b/>
          <w:spacing w:val="40"/>
          <w:sz w:val="72"/>
          <w:szCs w:val="72"/>
        </w:rPr>
      </w:r>
      <w:r/>
    </w:p>
    <w:p>
      <w:pPr>
        <w:jc w:val="center"/>
        <w:spacing w:line="360" w:lineRule="auto"/>
        <w:rPr>
          <w:b/>
          <w:spacing w:val="40"/>
          <w:sz w:val="72"/>
          <w:szCs w:val="72"/>
        </w:rPr>
      </w:pPr>
      <w:r>
        <w:rPr>
          <w:b/>
          <w:spacing w:val="40"/>
          <w:sz w:val="72"/>
          <w:szCs w:val="72"/>
        </w:rPr>
        <w:t xml:space="preserve">政府采购竞争性</w:t>
      </w:r>
      <w:r/>
    </w:p>
    <w:p>
      <w:pPr>
        <w:jc w:val="center"/>
        <w:spacing w:line="360" w:lineRule="auto"/>
        <w:rPr>
          <w:b/>
          <w:spacing w:val="40"/>
          <w:sz w:val="72"/>
          <w:szCs w:val="72"/>
        </w:rPr>
      </w:pPr>
      <w:r>
        <w:rPr>
          <w:b/>
          <w:spacing w:val="40"/>
          <w:sz w:val="72"/>
          <w:szCs w:val="72"/>
        </w:rPr>
        <w:t xml:space="preserve">磋商</w:t>
      </w:r>
      <w:r>
        <w:rPr>
          <w:b/>
          <w:spacing w:val="20"/>
          <w:sz w:val="72"/>
          <w:szCs w:val="72"/>
        </w:rPr>
        <w:t xml:space="preserve">文件</w:t>
      </w:r>
      <w:r/>
    </w:p>
    <w:p>
      <w:pPr>
        <w:pStyle w:val="1123"/>
        <w:spacing w:before="75" w:beforeAutospacing="0" w:after="75" w:afterAutospacing="0"/>
        <w:widowControl/>
        <w:rPr>
          <w:rStyle w:val="1127"/>
          <w:rFonts w:ascii="宋体" w:hAnsi="宋体" w:cs="宋体"/>
          <w:sz w:val="72"/>
          <w:szCs w:val="72"/>
        </w:rPr>
      </w:pPr>
      <w:r>
        <w:rPr>
          <w:rFonts w:ascii="宋体" w:hAnsi="宋体" w:cs="宋体"/>
          <w:sz w:val="72"/>
          <w:szCs w:val="72"/>
        </w:rPr>
      </w:r>
      <w:r/>
    </w:p>
    <w:p>
      <w:pPr>
        <w:pStyle w:val="1123"/>
        <w:spacing w:before="75" w:beforeAutospacing="0" w:after="75" w:afterAutospacing="0" w:line="360" w:lineRule="auto"/>
        <w:widowControl/>
        <w:rPr>
          <w:rFonts w:hint="eastAsia" w:ascii="sans-serif" w:hAnsi="sans-serif" w:cs="sans-serif"/>
        </w:rPr>
      </w:pPr>
      <w:r>
        <w:rPr>
          <w:rFonts w:hint="eastAsia" w:ascii="sans-serif" w:hAnsi="sans-serif" w:cs="sans-serif"/>
        </w:rPr>
      </w:r>
      <w:r/>
    </w:p>
    <w:p>
      <w:pPr>
        <w:pStyle w:val="1123"/>
        <w:jc w:val="center"/>
        <w:spacing w:before="75" w:beforeAutospacing="0" w:after="75" w:afterAutospacing="0" w:line="360" w:lineRule="auto"/>
        <w:widowControl/>
        <w:rPr>
          <w:rStyle w:val="1127"/>
          <w:rFonts w:hint="eastAsia" w:ascii="宋体" w:hAnsi="宋体" w:eastAsia="宋体" w:cs="宋体"/>
          <w:color w:val="auto"/>
          <w:sz w:val="30"/>
          <w:szCs w:val="30"/>
          <w:highlight w:val="none"/>
          <w:u w:val="single"/>
          <w:lang w:eastAsia="zh-CN"/>
        </w:rPr>
      </w:pPr>
      <w:r>
        <w:rPr>
          <w:rStyle w:val="1127"/>
          <w:rFonts w:hint="eastAsia" w:ascii="宋体" w:hAnsi="宋体" w:cs="宋体"/>
          <w:sz w:val="30"/>
          <w:szCs w:val="30"/>
        </w:rPr>
        <w:t xml:space="preserve">采购编</w:t>
      </w:r>
      <w:r>
        <w:rPr>
          <w:rStyle w:val="1127"/>
          <w:rFonts w:hint="eastAsia" w:ascii="宋体" w:hAnsi="宋体" w:cs="宋体"/>
          <w:color w:val="auto"/>
          <w:sz w:val="30"/>
          <w:szCs w:val="30"/>
          <w:highlight w:val="none"/>
        </w:rPr>
        <w:t xml:space="preserve">号：</w:t>
      </w:r>
      <w:r>
        <w:rPr>
          <w:rStyle w:val="1127"/>
          <w:rFonts w:hint="eastAsia" w:ascii="宋体" w:hAnsi="宋体" w:cs="宋体"/>
          <w:color w:val="auto"/>
          <w:sz w:val="30"/>
          <w:szCs w:val="30"/>
          <w:highlight w:val="none"/>
          <w:u w:val="single"/>
          <w:lang w:eastAsia="zh-CN"/>
        </w:rPr>
        <w:t xml:space="preserve">JSZC-320591-CJZT-C2026-0002</w:t>
      </w:r>
      <w:r/>
    </w:p>
    <w:p>
      <w:pPr>
        <w:pStyle w:val="1123"/>
        <w:jc w:val="center"/>
        <w:spacing w:before="75" w:beforeAutospacing="0" w:after="75" w:afterAutospacing="0" w:line="360" w:lineRule="auto"/>
        <w:widowControl/>
        <w:rPr>
          <w:rFonts w:hint="eastAsia" w:ascii="sans-serif" w:hAnsi="sans-serif" w:cs="sans-serif"/>
          <w:color w:val="auto"/>
          <w:highlight w:val="none"/>
        </w:rPr>
      </w:pPr>
      <w:r>
        <w:rPr>
          <w:rStyle w:val="1127"/>
          <w:rFonts w:hint="eastAsia" w:ascii="宋体" w:hAnsi="宋体" w:cs="宋体"/>
          <w:color w:val="auto"/>
          <w:sz w:val="30"/>
          <w:szCs w:val="30"/>
          <w:highlight w:val="none"/>
        </w:rPr>
        <w:t xml:space="preserve">项目名称：</w:t>
      </w:r>
      <w:r>
        <w:rPr>
          <w:rStyle w:val="1127"/>
          <w:rFonts w:hint="eastAsia" w:ascii="宋体" w:hAnsi="宋体" w:cs="宋体"/>
          <w:color w:val="auto"/>
          <w:sz w:val="30"/>
          <w:szCs w:val="30"/>
          <w:highlight w:val="none"/>
          <w:u w:val="single"/>
        </w:rPr>
        <w:t xml:space="preserve">苏州工业园区2026年度危化品领域企业第三方安全生产指导服务项目</w:t>
      </w:r>
      <w:r/>
    </w:p>
    <w:p>
      <w:pPr>
        <w:pStyle w:val="1123"/>
        <w:jc w:val="center"/>
        <w:spacing w:before="75" w:beforeAutospacing="0" w:after="75" w:afterAutospacing="0" w:line="360" w:lineRule="auto"/>
        <w:widowControl/>
        <w:rPr>
          <w:rFonts w:hint="eastAsia" w:ascii="sans-serif" w:hAnsi="sans-serif" w:cs="sans-serif"/>
          <w:color w:val="auto"/>
          <w:highlight w:val="none"/>
        </w:rPr>
      </w:pPr>
      <w:r>
        <w:rPr>
          <w:rStyle w:val="1127"/>
          <w:rFonts w:hint="eastAsia" w:ascii="宋体" w:hAnsi="宋体" w:cs="宋体"/>
          <w:color w:val="auto"/>
          <w:sz w:val="30"/>
          <w:szCs w:val="30"/>
          <w:highlight w:val="none"/>
        </w:rPr>
        <w:t xml:space="preserve">采 购 人：</w:t>
      </w:r>
      <w:r>
        <w:rPr>
          <w:rStyle w:val="1127"/>
          <w:rFonts w:hint="eastAsia" w:ascii="宋体" w:hAnsi="宋体" w:cs="宋体"/>
          <w:color w:val="auto"/>
          <w:sz w:val="30"/>
          <w:szCs w:val="30"/>
          <w:highlight w:val="none"/>
          <w:u w:val="single"/>
        </w:rPr>
        <w:t xml:space="preserve">苏州工业园区应急管理局</w:t>
      </w:r>
      <w:r/>
    </w:p>
    <w:p>
      <w:pPr>
        <w:pStyle w:val="1123"/>
        <w:jc w:val="center"/>
        <w:spacing w:before="75" w:beforeAutospacing="0" w:after="75" w:afterAutospacing="0" w:line="360" w:lineRule="auto"/>
        <w:widowControl/>
        <w:rPr>
          <w:rStyle w:val="1127"/>
          <w:rFonts w:ascii="宋体" w:hAnsi="宋体" w:cs="宋体"/>
          <w:color w:val="auto"/>
          <w:sz w:val="30"/>
          <w:szCs w:val="30"/>
          <w:highlight w:val="none"/>
        </w:rPr>
      </w:pPr>
      <w:r>
        <w:rPr>
          <w:rStyle w:val="1127"/>
          <w:rFonts w:hint="eastAsia" w:ascii="宋体" w:hAnsi="宋体" w:cs="宋体"/>
          <w:color w:val="auto"/>
          <w:sz w:val="30"/>
          <w:szCs w:val="30"/>
          <w:highlight w:val="none"/>
        </w:rPr>
        <w:t xml:space="preserve">采购代理机构：</w:t>
      </w:r>
      <w:r>
        <w:rPr>
          <w:rStyle w:val="1127"/>
          <w:rFonts w:hint="eastAsia" w:ascii="宋体" w:hAnsi="宋体" w:cs="宋体"/>
          <w:color w:val="auto"/>
          <w:sz w:val="30"/>
          <w:szCs w:val="30"/>
          <w:highlight w:val="none"/>
          <w:u w:val="single"/>
        </w:rPr>
        <w:t xml:space="preserve">苏州市诚捷项目管理有限公司</w:t>
      </w:r>
      <w:r/>
    </w:p>
    <w:p>
      <w:pPr>
        <w:pStyle w:val="1123"/>
        <w:jc w:val="center"/>
        <w:spacing w:before="75" w:beforeAutospacing="0" w:after="75" w:afterAutospacing="0" w:line="360" w:lineRule="auto"/>
        <w:widowControl/>
        <w:rPr>
          <w:rFonts w:hint="eastAsia" w:ascii="sans-serif" w:hAnsi="sans-serif" w:cs="sans-serif"/>
          <w:color w:val="auto"/>
          <w:highlight w:val="none"/>
        </w:rPr>
      </w:pPr>
      <w:r>
        <w:rPr>
          <w:rStyle w:val="1127"/>
          <w:rFonts w:hint="eastAsia" w:ascii="宋体" w:hAnsi="宋体" w:cs="宋体"/>
          <w:color w:val="auto"/>
          <w:sz w:val="30"/>
          <w:szCs w:val="30"/>
          <w:highlight w:val="none"/>
        </w:rPr>
        <w:t xml:space="preserve">采购类别：</w:t>
      </w:r>
      <w:r>
        <w:rPr>
          <w:rStyle w:val="1127"/>
          <w:rFonts w:hint="eastAsia" w:ascii="宋体" w:hAnsi="宋体" w:cs="宋体"/>
          <w:color w:val="auto"/>
          <w:sz w:val="30"/>
          <w:szCs w:val="30"/>
          <w:highlight w:val="none"/>
          <w:u w:val="single"/>
        </w:rPr>
        <w:t xml:space="preserve">服务类</w:t>
      </w:r>
      <w:r/>
    </w:p>
    <w:p>
      <w:pPr>
        <w:pStyle w:val="1123"/>
        <w:spacing w:before="75" w:beforeAutospacing="0" w:after="75" w:afterAutospacing="0"/>
        <w:widowControl/>
        <w:rPr>
          <w:rFonts w:ascii="sans-serif" w:hAnsi="sans-serif" w:eastAsia="sans-serif" w:cs="sans-serif"/>
          <w:color w:val="auto"/>
          <w:highlight w:val="none"/>
        </w:rPr>
      </w:pPr>
      <w:r>
        <w:rPr>
          <w:rFonts w:ascii="sans-serif" w:hAnsi="sans-serif" w:eastAsia="sans-serif" w:cs="sans-serif"/>
          <w:color w:val="auto"/>
          <w:highlight w:val="none"/>
        </w:rPr>
      </w:r>
      <w:r/>
    </w:p>
    <w:p>
      <w:pPr>
        <w:pStyle w:val="1123"/>
        <w:jc w:val="center"/>
        <w:spacing w:before="75" w:beforeAutospacing="0" w:after="75" w:afterAutospacing="0"/>
        <w:widowControl/>
        <w:rPr>
          <w:rStyle w:val="1127"/>
          <w:rFonts w:ascii="宋体" w:hAnsi="宋体" w:cs="宋体"/>
          <w:color w:val="auto"/>
          <w:sz w:val="28"/>
          <w:szCs w:val="28"/>
          <w:highlight w:val="none"/>
        </w:rPr>
      </w:pPr>
      <w:r>
        <w:rPr>
          <w:rFonts w:ascii="宋体" w:hAnsi="宋体" w:cs="宋体"/>
          <w:color w:val="auto"/>
          <w:sz w:val="28"/>
          <w:szCs w:val="28"/>
          <w:highlight w:val="none"/>
        </w:rPr>
      </w:r>
      <w:r/>
    </w:p>
    <w:p>
      <w:pPr>
        <w:pStyle w:val="1123"/>
        <w:jc w:val="center"/>
        <w:spacing w:before="75" w:beforeAutospacing="0" w:after="75" w:afterAutospacing="0"/>
        <w:widowControl/>
        <w:rPr>
          <w:rStyle w:val="1127"/>
          <w:rFonts w:ascii="宋体" w:hAnsi="宋体" w:cs="宋体"/>
          <w:color w:val="auto"/>
          <w:sz w:val="28"/>
          <w:szCs w:val="28"/>
          <w:highlight w:val="none"/>
        </w:rPr>
      </w:pPr>
      <w:r/>
      <w:bookmarkStart w:id="0" w:name="XTSCRQ_1"/>
      <w:r>
        <w:rPr>
          <w:rStyle w:val="1127"/>
          <w:rFonts w:hint="eastAsia" w:ascii="宋体" w:hAnsi="宋体" w:cs="宋体"/>
          <w:color w:val="auto"/>
          <w:sz w:val="28"/>
          <w:szCs w:val="28"/>
          <w:highlight w:val="none"/>
        </w:rPr>
        <w:t xml:space="preserve">2026年4月</w:t>
      </w:r>
      <w:bookmarkEnd w:id="0"/>
      <w:r/>
      <w:r/>
    </w:p>
    <w:p>
      <w:pPr>
        <w:rPr>
          <w:color w:val="auto"/>
          <w:highlight w:val="none"/>
        </w:rPr>
      </w:pPr>
      <w:r>
        <w:rPr>
          <w:color w:val="auto"/>
          <w:highlight w:val="none"/>
        </w:rPr>
      </w:r>
      <w:r/>
    </w:p>
    <w:p>
      <w:pPr>
        <w:jc w:val="center"/>
        <w:spacing w:line="360" w:lineRule="auto"/>
        <w:tabs>
          <w:tab w:val="left" w:pos="315" w:leader="none"/>
          <w:tab w:val="center" w:pos="4153" w:leader="none"/>
        </w:tabs>
        <w:rPr>
          <w:rFonts w:ascii="黑体" w:eastAsia="黑体"/>
          <w:b/>
          <w:color w:val="auto"/>
          <w:sz w:val="52"/>
          <w:szCs w:val="52"/>
          <w:highlight w:val="none"/>
        </w:rPr>
        <w:sectPr>
          <w:footerReference w:type="default" r:id="rId10"/>
          <w:footnotePr/>
          <w:endnotePr/>
          <w:type w:val="nextPage"/>
          <w:pgSz w:w="11906" w:h="16838" w:orient="portrait"/>
          <w:pgMar w:top="1440" w:right="748" w:bottom="1440" w:left="969" w:header="851" w:footer="992" w:gutter="0"/>
          <w:pgNumType w:start="1"/>
          <w:cols w:num="1" w:sep="0" w:space="1701" w:equalWidth="1"/>
          <w:docGrid w:linePitch="360"/>
        </w:sectPr>
      </w:pPr>
      <w:r>
        <w:rPr>
          <w:rFonts w:ascii="黑体" w:eastAsia="黑体"/>
          <w:b/>
          <w:color w:val="auto"/>
          <w:sz w:val="52"/>
          <w:szCs w:val="52"/>
          <w:highlight w:val="none"/>
        </w:rPr>
      </w:r>
      <w:r/>
    </w:p>
    <w:p>
      <w:pPr>
        <w:jc w:val="center"/>
        <w:spacing w:line="360" w:lineRule="auto"/>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sdt>
      <w:sdtPr>
        <w15:appearance w15:val="boundingBox"/>
        <w15:color w:val="dbdbdb"/>
        <w:id w:val="14747877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933"/>
            <w:tabs>
              <w:tab w:val="right" w:pos="10189" w:leader="dot"/>
            </w:tabs>
            <w:rPr>
              <w:color w:val="auto"/>
              <w:sz w:val="36"/>
              <w:szCs w:val="44"/>
              <w:highlight w:val="none"/>
            </w:rPr>
          </w:pPr>
          <w:r>
            <w:rPr>
              <w:color w:val="auto"/>
              <w:sz w:val="36"/>
              <w:szCs w:val="44"/>
              <w:highlight w:val="none"/>
            </w:rPr>
            <w:fldChar w:fldCharType="begin"/>
          </w:r>
          <w:r>
            <w:rPr>
              <w:color w:val="auto"/>
              <w:sz w:val="36"/>
              <w:szCs w:val="44"/>
              <w:highlight w:val="none"/>
            </w:rPr>
            <w:instrText xml:space="preserve">TOC \o "1-1" \h \u </w:instrText>
          </w:r>
          <w:r>
            <w:rPr>
              <w:color w:val="auto"/>
              <w:sz w:val="36"/>
              <w:szCs w:val="44"/>
              <w:highlight w:val="none"/>
            </w:rPr>
            <w:fldChar w:fldCharType="separate"/>
          </w:r>
          <w:r>
            <w:rPr>
              <w:color w:val="auto"/>
              <w:highlight w:val="none"/>
            </w:rPr>
            <w:fldChar w:fldCharType="begin"/>
          </w:r>
          <w:r>
            <w:rPr>
              <w:color w:val="auto"/>
              <w:highlight w:val="none"/>
            </w:rPr>
            <w:instrText xml:space="preserve"> HYPERLINK \l "_Toc18377" </w:instrText>
          </w:r>
          <w:r>
            <w:rPr>
              <w:color w:val="auto"/>
              <w:highlight w:val="none"/>
            </w:rPr>
            <w:fldChar w:fldCharType="separate"/>
          </w:r>
          <w:r>
            <w:rPr>
              <w:rFonts w:hint="eastAsia"/>
              <w:bCs/>
              <w:color w:val="auto"/>
              <w:sz w:val="36"/>
              <w:szCs w:val="44"/>
              <w:highlight w:val="none"/>
            </w:rPr>
            <w:t xml:space="preserve">第一章 磋商公告</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_Toc18377 \h </w:instrText>
          </w:r>
          <w:r>
            <w:rPr>
              <w:color w:val="auto"/>
              <w:sz w:val="36"/>
              <w:szCs w:val="44"/>
              <w:highlight w:val="none"/>
            </w:rPr>
            <w:fldChar w:fldCharType="separate"/>
          </w:r>
          <w:r>
            <w:rPr>
              <w:color w:val="auto"/>
              <w:sz w:val="36"/>
              <w:szCs w:val="44"/>
              <w:highlight w:val="none"/>
            </w:rPr>
            <w:t xml:space="preserve">1</w:t>
          </w:r>
          <w:r>
            <w:rPr>
              <w:color w:val="auto"/>
              <w:sz w:val="36"/>
              <w:szCs w:val="44"/>
              <w:highlight w:val="none"/>
            </w:rPr>
            <w:fldChar w:fldCharType="end"/>
          </w:r>
          <w:r>
            <w:rPr>
              <w:color w:val="auto"/>
              <w:sz w:val="36"/>
              <w:szCs w:val="44"/>
              <w:highlight w:val="none"/>
            </w:rPr>
            <w:fldChar w:fldCharType="end"/>
          </w:r>
          <w:r/>
        </w:p>
        <w:p>
          <w:pPr>
            <w:pStyle w:val="933"/>
            <w:tabs>
              <w:tab w:val="right" w:pos="10189" w:leader="dot"/>
            </w:tabs>
            <w:rPr>
              <w:color w:val="auto"/>
              <w:sz w:val="36"/>
              <w:szCs w:val="44"/>
              <w:highlight w:val="none"/>
            </w:rPr>
          </w:pPr>
          <w:r>
            <w:rPr>
              <w:color w:val="auto"/>
              <w:highlight w:val="none"/>
            </w:rPr>
            <w:fldChar w:fldCharType="begin"/>
          </w:r>
          <w:r>
            <w:rPr>
              <w:color w:val="auto"/>
              <w:highlight w:val="none"/>
            </w:rPr>
            <w:instrText xml:space="preserve"> HYPERLINK \l "_Toc32082" </w:instrText>
          </w:r>
          <w:r>
            <w:rPr>
              <w:color w:val="auto"/>
              <w:highlight w:val="none"/>
            </w:rPr>
            <w:fldChar w:fldCharType="separate"/>
          </w:r>
          <w:r>
            <w:rPr>
              <w:rFonts w:hint="eastAsia"/>
              <w:bCs/>
              <w:color w:val="auto"/>
              <w:sz w:val="36"/>
              <w:szCs w:val="44"/>
              <w:highlight w:val="none"/>
            </w:rPr>
            <w:t xml:space="preserve">第二章 磋商须知</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_Toc32082 \h </w:instrText>
          </w:r>
          <w:r>
            <w:rPr>
              <w:color w:val="auto"/>
              <w:sz w:val="36"/>
              <w:szCs w:val="44"/>
              <w:highlight w:val="none"/>
            </w:rPr>
            <w:fldChar w:fldCharType="separate"/>
          </w:r>
          <w:r>
            <w:rPr>
              <w:color w:val="auto"/>
              <w:sz w:val="36"/>
              <w:szCs w:val="44"/>
              <w:highlight w:val="none"/>
            </w:rPr>
            <w:t xml:space="preserve">7</w:t>
          </w:r>
          <w:r>
            <w:rPr>
              <w:color w:val="auto"/>
              <w:sz w:val="36"/>
              <w:szCs w:val="44"/>
              <w:highlight w:val="none"/>
            </w:rPr>
            <w:fldChar w:fldCharType="end"/>
          </w:r>
          <w:r>
            <w:rPr>
              <w:color w:val="auto"/>
              <w:sz w:val="36"/>
              <w:szCs w:val="44"/>
              <w:highlight w:val="none"/>
            </w:rPr>
            <w:fldChar w:fldCharType="end"/>
          </w:r>
          <w:r/>
        </w:p>
        <w:p>
          <w:pPr>
            <w:pStyle w:val="933"/>
            <w:tabs>
              <w:tab w:val="right" w:pos="10189" w:leader="dot"/>
            </w:tabs>
            <w:rPr>
              <w:color w:val="auto"/>
              <w:sz w:val="36"/>
              <w:szCs w:val="44"/>
              <w:highlight w:val="none"/>
            </w:rPr>
          </w:pPr>
          <w:r>
            <w:rPr>
              <w:color w:val="auto"/>
              <w:highlight w:val="none"/>
            </w:rPr>
            <w:fldChar w:fldCharType="begin"/>
          </w:r>
          <w:r>
            <w:rPr>
              <w:color w:val="auto"/>
              <w:highlight w:val="none"/>
            </w:rPr>
            <w:instrText xml:space="preserve"> HYPERLINK \l "_Toc31405" </w:instrText>
          </w:r>
          <w:r>
            <w:rPr>
              <w:color w:val="auto"/>
              <w:highlight w:val="none"/>
            </w:rPr>
            <w:fldChar w:fldCharType="separate"/>
          </w:r>
          <w:r>
            <w:rPr>
              <w:rFonts w:hint="eastAsia"/>
              <w:bCs/>
              <w:color w:val="auto"/>
              <w:sz w:val="36"/>
              <w:szCs w:val="44"/>
              <w:highlight w:val="none"/>
            </w:rPr>
            <w:t xml:space="preserve">第三章 采购内容</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_Toc31405 \h </w:instrText>
          </w:r>
          <w:r>
            <w:rPr>
              <w:color w:val="auto"/>
              <w:sz w:val="36"/>
              <w:szCs w:val="44"/>
              <w:highlight w:val="none"/>
            </w:rPr>
            <w:fldChar w:fldCharType="separate"/>
          </w:r>
          <w:r>
            <w:rPr>
              <w:color w:val="auto"/>
              <w:sz w:val="36"/>
              <w:szCs w:val="44"/>
              <w:highlight w:val="none"/>
            </w:rPr>
            <w:t xml:space="preserve">14</w:t>
          </w:r>
          <w:r>
            <w:rPr>
              <w:color w:val="auto"/>
              <w:sz w:val="36"/>
              <w:szCs w:val="44"/>
              <w:highlight w:val="none"/>
            </w:rPr>
            <w:fldChar w:fldCharType="end"/>
          </w:r>
          <w:r>
            <w:rPr>
              <w:color w:val="auto"/>
              <w:sz w:val="36"/>
              <w:szCs w:val="44"/>
              <w:highlight w:val="none"/>
            </w:rPr>
            <w:fldChar w:fldCharType="end"/>
          </w:r>
          <w:r/>
        </w:p>
        <w:p>
          <w:pPr>
            <w:pStyle w:val="933"/>
            <w:tabs>
              <w:tab w:val="right" w:pos="10189" w:leader="dot"/>
            </w:tabs>
            <w:rPr>
              <w:color w:val="auto"/>
              <w:sz w:val="36"/>
              <w:szCs w:val="44"/>
              <w:highlight w:val="none"/>
            </w:rPr>
          </w:pPr>
          <w:r>
            <w:rPr>
              <w:color w:val="auto"/>
              <w:highlight w:val="none"/>
            </w:rPr>
            <w:fldChar w:fldCharType="begin"/>
          </w:r>
          <w:r>
            <w:rPr>
              <w:color w:val="auto"/>
              <w:highlight w:val="none"/>
            </w:rPr>
            <w:instrText xml:space="preserve"> HYPERLINK \l "_Toc19564" </w:instrText>
          </w:r>
          <w:r>
            <w:rPr>
              <w:color w:val="auto"/>
              <w:highlight w:val="none"/>
            </w:rPr>
            <w:fldChar w:fldCharType="separate"/>
          </w:r>
          <w:r>
            <w:rPr>
              <w:rFonts w:hint="eastAsia"/>
              <w:bCs/>
              <w:color w:val="auto"/>
              <w:sz w:val="36"/>
              <w:szCs w:val="44"/>
              <w:highlight w:val="none"/>
            </w:rPr>
            <w:t xml:space="preserve">第四章 评审方法及评分标准</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_Toc19564 \h </w:instrText>
          </w:r>
          <w:r>
            <w:rPr>
              <w:color w:val="auto"/>
              <w:sz w:val="36"/>
              <w:szCs w:val="44"/>
              <w:highlight w:val="none"/>
            </w:rPr>
            <w:fldChar w:fldCharType="separate"/>
          </w:r>
          <w:r>
            <w:rPr>
              <w:color w:val="auto"/>
              <w:sz w:val="36"/>
              <w:szCs w:val="44"/>
              <w:highlight w:val="none"/>
            </w:rPr>
            <w:t xml:space="preserve">21</w:t>
          </w:r>
          <w:r>
            <w:rPr>
              <w:color w:val="auto"/>
              <w:sz w:val="36"/>
              <w:szCs w:val="44"/>
              <w:highlight w:val="none"/>
            </w:rPr>
            <w:fldChar w:fldCharType="end"/>
          </w:r>
          <w:r>
            <w:rPr>
              <w:color w:val="auto"/>
              <w:sz w:val="36"/>
              <w:szCs w:val="44"/>
              <w:highlight w:val="none"/>
            </w:rPr>
            <w:fldChar w:fldCharType="end"/>
          </w:r>
          <w:r/>
        </w:p>
        <w:p>
          <w:pPr>
            <w:pStyle w:val="933"/>
            <w:tabs>
              <w:tab w:val="right" w:pos="10189" w:leader="dot"/>
            </w:tabs>
            <w:rPr>
              <w:color w:val="auto"/>
              <w:sz w:val="36"/>
              <w:szCs w:val="44"/>
              <w:highlight w:val="none"/>
            </w:rPr>
          </w:pPr>
          <w:r>
            <w:rPr>
              <w:color w:val="auto"/>
              <w:highlight w:val="none"/>
            </w:rPr>
            <w:fldChar w:fldCharType="begin"/>
          </w:r>
          <w:r>
            <w:rPr>
              <w:color w:val="auto"/>
              <w:highlight w:val="none"/>
            </w:rPr>
            <w:instrText xml:space="preserve"> HYPERLINK \l "_Toc8867" </w:instrText>
          </w:r>
          <w:r>
            <w:rPr>
              <w:color w:val="auto"/>
              <w:highlight w:val="none"/>
            </w:rPr>
            <w:fldChar w:fldCharType="separate"/>
          </w:r>
          <w:r>
            <w:rPr>
              <w:rFonts w:hint="eastAsia"/>
              <w:bCs/>
              <w:color w:val="auto"/>
              <w:sz w:val="36"/>
              <w:szCs w:val="44"/>
              <w:highlight w:val="none"/>
            </w:rPr>
            <w:t xml:space="preserve">第五章 合同主要</w:t>
          </w:r>
          <w:bookmarkStart w:id="27" w:name="_GoBack"/>
          <w:r/>
          <w:bookmarkEnd w:id="27"/>
          <w:r>
            <w:rPr>
              <w:rFonts w:hint="eastAsia"/>
              <w:bCs/>
              <w:color w:val="auto"/>
              <w:sz w:val="36"/>
              <w:szCs w:val="44"/>
              <w:highlight w:val="none"/>
            </w:rPr>
            <w:t xml:space="preserve">条款及格式</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_Toc8867 \h </w:instrText>
          </w:r>
          <w:r>
            <w:rPr>
              <w:color w:val="auto"/>
              <w:sz w:val="36"/>
              <w:szCs w:val="44"/>
              <w:highlight w:val="none"/>
            </w:rPr>
            <w:fldChar w:fldCharType="separate"/>
          </w:r>
          <w:r>
            <w:rPr>
              <w:color w:val="auto"/>
              <w:sz w:val="36"/>
              <w:szCs w:val="44"/>
              <w:highlight w:val="none"/>
            </w:rPr>
            <w:t xml:space="preserve">25</w:t>
          </w:r>
          <w:r>
            <w:rPr>
              <w:color w:val="auto"/>
              <w:sz w:val="36"/>
              <w:szCs w:val="44"/>
              <w:highlight w:val="none"/>
            </w:rPr>
            <w:fldChar w:fldCharType="end"/>
          </w:r>
          <w:r>
            <w:rPr>
              <w:color w:val="auto"/>
              <w:sz w:val="36"/>
              <w:szCs w:val="44"/>
              <w:highlight w:val="none"/>
            </w:rPr>
            <w:fldChar w:fldCharType="end"/>
          </w:r>
          <w:r/>
        </w:p>
        <w:p>
          <w:pPr>
            <w:pStyle w:val="933"/>
            <w:tabs>
              <w:tab w:val="right" w:pos="10189" w:leader="dot"/>
            </w:tabs>
            <w:rPr>
              <w:color w:val="auto"/>
              <w:highlight w:val="none"/>
            </w:rPr>
          </w:pPr>
          <w:r>
            <w:rPr>
              <w:color w:val="auto"/>
              <w:highlight w:val="none"/>
            </w:rPr>
            <w:fldChar w:fldCharType="begin"/>
          </w:r>
          <w:r>
            <w:rPr>
              <w:color w:val="auto"/>
              <w:highlight w:val="none"/>
            </w:rPr>
            <w:instrText xml:space="preserve"> HYPERLINK \l "_Toc4880" </w:instrText>
          </w:r>
          <w:r>
            <w:rPr>
              <w:color w:val="auto"/>
              <w:highlight w:val="none"/>
            </w:rPr>
            <w:fldChar w:fldCharType="separate"/>
          </w:r>
          <w:r>
            <w:rPr>
              <w:rFonts w:hint="eastAsia"/>
              <w:bCs/>
              <w:color w:val="auto"/>
              <w:sz w:val="36"/>
              <w:szCs w:val="44"/>
              <w:highlight w:val="none"/>
            </w:rPr>
            <w:t xml:space="preserve">第六章  磋商响应文件格式</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_Toc4880 \h </w:instrText>
          </w:r>
          <w:r>
            <w:rPr>
              <w:color w:val="auto"/>
              <w:sz w:val="36"/>
              <w:szCs w:val="44"/>
              <w:highlight w:val="none"/>
            </w:rPr>
            <w:fldChar w:fldCharType="separate"/>
          </w:r>
          <w:r>
            <w:rPr>
              <w:color w:val="auto"/>
              <w:sz w:val="36"/>
              <w:szCs w:val="44"/>
              <w:highlight w:val="none"/>
            </w:rPr>
            <w:t xml:space="preserve">29</w:t>
          </w:r>
          <w:r>
            <w:rPr>
              <w:color w:val="auto"/>
              <w:sz w:val="36"/>
              <w:szCs w:val="44"/>
              <w:highlight w:val="none"/>
            </w:rPr>
            <w:fldChar w:fldCharType="end"/>
          </w:r>
          <w:r>
            <w:rPr>
              <w:color w:val="auto"/>
              <w:sz w:val="36"/>
              <w:szCs w:val="44"/>
              <w:highlight w:val="none"/>
            </w:rPr>
            <w:fldChar w:fldCharType="end"/>
          </w:r>
          <w:r/>
        </w:p>
        <w:p>
          <w:pPr>
            <w:spacing w:line="360" w:lineRule="auto"/>
            <w:rPr>
              <w:color w:val="auto"/>
              <w:highlight w:val="none"/>
            </w:rPr>
          </w:pPr>
          <w:r>
            <w:rPr>
              <w:color w:val="auto"/>
              <w:szCs w:val="32"/>
              <w:highlight w:val="none"/>
            </w:rPr>
            <w:fldChar w:fldCharType="end"/>
          </w:r>
          <w:r/>
        </w:p>
      </w:sdtContent>
    </w:sdt>
    <w:p>
      <w:pPr>
        <w:rPr>
          <w:color w:val="auto"/>
          <w:highlight w:val="none"/>
        </w:rPr>
      </w:pPr>
      <w:r>
        <w:rPr>
          <w:color w:val="auto"/>
          <w:highlight w:val="none"/>
        </w:rPr>
      </w:r>
      <w:r/>
    </w:p>
    <w:p>
      <w:pPr>
        <w:pStyle w:val="907"/>
        <w:jc w:val="center"/>
        <w:rPr>
          <w:b/>
          <w:bCs/>
          <w:color w:val="auto"/>
          <w:highlight w:val="none"/>
        </w:rPr>
        <w:sectPr>
          <w:footerReference w:type="default" r:id="rId11"/>
          <w:footnotePr/>
          <w:endnotePr/>
          <w:type w:val="nextPage"/>
          <w:pgSz w:w="11906" w:h="16838" w:orient="portrait"/>
          <w:pgMar w:top="1440" w:right="748" w:bottom="1440" w:left="969" w:header="851" w:footer="992" w:gutter="0"/>
          <w:pgNumType w:start="1"/>
          <w:cols w:num="1" w:sep="0" w:space="1701" w:equalWidth="1"/>
          <w:docGrid w:linePitch="360"/>
        </w:sectPr>
      </w:pPr>
      <w:r>
        <w:rPr>
          <w:b/>
          <w:bCs/>
          <w:color w:val="auto"/>
          <w:highlight w:val="none"/>
        </w:rPr>
      </w:r>
      <w:r/>
    </w:p>
    <w:p>
      <w:pPr>
        <w:pStyle w:val="907"/>
        <w:jc w:val="center"/>
        <w:rPr>
          <w:rFonts w:ascii="sans-serif" w:hAnsi="sans-serif" w:eastAsia="sans-serif" w:cs="sans-serif"/>
          <w:color w:val="auto"/>
          <w:highlight w:val="none"/>
        </w:rPr>
      </w:pPr>
      <w:r/>
      <w:bookmarkStart w:id="1" w:name="_Toc18377"/>
      <w:r>
        <w:rPr>
          <w:rFonts w:hint="eastAsia"/>
          <w:b/>
          <w:bCs/>
          <w:color w:val="auto"/>
          <w:highlight w:val="none"/>
        </w:rPr>
        <w:t xml:space="preserve">第一章 磋商公告</w:t>
      </w:r>
      <w:bookmarkEnd w:id="1"/>
      <w:r/>
      <w:r/>
    </w:p>
    <w:p>
      <w:pPr>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bookmarkStart w:id="2" w:name="XMDW_1"/>
      <w:r>
        <w:rPr>
          <w:rFonts w:hint="eastAsia" w:ascii="宋体" w:hAnsi="宋体" w:cs="宋体"/>
          <w:color w:val="auto"/>
          <w:sz w:val="24"/>
          <w:szCs w:val="22"/>
          <w:highlight w:val="none"/>
          <w:lang w:bidi="ar"/>
        </w:rPr>
        <w:t xml:space="preserve">项目概况</w:t>
      </w:r>
      <w:r/>
    </w:p>
    <w:p>
      <w:pPr>
        <w:ind w:firstLine="480"/>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2"/>
          <w:highlight w:val="none"/>
          <w:u w:val="single"/>
          <w:lang w:bidi="ar"/>
        </w:rPr>
        <w:t xml:space="preserve">苏州工业园区2026年度危化品领域企业第三方安全生产指导服务项目</w:t>
      </w:r>
      <w:r>
        <w:rPr>
          <w:rFonts w:hint="eastAsia" w:ascii="宋体" w:hAnsi="宋体" w:cs="宋体"/>
          <w:color w:val="auto"/>
          <w:sz w:val="24"/>
          <w:szCs w:val="22"/>
          <w:highlight w:val="none"/>
          <w:lang w:bidi="ar"/>
        </w:rPr>
        <w:t xml:space="preserve">采购项目的潜在供应商应在</w:t>
      </w:r>
      <w:r>
        <w:rPr>
          <w:rFonts w:hint="eastAsia" w:ascii="宋体" w:hAnsi="宋体" w:cs="宋体"/>
          <w:color w:val="auto"/>
          <w:sz w:val="24"/>
          <w:szCs w:val="22"/>
          <w:highlight w:val="none"/>
          <w:u w:val="single"/>
          <w:lang w:bidi="ar"/>
        </w:rPr>
        <w:t xml:space="preserve">苏采云</w:t>
      </w:r>
      <w:r>
        <w:rPr>
          <w:rFonts w:hint="eastAsia" w:ascii="宋体" w:hAnsi="宋体" w:cs="宋体"/>
          <w:color w:val="auto"/>
          <w:sz w:val="24"/>
          <w:szCs w:val="22"/>
          <w:highlight w:val="none"/>
          <w:lang w:bidi="ar"/>
        </w:rPr>
        <w:t xml:space="preserve">获取采购文件，并于</w:t>
      </w:r>
      <w:r>
        <w:rPr>
          <w:rFonts w:hint="eastAsia" w:ascii="宋体" w:hAnsi="宋体" w:cs="宋体"/>
          <w:bCs/>
          <w:color w:val="auto"/>
          <w:sz w:val="24"/>
          <w:szCs w:val="22"/>
          <w:highlight w:val="none"/>
          <w:u w:val="single"/>
          <w:lang w:bidi="ar"/>
        </w:rPr>
        <w:t xml:space="preserve">2026年</w:t>
      </w:r>
      <w:r>
        <w:rPr>
          <w:rFonts w:hint="eastAsia" w:ascii="宋体" w:hAnsi="宋体" w:cs="宋体"/>
          <w:bCs/>
          <w:color w:val="auto"/>
          <w:sz w:val="24"/>
          <w:szCs w:val="22"/>
          <w:highlight w:val="none"/>
          <w:u w:val="single"/>
          <w:lang w:eastAsia="zh-CN" w:bidi="ar"/>
        </w:rPr>
        <w:t xml:space="preserve">5</w:t>
      </w:r>
      <w:r>
        <w:rPr>
          <w:rFonts w:hint="eastAsia" w:ascii="宋体" w:hAnsi="宋体" w:cs="宋体"/>
          <w:bCs/>
          <w:color w:val="auto"/>
          <w:sz w:val="24"/>
          <w:szCs w:val="22"/>
          <w:highlight w:val="none"/>
          <w:u w:val="single"/>
          <w:lang w:bidi="ar"/>
        </w:rPr>
        <w:t xml:space="preserve">月</w:t>
      </w:r>
      <w:r>
        <w:rPr>
          <w:rFonts w:hint="eastAsia" w:ascii="宋体" w:hAnsi="宋体" w:cs="宋体"/>
          <w:bCs/>
          <w:color w:val="auto"/>
          <w:sz w:val="24"/>
          <w:szCs w:val="22"/>
          <w:highlight w:val="none"/>
          <w:u w:val="single"/>
          <w:lang w:val="en-US" w:eastAsia="zh-CN" w:bidi="ar"/>
        </w:rPr>
        <w:t xml:space="preserve">7</w:t>
      </w:r>
      <w:r>
        <w:rPr>
          <w:rFonts w:hint="eastAsia" w:ascii="宋体" w:hAnsi="宋体" w:cs="宋体"/>
          <w:bCs/>
          <w:color w:val="auto"/>
          <w:sz w:val="24"/>
          <w:szCs w:val="22"/>
          <w:highlight w:val="none"/>
          <w:u w:val="single"/>
          <w:lang w:bidi="ar"/>
        </w:rPr>
        <w:t xml:space="preserve">日09点30分</w:t>
      </w:r>
      <w:r>
        <w:rPr>
          <w:rFonts w:hint="eastAsia" w:ascii="宋体" w:hAnsi="宋体" w:cs="宋体"/>
          <w:bCs/>
          <w:color w:val="auto"/>
          <w:sz w:val="24"/>
          <w:szCs w:val="22"/>
          <w:highlight w:val="none"/>
          <w:lang w:bidi="ar"/>
        </w:rPr>
        <w:t xml:space="preserve">（北京时间）前提交响应文件</w:t>
      </w:r>
      <w:r>
        <w:rPr>
          <w:rFonts w:hint="eastAsia" w:ascii="宋体" w:hAnsi="宋体" w:cs="宋体"/>
          <w:color w:val="auto"/>
          <w:sz w:val="24"/>
          <w:szCs w:val="22"/>
          <w:highlight w:val="none"/>
          <w:lang w:bidi="ar"/>
        </w:rPr>
        <w:t xml:space="preserve">。</w:t>
      </w:r>
      <w:r/>
    </w:p>
    <w:p>
      <w:pPr>
        <w:pStyle w:val="1111"/>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一、项目基本情况</w:t>
      </w:r>
      <w:r/>
    </w:p>
    <w:p>
      <w:pPr>
        <w:pStyle w:val="1111"/>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JSZC-320591-CJZT-C2026-0002</w:t>
      </w:r>
      <w:r/>
    </w:p>
    <w:p>
      <w:pPr>
        <w:pStyle w:val="1111"/>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2.项目名称：苏州工业园区2026年度危化品领域企业第三方安全生产指导服务项目</w:t>
      </w:r>
      <w:r/>
    </w:p>
    <w:p>
      <w:pPr>
        <w:pStyle w:val="1111"/>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pStyle w:val="1111"/>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4.预算总金额：人民币壹佰叁拾叁万元整（￥1330000.00）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标段一预算：人民币肆拾贰万伍仟元整（￥425000.00）；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标段二预算：人民币肆拾万伍仟元整（￥405000.00）；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标段三预算：人民币贰拾万元整（￥200000.00）；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标段四预算：人民币叁拾万元整（￥300000.00）；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p>
    <w:tbl>
      <w:tblPr>
        <w:tblStyle w:val="917"/>
        <w:tblW w:w="10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1712"/>
        <w:gridCol w:w="3341"/>
        <w:gridCol w:w="1822"/>
        <w:gridCol w:w="1064"/>
        <w:gridCol w:w="1149"/>
      </w:tblGrid>
      <w:tr>
        <w:trPr>
          <w:jc w:val="center"/>
          <w:trHeight w:val="530"/>
        </w:trPr>
        <w:tc>
          <w:tcPr>
            <w:tcW w:w="10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标段</w:t>
            </w:r>
            <w:r/>
          </w:p>
        </w:tc>
        <w:tc>
          <w:tcPr>
            <w:tcW w:w="171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334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服务综合要求</w:t>
            </w:r>
            <w:r/>
          </w:p>
        </w:tc>
        <w:tc>
          <w:tcPr>
            <w:tcW w:w="1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服务内容</w:t>
            </w:r>
            <w:r/>
          </w:p>
        </w:tc>
        <w:tc>
          <w:tcPr>
            <w:tcW w:w="1064" w:type="dxa"/>
            <w:vAlign w:val="center"/>
            <w:textDirection w:val="lrTb"/>
            <w:noWrap w:val="false"/>
          </w:tcPr>
          <w:p>
            <w:pPr>
              <w:pStyle w:val="951"/>
              <w:ind w:firstLine="0"/>
              <w:jc w:val="center"/>
              <w:rPr>
                <w:rFonts w:hint="default" w:hAnsi="宋体" w:cs="宋体"/>
                <w:color w:val="auto"/>
                <w:sz w:val="24"/>
                <w:szCs w:val="24"/>
                <w:highlight w:val="none"/>
              </w:rPr>
            </w:pPr>
            <w:r>
              <w:rPr>
                <w:rFonts w:hAnsi="宋体" w:cs="宋体"/>
                <w:color w:val="auto"/>
                <w:sz w:val="24"/>
                <w:szCs w:val="24"/>
                <w:highlight w:val="none"/>
              </w:rPr>
              <w:t xml:space="preserve">最高限价（单价）</w:t>
            </w:r>
            <w:r/>
          </w:p>
        </w:tc>
        <w:tc>
          <w:tcPr>
            <w:tcW w:w="1149" w:type="dxa"/>
            <w:vAlign w:val="center"/>
            <w:textDirection w:val="lrTb"/>
            <w:noWrap w:val="false"/>
          </w:tcPr>
          <w:p>
            <w:pPr>
              <w:pStyle w:val="951"/>
              <w:ind w:firstLine="0"/>
              <w:jc w:val="center"/>
              <w:rPr>
                <w:rFonts w:hint="default" w:hAnsi="宋体" w:cs="宋体"/>
                <w:color w:val="auto"/>
                <w:sz w:val="24"/>
                <w:szCs w:val="24"/>
                <w:highlight w:val="none"/>
              </w:rPr>
            </w:pPr>
            <w:r>
              <w:rPr>
                <w:rFonts w:hAnsi="宋体" w:cs="宋体"/>
                <w:color w:val="auto"/>
                <w:sz w:val="24"/>
                <w:szCs w:val="24"/>
                <w:highlight w:val="none"/>
              </w:rPr>
              <w:t xml:space="preserve">预算</w:t>
            </w:r>
            <w:r/>
          </w:p>
          <w:p>
            <w:pPr>
              <w:pStyle w:val="951"/>
              <w:ind w:firstLine="0"/>
              <w:jc w:val="center"/>
              <w:rPr>
                <w:rFonts w:hint="default" w:hAnsi="宋体" w:cs="宋体"/>
                <w:color w:val="auto"/>
                <w:sz w:val="24"/>
                <w:szCs w:val="24"/>
                <w:highlight w:val="none"/>
              </w:rPr>
            </w:pPr>
            <w:r>
              <w:rPr>
                <w:rFonts w:hAnsi="宋体" w:cs="宋体"/>
                <w:color w:val="auto"/>
                <w:sz w:val="24"/>
                <w:szCs w:val="24"/>
                <w:highlight w:val="none"/>
              </w:rPr>
              <w:t xml:space="preserve">（万元）</w:t>
            </w:r>
            <w:r/>
          </w:p>
        </w:tc>
      </w:tr>
      <w:tr>
        <w:trPr>
          <w:jc w:val="center"/>
          <w:trHeight w:val="2116"/>
        </w:trPr>
        <w:tc>
          <w:tcPr>
            <w:tcW w:w="10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标段一</w:t>
            </w:r>
            <w:r/>
          </w:p>
        </w:tc>
        <w:tc>
          <w:tcPr>
            <w:tcW w:w="17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化工（危化品）及工贸重大危险源企业指导服务</w:t>
            </w:r>
            <w:r/>
          </w:p>
        </w:tc>
        <w:tc>
          <w:tcPr>
            <w:tcW w:w="334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开展隐患排查指导服务，包括重点生产工艺设备、安全装置、危化品仓库等部位以及特殊作业管理、新改扩建设项目等环节。（2）开展安全管理提升服务，加强安全政策宣贯、指导企业“六化”建设、参与配合“小切口”问题研究等。</w:t>
            </w:r>
            <w:r/>
          </w:p>
        </w:tc>
        <w:tc>
          <w:tcPr>
            <w:tcW w:w="18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指导化工（危化品）及工贸重大危险源企业17家</w:t>
            </w:r>
            <w:r/>
          </w:p>
        </w:tc>
        <w:tc>
          <w:tcPr>
            <w:tcW w:w="106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2.5万元/家</w:t>
            </w:r>
            <w:r/>
          </w:p>
        </w:tc>
        <w:tc>
          <w:tcPr>
            <w:tcW w:w="11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42.5</w:t>
            </w:r>
            <w:r/>
          </w:p>
        </w:tc>
      </w:tr>
      <w:tr>
        <w:trPr>
          <w:jc w:val="center"/>
          <w:trHeight w:val="356"/>
        </w:trPr>
        <w:tc>
          <w:tcPr>
            <w:tcW w:w="10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标段二</w:t>
            </w:r>
            <w:r/>
          </w:p>
        </w:tc>
        <w:tc>
          <w:tcPr>
            <w:tcW w:w="17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生物医药及研发实验室企业指导服务</w:t>
            </w:r>
            <w:r/>
          </w:p>
        </w:tc>
        <w:tc>
          <w:tcPr>
            <w:tcW w:w="334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对医药及研发实验室企业开展专项指导服务。（1）开展隐患排查指导服务，加强现场安全管理指导，尤其是危化品储存、使用以及特殊作业管理等环节。（2）开展安全管理提升服务，加强对企业安全政策宣贯、指导企业“六化”建设、参与配合“小切口”问题研究等。</w:t>
            </w:r>
            <w:r/>
          </w:p>
        </w:tc>
        <w:tc>
          <w:tcPr>
            <w:tcW w:w="18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指导生物医药及研发实验室企业54家</w:t>
            </w:r>
            <w:r/>
          </w:p>
        </w:tc>
        <w:tc>
          <w:tcPr>
            <w:tcW w:w="106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0.75万元/家</w:t>
            </w:r>
            <w:r/>
          </w:p>
        </w:tc>
        <w:tc>
          <w:tcPr>
            <w:tcW w:w="1149"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p>
        </w:tc>
      </w:tr>
      <w:tr>
        <w:trPr>
          <w:jc w:val="center"/>
          <w:trHeight w:val="1886"/>
        </w:trPr>
        <w:tc>
          <w:tcPr>
            <w:tcW w:w="1048" w:type="dxa"/>
            <w:vAlign w:val="center"/>
            <w:textDirection w:val="lrTb"/>
            <w:noWrap w:val="false"/>
          </w:tcPr>
          <w:p>
            <w:pPr>
              <w:jc w:val="center"/>
              <w:rPr>
                <w:rFonts w:ascii="宋体" w:hAnsi="宋体" w:cs="宋体"/>
                <w:sz w:val="24"/>
              </w:rPr>
            </w:pPr>
            <w:r>
              <w:rPr>
                <w:rFonts w:hint="eastAsia" w:ascii="宋体" w:hAnsi="宋体" w:cs="宋体"/>
                <w:sz w:val="24"/>
              </w:rPr>
              <w:t xml:space="preserve">标段三</w:t>
            </w:r>
            <w:r/>
          </w:p>
        </w:tc>
        <w:tc>
          <w:tcPr>
            <w:tcW w:w="1712" w:type="dxa"/>
            <w:vAlign w:val="center"/>
            <w:textDirection w:val="lrTb"/>
            <w:noWrap w:val="false"/>
          </w:tcPr>
          <w:p>
            <w:pPr>
              <w:jc w:val="center"/>
              <w:rPr>
                <w:rFonts w:ascii="宋体" w:hAnsi="宋体" w:cs="宋体"/>
                <w:sz w:val="24"/>
              </w:rPr>
            </w:pPr>
            <w:r>
              <w:rPr>
                <w:rFonts w:hint="eastAsia" w:ascii="宋体" w:hAnsi="宋体" w:cs="宋体"/>
                <w:sz w:val="24"/>
              </w:rPr>
              <w:t xml:space="preserve">危化品领域应急技能提升服务</w:t>
            </w:r>
            <w:r/>
          </w:p>
        </w:tc>
        <w:tc>
          <w:tcPr>
            <w:tcW w:w="3341" w:type="dxa"/>
            <w:vAlign w:val="center"/>
            <w:textDirection w:val="lrTb"/>
            <w:noWrap w:val="false"/>
          </w:tcPr>
          <w:p>
            <w:pPr>
              <w:jc w:val="center"/>
              <w:rPr>
                <w:rFonts w:ascii="宋体" w:hAnsi="宋体" w:cs="宋体"/>
                <w:sz w:val="24"/>
              </w:rPr>
            </w:pPr>
            <w:r>
              <w:rPr>
                <w:rFonts w:hint="eastAsia" w:ascii="宋体" w:hAnsi="宋体" w:cs="宋体"/>
                <w:sz w:val="24"/>
              </w:rPr>
              <w:t xml:space="preserve">面向危化品领域企业，组织开展应急处置技能提升活动、应急演练。</w:t>
            </w:r>
            <w:r/>
          </w:p>
        </w:tc>
        <w:tc>
          <w:tcPr>
            <w:tcW w:w="1822" w:type="dxa"/>
            <w:vAlign w:val="center"/>
            <w:textDirection w:val="lrTb"/>
            <w:noWrap w:val="false"/>
          </w:tcPr>
          <w:p>
            <w:pPr>
              <w:jc w:val="center"/>
              <w:rPr>
                <w:rFonts w:ascii="宋体" w:hAnsi="宋体" w:cs="宋体"/>
                <w:sz w:val="24"/>
              </w:rPr>
            </w:pPr>
            <w:r>
              <w:rPr>
                <w:rFonts w:hint="eastAsia" w:ascii="宋体" w:hAnsi="宋体" w:cs="宋体"/>
                <w:sz w:val="24"/>
              </w:rPr>
              <w:t xml:space="preserve">开展应急处置技能提升活动2场，指导企业开展应急演练10场</w:t>
            </w:r>
            <w:r/>
          </w:p>
        </w:tc>
        <w:tc>
          <w:tcPr>
            <w:tcW w:w="1064" w:type="dxa"/>
            <w:vAlign w:val="center"/>
            <w:textDirection w:val="lrTb"/>
            <w:noWrap w:val="false"/>
          </w:tcPr>
          <w:p>
            <w:pPr>
              <w:jc w:val="center"/>
              <w:rPr>
                <w:rFonts w:ascii="宋体" w:hAnsi="宋体" w:cs="宋体"/>
                <w:sz w:val="24"/>
              </w:rPr>
            </w:pPr>
            <w:r>
              <w:rPr>
                <w:rFonts w:hint="eastAsia" w:ascii="宋体" w:hAnsi="宋体" w:cs="宋体"/>
                <w:sz w:val="24"/>
              </w:rPr>
              <w:t xml:space="preserve">20万元/项</w:t>
            </w:r>
            <w:r/>
          </w:p>
        </w:tc>
        <w:tc>
          <w:tcPr>
            <w:tcW w:w="114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20</w:t>
            </w:r>
            <w:r/>
          </w:p>
        </w:tc>
      </w:tr>
      <w:tr>
        <w:trPr>
          <w:jc w:val="center"/>
          <w:trHeight w:val="1796"/>
        </w:trPr>
        <w:tc>
          <w:tcPr>
            <w:tcW w:w="1048" w:type="dxa"/>
            <w:vAlign w:val="center"/>
            <w:textDirection w:val="lrTb"/>
            <w:noWrap w:val="false"/>
          </w:tcPr>
          <w:p>
            <w:pPr>
              <w:jc w:val="center"/>
              <w:rPr>
                <w:rFonts w:ascii="宋体" w:hAnsi="宋体" w:cs="宋体"/>
                <w:sz w:val="24"/>
              </w:rPr>
            </w:pPr>
            <w:r>
              <w:rPr>
                <w:rFonts w:hint="eastAsia" w:ascii="宋体" w:hAnsi="宋体" w:cs="宋体"/>
                <w:sz w:val="24"/>
              </w:rPr>
              <w:t xml:space="preserve">标段四</w:t>
            </w:r>
            <w:r/>
          </w:p>
        </w:tc>
        <w:tc>
          <w:tcPr>
            <w:tcW w:w="1712" w:type="dxa"/>
            <w:vAlign w:val="center"/>
            <w:textDirection w:val="lrTb"/>
            <w:noWrap w:val="false"/>
          </w:tcPr>
          <w:p>
            <w:pPr>
              <w:jc w:val="center"/>
              <w:rPr>
                <w:rFonts w:ascii="宋体" w:hAnsi="宋体" w:cs="宋体"/>
                <w:sz w:val="24"/>
              </w:rPr>
            </w:pPr>
            <w:r>
              <w:rPr>
                <w:rFonts w:hint="eastAsia" w:ascii="宋体" w:hAnsi="宋体" w:cs="宋体"/>
                <w:sz w:val="24"/>
              </w:rPr>
              <w:t xml:space="preserve">危化品领域安全生产“线上+线下”监测评估服务</w:t>
            </w:r>
            <w:r/>
          </w:p>
        </w:tc>
        <w:tc>
          <w:tcPr>
            <w:tcW w:w="3341" w:type="dxa"/>
            <w:vAlign w:val="center"/>
            <w:textDirection w:val="lrTb"/>
            <w:noWrap w:val="false"/>
          </w:tcPr>
          <w:p>
            <w:pPr>
              <w:jc w:val="center"/>
              <w:rPr>
                <w:rFonts w:ascii="宋体" w:hAnsi="宋体" w:cs="宋体"/>
                <w:sz w:val="24"/>
              </w:rPr>
            </w:pPr>
            <w:r>
              <w:rPr>
                <w:rFonts w:hint="eastAsia" w:ascii="宋体" w:hAnsi="宋体" w:cs="宋体"/>
                <w:sz w:val="24"/>
              </w:rPr>
              <w:t xml:space="preserve">组织专家力量，参与危化品领域安全教育培训，解读安全生产政策法规等；参与配合“小切口”问题研究，协助指导企业技术改造提升；依托“SIP安全360”系统，对重点危化品企业在线巡查，监督企业特殊作业、报警处置等情况，指导企业整改闭环问题</w:t>
            </w:r>
            <w:r/>
          </w:p>
        </w:tc>
        <w:tc>
          <w:tcPr>
            <w:tcW w:w="1822" w:type="dxa"/>
            <w:vAlign w:val="center"/>
            <w:textDirection w:val="lrTb"/>
            <w:noWrap w:val="false"/>
          </w:tcPr>
          <w:p>
            <w:pPr>
              <w:jc w:val="center"/>
              <w:rPr>
                <w:rFonts w:ascii="宋体" w:hAnsi="宋体" w:cs="宋体"/>
                <w:sz w:val="24"/>
              </w:rPr>
            </w:pPr>
            <w:r>
              <w:rPr>
                <w:rFonts w:hint="eastAsia" w:ascii="宋体" w:hAnsi="宋体" w:cs="宋体"/>
                <w:sz w:val="24"/>
              </w:rPr>
              <w:t xml:space="preserve">组织专家参与危化品领域安全教育培训，解读政策、法规等</w:t>
            </w:r>
            <w:r/>
          </w:p>
        </w:tc>
        <w:tc>
          <w:tcPr>
            <w:tcW w:w="1064" w:type="dxa"/>
            <w:vAlign w:val="center"/>
            <w:textDirection w:val="lrTb"/>
            <w:noWrap w:val="false"/>
          </w:tcPr>
          <w:p>
            <w:pPr>
              <w:jc w:val="center"/>
              <w:rPr>
                <w:rFonts w:ascii="宋体" w:hAnsi="宋体" w:cs="宋体"/>
                <w:sz w:val="24"/>
              </w:rPr>
            </w:pPr>
            <w:r>
              <w:rPr>
                <w:rFonts w:hint="eastAsia" w:ascii="宋体" w:hAnsi="宋体" w:cs="宋体"/>
                <w:sz w:val="24"/>
              </w:rPr>
              <w:t xml:space="preserve">30万元/项</w:t>
            </w:r>
            <w:r/>
          </w:p>
        </w:tc>
        <w:tc>
          <w:tcPr>
            <w:tcW w:w="1149" w:type="dxa"/>
            <w:vAlign w:val="center"/>
            <w:textDirection w:val="lrTb"/>
            <w:noWrap w:val="false"/>
          </w:tcPr>
          <w:p>
            <w:pPr>
              <w:jc w:val="center"/>
              <w:rPr>
                <w:rFonts w:ascii="宋体" w:hAnsi="宋体" w:cs="宋体"/>
                <w:sz w:val="24"/>
              </w:rPr>
            </w:pPr>
            <w:r>
              <w:rPr>
                <w:rFonts w:hint="eastAsia" w:ascii="宋体" w:hAnsi="宋体" w:cs="宋体"/>
                <w:sz w:val="24"/>
              </w:rPr>
              <w:t xml:space="preserve">30</w:t>
            </w:r>
            <w:r/>
          </w:p>
        </w:tc>
      </w:tr>
    </w:tbl>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5.采购需求：</w:t>
      </w:r>
      <w:r/>
    </w:p>
    <w:p>
      <w:pPr>
        <w:pStyle w:val="1111"/>
        <w:ind w:firstLine="480"/>
        <w:spacing w:line="360" w:lineRule="auto"/>
        <w:widowControl/>
        <w:rPr>
          <w:rFonts w:ascii="宋体" w:hAnsi="宋体" w:eastAsia="宋体"/>
          <w:sz w:val="24"/>
          <w:szCs w:val="22"/>
        </w:rPr>
      </w:pPr>
      <w:r>
        <w:rPr>
          <w:rFonts w:hint="eastAsia" w:ascii="宋体" w:hAnsi="宋体" w:eastAsia="宋体"/>
          <w:sz w:val="24"/>
          <w:szCs w:val="22"/>
        </w:rPr>
        <w:t xml:space="preserve">5.1项目概况：</w:t>
      </w:r>
      <w:r/>
    </w:p>
    <w:tbl>
      <w:tblPr>
        <w:tblStyle w:val="917"/>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482"/>
        <w:gridCol w:w="3874"/>
        <w:gridCol w:w="2258"/>
      </w:tblGrid>
      <w:tr>
        <w:trPr>
          <w:jc w:val="center"/>
          <w:trHeight w:val="570"/>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标段</w:t>
            </w:r>
            <w:r/>
          </w:p>
        </w:tc>
        <w:tc>
          <w:tcPr>
            <w:tcW w:w="148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tcW w:w="3874" w:type="dxa"/>
            <w:vAlign w:val="center"/>
            <w:textDirection w:val="lrTb"/>
            <w:noWrap w:val="false"/>
          </w:tcPr>
          <w:p>
            <w:pPr>
              <w:jc w:val="center"/>
              <w:rPr>
                <w:rFonts w:ascii="宋体" w:hAnsi="宋体" w:cs="宋体"/>
                <w:sz w:val="24"/>
              </w:rPr>
            </w:pPr>
            <w:r>
              <w:rPr>
                <w:rFonts w:hint="eastAsia" w:ascii="宋体" w:hAnsi="宋体" w:cs="宋体"/>
                <w:sz w:val="24"/>
              </w:rPr>
              <w:t xml:space="preserve">服务综合要求</w:t>
            </w:r>
            <w:r/>
          </w:p>
        </w:tc>
        <w:tc>
          <w:tcPr>
            <w:tcW w:w="2258" w:type="dxa"/>
            <w:vAlign w:val="center"/>
            <w:textDirection w:val="lrTb"/>
            <w:noWrap w:val="false"/>
          </w:tcPr>
          <w:p>
            <w:pPr>
              <w:jc w:val="center"/>
              <w:spacing w:line="360" w:lineRule="auto"/>
              <w:rPr>
                <w:rFonts w:ascii="宋体" w:hAnsi="宋体" w:cs="宋体"/>
                <w:sz w:val="24"/>
              </w:rPr>
            </w:pPr>
            <w:r>
              <w:rPr>
                <w:rFonts w:hint="eastAsia" w:ascii="宋体" w:hAnsi="宋体" w:cs="宋体"/>
                <w:bCs/>
                <w:sz w:val="24"/>
              </w:rPr>
              <w:t xml:space="preserve">服务内容</w:t>
            </w:r>
            <w:r/>
          </w:p>
        </w:tc>
      </w:tr>
      <w:tr>
        <w:trPr>
          <w:jc w:val="center"/>
          <w:trHeight w:val="2116"/>
        </w:trPr>
        <w:tc>
          <w:tcPr>
            <w:tcW w:w="1037" w:type="dxa"/>
            <w:vAlign w:val="center"/>
            <w:textDirection w:val="lrTb"/>
            <w:noWrap w:val="false"/>
          </w:tcPr>
          <w:p>
            <w:pPr>
              <w:jc w:val="center"/>
              <w:rPr>
                <w:rFonts w:ascii="宋体" w:hAnsi="宋体" w:cs="宋体"/>
                <w:sz w:val="24"/>
              </w:rPr>
            </w:pPr>
            <w:r>
              <w:rPr>
                <w:rFonts w:hint="eastAsia" w:ascii="宋体" w:hAnsi="宋体" w:cs="宋体"/>
                <w:sz w:val="24"/>
              </w:rPr>
              <w:t xml:space="preserve">标段一</w:t>
            </w:r>
            <w:r/>
          </w:p>
        </w:tc>
        <w:tc>
          <w:tcPr>
            <w:tcW w:w="1482" w:type="dxa"/>
            <w:vAlign w:val="center"/>
            <w:textDirection w:val="lrTb"/>
            <w:noWrap w:val="false"/>
          </w:tcPr>
          <w:p>
            <w:pPr>
              <w:jc w:val="center"/>
              <w:rPr>
                <w:rFonts w:ascii="宋体" w:hAnsi="宋体" w:cs="宋体"/>
                <w:sz w:val="24"/>
              </w:rPr>
            </w:pPr>
            <w:r>
              <w:rPr>
                <w:rFonts w:hint="eastAsia" w:ascii="宋体" w:hAnsi="宋体" w:cs="宋体"/>
                <w:sz w:val="24"/>
              </w:rPr>
              <w:t xml:space="preserve">化工（危化品）及工贸重大危险源企业指导服务</w:t>
            </w:r>
            <w:r/>
          </w:p>
        </w:tc>
        <w:tc>
          <w:tcPr>
            <w:tcW w:w="3874" w:type="dxa"/>
            <w:vAlign w:val="center"/>
            <w:textDirection w:val="lrTb"/>
            <w:noWrap w:val="false"/>
          </w:tcPr>
          <w:p>
            <w:pPr>
              <w:jc w:val="center"/>
              <w:rPr>
                <w:rFonts w:ascii="宋体" w:hAnsi="宋体" w:cs="宋体"/>
                <w:sz w:val="24"/>
              </w:rPr>
            </w:pPr>
            <w:r>
              <w:rPr>
                <w:rFonts w:hint="eastAsia" w:ascii="宋体" w:hAnsi="宋体" w:cs="宋体"/>
                <w:sz w:val="24"/>
              </w:rPr>
              <w:t xml:space="preserve">（1）开展隐患排查指导服务，包括重点生产工艺设备、安全装置、危化品仓库等部位以及特殊作业管理、新改扩建设项目等环节。（2）开展安全管理提升服务，加强安全政策宣贯、指导企业“六化”建设、参与配合“小切口”问题研究等。</w:t>
            </w:r>
            <w:r/>
          </w:p>
        </w:tc>
        <w:tc>
          <w:tcPr>
            <w:tcW w:w="2258" w:type="dxa"/>
            <w:vAlign w:val="center"/>
            <w:textDirection w:val="lrTb"/>
            <w:noWrap w:val="false"/>
          </w:tcPr>
          <w:p>
            <w:pPr>
              <w:jc w:val="center"/>
              <w:rPr>
                <w:rFonts w:ascii="宋体" w:hAnsi="宋体" w:cs="宋体"/>
                <w:sz w:val="24"/>
              </w:rPr>
            </w:pPr>
            <w:r>
              <w:rPr>
                <w:rFonts w:hint="eastAsia" w:ascii="宋体" w:hAnsi="宋体" w:cs="宋体"/>
                <w:sz w:val="24"/>
              </w:rPr>
              <w:t xml:space="preserve">指导企业17家</w:t>
            </w:r>
            <w:r/>
          </w:p>
        </w:tc>
      </w:tr>
      <w:tr>
        <w:trPr>
          <w:jc w:val="center"/>
          <w:trHeight w:val="650"/>
        </w:trPr>
        <w:tc>
          <w:tcPr>
            <w:tcW w:w="1037" w:type="dxa"/>
            <w:vAlign w:val="center"/>
            <w:textDirection w:val="lrTb"/>
            <w:noWrap w:val="false"/>
          </w:tcPr>
          <w:p>
            <w:pPr>
              <w:jc w:val="center"/>
              <w:rPr>
                <w:rFonts w:ascii="宋体" w:hAnsi="宋体" w:cs="宋体"/>
                <w:sz w:val="24"/>
              </w:rPr>
            </w:pPr>
            <w:r>
              <w:rPr>
                <w:rFonts w:hint="eastAsia" w:ascii="宋体" w:hAnsi="宋体" w:cs="宋体"/>
                <w:sz w:val="24"/>
              </w:rPr>
              <w:t xml:space="preserve">标段二</w:t>
            </w:r>
            <w:r/>
          </w:p>
        </w:tc>
        <w:tc>
          <w:tcPr>
            <w:tcW w:w="1482" w:type="dxa"/>
            <w:vAlign w:val="center"/>
            <w:textDirection w:val="lrTb"/>
            <w:noWrap w:val="false"/>
          </w:tcPr>
          <w:p>
            <w:pPr>
              <w:jc w:val="center"/>
              <w:rPr>
                <w:rFonts w:ascii="宋体" w:hAnsi="宋体" w:cs="宋体"/>
                <w:sz w:val="24"/>
              </w:rPr>
            </w:pPr>
            <w:r>
              <w:rPr>
                <w:rFonts w:hint="eastAsia" w:ascii="宋体" w:hAnsi="宋体" w:cs="宋体"/>
                <w:sz w:val="24"/>
              </w:rPr>
              <w:t xml:space="preserve">生物医药及研发实验室企业指导服务</w:t>
            </w:r>
            <w:r/>
          </w:p>
        </w:tc>
        <w:tc>
          <w:tcPr>
            <w:tcW w:w="3874" w:type="dxa"/>
            <w:vAlign w:val="center"/>
            <w:textDirection w:val="lrTb"/>
            <w:noWrap w:val="false"/>
          </w:tcPr>
          <w:p>
            <w:pPr>
              <w:jc w:val="center"/>
              <w:rPr>
                <w:rFonts w:ascii="宋体" w:hAnsi="宋体" w:cs="宋体"/>
                <w:sz w:val="24"/>
              </w:rPr>
            </w:pPr>
            <w:r>
              <w:rPr>
                <w:rFonts w:hint="eastAsia" w:ascii="宋体" w:hAnsi="宋体" w:cs="宋体"/>
                <w:sz w:val="24"/>
              </w:rPr>
              <w:t xml:space="preserve">对医药及研发实验室企业开展专项指导服务。（1）开展隐患排查指导服务，加强现场安全管理指导，尤其是危化品储存、使用以及特殊作业管理等环节。（2）开展安全管理提升服务，加强对企业安全政策宣贯、指导企业“六化”建设、参与配合“小切口”问题研究等。</w:t>
            </w:r>
            <w:r/>
          </w:p>
        </w:tc>
        <w:tc>
          <w:tcPr>
            <w:tcW w:w="2258" w:type="dxa"/>
            <w:vAlign w:val="center"/>
            <w:textDirection w:val="lrTb"/>
            <w:noWrap w:val="false"/>
          </w:tcPr>
          <w:p>
            <w:pPr>
              <w:jc w:val="center"/>
              <w:rPr>
                <w:rFonts w:ascii="宋体" w:hAnsi="宋体" w:cs="宋体"/>
                <w:sz w:val="24"/>
              </w:rPr>
            </w:pPr>
            <w:r>
              <w:rPr>
                <w:rFonts w:hint="eastAsia" w:ascii="宋体" w:hAnsi="宋体" w:cs="宋体"/>
                <w:sz w:val="24"/>
              </w:rPr>
              <w:t xml:space="preserve">指导生物医药及研发实验室企业54家</w:t>
            </w:r>
            <w:r/>
          </w:p>
        </w:tc>
      </w:tr>
      <w:tr>
        <w:trPr>
          <w:jc w:val="center"/>
          <w:trHeight w:val="2819"/>
        </w:trPr>
        <w:tc>
          <w:tcPr>
            <w:tcW w:w="1037" w:type="dxa"/>
            <w:vAlign w:val="center"/>
            <w:textDirection w:val="lrTb"/>
            <w:noWrap w:val="false"/>
          </w:tcPr>
          <w:p>
            <w:pPr>
              <w:jc w:val="center"/>
              <w:rPr>
                <w:rFonts w:ascii="宋体" w:hAnsi="宋体" w:cs="宋体"/>
                <w:sz w:val="24"/>
              </w:rPr>
            </w:pPr>
            <w:r>
              <w:rPr>
                <w:rFonts w:hint="eastAsia" w:ascii="宋体" w:hAnsi="宋体" w:cs="宋体"/>
                <w:sz w:val="24"/>
              </w:rPr>
              <w:t xml:space="preserve">标段三</w:t>
            </w:r>
            <w:r/>
          </w:p>
        </w:tc>
        <w:tc>
          <w:tcPr>
            <w:tcW w:w="1482" w:type="dxa"/>
            <w:vAlign w:val="center"/>
            <w:textDirection w:val="lrTb"/>
            <w:noWrap w:val="false"/>
          </w:tcPr>
          <w:p>
            <w:pPr>
              <w:jc w:val="center"/>
              <w:rPr>
                <w:rFonts w:ascii="宋体" w:hAnsi="宋体" w:cs="宋体"/>
                <w:sz w:val="24"/>
              </w:rPr>
            </w:pPr>
            <w:r>
              <w:rPr>
                <w:rFonts w:hint="eastAsia" w:ascii="宋体" w:hAnsi="宋体" w:cs="宋体"/>
                <w:sz w:val="24"/>
              </w:rPr>
              <w:t xml:space="preserve">危化品领域应急技能提升服务</w:t>
            </w:r>
            <w:r/>
          </w:p>
        </w:tc>
        <w:tc>
          <w:tcPr>
            <w:tcW w:w="3874" w:type="dxa"/>
            <w:vAlign w:val="center"/>
            <w:textDirection w:val="lrTb"/>
            <w:noWrap w:val="false"/>
          </w:tcPr>
          <w:p>
            <w:pPr>
              <w:jc w:val="center"/>
              <w:rPr>
                <w:rFonts w:ascii="宋体" w:hAnsi="宋体" w:cs="宋体"/>
                <w:sz w:val="24"/>
              </w:rPr>
            </w:pPr>
            <w:r>
              <w:rPr>
                <w:rFonts w:hint="eastAsia" w:ascii="宋体" w:hAnsi="宋体" w:cs="宋体"/>
                <w:sz w:val="24"/>
              </w:rPr>
              <w:t xml:space="preserve">面向危化品领域企业，组织开展应急处置技能提升活动、应急演练。</w:t>
            </w:r>
            <w:r/>
          </w:p>
        </w:tc>
        <w:tc>
          <w:tcPr>
            <w:tcW w:w="2258" w:type="dxa"/>
            <w:vAlign w:val="center"/>
            <w:textDirection w:val="lrTb"/>
            <w:noWrap w:val="false"/>
          </w:tcPr>
          <w:p>
            <w:pPr>
              <w:jc w:val="center"/>
              <w:rPr>
                <w:rFonts w:ascii="宋体" w:hAnsi="宋体" w:cs="宋体"/>
                <w:sz w:val="24"/>
              </w:rPr>
            </w:pPr>
            <w:r>
              <w:rPr>
                <w:rFonts w:hint="eastAsia" w:ascii="宋体" w:hAnsi="宋体" w:cs="宋体"/>
                <w:sz w:val="24"/>
              </w:rPr>
              <w:t xml:space="preserve">开展应急处置技能提升活动2场，指导企业开展应急演练10场</w:t>
            </w:r>
            <w:r/>
          </w:p>
        </w:tc>
      </w:tr>
      <w:tr>
        <w:trPr>
          <w:jc w:val="center"/>
          <w:trHeight w:val="1796"/>
        </w:trPr>
        <w:tc>
          <w:tcPr>
            <w:tcW w:w="1037" w:type="dxa"/>
            <w:vAlign w:val="center"/>
            <w:textDirection w:val="lrTb"/>
            <w:noWrap w:val="false"/>
          </w:tcPr>
          <w:p>
            <w:pPr>
              <w:jc w:val="center"/>
              <w:rPr>
                <w:rFonts w:ascii="宋体" w:hAnsi="宋体" w:cs="宋体"/>
                <w:sz w:val="24"/>
              </w:rPr>
            </w:pPr>
            <w:r>
              <w:rPr>
                <w:rFonts w:hint="eastAsia" w:ascii="宋体" w:hAnsi="宋体" w:cs="宋体"/>
                <w:sz w:val="24"/>
              </w:rPr>
              <w:t xml:space="preserve">标段四</w:t>
            </w:r>
            <w:r/>
          </w:p>
        </w:tc>
        <w:tc>
          <w:tcPr>
            <w:tcW w:w="1482" w:type="dxa"/>
            <w:vAlign w:val="center"/>
            <w:textDirection w:val="lrTb"/>
            <w:noWrap w:val="false"/>
          </w:tcPr>
          <w:p>
            <w:pPr>
              <w:jc w:val="center"/>
              <w:rPr>
                <w:rFonts w:ascii="宋体" w:hAnsi="宋体" w:cs="宋体"/>
                <w:sz w:val="24"/>
              </w:rPr>
            </w:pPr>
            <w:r>
              <w:rPr>
                <w:rFonts w:hint="eastAsia" w:ascii="宋体" w:hAnsi="宋体" w:cs="宋体"/>
                <w:sz w:val="24"/>
              </w:rPr>
              <w:t xml:space="preserve">危化品领域安全生产“线上+线下”监测评估服务</w:t>
            </w:r>
            <w:r/>
          </w:p>
        </w:tc>
        <w:tc>
          <w:tcPr>
            <w:tcW w:w="3874" w:type="dxa"/>
            <w:vAlign w:val="center"/>
            <w:textDirection w:val="lrTb"/>
            <w:noWrap w:val="false"/>
          </w:tcPr>
          <w:p>
            <w:pPr>
              <w:jc w:val="center"/>
              <w:rPr>
                <w:rFonts w:ascii="宋体" w:hAnsi="宋体" w:cs="宋体"/>
                <w:sz w:val="24"/>
              </w:rPr>
            </w:pPr>
            <w:r>
              <w:rPr>
                <w:rFonts w:hint="eastAsia" w:ascii="宋体" w:hAnsi="宋体" w:cs="宋体"/>
                <w:sz w:val="24"/>
              </w:rPr>
              <w:t xml:space="preserve">组织专家力量，参与危化品领域安全教育培训，解读安全生产政策法规等；参与配合“小切口”问题研究，协助指导企业技术改造提升；依托“SIP安全360”系统，对重点危化品企业在线巡查，监督企业特殊作业、报警处置等情况，指导企业整改闭环问题</w:t>
            </w:r>
            <w:r/>
          </w:p>
        </w:tc>
        <w:tc>
          <w:tcPr>
            <w:tcW w:w="2258" w:type="dxa"/>
            <w:vAlign w:val="center"/>
            <w:textDirection w:val="lrTb"/>
            <w:noWrap w:val="false"/>
          </w:tcPr>
          <w:p>
            <w:pPr>
              <w:jc w:val="center"/>
              <w:rPr>
                <w:rFonts w:ascii="宋体" w:hAnsi="宋体" w:cs="宋体"/>
                <w:sz w:val="24"/>
              </w:rPr>
            </w:pPr>
            <w:r>
              <w:rPr>
                <w:rFonts w:hint="eastAsia" w:ascii="宋体" w:hAnsi="宋体" w:cs="宋体"/>
                <w:sz w:val="24"/>
              </w:rPr>
              <w:t xml:space="preserve">组织专家参与危化品领域安全教育培训，解读危化品安全生产政策、法规等</w:t>
            </w:r>
            <w:r/>
          </w:p>
        </w:tc>
      </w:tr>
    </w:tbl>
    <w:p>
      <w:pPr>
        <w:ind w:firstLine="480"/>
        <w:jc w:val="left"/>
        <w:spacing w:line="360" w:lineRule="auto"/>
        <w:rPr>
          <w:rFonts w:ascii="宋体" w:hAnsi="宋体" w:cs="宋体"/>
          <w:color w:val="auto"/>
          <w:sz w:val="24"/>
        </w:rPr>
      </w:pPr>
      <w:r>
        <w:rPr>
          <w:rFonts w:hint="eastAsia" w:ascii="宋体" w:hAnsi="宋体"/>
          <w:color w:val="auto"/>
          <w:sz w:val="24"/>
          <w:szCs w:val="22"/>
        </w:rPr>
        <w:t xml:space="preserve">5.2 </w:t>
      </w:r>
      <w:r>
        <w:rPr>
          <w:rFonts w:hint="eastAsia" w:ascii="宋体" w:hAnsi="宋体" w:cs="宋体"/>
          <w:color w:val="auto"/>
          <w:sz w:val="24"/>
        </w:rPr>
        <w:t xml:space="preserve">合同履行期限：标段一、标段二、标段三、标段四服务为合同签订之日至11月30日，其中标段一、标段二第一轮专家指导服务需在9月底前完成。</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5.3本项目不接受联合体。</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5.4本项目不允许转包、分包。</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二、申请人的资格要求：</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1.满足《中华人民共和国政府采购法》第二十二条规定；</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（1）具有独立承担民事责任的能力；</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（2）具有良好的商业信誉和健全的财务会计制度；</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（3）具有履行合同所必需的设备和专业技术能力；</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（4）有依法缴纳税收和社会保障资金的良好记录；</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（5）参加政府采购活动前三年内，在经营活动中没有重大违法记录；</w:t>
      </w:r>
      <w:r/>
    </w:p>
    <w:p>
      <w:pPr>
        <w:pStyle w:val="1111"/>
        <w:ind w:firstLine="480"/>
        <w:spacing w:line="360" w:lineRule="auto"/>
        <w:widowControl/>
        <w:rPr>
          <w:rFonts w:ascii="宋体" w:hAnsi="宋体" w:eastAsia="宋体" w:cs="宋体"/>
          <w:sz w:val="24"/>
        </w:rPr>
      </w:pPr>
      <w:r>
        <w:rPr>
          <w:rFonts w:hint="eastAsia" w:ascii="宋体" w:hAnsi="宋体" w:eastAsia="宋体" w:cs="宋体"/>
          <w:sz w:val="24"/>
        </w:rPr>
        <w:t xml:space="preserve">（6）法律、行政法规规定的其他条件。</w:t>
      </w:r>
      <w:r/>
    </w:p>
    <w:p>
      <w:pPr>
        <w:pStyle w:val="1111"/>
        <w:ind w:firstLine="480"/>
        <w:spacing w:line="360" w:lineRule="auto"/>
        <w:widowControl/>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落实政府采购政策需满足的资格要求：本项目整体专门面向中小型企业采购，中小微企业参加本项目政府采购活动在响应文件中需出具《中小企业声明函》（详见格式），残疾人福利性单位（监狱企业）供应商提供的残疾人福利性单位声明函（监狱企业证明文件）视同提供了中小企业声明函，所属行业为其他未列明行业。</w:t>
      </w:r>
      <w:r/>
    </w:p>
    <w:p>
      <w:pPr>
        <w:ind w:firstLine="480"/>
        <w:jc w:val="left"/>
        <w:spacing w:line="360" w:lineRule="auto"/>
        <w:rPr>
          <w:rFonts w:ascii="宋体" w:hAnsi="宋体" w:cs="宋体"/>
          <w:sz w:val="24"/>
        </w:rPr>
      </w:pPr>
      <w:r/>
      <w:bookmarkStart w:id="3" w:name="_Toc28359091"/>
      <w:r/>
      <w:bookmarkEnd w:id="3"/>
      <w:r/>
      <w:bookmarkStart w:id="4" w:name="_Toc28359014"/>
      <w:r>
        <w:rPr>
          <w:rFonts w:hint="eastAsia" w:ascii="宋体" w:hAnsi="宋体" w:cs="宋体"/>
          <w:sz w:val="24"/>
          <w:lang w:bidi="ar"/>
        </w:rPr>
        <w:t xml:space="preserve">3.</w:t>
      </w:r>
      <w:bookmarkEnd w:id="4"/>
      <w:r>
        <w:rPr>
          <w:rFonts w:hint="eastAsia" w:ascii="宋体" w:hAnsi="宋体" w:cs="宋体"/>
          <w:sz w:val="24"/>
          <w:lang w:bidi="ar"/>
        </w:rPr>
        <w:t xml:space="preserve">本项目的特定资格要求：</w:t>
      </w:r>
      <w:r/>
    </w:p>
    <w:p>
      <w:pPr>
        <w:ind w:firstLine="480"/>
        <w:jc w:val="left"/>
        <w:spacing w:line="360" w:lineRule="auto"/>
        <w:widowControl/>
        <w:rPr>
          <w:rFonts w:ascii="宋体" w:hAnsi="宋体" w:cs="宋体"/>
          <w:sz w:val="24"/>
        </w:rPr>
      </w:pPr>
      <w:r>
        <w:rPr>
          <w:rFonts w:hint="eastAsia" w:ascii="宋体" w:hAnsi="宋体" w:cs="宋体"/>
          <w:sz w:val="24"/>
          <w:lang w:bidi="ar"/>
        </w:rPr>
        <w:t xml:space="preserve">（1）未被“信用中国”网站（WWW.creditchina.gov.cn）或“中国政府采购网”网站（www.ccgp.gov.cn）列入失信被执行人、重大税收违法案件当事人名单、政府采购严重失信行为记录名单；</w:t>
      </w:r>
      <w:r/>
    </w:p>
    <w:p>
      <w:pPr>
        <w:ind w:firstLine="480"/>
        <w:jc w:val="left"/>
        <w:spacing w:line="360" w:lineRule="auto"/>
        <w:widowControl/>
        <w:rPr>
          <w:rFonts w:ascii="宋体" w:hAnsi="宋体" w:cs="宋体"/>
          <w:sz w:val="24"/>
        </w:rPr>
      </w:pPr>
      <w:r>
        <w:rPr>
          <w:rFonts w:hint="eastAsia" w:ascii="宋体" w:hAnsi="宋体" w:cs="宋体"/>
          <w:sz w:val="24"/>
          <w:lang w:bidi="ar"/>
        </w:rPr>
        <w:t xml:space="preserve">（2）本项目</w:t>
      </w:r>
      <w:r>
        <w:rPr>
          <w:rFonts w:hint="eastAsia" w:ascii="宋体" w:hAnsi="宋体" w:cs="宋体"/>
          <w:sz w:val="24"/>
          <w:u w:val="single"/>
          <w:lang w:bidi="ar"/>
        </w:rPr>
        <w:t xml:space="preserve">不接受</w:t>
      </w:r>
      <w:r>
        <w:rPr>
          <w:rFonts w:hint="eastAsia" w:ascii="宋体" w:hAnsi="宋体" w:cs="宋体"/>
          <w:sz w:val="24"/>
          <w:lang w:bidi="ar"/>
        </w:rPr>
        <w:t xml:space="preserve">联合体投标；</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sz w:val="24"/>
        </w:rPr>
      </w:pPr>
      <w:r/>
      <w:bookmarkStart w:id="5" w:name="_Toc35393632"/>
      <w:r/>
      <w:bookmarkEnd w:id="5"/>
      <w:r/>
      <w:bookmarkStart w:id="6" w:name="_Toc28359092"/>
      <w:r/>
      <w:bookmarkEnd w:id="6"/>
      <w:r/>
      <w:bookmarkStart w:id="7" w:name="_Toc35393801"/>
      <w:r/>
      <w:bookmarkEnd w:id="7"/>
      <w:r/>
      <w:bookmarkStart w:id="8" w:name="_Toc35393789"/>
      <w:r/>
      <w:bookmarkEnd w:id="8"/>
      <w:r/>
      <w:bookmarkStart w:id="9" w:name="_Toc28359015"/>
      <w:r/>
      <w:bookmarkEnd w:id="9"/>
      <w:r/>
      <w:bookmarkStart w:id="10" w:name="_Toc28359001"/>
      <w:r>
        <w:rPr>
          <w:rFonts w:hint="eastAsia" w:ascii="宋体" w:hAnsi="宋体" w:cs="宋体"/>
          <w:sz w:val="24"/>
          <w:lang w:bidi="ar"/>
        </w:rPr>
        <w:t xml:space="preserve">三、报名及采购文件的获取</w:t>
      </w:r>
      <w:bookmarkEnd w:id="10"/>
      <w:r/>
      <w:r/>
    </w:p>
    <w:p>
      <w:pPr>
        <w:ind w:firstLine="480"/>
        <w:jc w:val="left"/>
        <w:spacing w:line="360" w:lineRule="auto"/>
        <w:rPr>
          <w:rFonts w:ascii="宋体" w:hAnsi="宋体" w:cs="宋体"/>
          <w:sz w:val="24"/>
        </w:rPr>
      </w:pPr>
      <w:r/>
      <w:bookmarkStart w:id="11" w:name="_Toc35393636"/>
      <w:r/>
      <w:bookmarkEnd w:id="11"/>
      <w:r/>
      <w:bookmarkStart w:id="12" w:name="_Toc28359018"/>
      <w:r/>
      <w:bookmarkEnd w:id="12"/>
      <w:r/>
      <w:bookmarkStart w:id="13" w:name="_Toc35393805"/>
      <w:r/>
      <w:bookmarkEnd w:id="13"/>
      <w:r/>
      <w:bookmarkStart w:id="14" w:name="_Toc28359095"/>
      <w:r/>
      <w:bookmarkEnd w:id="14"/>
      <w:r>
        <w:rPr>
          <w:rFonts w:hint="eastAsia" w:ascii="宋体" w:hAnsi="宋体" w:cs="宋体"/>
          <w:sz w:val="24"/>
          <w:lang w:bidi="ar"/>
        </w:rPr>
        <w:t xml:space="preserve">1.获取时间：自本公告发布之日起至2026年4月</w:t>
      </w:r>
      <w:r>
        <w:rPr>
          <w:rFonts w:hint="eastAsia" w:ascii="宋体" w:hAnsi="宋体" w:cs="宋体"/>
          <w:sz w:val="24"/>
          <w:lang w:val="en-US" w:eastAsia="zh-CN" w:bidi="ar"/>
        </w:rPr>
        <w:t xml:space="preserve">28</w:t>
      </w:r>
      <w:r>
        <w:rPr>
          <w:rFonts w:hint="eastAsia" w:ascii="宋体" w:hAnsi="宋体" w:cs="宋体"/>
          <w:sz w:val="24"/>
          <w:lang w:bidi="ar"/>
        </w:rPr>
        <w:t xml:space="preserve">日</w:t>
      </w:r>
      <w:r/>
    </w:p>
    <w:p>
      <w:pPr>
        <w:pStyle w:val="1123"/>
        <w:ind w:firstLine="480"/>
        <w:spacing w:beforeAutospacing="0" w:afterAutospacing="0" w:line="360" w:lineRule="auto"/>
        <w:rPr>
          <w:shd w:val="clear" w:color="auto" w:fill="ffffff"/>
        </w:rPr>
      </w:pPr>
      <w:r>
        <w:rPr>
          <w:rFonts w:hint="eastAsia"/>
          <w:shd w:val="clear" w:color="auto" w:fill="ffffff"/>
        </w:rPr>
        <w:t xml:space="preserve">地点：苏采云系统自行下载</w:t>
      </w:r>
      <w:r/>
    </w:p>
    <w:p>
      <w:pPr>
        <w:pStyle w:val="1123"/>
        <w:ind w:firstLine="480"/>
        <w:spacing w:beforeAutospacing="0" w:afterAutospacing="0" w:line="360" w:lineRule="auto"/>
        <w:rPr>
          <w:shd w:val="clear" w:color="auto" w:fill="ffffff"/>
        </w:rPr>
      </w:pPr>
      <w:r>
        <w:rPr>
          <w:rFonts w:hint="eastAsia"/>
          <w:shd w:val="clear" w:color="auto" w:fill="ffffff"/>
        </w:rPr>
        <w:t xml:space="preserve">2.报名方式（网上报名）：</w:t>
      </w:r>
      <w:r/>
    </w:p>
    <w:p>
      <w:pPr>
        <w:pStyle w:val="1123"/>
        <w:ind w:firstLine="480"/>
        <w:spacing w:beforeAutospacing="0" w:afterAutospacing="0" w:line="360" w:lineRule="auto"/>
        <w:rPr>
          <w:shd w:val="clear" w:color="auto" w:fill="ffffff"/>
        </w:rPr>
      </w:pPr>
      <w:r>
        <w:rPr>
          <w:rFonts w:hint="eastAsia"/>
          <w:shd w:val="clear" w:color="auto" w:fill="ffffff"/>
        </w:rPr>
        <w:t xml:space="preserve">（1）申领CA证书</w:t>
      </w:r>
      <w:r/>
    </w:p>
    <w:p>
      <w:pPr>
        <w:pStyle w:val="1123"/>
        <w:ind w:firstLine="480"/>
        <w:spacing w:beforeAutospacing="0" w:afterAutospacing="0" w:line="360" w:lineRule="auto"/>
      </w:pPr>
      <w:r>
        <w:rPr>
          <w:rFonts w:hint="eastAsia"/>
          <w:shd w:val="clear" w:color="auto" w:fill="ffffff"/>
        </w:rPr>
        <w:t xml:space="preserve">供应商进入“江苏省政府采购”</w:t>
      </w:r>
      <w:r>
        <w:rPr>
          <w:rFonts w:hint="eastAsia"/>
        </w:rPr>
        <w:t xml:space="preserve">官网首页―“苏采云”―进入“苏采云政府采购一体化平台”―点击“新CA办理指南”。详见《江苏省政府采购数字证书（供应商）数字证书CA及电子签章办理指南》。</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（2）登录报名</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（3）在网上报名过程中如有疑问，请及时联系：</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CA技术咨询服务电话：400-608-6099</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电子签章技术咨询服务电话：15380932027 15371015030 13675197356 13675197221</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系统使用指导与咨询：联系电话：13914088964；18261002950（不见面项目）QQ：3048755361、895706745。</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（5）截止日期之后下载的采购文件，视为非有效方式且不作为供应商权益受到损害的证明材料和依据。</w:t>
      </w:r>
      <w:r/>
    </w:p>
    <w:p>
      <w:pPr>
        <w:pStyle w:val="1111"/>
        <w:ind w:firstLine="480"/>
        <w:spacing w:line="360" w:lineRule="auto"/>
        <w:widowControl/>
        <w:rPr>
          <w:rFonts w:eastAsia="宋体"/>
          <w:sz w:val="24"/>
          <w:shd w:val="clear" w:color="auto" w:fill="ffffff"/>
        </w:rPr>
      </w:pPr>
      <w:r>
        <w:rPr>
          <w:rFonts w:hint="eastAsia" w:eastAsia="宋体"/>
          <w:sz w:val="24"/>
          <w:shd w:val="clear" w:color="auto" w:fill="ffffff"/>
        </w:rPr>
        <w:t xml:space="preserve">3.售价：无</w:t>
      </w:r>
      <w:r/>
    </w:p>
    <w:p>
      <w:pPr>
        <w:ind w:firstLine="420"/>
        <w:spacing w:line="360" w:lineRule="auto"/>
        <w:rPr>
          <w:rFonts w:ascii="宋体" w:hAnsi="宋体" w:cs="宋体"/>
          <w:sz w:val="24"/>
        </w:rPr>
      </w:pPr>
      <w:r>
        <w:rPr>
          <w:rFonts w:hint="eastAsia" w:ascii="宋体" w:hAnsi="宋体" w:cs="宋体"/>
          <w:sz w:val="24"/>
          <w:lang w:bidi="ar"/>
        </w:rPr>
        <w:t xml:space="preserve">4.本项目采用网上投标电子评标方式。</w:t>
      </w:r>
      <w:r/>
    </w:p>
    <w:p>
      <w:pPr>
        <w:ind w:firstLine="480"/>
        <w:jc w:val="left"/>
        <w:spacing w:line="360" w:lineRule="auto"/>
        <w:rPr>
          <w:rFonts w:ascii="宋体" w:hAnsi="宋体" w:cs="宋体"/>
          <w:sz w:val="24"/>
        </w:rPr>
      </w:pPr>
      <w:r>
        <w:rPr>
          <w:rFonts w:hint="eastAsia" w:ascii="宋体" w:hAnsi="宋体" w:cs="宋体"/>
          <w:sz w:val="24"/>
          <w:lang w:bidi="ar"/>
        </w:rPr>
        <w:t xml:space="preserve">四、响应文件提交</w:t>
      </w:r>
      <w:r/>
    </w:p>
    <w:p>
      <w:pPr>
        <w:ind w:firstLine="480"/>
        <w:jc w:val="left"/>
        <w:spacing w:line="360" w:lineRule="auto"/>
        <w:rPr>
          <w:rFonts w:ascii="宋体" w:hAnsi="宋体" w:cs="宋体"/>
          <w:sz w:val="24"/>
        </w:rPr>
      </w:pPr>
      <w:r>
        <w:rPr>
          <w:rFonts w:hint="eastAsia" w:ascii="宋体" w:hAnsi="宋体" w:cs="宋体"/>
          <w:sz w:val="24"/>
          <w:lang w:bidi="ar"/>
        </w:rPr>
        <w:t xml:space="preserve">1.网上响应文件接收截止时间：2026年5月</w:t>
      </w:r>
      <w:r>
        <w:rPr>
          <w:rFonts w:hint="eastAsia" w:ascii="宋体" w:hAnsi="宋体" w:cs="宋体"/>
          <w:sz w:val="24"/>
          <w:lang w:val="en-US" w:eastAsia="zh-CN" w:bidi="ar"/>
        </w:rPr>
        <w:t xml:space="preserve">7</w:t>
      </w:r>
      <w:r>
        <w:rPr>
          <w:rFonts w:hint="eastAsia" w:ascii="宋体" w:hAnsi="宋体" w:cs="宋体"/>
          <w:sz w:val="24"/>
          <w:lang w:bidi="ar"/>
        </w:rPr>
        <w:t xml:space="preserve">日09:30（北京时间）</w:t>
      </w:r>
      <w:r/>
    </w:p>
    <w:p>
      <w:pPr>
        <w:ind w:firstLine="480"/>
        <w:jc w:val="left"/>
        <w:spacing w:line="360" w:lineRule="auto"/>
        <w:rPr>
          <w:rFonts w:ascii="宋体" w:hAnsi="宋体" w:cs="宋体"/>
          <w:sz w:val="24"/>
        </w:rPr>
      </w:pPr>
      <w:r>
        <w:rPr>
          <w:rFonts w:hint="eastAsia" w:ascii="宋体" w:hAnsi="宋体" w:cs="宋体"/>
          <w:sz w:val="24"/>
          <w:lang w:bidi="ar"/>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360" w:lineRule="auto"/>
        <w:rPr>
          <w:rFonts w:ascii="宋体" w:hAnsi="宋体" w:cs="宋体"/>
          <w:sz w:val="24"/>
        </w:rPr>
      </w:pPr>
      <w:r>
        <w:rPr>
          <w:rFonts w:hint="eastAsia" w:ascii="宋体" w:hAnsi="宋体" w:cs="宋体"/>
          <w:sz w:val="24"/>
          <w:lang w:bidi="ar"/>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lang w:bidi="ar"/>
        </w:rPr>
        <w:t xml:space="preserve">本项目为不见面开标项目，开标阶段供应商在【供应商解密】环节必须使用CA证书解密电子投标文件，如在系统规定的解密时间内未能完成解密的视为放弃投标。</w:t>
      </w:r>
      <w:r/>
    </w:p>
    <w:p>
      <w:pPr>
        <w:ind w:firstLine="480"/>
        <w:jc w:val="left"/>
        <w:spacing w:line="360" w:lineRule="auto"/>
        <w:rPr>
          <w:rFonts w:ascii="宋体" w:hAnsi="宋体" w:cs="宋体"/>
          <w:sz w:val="24"/>
        </w:rPr>
      </w:pPr>
      <w:r>
        <w:rPr>
          <w:rFonts w:hint="eastAsia" w:ascii="宋体" w:hAnsi="宋体" w:cs="宋体"/>
          <w:sz w:val="24"/>
          <w:lang w:bidi="ar"/>
        </w:rPr>
        <w:t xml:space="preserve">4.请供应商确保电脑、系统及其他设备（视频输入输出设备等）无误，且开标直至项目结束始终保持系统在线状态。</w:t>
      </w:r>
      <w:r/>
    </w:p>
    <w:p>
      <w:pPr>
        <w:ind w:firstLine="482"/>
        <w:spacing w:line="360" w:lineRule="auto"/>
        <w:rPr>
          <w:rFonts w:ascii="宋体" w:hAnsi="宋体" w:cs="宋体"/>
          <w:bCs/>
          <w:sz w:val="24"/>
        </w:rPr>
      </w:pPr>
      <w:r>
        <w:rPr>
          <w:rFonts w:hint="eastAsia" w:ascii="宋体" w:hAnsi="宋体" w:cs="宋体"/>
          <w:bCs/>
          <w:sz w:val="24"/>
          <w:lang w:bidi="ar"/>
        </w:rPr>
        <w:t xml:space="preserve">五、开标有关信息</w:t>
      </w:r>
      <w:r/>
    </w:p>
    <w:p>
      <w:pPr>
        <w:ind w:firstLine="495"/>
        <w:spacing w:line="360" w:lineRule="auto"/>
        <w:rPr>
          <w:rFonts w:ascii="宋体" w:hAnsi="宋体" w:cs="宋体"/>
          <w:sz w:val="24"/>
        </w:rPr>
      </w:pPr>
      <w:r>
        <w:rPr>
          <w:rFonts w:hint="eastAsia" w:ascii="宋体" w:hAnsi="宋体" w:cs="宋体"/>
          <w:sz w:val="24"/>
          <w:lang w:bidi="ar"/>
        </w:rPr>
        <w:t xml:space="preserve">1.开标时间：2026年5月</w:t>
      </w:r>
      <w:r>
        <w:rPr>
          <w:rFonts w:hint="eastAsia" w:ascii="宋体" w:hAnsi="宋体" w:cs="宋体"/>
          <w:sz w:val="24"/>
          <w:lang w:val="en-US" w:eastAsia="zh-CN" w:bidi="ar"/>
        </w:rPr>
        <w:t xml:space="preserve">7</w:t>
      </w:r>
      <w:r>
        <w:rPr>
          <w:rFonts w:hint="eastAsia" w:ascii="宋体" w:hAnsi="宋体" w:cs="宋体"/>
          <w:sz w:val="24"/>
          <w:lang w:bidi="ar"/>
        </w:rPr>
        <w:t xml:space="preserve">日09:30（北京时间）</w:t>
      </w:r>
      <w:r/>
    </w:p>
    <w:p>
      <w:pPr>
        <w:ind w:firstLine="495"/>
        <w:spacing w:line="360" w:lineRule="auto"/>
        <w:rPr>
          <w:rFonts w:ascii="宋体" w:hAnsi="宋体" w:cs="宋体"/>
          <w:sz w:val="24"/>
        </w:rPr>
      </w:pPr>
      <w:r>
        <w:rPr>
          <w:rFonts w:hint="eastAsia" w:ascii="宋体" w:hAnsi="宋体" w:cs="宋体"/>
          <w:sz w:val="24"/>
          <w:lang w:bidi="ar"/>
        </w:rPr>
        <w:t xml:space="preserve">2.开标地点：</w:t>
      </w:r>
      <w:r>
        <w:rPr>
          <w:rFonts w:hint="eastAsia" w:ascii="宋体" w:hAnsi="宋体" w:cs="宋体"/>
          <w:sz w:val="24"/>
          <w:shd w:val="clear" w:color="auto" w:fill="ffffff"/>
          <w:lang w:bidi="ar"/>
        </w:rPr>
        <w:t xml:space="preserve">苏采云政府采购一体化平台开标大厅（网上不见面开标）。</w:t>
      </w:r>
      <w:r/>
    </w:p>
    <w:p>
      <w:pPr>
        <w:ind w:firstLine="480"/>
        <w:jc w:val="left"/>
        <w:spacing w:line="360" w:lineRule="auto"/>
        <w:rPr>
          <w:rFonts w:ascii="宋体" w:hAnsi="宋体" w:cs="宋体"/>
          <w:sz w:val="24"/>
        </w:rPr>
      </w:pPr>
      <w:r>
        <w:rPr>
          <w:rFonts w:hint="eastAsia" w:ascii="宋体" w:hAnsi="宋体" w:cs="宋体"/>
          <w:sz w:val="24"/>
          <w:lang w:bidi="ar"/>
        </w:rPr>
        <w:t xml:space="preserve">六、公告期限</w:t>
      </w:r>
      <w:r/>
    </w:p>
    <w:p>
      <w:pPr>
        <w:ind w:firstLine="480"/>
        <w:jc w:val="left"/>
        <w:spacing w:line="360" w:lineRule="auto"/>
        <w:rPr>
          <w:rFonts w:ascii="宋体" w:hAnsi="宋体" w:cs="宋体"/>
          <w:sz w:val="24"/>
        </w:rPr>
      </w:pPr>
      <w:r>
        <w:rPr>
          <w:rFonts w:hint="eastAsia" w:ascii="宋体" w:hAnsi="宋体" w:cs="宋体"/>
          <w:sz w:val="24"/>
          <w:lang w:bidi="ar"/>
        </w:rPr>
        <w:t xml:space="preserve">自本公告发布之日起3个工作日。</w:t>
      </w:r>
      <w:r/>
    </w:p>
    <w:p>
      <w:pPr>
        <w:ind w:firstLine="495"/>
        <w:spacing w:line="360" w:lineRule="auto"/>
        <w:rPr>
          <w:rFonts w:ascii="宋体" w:hAnsi="宋体" w:cs="宋体"/>
          <w:sz w:val="24"/>
          <w:lang w:bidi="ar"/>
        </w:rPr>
      </w:pPr>
      <w:r>
        <w:rPr>
          <w:rFonts w:hint="eastAsia" w:ascii="宋体" w:hAnsi="宋体" w:cs="宋体"/>
          <w:sz w:val="24"/>
          <w:lang w:bidi="ar"/>
        </w:rPr>
        <w:t xml:space="preserve">七、其他补充事宜</w:t>
      </w:r>
      <w:r/>
    </w:p>
    <w:p>
      <w:pPr>
        <w:ind w:firstLine="495"/>
        <w:spacing w:line="360" w:lineRule="auto"/>
        <w:rPr>
          <w:rFonts w:ascii="宋体" w:hAnsi="宋体" w:cs="宋体"/>
          <w:sz w:val="24"/>
          <w:lang w:bidi="ar"/>
        </w:rPr>
      </w:pPr>
      <w:r>
        <w:rPr>
          <w:rFonts w:hint="eastAsia" w:ascii="宋体" w:hAnsi="宋体" w:cs="宋体"/>
          <w:sz w:val="24"/>
          <w:lang w:bidi="ar"/>
        </w:rPr>
        <w:t xml:space="preserve">1.有关本项目电子投标具体操作方法详见苏采云系统中的客户端使用说明和供应商《操作手册》。</w:t>
      </w:r>
      <w:r/>
    </w:p>
    <w:p>
      <w:pPr>
        <w:ind w:firstLine="495"/>
        <w:spacing w:line="360" w:lineRule="auto"/>
        <w:rPr>
          <w:rFonts w:ascii="宋体" w:hAnsi="宋体" w:cs="宋体"/>
          <w:sz w:val="24"/>
          <w:lang w:bidi="ar"/>
        </w:rPr>
      </w:pPr>
      <w:r>
        <w:rPr>
          <w:rFonts w:hint="eastAsia" w:ascii="宋体" w:hAnsi="宋体" w:cs="宋体"/>
          <w:sz w:val="24"/>
          <w:lang w:bidi="ar"/>
        </w:rPr>
        <w:t xml:space="preserve">2.苏州工业园区财政审计局监督电话：0512-66681110。</w:t>
      </w:r>
      <w:r/>
    </w:p>
    <w:p>
      <w:pPr>
        <w:ind w:firstLine="495"/>
        <w:spacing w:line="360" w:lineRule="auto"/>
        <w:rPr>
          <w:rFonts w:ascii="宋体" w:hAnsi="宋体" w:cs="宋体"/>
          <w:sz w:val="24"/>
          <w:lang w:bidi="ar"/>
        </w:rPr>
      </w:pPr>
      <w:r>
        <w:rPr>
          <w:rFonts w:hint="eastAsia" w:ascii="宋体" w:hAnsi="宋体" w:cs="宋体"/>
          <w:sz w:val="24"/>
          <w:lang w:bidi="ar"/>
        </w:rPr>
        <w:t xml:space="preserve">3.本项目所属行业为其他未列明行业。</w:t>
      </w:r>
      <w:r/>
    </w:p>
    <w:p>
      <w:pPr>
        <w:ind w:firstLine="495"/>
        <w:spacing w:line="360" w:lineRule="auto"/>
        <w:rPr>
          <w:rFonts w:ascii="宋体" w:hAnsi="宋体" w:cs="宋体"/>
          <w:sz w:val="24"/>
          <w:lang w:bidi="ar"/>
        </w:rPr>
      </w:pPr>
      <w:r>
        <w:rPr>
          <w:rFonts w:hint="eastAsia" w:ascii="宋体" w:hAnsi="宋体" w:cs="宋体"/>
          <w:sz w:val="24"/>
          <w:lang w:bidi="ar"/>
        </w:rPr>
        <w:t xml:space="preserve">4.本次采购的相关信息刊登在苏州政府采购网、江苏政府采购网。</w:t>
      </w:r>
      <w:r/>
    </w:p>
    <w:p>
      <w:pPr>
        <w:ind w:firstLine="495"/>
        <w:spacing w:line="360" w:lineRule="auto"/>
        <w:rPr>
          <w:rFonts w:ascii="宋体" w:hAnsi="宋体" w:cs="宋体"/>
          <w:sz w:val="24"/>
          <w:lang w:bidi="ar"/>
        </w:rPr>
      </w:pPr>
      <w:r>
        <w:rPr>
          <w:rFonts w:hint="eastAsia" w:ascii="宋体" w:hAnsi="宋体" w:cs="宋体"/>
          <w:sz w:val="24"/>
          <w:lang w:bidi="ar"/>
        </w:rPr>
        <w:t xml:space="preserve">5.本项目获取招标文件截止日期之后仍可以下载招标文件，但截止日期之后下载的招标文件，视为非有效方式且不作为供应商权益受到损害的证明材料和依据。</w:t>
      </w:r>
      <w:r/>
    </w:p>
    <w:p>
      <w:pPr>
        <w:ind w:firstLine="482"/>
        <w:jc w:val="left"/>
        <w:spacing w:line="360" w:lineRule="auto"/>
        <w:rPr>
          <w:rFonts w:ascii="宋体" w:hAnsi="宋体" w:cs="宋体"/>
          <w:b/>
          <w:sz w:val="24"/>
        </w:rPr>
      </w:pPr>
      <w:r>
        <w:rPr>
          <w:rFonts w:hint="eastAsia" w:ascii="宋体" w:hAnsi="宋体" w:cs="宋体"/>
          <w:b/>
          <w:sz w:val="24"/>
          <w:lang w:bidi="ar"/>
        </w:rPr>
        <w:t xml:space="preserve">八、凡对本次采购提出询问，请按以下方式联系。</w:t>
      </w:r>
      <w:r/>
    </w:p>
    <w:p>
      <w:pPr>
        <w:ind w:firstLine="480"/>
        <w:jc w:val="left"/>
        <w:spacing w:line="360" w:lineRule="auto"/>
        <w:rPr>
          <w:rFonts w:ascii="宋体" w:hAnsi="宋体" w:cs="宋体"/>
          <w:sz w:val="24"/>
        </w:rPr>
      </w:pPr>
      <w:r/>
      <w:bookmarkStart w:id="15" w:name="_Toc35393786"/>
      <w:r/>
      <w:bookmarkEnd w:id="15"/>
      <w:r/>
      <w:bookmarkStart w:id="16" w:name="_Toc28359075"/>
      <w:r/>
      <w:bookmarkEnd w:id="16"/>
      <w:r/>
      <w:bookmarkStart w:id="17" w:name="_Toc35393617"/>
      <w:r/>
      <w:bookmarkEnd w:id="17"/>
      <w:r/>
      <w:bookmarkStart w:id="18" w:name="_Toc28358998"/>
      <w:r>
        <w:rPr>
          <w:rFonts w:hint="eastAsia" w:ascii="宋体" w:hAnsi="宋体" w:cs="宋体"/>
          <w:sz w:val="24"/>
          <w:lang w:bidi="ar"/>
        </w:rPr>
        <w:t xml:space="preserve">1</w:t>
      </w:r>
      <w:bookmarkEnd w:id="18"/>
      <w:r>
        <w:rPr>
          <w:rFonts w:hint="eastAsia" w:ascii="宋体" w:hAnsi="宋体" w:cs="宋体"/>
          <w:sz w:val="24"/>
          <w:lang w:bidi="ar"/>
        </w:rPr>
        <w:t xml:space="preserve">.采购人信息：</w:t>
      </w:r>
      <w:r/>
    </w:p>
    <w:p>
      <w:pPr>
        <w:pStyle w:val="941"/>
        <w:ind w:firstLine="480"/>
        <w:spacing w:before="0" w:beforeAutospacing="0" w:after="0" w:afterAutospacing="0" w:line="360" w:lineRule="auto"/>
        <w:rPr>
          <w:shd w:val="clear" w:color="auto" w:fill="ffffff"/>
        </w:rPr>
      </w:pPr>
      <w:r>
        <w:rPr>
          <w:rFonts w:hint="eastAsia"/>
          <w:shd w:val="clear" w:color="auto" w:fill="ffffff"/>
        </w:rPr>
        <w:t xml:space="preserve">名称：苏州工业园区应急管理局</w:t>
      </w:r>
      <w:r/>
    </w:p>
    <w:p>
      <w:pPr>
        <w:pStyle w:val="941"/>
        <w:ind w:firstLine="480"/>
        <w:spacing w:before="0" w:beforeAutospacing="0" w:after="0" w:afterAutospacing="0" w:line="360" w:lineRule="auto"/>
        <w:rPr>
          <w:rFonts w:hint="eastAsia"/>
          <w:shd w:val="clear" w:color="auto"/>
          <w:lang w:bidi="ar"/>
        </w:rPr>
      </w:pPr>
      <w:r>
        <w:rPr>
          <w:rFonts w:hint="eastAsia"/>
          <w:shd w:val="clear" w:color="auto"/>
          <w:lang w:bidi="ar"/>
        </w:rPr>
        <w:t xml:space="preserve">联系人：</w:t>
      </w:r>
      <w:r>
        <w:rPr>
          <w:rFonts w:hint="eastAsia"/>
          <w:shd w:val="clear" w:color="auto"/>
          <w:lang w:eastAsia="zh-CN" w:bidi="ar"/>
        </w:rPr>
        <w:t xml:space="preserve">李得杰</w:t>
      </w:r>
      <w:r>
        <w:rPr>
          <w:rFonts w:hint="eastAsia"/>
          <w:shd w:val="clear" w:color="auto"/>
          <w:lang w:bidi="ar"/>
        </w:rPr>
        <w:t xml:space="preserve">     </w:t>
      </w:r>
      <w:r/>
    </w:p>
    <w:p>
      <w:pPr>
        <w:pStyle w:val="941"/>
        <w:ind w:firstLine="480"/>
        <w:spacing w:before="0" w:beforeAutospacing="0" w:after="0" w:afterAutospacing="0" w:line="360" w:lineRule="auto"/>
        <w:rPr>
          <w:rFonts w:hint="eastAsia"/>
          <w:shd w:val="clear" w:color="auto"/>
          <w:lang w:bidi="ar"/>
        </w:rPr>
      </w:pPr>
      <w:r>
        <w:rPr>
          <w:rFonts w:hint="eastAsia"/>
          <w:shd w:val="clear" w:color="auto"/>
          <w:lang w:bidi="ar"/>
        </w:rPr>
        <w:t xml:space="preserve">联系电话：0512-666806</w:t>
      </w:r>
      <w:r>
        <w:rPr>
          <w:rFonts w:hint="eastAsia"/>
          <w:shd w:val="clear" w:color="auto"/>
          <w:lang w:val="en-US" w:eastAsia="zh-CN" w:bidi="ar"/>
        </w:rPr>
        <w:t xml:space="preserve">79</w:t>
      </w:r>
      <w:r/>
    </w:p>
    <w:p>
      <w:pPr>
        <w:pStyle w:val="941"/>
        <w:ind w:firstLine="480"/>
        <w:spacing w:before="0" w:beforeAutospacing="0" w:after="0" w:afterAutospacing="0" w:line="360" w:lineRule="auto"/>
        <w:rPr>
          <w:shd w:val="clear" w:color="auto" w:fill="ffffff"/>
        </w:rPr>
      </w:pPr>
      <w:r>
        <w:rPr>
          <w:rFonts w:hint="eastAsia"/>
          <w:shd w:val="clear" w:color="auto"/>
          <w:lang w:bidi="ar"/>
        </w:rPr>
        <w:t xml:space="preserve">地址：苏州工业园区</w:t>
      </w:r>
      <w:r>
        <w:rPr>
          <w:rFonts w:hint="eastAsia"/>
          <w:shd w:val="clear" w:color="auto" w:fill="ffffff"/>
        </w:rPr>
        <w:t xml:space="preserve">现代大道999号现代大厦6楼</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2.代理机构信息</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名称：苏州市诚捷项目管理有限公司</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地址：苏州高新区狮山路76号604-2-009</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联系人：张晓雯、周云</w:t>
      </w:r>
      <w:r/>
    </w:p>
    <w:p>
      <w:pPr>
        <w:ind w:firstLine="480"/>
        <w:jc w:val="left"/>
        <w:spacing w:line="360" w:lineRule="auto"/>
        <w:rPr>
          <w:rFonts w:ascii="宋体" w:hAnsi="宋体" w:cs="宋体"/>
          <w:sz w:val="24"/>
        </w:rPr>
      </w:pPr>
      <w:r>
        <w:rPr>
          <w:rFonts w:hint="eastAsia" w:ascii="宋体" w:hAnsi="宋体" w:cs="宋体"/>
          <w:sz w:val="24"/>
          <w:lang w:bidi="ar"/>
        </w:rPr>
        <w:t xml:space="preserve">电话：18852950723</w:t>
      </w:r>
      <w:bookmarkEnd w:id="2"/>
      <w:r/>
      <w:r/>
    </w:p>
    <w:p>
      <w:pPr>
        <w:pStyle w:val="907"/>
        <w:jc w:val="center"/>
        <w:rPr>
          <w:rFonts w:ascii="sans-serif" w:hAnsi="sans-serif" w:eastAsia="sans-serif" w:cs="sans-serif"/>
        </w:rPr>
      </w:pPr>
      <w:r>
        <w:rPr>
          <w:rStyle w:val="1127"/>
          <w:rFonts w:hint="eastAsia" w:ascii="宋体" w:hAnsi="宋体" w:cs="宋体"/>
          <w:szCs w:val="43"/>
        </w:rPr>
        <w:br w:type="page" w:clear="all"/>
      </w:r>
      <w:bookmarkStart w:id="19" w:name="_Toc32082"/>
      <w:r>
        <w:rPr>
          <w:rFonts w:hint="eastAsia"/>
          <w:b/>
          <w:bCs/>
        </w:rPr>
        <w:t xml:space="preserve">第二章 磋商须知</w:t>
      </w:r>
      <w:bookmarkEnd w:id="19"/>
      <w:r/>
      <w:r/>
    </w:p>
    <w:p>
      <w:pPr>
        <w:ind w:left="735"/>
        <w:jc w:val="left"/>
        <w:spacing w:line="360" w:lineRule="auto"/>
        <w:rPr>
          <w:rFonts w:ascii="宋体" w:hAnsi="宋体" w:cs="宋体"/>
          <w:b/>
          <w:sz w:val="24"/>
          <w:lang w:bidi="ar"/>
        </w:rPr>
      </w:pPr>
      <w:r>
        <w:rPr>
          <w:rFonts w:hint="eastAsia" w:ascii="宋体" w:hAnsi="宋体" w:cs="宋体"/>
          <w:b/>
          <w:sz w:val="24"/>
          <w:lang w:bidi="ar"/>
        </w:rPr>
        <w:t xml:space="preserve">一、响应文件的组成及要求（部分格式见附件）</w:t>
      </w:r>
      <w:r/>
    </w:p>
    <w:p>
      <w:pPr>
        <w:ind w:firstLine="482"/>
        <w:jc w:val="left"/>
        <w:spacing w:line="360" w:lineRule="auto"/>
        <w:tabs>
          <w:tab w:val="left" w:pos="463" w:leader="none"/>
        </w:tabs>
        <w:rPr>
          <w:rFonts w:ascii="宋体" w:hAnsi="宋体" w:cs="宋体"/>
          <w:b/>
          <w:bCs/>
          <w:sz w:val="24"/>
          <w:lang w:bidi="ar"/>
        </w:rPr>
      </w:pPr>
      <w:r>
        <w:rPr>
          <w:rFonts w:hint="eastAsia" w:ascii="宋体" w:hAnsi="宋体" w:cs="宋体"/>
          <w:b/>
          <w:bCs/>
          <w:sz w:val="24"/>
          <w:lang w:bidi="ar"/>
        </w:rPr>
        <w:t xml:space="preserve">（一）封面</w:t>
      </w:r>
      <w:r/>
    </w:p>
    <w:p>
      <w:pPr>
        <w:ind w:firstLine="482"/>
        <w:jc w:val="left"/>
        <w:spacing w:line="360" w:lineRule="auto"/>
        <w:tabs>
          <w:tab w:val="left" w:pos="463" w:leader="none"/>
        </w:tabs>
        <w:rPr>
          <w:rFonts w:ascii="宋体" w:hAnsi="宋体" w:cs="宋体"/>
          <w:b/>
          <w:bCs/>
          <w:sz w:val="24"/>
          <w:lang w:bidi="ar"/>
        </w:rPr>
      </w:pPr>
      <w:r>
        <w:rPr>
          <w:rFonts w:hint="eastAsia" w:ascii="宋体" w:hAnsi="宋体" w:cs="宋体"/>
          <w:b/>
          <w:bCs/>
          <w:sz w:val="24"/>
          <w:lang w:bidi="ar"/>
        </w:rPr>
        <w:t xml:space="preserve">（二）开标一览表</w:t>
      </w:r>
      <w:r/>
    </w:p>
    <w:p>
      <w:pPr>
        <w:ind w:firstLine="482"/>
        <w:jc w:val="left"/>
        <w:spacing w:line="360" w:lineRule="auto"/>
        <w:tabs>
          <w:tab w:val="left" w:pos="463" w:leader="none"/>
        </w:tabs>
        <w:rPr>
          <w:rFonts w:ascii="宋体" w:hAnsi="宋体" w:cs="宋体"/>
          <w:sz w:val="24"/>
          <w:lang w:bidi="ar"/>
        </w:rPr>
      </w:pPr>
      <w:r>
        <w:rPr>
          <w:rFonts w:hint="eastAsia" w:ascii="宋体" w:hAnsi="宋体" w:cs="宋体"/>
          <w:b/>
          <w:bCs/>
          <w:sz w:val="24"/>
          <w:lang w:bidi="ar"/>
        </w:rPr>
        <w:t xml:space="preserve">（三）资格性审查资料</w:t>
      </w:r>
      <w:r/>
    </w:p>
    <w:p>
      <w:pPr>
        <w:ind w:firstLine="480"/>
        <w:jc w:val="left"/>
        <w:spacing w:line="360" w:lineRule="auto"/>
        <w:rPr>
          <w:rFonts w:ascii="宋体" w:hAnsi="宋体" w:cs="宋体"/>
          <w:sz w:val="24"/>
        </w:rPr>
      </w:pPr>
      <w:r>
        <w:rPr>
          <w:rFonts w:hint="eastAsia" w:ascii="宋体" w:hAnsi="宋体" w:cs="宋体"/>
          <w:sz w:val="24"/>
          <w:lang w:bidi="ar"/>
        </w:rPr>
        <w:t xml:space="preserve">1. 法定代表人授权委托书、委托代理人身份证复印件（如为委托）；</w:t>
      </w:r>
      <w:r/>
    </w:p>
    <w:p>
      <w:pPr>
        <w:ind w:firstLine="480"/>
        <w:jc w:val="left"/>
        <w:spacing w:line="360" w:lineRule="auto"/>
        <w:rPr>
          <w:rFonts w:ascii="宋体" w:hAnsi="宋体" w:cs="宋体"/>
          <w:sz w:val="24"/>
        </w:rPr>
      </w:pPr>
      <w:r>
        <w:rPr>
          <w:rFonts w:hint="eastAsia" w:ascii="宋体" w:hAnsi="宋体" w:cs="宋体"/>
          <w:sz w:val="24"/>
          <w:lang w:bidi="ar"/>
        </w:rPr>
        <w:t xml:space="preserve">2. 法定代表人身份证复印件；</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3. 供应商关于资格的声明函；</w:t>
      </w:r>
      <w:r/>
    </w:p>
    <w:p>
      <w:pPr>
        <w:ind w:firstLine="480"/>
        <w:spacing w:line="360" w:lineRule="auto"/>
        <w:rPr>
          <w:rFonts w:ascii="宋体" w:hAnsi="宋体" w:cs="宋体"/>
          <w:sz w:val="24"/>
          <w:lang w:bidi="ar"/>
        </w:rPr>
      </w:pPr>
      <w:r>
        <w:rPr>
          <w:rFonts w:hint="eastAsia" w:ascii="宋体" w:hAnsi="宋体" w:cs="宋体"/>
          <w:sz w:val="24"/>
          <w:lang w:bidi="ar"/>
        </w:rPr>
        <w:t xml:space="preserve">4. 磋商响应单位基本情况表；</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5. 资格条件证明材料： </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（1）具有独立承担民事责任的能力证明。包括法人或者其他组织的营业执照等证明文件，自然人的身份证明；</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（2）具有良好的商业信誉和健全的财务会计制度证明。包括但不限于最近一期经审计的财务报告，其他组织、自然人及成立未满一年的法人应提供银行出具的资信证明；</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（3）履行合同所必需的设备和专业技术能力的证明材料或承诺；</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（4）有依法缴纳税收和社会保障资金的良好记录；</w:t>
      </w:r>
      <w:r>
        <w:rPr>
          <w:rFonts w:hint="eastAsia" w:ascii="宋体" w:hAnsi="宋体" w:cs="宋体"/>
          <w:sz w:val="24"/>
        </w:rPr>
        <w:t xml:space="preserve">如税务登记证（如有）和近三个月内依法缴纳税收的凭据，社会保险登记证和近三个月内依法缴纳社会保险的凭据（专用收据或社会保险缴纳清单）；</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（5）参加政府采购活动前三年内在经营活动中没有重大违法记录的书面声明函；</w:t>
      </w:r>
      <w:r/>
    </w:p>
    <w:p>
      <w:pPr>
        <w:pStyle w:val="1111"/>
        <w:ind w:firstLine="482"/>
        <w:spacing w:line="360" w:lineRule="auto"/>
        <w:rPr>
          <w:rFonts w:ascii="宋体" w:hAnsi="宋体" w:eastAsia="宋体" w:cs="宋体"/>
          <w:b/>
          <w:bCs/>
          <w:sz w:val="24"/>
        </w:rPr>
      </w:pPr>
      <w:r>
        <w:rPr>
          <w:rFonts w:hint="eastAsia" w:ascii="宋体" w:hAnsi="宋体" w:eastAsia="宋体" w:cs="宋体"/>
          <w:b/>
          <w:bCs/>
          <w:sz w:val="24"/>
        </w:rPr>
        <w:t xml:space="preserve">（6）提供《中小企业声明函》（详见格式），残疾人福利性单位（监狱企业）供应商提供的残疾人福利性单位声明函（监狱企业证明文件）视同提供了中小企业声明函。未提供的视为未实质性响应。</w:t>
      </w:r>
      <w:r/>
    </w:p>
    <w:p>
      <w:pPr>
        <w:ind w:firstLine="482"/>
        <w:spacing w:line="360" w:lineRule="auto"/>
        <w:rPr>
          <w:rFonts w:ascii="宋体" w:hAnsi="宋体" w:cs="宋体"/>
          <w:b/>
          <w:bCs/>
          <w:sz w:val="24"/>
          <w:shd w:val="clear" w:color="auto" w:fill="ffffff"/>
        </w:rPr>
      </w:pPr>
      <w:r>
        <w:rPr>
          <w:rFonts w:hint="eastAsia" w:ascii="宋体" w:hAnsi="宋体" w:cs="宋体"/>
          <w:b/>
          <w:bCs/>
          <w:sz w:val="24"/>
          <w:shd w:val="clear" w:color="auto" w:fill="ffffff"/>
        </w:rPr>
        <w:t xml:space="preserve">（二）符合性审查响应文件：</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1. 磋商响应函；</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2. 磋商报价分析表；</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3. 技术、商务偏离表；</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4. 项目服务人员配置表；</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5. 其他有关符合性证明的文件；</w:t>
      </w:r>
      <w:r/>
    </w:p>
    <w:p>
      <w:pPr>
        <w:ind w:firstLine="482"/>
        <w:jc w:val="left"/>
        <w:spacing w:line="360" w:lineRule="auto"/>
        <w:rPr>
          <w:rFonts w:ascii="宋体" w:hAnsi="宋体" w:cs="宋体"/>
          <w:b/>
          <w:bCs/>
          <w:sz w:val="24"/>
          <w:shd w:val="clear" w:color="auto" w:fill="ffffff"/>
        </w:rPr>
      </w:pPr>
      <w:r>
        <w:rPr>
          <w:rFonts w:hint="eastAsia" w:ascii="宋体" w:hAnsi="宋体" w:cs="宋体"/>
          <w:b/>
          <w:bCs/>
          <w:sz w:val="24"/>
          <w:shd w:val="clear" w:color="auto" w:fill="ffffff"/>
          <w:lang w:bidi="ar"/>
        </w:rPr>
        <w:t xml:space="preserve">（三）综合评审响应文件：（采购单位根据项目内容和采购需求确定并予以细化）</w:t>
      </w:r>
      <w:r/>
    </w:p>
    <w:p>
      <w:pPr>
        <w:ind w:firstLine="482"/>
        <w:jc w:val="left"/>
        <w:spacing w:line="360" w:lineRule="auto"/>
        <w:rPr>
          <w:rFonts w:ascii="宋体" w:hAnsi="宋体" w:cs="宋体"/>
          <w:b/>
          <w:bCs/>
          <w:sz w:val="24"/>
          <w:lang w:bidi="ar"/>
        </w:rPr>
      </w:pPr>
      <w:r>
        <w:rPr>
          <w:rFonts w:hint="eastAsia" w:ascii="宋体" w:hAnsi="宋体" w:cs="宋体"/>
          <w:b/>
          <w:bCs/>
          <w:sz w:val="24"/>
          <w:lang w:bidi="ar"/>
        </w:rPr>
        <w:t xml:space="preserve">1.响应单位必须提交上述规定的资料，并须按照“响应文件的组成”将相关材料上传至相应模块。否则，响应文件将可能因资格性条件不符或未实质性响应采购文件而被拒绝。</w:t>
      </w:r>
      <w:r/>
    </w:p>
    <w:p>
      <w:pPr>
        <w:ind w:firstLine="482"/>
        <w:jc w:val="left"/>
        <w:spacing w:line="360" w:lineRule="auto"/>
        <w:rPr>
          <w:rFonts w:ascii="宋体" w:hAnsi="宋体" w:cs="宋体"/>
          <w:b/>
          <w:bCs/>
          <w:sz w:val="24"/>
        </w:rPr>
      </w:pPr>
      <w:r>
        <w:rPr>
          <w:rFonts w:hint="eastAsia" w:ascii="宋体" w:hAnsi="宋体" w:cs="宋体"/>
          <w:b/>
          <w:bCs/>
          <w:sz w:val="24"/>
          <w:lang w:bidi="ar"/>
        </w:rPr>
        <w:t xml:space="preserve">（四）相关政策性要求：</w:t>
      </w:r>
      <w:r/>
    </w:p>
    <w:p>
      <w:pPr>
        <w:ind w:firstLine="480"/>
        <w:jc w:val="left"/>
        <w:spacing w:line="360" w:lineRule="auto"/>
        <w:rPr>
          <w:rFonts w:ascii="宋体" w:hAnsi="宋体" w:cs="宋体"/>
          <w:sz w:val="24"/>
        </w:rPr>
      </w:pPr>
      <w:r>
        <w:rPr>
          <w:rFonts w:hint="eastAsia" w:ascii="宋体" w:hAnsi="宋体" w:cs="宋体"/>
          <w:sz w:val="24"/>
          <w:lang w:bidi="ar"/>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3、关于政府采购促进中小企业发展政策要求：</w:t>
      </w:r>
      <w:r/>
    </w:p>
    <w:p>
      <w:pPr>
        <w:ind w:firstLine="482"/>
        <w:jc w:val="left"/>
        <w:spacing w:line="360" w:lineRule="auto"/>
        <w:rPr>
          <w:rFonts w:ascii="宋体" w:hAnsi="宋体" w:cs="宋体"/>
          <w:b/>
          <w:bCs/>
          <w:sz w:val="24"/>
          <w:lang w:bidi="ar"/>
        </w:rPr>
      </w:pPr>
      <w:r>
        <w:rPr>
          <w:rFonts w:hint="eastAsia" w:ascii="宋体" w:hAnsi="宋体" w:cs="宋体"/>
          <w:b/>
          <w:bCs/>
          <w:sz w:val="24"/>
          <w:lang w:bidi="ar"/>
        </w:rPr>
        <w:t xml:space="preserve">3</w:t>
      </w:r>
      <w:r>
        <w:rPr>
          <w:rFonts w:hint="eastAsia" w:ascii="宋体" w:hAnsi="宋体" w:cs="宋体"/>
          <w:b/>
          <w:bCs/>
          <w:sz w:val="24"/>
          <w:lang w:val="zh-CN" w:bidi="ar"/>
        </w:rPr>
        <w:t xml:space="preserve">.1</w:t>
      </w:r>
      <w:r>
        <w:rPr>
          <w:rFonts w:hint="eastAsia" w:ascii="宋体" w:hAnsi="宋体" w:cs="宋体"/>
          <w:b/>
          <w:bCs/>
          <w:sz w:val="24"/>
          <w:lang w:bidi="ar"/>
        </w:rPr>
        <w:t xml:space="preserve">本采购项目对应的中小企业划分标准所属行业为：其他未列明行业。</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3.2</w:t>
      </w:r>
      <w:r>
        <w:rPr>
          <w:rFonts w:hint="eastAsia" w:ascii="宋体" w:hAnsi="宋体" w:cs="宋体"/>
          <w:sz w:val="24"/>
          <w:lang w:val="zh-CN" w:bidi="ar"/>
        </w:rPr>
        <w:t xml:space="preserve">根据《政府采购促进中小企业发展管理办法》（财库〔2020〕46号）</w:t>
      </w:r>
      <w:r>
        <w:rPr>
          <w:rFonts w:hint="eastAsia" w:ascii="宋体" w:hAnsi="宋体" w:cs="宋体"/>
          <w:sz w:val="24"/>
          <w:lang w:bidi="ar"/>
        </w:rPr>
        <w:t xml:space="preserve">、《中小企业划型标准规定》（工信部联企业〔2011〕300号）、</w:t>
      </w:r>
      <w:r>
        <w:rPr>
          <w:rFonts w:hint="eastAsia" w:ascii="宋体" w:hAnsi="宋体" w:cs="宋体"/>
          <w:sz w:val="24"/>
          <w:lang w:val="zh-CN" w:bidi="ar"/>
        </w:rPr>
        <w:t xml:space="preserve">《关于做好政府采购支持企业发展有关事项的通知》（苏财购〔2020〕52号）、</w:t>
      </w:r>
      <w:r>
        <w:rPr>
          <w:rFonts w:hint="eastAsia" w:ascii="宋体" w:hAnsi="宋体" w:cs="宋体"/>
          <w:sz w:val="24"/>
          <w:lang w:bidi="ar"/>
        </w:rPr>
        <w:t xml:space="preserve">《关于促进残疾人就业政府采购政策的通知》（财库〔2017〕141号）、《关于政府采购支持监狱企业发展有关问题的通知》（财库〔2014〕68号）等文件的精神。</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3.3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w:t>
      </w:r>
      <w:r>
        <w:rPr>
          <w:rFonts w:hint="eastAsia" w:ascii="宋体" w:hAnsi="宋体" w:cs="宋体"/>
          <w:bCs/>
          <w:sz w:val="24"/>
        </w:rPr>
        <w:t xml:space="preserve">视为未实质性响应</w:t>
      </w:r>
      <w:r>
        <w:rPr>
          <w:rFonts w:hint="eastAsia" w:ascii="宋体" w:hAnsi="宋体" w:cs="宋体"/>
          <w:sz w:val="24"/>
          <w:lang w:bidi="ar"/>
        </w:rPr>
        <w:t xml:space="preserve">。</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20"/>
        <w:spacing w:line="360" w:lineRule="auto"/>
        <w:rPr>
          <w:color w:val="000000"/>
          <w:sz w:val="24"/>
        </w:rPr>
      </w:pPr>
      <w:r>
        <w:rPr>
          <w:rFonts w:hint="eastAsia"/>
          <w:color w:val="000000"/>
          <w:sz w:val="24"/>
        </w:rPr>
        <w:t xml:space="preserve">4.政府采购中实施本国产品标准及相关政策</w:t>
      </w:r>
      <w:r/>
    </w:p>
    <w:p>
      <w:pPr>
        <w:ind w:firstLine="420"/>
        <w:spacing w:line="360" w:lineRule="auto"/>
        <w:rPr>
          <w:color w:val="000000"/>
          <w:sz w:val="24"/>
        </w:rPr>
      </w:pPr>
      <w:r>
        <w:rPr>
          <w:rFonts w:hint="eastAsia"/>
          <w:color w:val="000000"/>
          <w:sz w:val="24"/>
        </w:rPr>
        <w:t xml:space="preserve">4.1本项目对采购本国产品给予政策支持。</w:t>
      </w:r>
      <w:r/>
    </w:p>
    <w:p>
      <w:pPr>
        <w:ind w:firstLine="420"/>
        <w:spacing w:line="360" w:lineRule="auto"/>
        <w:rPr>
          <w:color w:val="000000"/>
          <w:sz w:val="24"/>
        </w:rPr>
      </w:pPr>
      <w:r>
        <w:rPr>
          <w:rFonts w:hint="eastAsia"/>
          <w:color w:val="000000"/>
          <w:sz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t xml:space="preserve">（若有）。</w:t>
      </w:r>
      <w:r/>
    </w:p>
    <w:p>
      <w:pPr>
        <w:ind w:firstLine="480"/>
        <w:jc w:val="left"/>
        <w:spacing w:line="360" w:lineRule="auto"/>
        <w:rPr>
          <w:rFonts w:ascii="宋体" w:hAnsi="宋体"/>
          <w:color w:val="000000"/>
          <w:sz w:val="24"/>
        </w:rPr>
      </w:pPr>
      <w:r>
        <w:rPr>
          <w:rFonts w:hint="eastAsia"/>
          <w:color w:val="000000"/>
          <w:sz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color w:val="000000"/>
          <w:sz w:val="24"/>
        </w:rPr>
        <w:t xml:space="preserve">药品监督管理部门授予的准字号医疗器械注册证的，属于在中国境内生产的产品；其他产品，根据实际情况判断是否在中国境内生产。（若有）。</w:t>
      </w:r>
      <w:r/>
    </w:p>
    <w:p>
      <w:pPr>
        <w:ind w:firstLine="480"/>
        <w:jc w:val="left"/>
        <w:spacing w:line="360" w:lineRule="auto"/>
      </w:pPr>
      <w:r>
        <w:rPr>
          <w:rFonts w:hint="eastAsia" w:hAnsi="宋体"/>
          <w:color w:val="000000"/>
          <w:sz w:val="24"/>
        </w:rPr>
        <w:t xml:space="preserve">4</w:t>
      </w:r>
      <w:r>
        <w:rPr>
          <w:rFonts w:hint="eastAsia" w:ascii="宋体" w:hAnsi="宋体"/>
          <w:color w:val="000000"/>
          <w:sz w:val="24"/>
        </w:rPr>
        <w:t xml:space="preserve">.4本项目政府采购活动中既有本国产品又有非本国产品参与竞争的，依法对本国产品给予价格评审优惠，对本国产品的报价给予20%的价格扣除，用扣除后的价格参与评审。（本项目不涉及）</w:t>
      </w:r>
      <w:r/>
    </w:p>
    <w:p>
      <w:pPr>
        <w:ind w:firstLine="482"/>
        <w:jc w:val="left"/>
        <w:spacing w:line="360" w:lineRule="auto"/>
        <w:rPr>
          <w:rFonts w:ascii="宋体" w:hAnsi="宋体" w:cs="宋体"/>
          <w:b/>
          <w:bCs/>
          <w:sz w:val="24"/>
        </w:rPr>
      </w:pPr>
      <w:r>
        <w:rPr>
          <w:rFonts w:hint="eastAsia" w:ascii="宋体" w:hAnsi="宋体" w:cs="宋体"/>
          <w:b/>
          <w:bCs/>
          <w:sz w:val="24"/>
          <w:lang w:bidi="ar"/>
        </w:rPr>
        <w:t xml:space="preserve">（五）电子化磋商要求</w:t>
      </w:r>
      <w:r/>
    </w:p>
    <w:p>
      <w:pPr>
        <w:ind w:firstLine="480"/>
        <w:jc w:val="left"/>
        <w:spacing w:line="360" w:lineRule="auto"/>
        <w:rPr>
          <w:rFonts w:ascii="宋体" w:hAnsi="宋体"/>
          <w:sz w:val="24"/>
        </w:rPr>
      </w:pPr>
      <w:r>
        <w:rPr>
          <w:rFonts w:hint="eastAsia" w:ascii="宋体" w:hAnsi="宋体" w:cs="宋体"/>
          <w:sz w:val="24"/>
        </w:rPr>
        <w:t xml:space="preserve">1.系统中下载采购文件后，点击“客户端下载地址”，下载投标文件</w:t>
      </w:r>
      <w:r>
        <w:rPr>
          <w:rFonts w:hint="eastAsia" w:ascii="宋体" w:hAnsi="宋体"/>
          <w:sz w:val="24"/>
        </w:rPr>
        <w:t xml:space="preserve">客户端，查看客户端使用说明。</w:t>
      </w:r>
      <w:r/>
    </w:p>
    <w:p>
      <w:pPr>
        <w:ind w:firstLine="480"/>
        <w:jc w:val="left"/>
        <w:spacing w:line="360" w:lineRule="auto"/>
        <w:rPr>
          <w:rFonts w:ascii="宋体" w:hAnsi="宋体"/>
          <w:sz w:val="24"/>
        </w:rPr>
      </w:pPr>
      <w:r>
        <w:rPr>
          <w:rFonts w:hint="eastAsia" w:ascii="宋体" w:hAnsi="宋体"/>
          <w:sz w:val="24"/>
        </w:rPr>
        <w:t xml:space="preserve">2.将下载的采购文件导入投标文件客户端，按照使用说明完成投标文件的编制和加盖电子签章。</w:t>
      </w:r>
      <w:r/>
    </w:p>
    <w:p>
      <w:pPr>
        <w:ind w:firstLine="480"/>
        <w:jc w:val="left"/>
        <w:spacing w:line="360" w:lineRule="auto"/>
        <w:rPr>
          <w:rFonts w:ascii="宋体" w:hAnsi="宋体"/>
          <w:sz w:val="24"/>
        </w:rPr>
      </w:pPr>
      <w:r>
        <w:rPr>
          <w:rFonts w:hint="eastAsia" w:ascii="宋体" w:hAnsi="宋体"/>
          <w:sz w:val="24"/>
        </w:rPr>
        <w:t xml:space="preserve">3.导出制作完成的投标文件，上传至苏采云系统。</w:t>
      </w:r>
      <w:r/>
    </w:p>
    <w:p>
      <w:pPr>
        <w:ind w:firstLine="480"/>
        <w:jc w:val="left"/>
        <w:spacing w:line="360" w:lineRule="auto"/>
        <w:rPr>
          <w:rFonts w:ascii="宋体" w:hAnsi="宋体"/>
          <w:sz w:val="24"/>
        </w:rPr>
      </w:pPr>
      <w:r>
        <w:rPr>
          <w:rFonts w:hint="eastAsia" w:ascii="宋体" w:hAnsi="宋体"/>
          <w:sz w:val="24"/>
        </w:rPr>
        <w:t xml:space="preserve">注：具体投标文件编制教程查看苏采云系统中的客户端使用说明和供应商《操作手册》。</w:t>
      </w:r>
      <w:r/>
    </w:p>
    <w:p>
      <w:pPr>
        <w:ind w:firstLine="480"/>
        <w:jc w:val="left"/>
        <w:spacing w:line="360" w:lineRule="auto"/>
        <w:rPr>
          <w:rFonts w:ascii="宋体" w:hAnsi="宋体"/>
          <w:sz w:val="24"/>
        </w:rPr>
      </w:pPr>
      <w:r>
        <w:rPr>
          <w:rFonts w:hint="eastAsia" w:ascii="宋体" w:hAnsi="宋体"/>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3pt;height:56.8pt;mso-wrap-distance-left:0.0pt;mso-wrap-distance-top:0.0pt;mso-wrap-distance-right:0.0pt;mso-wrap-distance-bottom:0.0pt;" filled="f" stroked="f">
            <v:path textboxrect="0,0,0,0"/>
            <v:imagedata r:id="rId17" o:title=""/>
          </v:shape>
          <o:OLEObject DrawAspect="Content" r:id="rId18" ObjectID="_1525044" ProgID="Package" ShapeID="_x0000_i4" Type="Embed"/>
        </w:object>
      </w:r>
      <w:r/>
    </w:p>
    <w:p>
      <w:pPr>
        <w:ind w:firstLine="480"/>
        <w:jc w:val="left"/>
        <w:spacing w:line="360" w:lineRule="auto"/>
      </w:pPr>
      <w:r>
        <w:rPr>
          <w:rFonts w:hint="eastAsia" w:ascii="宋体" w:hAnsi="宋体"/>
          <w:sz w:val="24"/>
        </w:rPr>
        <w:t xml:space="preserve">4.响应文件的有效期限为磋商后90天。</w:t>
      </w:r>
      <w:r/>
    </w:p>
    <w:p>
      <w:pPr>
        <w:ind w:firstLine="482"/>
        <w:jc w:val="left"/>
        <w:spacing w:line="360" w:lineRule="auto"/>
        <w:rPr>
          <w:rFonts w:ascii="宋体" w:hAnsi="宋体" w:cs="宋体"/>
          <w:b/>
          <w:sz w:val="24"/>
        </w:rPr>
      </w:pPr>
      <w:r>
        <w:rPr>
          <w:rFonts w:hint="eastAsia" w:ascii="宋体" w:hAnsi="宋体" w:cs="宋体"/>
          <w:b/>
          <w:sz w:val="24"/>
          <w:lang w:bidi="ar"/>
        </w:rPr>
        <w:t xml:space="preserve">二、报价说明</w:t>
      </w:r>
      <w:r/>
    </w:p>
    <w:p>
      <w:pPr>
        <w:ind w:firstLine="480"/>
        <w:jc w:val="left"/>
        <w:spacing w:line="360" w:lineRule="auto"/>
        <w:rPr>
          <w:rFonts w:ascii="宋体" w:hAnsi="宋体" w:cs="宋体"/>
          <w:bCs/>
          <w:sz w:val="24"/>
        </w:rPr>
      </w:pPr>
      <w:r>
        <w:rPr>
          <w:rFonts w:hint="eastAsia" w:ascii="宋体" w:hAnsi="宋体" w:cs="宋体"/>
          <w:bCs/>
          <w:sz w:val="24"/>
        </w:rPr>
        <w:t xml:space="preserve">1.响应单位应对所投项目的全部内容进行报价，只投其中部分内容者，其标书将被拒绝。</w:t>
      </w:r>
      <w:r/>
    </w:p>
    <w:p>
      <w:pPr>
        <w:ind w:firstLine="480"/>
        <w:jc w:val="left"/>
        <w:spacing w:line="360" w:lineRule="auto"/>
        <w:tabs>
          <w:tab w:val="left" w:pos="3570" w:leader="none"/>
        </w:tabs>
        <w:rPr>
          <w:rFonts w:ascii="宋体" w:hAnsi="宋体"/>
          <w:sz w:val="24"/>
        </w:rPr>
      </w:pPr>
      <w:r>
        <w:rPr>
          <w:rFonts w:hint="eastAsia" w:ascii="宋体" w:hAnsi="宋体" w:cs="宋体"/>
          <w:bCs/>
          <w:sz w:val="24"/>
        </w:rPr>
        <w:t xml:space="preserve">2.报价应包括：</w:t>
      </w:r>
      <w:r>
        <w:rPr>
          <w:rFonts w:hint="eastAsia" w:hAnsi="宋体" w:cs="宋体"/>
          <w:sz w:val="24"/>
        </w:rPr>
        <w:t xml:space="preserve">提供完成本项目的全部内容，包括但不限于人工、场地、住宿、餐费、保险、劳保、管理、设备、耗材、税费、售后服务费用及为完成整个项目所产生的其它所有费用，以及政策性文件规定及合同包含的所有风险、责任等各项应有费用。除合同约定的价款外，采购单位不再需向成交单位支付其他任何费用。响应单位应对所投项目的全部内容进行报价，只投其中部分内容者，其标书将被拒绝。</w:t>
      </w:r>
      <w:r/>
    </w:p>
    <w:p>
      <w:pPr>
        <w:ind w:firstLine="480"/>
        <w:jc w:val="left"/>
        <w:spacing w:line="360" w:lineRule="auto"/>
        <w:rPr>
          <w:rFonts w:ascii="宋体" w:hAnsi="宋体" w:cs="宋体"/>
          <w:sz w:val="24"/>
        </w:rPr>
      </w:pPr>
      <w:r>
        <w:rPr>
          <w:rFonts w:hint="eastAsia" w:ascii="宋体" w:hAnsi="宋体" w:cs="宋体"/>
          <w:sz w:val="24"/>
        </w:rPr>
        <w:t xml:space="preserve">3.不接受响应方任何因遗漏报价而发生的费用追加，因响应方违反《劳动法》等法律法规而造成的连带责任和损失全部由中标方承担。</w:t>
      </w:r>
      <w:r/>
    </w:p>
    <w:p>
      <w:pPr>
        <w:ind w:firstLine="482"/>
        <w:jc w:val="left"/>
        <w:spacing w:line="360" w:lineRule="auto"/>
        <w:rPr>
          <w:rFonts w:ascii="宋体" w:hAnsi="宋体" w:cs="宋体"/>
          <w:b/>
          <w:sz w:val="24"/>
        </w:rPr>
      </w:pPr>
      <w:r>
        <w:rPr>
          <w:rFonts w:hint="eastAsia" w:ascii="宋体" w:hAnsi="宋体" w:cs="宋体"/>
          <w:b/>
          <w:sz w:val="24"/>
          <w:lang w:bidi="ar"/>
        </w:rPr>
        <w:t xml:space="preserve">三、磋商程序 </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3.由磋商小组审查供应商解密的响应文件。</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ascii="宋体" w:hAnsi="宋体" w:cs="宋体"/>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rPr>
        <w:t xml:space="preserve">(</w:t>
      </w:r>
      <w:r>
        <w:rPr>
          <w:rFonts w:hint="eastAsia"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numPr>
          <w:ilvl w:val="0"/>
          <w:numId w:val="3"/>
        </w:numPr>
        <w:ind w:firstLine="480"/>
        <w:spacing w:line="360" w:lineRule="auto"/>
        <w:tabs>
          <w:tab w:val="clear" w:pos="312" w:leader="none"/>
          <w:tab w:val="left" w:pos="753" w:leader="none"/>
        </w:tabs>
        <w:rPr>
          <w:rFonts w:ascii="宋体" w:hAnsi="宋体" w:cs="宋体"/>
          <w:b/>
          <w:bCs/>
          <w:sz w:val="24"/>
        </w:rPr>
      </w:pPr>
      <w:r>
        <w:rPr>
          <w:rFonts w:hint="eastAsia" w:ascii="宋体" w:hAnsi="宋体" w:cs="宋体"/>
          <w:sz w:val="24"/>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 w:val="24"/>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7.政府采购异常低价审查：</w:t>
      </w:r>
      <w:r/>
    </w:p>
    <w:p>
      <w:pPr>
        <w:ind w:firstLine="480"/>
        <w:spacing w:line="360" w:lineRule="auto"/>
        <w:tabs>
          <w:tab w:val="left" w:pos="753" w:leader="none"/>
        </w:tabs>
        <w:rPr>
          <w:rFonts w:ascii="宋体" w:hAnsi="宋体" w:cs="宋体"/>
          <w:sz w:val="24"/>
          <w:lang w:val="zh-CN"/>
        </w:rPr>
      </w:pPr>
      <w:r>
        <w:rPr>
          <w:rFonts w:hint="eastAsia" w:ascii="宋体" w:hAnsi="宋体" w:cs="宋体"/>
          <w:sz w:val="24"/>
        </w:rPr>
        <w:t xml:space="preserve">7.1</w:t>
      </w:r>
      <w:r>
        <w:rPr>
          <w:rFonts w:hint="eastAsia" w:ascii="宋体" w:hAnsi="宋体" w:cs="宋体"/>
          <w:sz w:val="24"/>
          <w:lang w:val="zh-CN"/>
        </w:rPr>
        <w:t xml:space="preserve">投标（响应）报价低于全部通过符合性审查供应商投标（响应）报价平均值</w:t>
      </w:r>
      <w:r>
        <w:rPr>
          <w:rFonts w:hint="eastAsia" w:ascii="宋体" w:hAnsi="宋体" w:cs="宋体"/>
          <w:sz w:val="24"/>
        </w:rPr>
        <w:t xml:space="preserve">65</w:t>
      </w:r>
      <w:r>
        <w:rPr>
          <w:rFonts w:hint="eastAsia" w:ascii="宋体" w:hAnsi="宋体" w:cs="宋体"/>
          <w:sz w:val="24"/>
          <w:lang w:val="zh-CN"/>
        </w:rPr>
        <w:t xml:space="preserve">%</w:t>
      </w:r>
      <w:r>
        <w:rPr>
          <w:rFonts w:ascii="宋体" w:hAnsi="宋体" w:cs="宋体"/>
          <w:sz w:val="24"/>
          <w:lang w:val="zh-CN"/>
        </w:rPr>
        <w:t xml:space="preserve">的，即投标（响应）报价</w:t>
      </w:r>
      <w:r>
        <w:rPr>
          <w:rFonts w:hint="eastAsia" w:ascii="宋体" w:hAnsi="宋体" w:cs="宋体"/>
          <w:sz w:val="24"/>
          <w:lang w:val="zh-CN"/>
        </w:rPr>
        <w:t xml:space="preserve">&lt;</w:t>
      </w:r>
      <w:r>
        <w:rPr>
          <w:rFonts w:ascii="宋体" w:hAnsi="宋体" w:cs="宋体"/>
          <w:sz w:val="24"/>
          <w:lang w:val="zh-CN"/>
        </w:rPr>
        <w:t xml:space="preserve">全部通过符合性审查供应商投标（响应）报价平均值</w:t>
      </w:r>
      <w:r>
        <w:rPr>
          <w:rFonts w:hint="eastAsia" w:ascii="宋体" w:hAnsi="宋体" w:cs="宋体"/>
          <w:sz w:val="24"/>
          <w:lang w:val="zh-CN"/>
        </w:rPr>
        <w:t xml:space="preserve">×</w:t>
      </w:r>
      <w:r>
        <w:rPr>
          <w:rFonts w:hint="eastAsia" w:ascii="宋体" w:hAnsi="宋体" w:cs="宋体"/>
          <w:sz w:val="24"/>
        </w:rPr>
        <w:t xml:space="preserve">65</w:t>
      </w:r>
      <w:r>
        <w:rPr>
          <w:rFonts w:hint="eastAsia" w:ascii="宋体" w:hAnsi="宋体" w:cs="宋体"/>
          <w:sz w:val="24"/>
          <w:lang w:val="zh-CN"/>
        </w:rPr>
        <w:t xml:space="preserve">%</w:t>
      </w:r>
      <w:r>
        <w:rPr>
          <w:rFonts w:ascii="宋体" w:hAnsi="宋体" w:cs="宋体"/>
          <w:sz w:val="24"/>
          <w:lang w:val="zh-CN"/>
        </w:rPr>
        <w:t xml:space="preserve">；</w:t>
      </w:r>
      <w:r/>
    </w:p>
    <w:p>
      <w:pPr>
        <w:ind w:firstLine="480"/>
        <w:spacing w:line="360" w:lineRule="auto"/>
        <w:tabs>
          <w:tab w:val="left" w:pos="753" w:leader="none"/>
        </w:tabs>
        <w:rPr>
          <w:rFonts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2</w:t>
      </w:r>
      <w:r>
        <w:rPr>
          <w:rFonts w:ascii="宋体" w:hAnsi="宋体" w:cs="宋体"/>
          <w:sz w:val="24"/>
          <w:lang w:val="zh-CN"/>
        </w:rPr>
        <w:t xml:space="preserve">投标（响应）报价低于通过符合性审查的次低报价供应商投标（响应）报价</w:t>
      </w:r>
      <w:r>
        <w:rPr>
          <w:rFonts w:hint="eastAsia" w:ascii="宋体" w:hAnsi="宋体" w:cs="宋体"/>
          <w:sz w:val="24"/>
        </w:rPr>
        <w:t xml:space="preserve">65%</w:t>
      </w:r>
      <w:r>
        <w:rPr>
          <w:rFonts w:ascii="宋体" w:hAnsi="宋体" w:cs="宋体"/>
          <w:sz w:val="24"/>
          <w:lang w:val="zh-CN"/>
        </w:rPr>
        <w:t xml:space="preserve">的，即投标（响应）报价</w:t>
      </w:r>
      <w:r>
        <w:rPr>
          <w:rFonts w:hint="eastAsia" w:ascii="宋体" w:hAnsi="宋体" w:cs="宋体"/>
          <w:sz w:val="24"/>
          <w:lang w:val="zh-CN"/>
        </w:rPr>
        <w:t xml:space="preserve">&lt;</w:t>
      </w:r>
      <w:r>
        <w:rPr>
          <w:rFonts w:ascii="宋体" w:hAnsi="宋体" w:cs="宋体"/>
          <w:sz w:val="24"/>
          <w:lang w:val="zh-CN"/>
        </w:rPr>
        <w:t xml:space="preserve">通过符合性审查的次低报价供应商投标（响应）报价</w:t>
      </w:r>
      <w:r>
        <w:rPr>
          <w:rFonts w:hint="eastAsia" w:ascii="宋体" w:hAnsi="宋体" w:cs="宋体"/>
          <w:sz w:val="24"/>
          <w:lang w:val="zh-CN"/>
        </w:rPr>
        <w:t xml:space="preserve">×</w:t>
      </w:r>
      <w:r>
        <w:rPr>
          <w:rFonts w:hint="eastAsia" w:ascii="宋体" w:hAnsi="宋体" w:cs="宋体"/>
          <w:sz w:val="24"/>
        </w:rPr>
        <w:t xml:space="preserve">65</w:t>
      </w:r>
      <w:r>
        <w:rPr>
          <w:rFonts w:hint="eastAsia" w:ascii="宋体" w:hAnsi="宋体" w:cs="宋体"/>
          <w:sz w:val="24"/>
          <w:lang w:val="zh-CN"/>
        </w:rPr>
        <w:t xml:space="preserve">%</w:t>
      </w:r>
      <w:r>
        <w:rPr>
          <w:rFonts w:ascii="宋体" w:hAnsi="宋体" w:cs="宋体"/>
          <w:sz w:val="24"/>
          <w:lang w:val="zh-CN"/>
        </w:rPr>
        <w:t xml:space="preserve">；</w:t>
      </w:r>
      <w:r/>
    </w:p>
    <w:p>
      <w:pPr>
        <w:ind w:firstLine="480"/>
        <w:spacing w:line="360" w:lineRule="auto"/>
        <w:tabs>
          <w:tab w:val="left" w:pos="753" w:leader="none"/>
        </w:tabs>
        <w:rPr>
          <w:rFonts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3</w:t>
      </w:r>
      <w:r>
        <w:rPr>
          <w:rFonts w:ascii="宋体" w:hAnsi="宋体" w:cs="宋体"/>
          <w:sz w:val="24"/>
          <w:lang w:val="zh-CN"/>
        </w:rPr>
        <w:t xml:space="preserve">投标（响应）报价低于采购项目最高限价</w:t>
      </w:r>
      <w:r>
        <w:rPr>
          <w:rFonts w:hint="eastAsia" w:ascii="宋体" w:hAnsi="宋体" w:cs="宋体"/>
          <w:sz w:val="24"/>
        </w:rPr>
        <w:t xml:space="preserve">65</w:t>
      </w:r>
      <w:r>
        <w:rPr>
          <w:rFonts w:hint="eastAsia" w:ascii="宋体" w:hAnsi="宋体" w:cs="宋体"/>
          <w:sz w:val="24"/>
          <w:lang w:val="zh-CN"/>
        </w:rPr>
        <w:t xml:space="preserve">%</w:t>
      </w:r>
      <w:r>
        <w:rPr>
          <w:rFonts w:ascii="宋体" w:hAnsi="宋体" w:cs="宋体"/>
          <w:sz w:val="24"/>
          <w:lang w:val="zh-CN"/>
        </w:rPr>
        <w:t xml:space="preserve">的，即投标（响应）报价</w:t>
      </w:r>
      <w:r>
        <w:rPr>
          <w:rFonts w:hint="eastAsia" w:ascii="宋体" w:hAnsi="宋体" w:cs="宋体"/>
          <w:sz w:val="24"/>
          <w:lang w:val="zh-CN"/>
        </w:rPr>
        <w:t xml:space="preserve">&lt;</w:t>
      </w:r>
      <w:r>
        <w:rPr>
          <w:rFonts w:ascii="宋体" w:hAnsi="宋体" w:cs="宋体"/>
          <w:sz w:val="24"/>
          <w:lang w:val="zh-CN"/>
        </w:rPr>
        <w:t xml:space="preserve">采购项目最高限价</w:t>
      </w:r>
      <w:r>
        <w:rPr>
          <w:rFonts w:hint="eastAsia" w:ascii="宋体" w:hAnsi="宋体" w:cs="宋体"/>
          <w:sz w:val="24"/>
          <w:lang w:val="zh-CN"/>
        </w:rPr>
        <w:t xml:space="preserve">×</w:t>
      </w:r>
      <w:r>
        <w:rPr>
          <w:rFonts w:hint="eastAsia" w:ascii="宋体" w:hAnsi="宋体" w:cs="宋体"/>
          <w:sz w:val="24"/>
        </w:rPr>
        <w:t xml:space="preserve">65</w:t>
      </w:r>
      <w:r>
        <w:rPr>
          <w:rFonts w:hint="eastAsia" w:ascii="宋体" w:hAnsi="宋体" w:cs="宋体"/>
          <w:sz w:val="24"/>
          <w:lang w:val="zh-CN"/>
        </w:rPr>
        <w:t xml:space="preserve">%</w:t>
      </w:r>
      <w:r>
        <w:rPr>
          <w:rFonts w:ascii="宋体" w:hAnsi="宋体" w:cs="宋体"/>
          <w:sz w:val="24"/>
          <w:lang w:val="zh-CN"/>
        </w:rPr>
        <w:t xml:space="preserve">；</w:t>
      </w:r>
      <w:r/>
    </w:p>
    <w:p>
      <w:pPr>
        <w:ind w:firstLine="480"/>
        <w:spacing w:line="360" w:lineRule="auto"/>
        <w:tabs>
          <w:tab w:val="left" w:pos="753" w:leader="none"/>
        </w:tabs>
        <w:rPr>
          <w:rFonts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4</w:t>
      </w:r>
      <w:r>
        <w:rPr>
          <w:rFonts w:ascii="宋体" w:hAnsi="宋体" w:cs="宋体"/>
          <w:sz w:val="24"/>
          <w:lang w:val="zh-CN"/>
        </w:rPr>
        <w:t xml:space="preserve">评审委员会基于专业判断，认为供应商报价过低，有可能影响产品质量或者不能诚信履约的其他情形。</w:t>
      </w:r>
      <w:r/>
    </w:p>
    <w:p>
      <w:pPr>
        <w:ind w:firstLine="480"/>
        <w:spacing w:line="360" w:lineRule="auto"/>
        <w:tabs>
          <w:tab w:val="left" w:pos="753" w:leader="none"/>
        </w:tabs>
        <w:rPr>
          <w:rFonts w:ascii="宋体" w:hAnsi="宋体" w:cs="宋体"/>
          <w:sz w:val="24"/>
          <w:lang w:val="zh-CN"/>
        </w:rPr>
      </w:pPr>
      <w:r>
        <w:rPr>
          <w:rFonts w:ascii="宋体" w:hAnsi="宋体" w:cs="宋体"/>
          <w:sz w:val="24"/>
          <w:lang w:val="zh-CN"/>
        </w:rPr>
        <w:t xml:space="preserve">相关法律法规对供应商报价有规定的，从其规定。</w:t>
      </w:r>
      <w:r/>
    </w:p>
    <w:p>
      <w:pPr>
        <w:ind w:firstLine="480"/>
        <w:spacing w:line="360" w:lineRule="auto"/>
        <w:tabs>
          <w:tab w:val="left" w:pos="753" w:leader="none"/>
        </w:tabs>
        <w:rPr>
          <w:rFonts w:ascii="宋体" w:hAnsi="宋体" w:cs="宋体"/>
          <w:sz w:val="24"/>
          <w:lang w:val="zh-CN"/>
        </w:rPr>
      </w:pPr>
      <w:r>
        <w:rPr>
          <w:rFonts w:hint="eastAsia" w:ascii="宋体" w:hAnsi="宋体" w:cs="宋体"/>
          <w:sz w:val="24"/>
        </w:rPr>
        <w:t xml:space="preserve">7.5</w:t>
      </w:r>
      <w:r>
        <w:rPr>
          <w:rFonts w:hint="eastAsia" w:ascii="宋体" w:hAnsi="宋体" w:cs="宋体"/>
          <w:sz w:val="24"/>
          <w:lang w:val="zh-CN"/>
        </w:rPr>
        <w:t xml:space="preserve">评审委员会启动异常低价投标（响应）审查后，属于前述第</w:t>
      </w:r>
      <w:r>
        <w:rPr>
          <w:rFonts w:ascii="宋体" w:hAnsi="宋体" w:cs="宋体"/>
          <w:sz w:val="24"/>
          <w:lang w:val="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753" w:leader="none"/>
        </w:tabs>
        <w:rPr>
          <w:rFonts w:ascii="宋体" w:hAnsi="宋体" w:cs="宋体"/>
          <w:sz w:val="24"/>
        </w:rPr>
      </w:pPr>
      <w:r>
        <w:rPr>
          <w:rFonts w:ascii="宋体" w:hAnsi="宋体" w:cs="宋体"/>
          <w:sz w:val="24"/>
          <w:lang w:val="zh-CN"/>
        </w:rPr>
        <w:t xml:space="preserve">评审委员会依据专业经验，参考同类项目中标（成交）价格、类似产品市场价格水平、行业人工费用标准、国家有关部门指导行业</w:t>
      </w:r>
      <w:r>
        <w:rPr>
          <w:rFonts w:ascii="宋体" w:hAnsi="宋体" w:cs="宋体"/>
          <w:sz w:val="24"/>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9.供应商应当按照采购文件的变动情况和磋商小组的要求，各供应商应及时关注【评审】环节等待询标澄清进行回复。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10.磋商结束后，</w:t>
      </w:r>
      <w:r>
        <w:rPr>
          <w:rFonts w:hint="eastAsia" w:ascii="宋体" w:hAnsi="宋体" w:cs="宋体"/>
          <w:b/>
          <w:bCs/>
          <w:sz w:val="24"/>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13.如磋商过程中出现本采购文件未尽事宜，由磋商小组根据政府采购有关法律、法规讨论决定。</w:t>
      </w:r>
      <w:r/>
    </w:p>
    <w:p>
      <w:pPr>
        <w:ind w:firstLine="480"/>
        <w:spacing w:line="360" w:lineRule="auto"/>
        <w:tabs>
          <w:tab w:val="left" w:pos="753" w:leader="none"/>
        </w:tabs>
        <w:rPr>
          <w:rFonts w:ascii="宋体" w:hAnsi="宋体" w:cs="宋体"/>
          <w:sz w:val="24"/>
        </w:rPr>
      </w:pPr>
      <w:r>
        <w:rPr>
          <w:rFonts w:hint="eastAsia" w:ascii="宋体" w:hAnsi="宋体" w:cs="宋体"/>
          <w:sz w:val="24"/>
          <w:lang w:bidi="ar"/>
        </w:rPr>
        <w:t xml:space="preserve">14.</w:t>
      </w:r>
      <w:r>
        <w:rPr>
          <w:rFonts w:hint="eastAsia" w:ascii="宋体" w:hAnsi="宋体" w:cs="宋体"/>
          <w:sz w:val="24"/>
        </w:rPr>
        <w:t xml:space="preserve">本项目采用线上二次报价：</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登录苏采云系统，评审组长发起最后报价，开标大厅会显示“立即报价”界面，点击【确认报价】提交流程至签</w:t>
      </w:r>
      <w:r>
        <w:rPr>
          <w:rFonts w:hint="eastAsia" w:ascii="宋体" w:hAnsi="宋体" w:cs="宋体"/>
          <w:bCs/>
          <w:sz w:val="24"/>
        </w:rPr>
        <w:t xml:space="preserve">章环节，供应商点击签章按钮，签章完成后可进行提交。</w:t>
      </w:r>
      <w:r>
        <w:rPr>
          <w:rFonts w:hint="eastAsia" w:ascii="宋体" w:hAnsi="宋体" w:cs="宋体"/>
          <w:b/>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08"/>
        <w:spacing w:line="360" w:lineRule="auto"/>
        <w:rPr>
          <w:rFonts w:ascii="宋体" w:hAnsi="宋体" w:cs="宋体"/>
          <w:b/>
          <w:sz w:val="24"/>
        </w:rPr>
      </w:pPr>
      <w:r>
        <w:rPr>
          <w:rFonts w:hint="eastAsia" w:ascii="宋体" w:hAnsi="宋体" w:cs="宋体"/>
          <w:b/>
          <w:bCs/>
          <w:sz w:val="24"/>
        </w:rPr>
        <w:t xml:space="preserve">进入项目评审流程后，建议各供应商法定代表人或授权委托人始终保持通讯顺畅，时</w:t>
      </w:r>
      <w:r>
        <w:rPr>
          <w:rFonts w:hint="eastAsia" w:ascii="宋体" w:hAnsi="宋体" w:cs="宋体"/>
          <w:b/>
          <w:sz w:val="24"/>
        </w:rPr>
        <w:t xml:space="preserve">刻关注不见面开标大厅，不离开不见面开标大厅。</w:t>
      </w:r>
      <w:r/>
    </w:p>
    <w:p>
      <w:pPr>
        <w:ind w:firstLine="482"/>
        <w:spacing w:line="360" w:lineRule="auto"/>
        <w:rPr>
          <w:rFonts w:ascii="宋体" w:hAnsi="宋体" w:cs="宋体"/>
          <w:b/>
          <w:sz w:val="24"/>
        </w:rPr>
      </w:pPr>
      <w:r>
        <w:rPr>
          <w:rFonts w:hint="eastAsia" w:ascii="宋体" w:hAnsi="宋体" w:cs="宋体"/>
          <w:b/>
          <w:sz w:val="24"/>
          <w:lang w:bidi="ar"/>
        </w:rPr>
        <w:t xml:space="preserve">关于二次报价的具体操作流程，各供应商请详细阅读《操作手册》。</w:t>
      </w:r>
      <w:r/>
    </w:p>
    <w:p>
      <w:pPr>
        <w:pStyle w:val="1123"/>
        <w:ind w:firstLine="482"/>
        <w:spacing w:beforeAutospacing="0" w:afterAutospacing="0" w:line="360" w:lineRule="auto"/>
        <w:rPr>
          <w:rFonts w:ascii="宋体" w:hAnsi="宋体" w:cs="宋体"/>
          <w:b/>
        </w:rPr>
      </w:pPr>
      <w:r>
        <w:rPr>
          <w:rFonts w:hint="eastAsia" w:ascii="宋体" w:hAnsi="宋体" w:cs="宋体"/>
          <w:b/>
          <w:lang w:bidi="ar"/>
        </w:rPr>
        <w:t xml:space="preserve">四、综合说明</w:t>
      </w:r>
      <w:r/>
    </w:p>
    <w:p>
      <w:pPr>
        <w:pStyle w:val="1123"/>
        <w:ind w:firstLine="480"/>
        <w:spacing w:beforeAutospacing="0" w:afterAutospacing="0" w:line="360" w:lineRule="auto"/>
        <w:rPr>
          <w:rFonts w:ascii="宋体" w:hAnsi="宋体" w:cs="宋体"/>
          <w:lang w:bidi="ar"/>
        </w:rPr>
      </w:pPr>
      <w:r>
        <w:rPr>
          <w:rFonts w:hint="eastAsia" w:ascii="宋体" w:hAnsi="宋体" w:cs="宋体"/>
          <w:lang w:bidi="ar"/>
        </w:rPr>
        <w:t xml:space="preserve">1.供应商必须说明其是否响应采购文件中提出的全部服务内容与要求，如果以其中某些条款不响应时，应在文件中逐条列出，未列出的视同响应。</w:t>
      </w:r>
      <w:r/>
    </w:p>
    <w:p>
      <w:pPr>
        <w:pStyle w:val="1123"/>
        <w:ind w:firstLine="480"/>
        <w:spacing w:beforeAutospacing="0" w:afterAutospacing="0" w:line="360" w:lineRule="auto"/>
        <w:rPr>
          <w:rFonts w:ascii="宋体" w:hAnsi="宋体" w:cs="宋体"/>
          <w:lang w:bidi="ar"/>
        </w:rPr>
      </w:pPr>
      <w:r>
        <w:rPr>
          <w:rFonts w:hint="eastAsia" w:ascii="宋体" w:hAnsi="宋体" w:cs="宋体"/>
          <w:lang w:bidi="ar"/>
        </w:rPr>
        <w:t xml:space="preserve">2.本采购标的对应的中小企业划分标准所属行业为：其他未列明行业。</w:t>
      </w:r>
      <w:r/>
    </w:p>
    <w:p>
      <w:pPr>
        <w:ind w:firstLine="480"/>
        <w:jc w:val="left"/>
        <w:spacing w:line="360" w:lineRule="auto"/>
        <w:rPr>
          <w:rFonts w:ascii="宋体" w:hAnsi="宋体"/>
          <w:sz w:val="24"/>
        </w:rPr>
      </w:pPr>
      <w:r>
        <w:rPr>
          <w:rFonts w:hint="eastAsia" w:ascii="宋体" w:hAnsi="宋体" w:cs="宋体"/>
          <w:sz w:val="24"/>
          <w:lang w:bidi="ar"/>
        </w:rPr>
        <w:t xml:space="preserve">3.本项目履约验收按以下标准实施：</w:t>
      </w:r>
      <w:r>
        <w:rPr>
          <w:rFonts w:hint="eastAsia" w:ascii="宋体" w:hAnsi="宋体"/>
          <w:sz w:val="24"/>
        </w:rPr>
        <w:t xml:space="preserve">按照国家相关标准进行验收。</w:t>
      </w:r>
      <w:r/>
    </w:p>
    <w:p>
      <w:pPr>
        <w:pStyle w:val="1123"/>
        <w:ind w:firstLine="480"/>
        <w:spacing w:beforeAutospacing="0" w:afterAutospacing="0" w:line="360" w:lineRule="auto"/>
        <w:rPr>
          <w:rFonts w:ascii="宋体" w:hAnsi="宋体" w:cs="宋体"/>
          <w:lang w:bidi="ar"/>
        </w:rPr>
      </w:pPr>
      <w:r>
        <w:rPr>
          <w:rFonts w:hint="eastAsia" w:ascii="宋体" w:hAnsi="宋体" w:cs="宋体"/>
          <w:lang w:bidi="ar"/>
        </w:rPr>
        <w:t xml:space="preserve">4.履约保证金：无。</w:t>
      </w:r>
      <w:r/>
    </w:p>
    <w:p>
      <w:pPr>
        <w:pStyle w:val="1123"/>
        <w:ind w:firstLine="480"/>
        <w:spacing w:beforeAutospacing="0" w:afterAutospacing="0" w:line="360" w:lineRule="auto"/>
        <w:rPr>
          <w:rFonts w:ascii="宋体" w:hAnsi="宋体" w:cs="宋体"/>
          <w:lang w:bidi="ar"/>
        </w:rPr>
      </w:pPr>
      <w:r>
        <w:rPr>
          <w:rFonts w:hint="eastAsia" w:ascii="宋体" w:hAnsi="宋体" w:cs="宋体"/>
          <w:lang w:bidi="ar"/>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cs="宋体"/>
          <w:b/>
          <w:bCs/>
          <w:lang w:bidi="ar"/>
        </w:rPr>
        <w:t xml:space="preserve">本项目采购人未要求收取履约保证金</w:t>
      </w:r>
      <w:r>
        <w:rPr>
          <w:rFonts w:hint="eastAsia" w:ascii="宋体" w:hAnsi="宋体" w:cs="宋体"/>
          <w:lang w:bidi="ar"/>
        </w:rPr>
        <w:t xml:space="preserve">。</w:t>
      </w:r>
      <w:r/>
    </w:p>
    <w:p>
      <w:pPr>
        <w:pStyle w:val="1123"/>
        <w:numPr>
          <w:ilvl w:val="0"/>
          <w:numId w:val="4"/>
        </w:numPr>
        <w:ind w:firstLine="480"/>
        <w:spacing w:beforeAutospacing="0" w:afterAutospacing="0" w:line="360" w:lineRule="auto"/>
        <w:rPr>
          <w:rFonts w:ascii="宋体" w:hAnsi="宋体" w:cs="宋体"/>
          <w:lang w:bidi="ar"/>
        </w:rPr>
      </w:pPr>
      <w:r>
        <w:rPr>
          <w:rFonts w:hint="eastAsia" w:ascii="宋体" w:hAnsi="宋体" w:cs="宋体"/>
          <w:lang w:bidi="ar"/>
        </w:rPr>
        <w:t xml:space="preserve">成交服务费：根据苏财购告【2016】31号文件的规定收取成交服务费，成交供应商于领取成交通知书时向招标代理机构一次付清。其收取标准按预算金额100万元及以下费率为预算金额的1.5%，预算金额100万元-500万费率为预算金额的1.1%，差额累计进行计算。本项目服务费为：标段一：6375.00元，标段二：6075.00元，标段三：3000.00元，标段四：4500.00元。</w:t>
      </w:r>
      <w:r/>
    </w:p>
    <w:p>
      <w:pPr>
        <w:pStyle w:val="1123"/>
        <w:numPr>
          <w:ilvl w:val="0"/>
          <w:numId w:val="4"/>
        </w:numPr>
        <w:ind w:firstLine="480"/>
        <w:spacing w:beforeAutospacing="0" w:afterAutospacing="0" w:line="360" w:lineRule="auto"/>
        <w:rPr>
          <w:rFonts w:ascii="宋体" w:hAnsi="宋体" w:cs="宋体"/>
          <w:lang w:bidi="ar"/>
        </w:rPr>
      </w:pPr>
      <w:r>
        <w:rPr>
          <w:rFonts w:hint="eastAsia" w:ascii="宋体" w:hAnsi="宋体" w:cs="宋体"/>
          <w:lang w:bidi="ar"/>
        </w:rPr>
        <w:t xml:space="preserve">6.磋商说明：</w:t>
      </w:r>
      <w:r/>
    </w:p>
    <w:p>
      <w:pPr>
        <w:ind w:firstLine="480"/>
        <w:jc w:val="left"/>
        <w:spacing w:line="360" w:lineRule="auto"/>
        <w:rPr>
          <w:rFonts w:ascii="宋体" w:hAnsi="宋体" w:cs="宋体"/>
          <w:sz w:val="24"/>
        </w:rPr>
      </w:pPr>
      <w:r>
        <w:rPr>
          <w:rFonts w:hint="eastAsia" w:ascii="宋体" w:hAnsi="宋体" w:cs="宋体"/>
          <w:sz w:val="24"/>
          <w:lang w:bidi="ar"/>
        </w:rPr>
        <w:t xml:space="preserve">（1）不符合供应商资格要求，资格审查未通过的，响应无效；</w:t>
      </w:r>
      <w:r/>
    </w:p>
    <w:p>
      <w:pPr>
        <w:ind w:firstLine="480"/>
        <w:jc w:val="left"/>
        <w:spacing w:line="360" w:lineRule="auto"/>
        <w:rPr>
          <w:rFonts w:ascii="宋体" w:hAnsi="宋体" w:cs="宋体"/>
          <w:sz w:val="24"/>
        </w:rPr>
      </w:pPr>
      <w:r>
        <w:rPr>
          <w:rFonts w:hint="eastAsia" w:ascii="宋体" w:hAnsi="宋体" w:cs="宋体"/>
          <w:sz w:val="24"/>
          <w:lang w:bidi="ar"/>
        </w:rPr>
        <w:t xml:space="preserve">（2）参加磋商的供应商必须提供磋商代表的身份证明原件扫描件和法人授权委托书原件扫描件（法定代表人为磋商代表的可不提供） ，否则响应无效；</w:t>
      </w:r>
      <w:r/>
    </w:p>
    <w:p>
      <w:pPr>
        <w:ind w:firstLine="480"/>
        <w:jc w:val="left"/>
        <w:spacing w:line="360" w:lineRule="auto"/>
        <w:rPr>
          <w:rFonts w:ascii="宋体" w:hAnsi="宋体" w:cs="宋体"/>
          <w:sz w:val="24"/>
        </w:rPr>
      </w:pPr>
      <w:r>
        <w:rPr>
          <w:rFonts w:hint="eastAsia" w:ascii="宋体" w:hAnsi="宋体" w:cs="宋体"/>
          <w:sz w:val="24"/>
          <w:lang w:bidi="ar"/>
        </w:rPr>
        <w:t xml:space="preserve">（3）最终报价超过采购预算的，响应无效；</w:t>
      </w:r>
      <w:r/>
    </w:p>
    <w:p>
      <w:pPr>
        <w:ind w:firstLine="480"/>
        <w:jc w:val="left"/>
        <w:spacing w:line="360" w:lineRule="auto"/>
        <w:rPr>
          <w:rFonts w:ascii="宋体" w:hAnsi="宋体" w:cs="宋体"/>
          <w:sz w:val="24"/>
        </w:rPr>
      </w:pPr>
      <w:r>
        <w:rPr>
          <w:rFonts w:hint="eastAsia" w:ascii="宋体" w:hAnsi="宋体" w:cs="宋体"/>
          <w:sz w:val="24"/>
          <w:lang w:bidi="ar"/>
        </w:rPr>
        <w:t xml:space="preserve">（4）不实质性响应磋商文件的，响应无效；</w:t>
      </w:r>
      <w:r/>
    </w:p>
    <w:p>
      <w:pPr>
        <w:ind w:firstLine="480"/>
        <w:jc w:val="left"/>
        <w:spacing w:line="360" w:lineRule="auto"/>
        <w:rPr>
          <w:rFonts w:ascii="宋体" w:hAnsi="宋体" w:cs="宋体"/>
          <w:sz w:val="24"/>
          <w:lang w:bidi="ar"/>
        </w:rPr>
      </w:pPr>
      <w:r>
        <w:rPr>
          <w:rFonts w:hint="eastAsia" w:ascii="宋体" w:hAnsi="宋体" w:cs="宋体"/>
          <w:sz w:val="24"/>
          <w:lang w:bidi="ar"/>
        </w:rPr>
        <w:t xml:space="preserve">（5）实质性响应磋商文件不满三家或进入二次报价的不满三家或二次报价在采购预算内不满三家的，磋商采购失败。</w:t>
      </w:r>
      <w:r/>
    </w:p>
    <w:p>
      <w:pPr>
        <w:ind w:firstLine="480"/>
        <w:jc w:val="left"/>
        <w:spacing w:line="360" w:lineRule="auto"/>
        <w:rPr>
          <w:rFonts w:ascii="宋体" w:hAnsi="宋体" w:cs="宋体"/>
          <w:bCs/>
          <w:sz w:val="24"/>
          <w:szCs w:val="22"/>
          <w:lang w:bidi="ar"/>
        </w:rPr>
      </w:pPr>
      <w:r>
        <w:rPr>
          <w:rFonts w:hint="eastAsia" w:ascii="宋体" w:hAnsi="宋体" w:cs="宋体"/>
          <w:bCs/>
          <w:sz w:val="24"/>
          <w:szCs w:val="22"/>
          <w:lang w:bidi="ar"/>
        </w:rPr>
        <w:t xml:space="preserve">（6）响应文件密封和签署不符合要求的，响应文件将被拒绝；</w:t>
      </w:r>
      <w:r/>
    </w:p>
    <w:p>
      <w:pPr>
        <w:pStyle w:val="1121"/>
        <w:spacing w:line="360" w:lineRule="auto"/>
        <w:rPr>
          <w:rFonts w:ascii="宋体" w:hAnsi="宋体" w:cs="宋体"/>
        </w:rPr>
      </w:pPr>
      <w:r>
        <w:rPr>
          <w:rFonts w:hint="eastAsia" w:ascii="宋体" w:hAnsi="宋体" w:cs="宋体"/>
        </w:rPr>
        <w:t xml:space="preserve">（7）</w:t>
      </w:r>
      <w:r>
        <w:rPr>
          <w:rFonts w:hint="eastAsia" w:ascii="宋体" w:hAnsi="宋体" w:cs="宋体"/>
          <w:b/>
          <w:bCs/>
        </w:rPr>
        <w:t xml:space="preserve">供应商机器码（MAC地址）一致的，作为无效响应。</w:t>
      </w:r>
      <w:r/>
    </w:p>
    <w:p>
      <w:pPr>
        <w:pStyle w:val="1121"/>
        <w:spacing w:line="360" w:lineRule="auto"/>
        <w:rPr>
          <w:rFonts w:ascii="宋体" w:hAnsi="宋体" w:cs="宋体"/>
        </w:rPr>
      </w:pPr>
      <w:r>
        <w:rPr>
          <w:rFonts w:hint="eastAsia" w:ascii="宋体" w:hAnsi="宋体" w:cs="宋体"/>
        </w:rPr>
        <w:t xml:space="preserve">7.质疑要求：</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4"/>
        </w:rPr>
        <w:t xml:space="preserve">投标供应商确认函</w:t>
      </w:r>
      <w:r>
        <w:rPr>
          <w:rFonts w:hint="eastAsia" w:ascii="宋体" w:hAnsi="宋体" w:cs="宋体"/>
          <w:bCs/>
          <w:sz w:val="24"/>
        </w:rPr>
        <w:t xml:space="preserve">》）与质疑函一起递交，否则不予受理。</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2）质疑项目的名称、编号；</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3）具体、明确的质疑事项和与质疑事项相关的请求；</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4）事实依据；</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5）必要的法律依据；</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6）提出质疑的日期。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w:t>
      </w:r>
      <w:r>
        <w:rPr>
          <w:rFonts w:hint="eastAsia" w:ascii="宋体" w:hAnsi="宋体" w:cs="宋体"/>
          <w:bCs/>
          <w:sz w:val="24"/>
        </w:rPr>
        <w:t xml:space="preserve">供应商参加投标确认函</w:t>
      </w:r>
      <w:r>
        <w:rPr>
          <w:rFonts w:hint="eastAsia" w:ascii="宋体" w:hAnsi="宋体" w:cs="宋体"/>
          <w:sz w:val="24"/>
        </w:rPr>
        <w:t xml:space="preserve">。</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21"/>
        <w:spacing w:line="360" w:lineRule="auto"/>
        <w:rPr>
          <w:rFonts w:ascii="宋体" w:hAnsi="宋体" w:cs="宋体"/>
        </w:rPr>
      </w:pPr>
      <w:r>
        <w:rPr>
          <w:rFonts w:hint="eastAsia" w:ascii="宋体" w:hAnsi="宋体" w:cs="宋体"/>
        </w:rPr>
        <w:t xml:space="preserve">8）接受质疑函的方式为邮寄接收（顺丰），同时电话通知代理机构。</w:t>
      </w:r>
      <w:r/>
    </w:p>
    <w:p>
      <w:pPr>
        <w:pStyle w:val="1121"/>
        <w:spacing w:line="360" w:lineRule="auto"/>
        <w:rPr>
          <w:rFonts w:ascii="宋体" w:hAnsi="宋体" w:cs="宋体"/>
        </w:rPr>
      </w:pPr>
      <w:r>
        <w:rPr>
          <w:rFonts w:hint="eastAsia" w:ascii="宋体" w:hAnsi="宋体" w:cs="宋体"/>
        </w:rPr>
        <w:t xml:space="preserve">质疑联系部门：业务部-张晓雯</w:t>
      </w:r>
      <w:r/>
    </w:p>
    <w:p>
      <w:pPr>
        <w:pStyle w:val="1121"/>
        <w:spacing w:line="360" w:lineRule="auto"/>
        <w:rPr>
          <w:rFonts w:ascii="宋体" w:hAnsi="宋体" w:cs="宋体"/>
        </w:rPr>
      </w:pPr>
      <w:r>
        <w:rPr>
          <w:rFonts w:hint="eastAsia" w:ascii="宋体" w:hAnsi="宋体" w:cs="宋体"/>
        </w:rPr>
        <w:t xml:space="preserve">联系电话：18852950723</w:t>
      </w:r>
      <w:r/>
    </w:p>
    <w:p>
      <w:pPr>
        <w:pStyle w:val="1121"/>
        <w:spacing w:line="360" w:lineRule="auto"/>
        <w:rPr>
          <w:rFonts w:ascii="宋体" w:hAnsi="宋体" w:cs="宋体"/>
        </w:rPr>
      </w:pPr>
      <w:r>
        <w:rPr>
          <w:rFonts w:hint="eastAsia" w:ascii="宋体" w:hAnsi="宋体" w:cs="宋体"/>
        </w:rPr>
        <w:t xml:space="preserve">通讯地址：苏州高新区狮山路76号604-2-009。</w:t>
      </w:r>
      <w:r/>
    </w:p>
    <w:p>
      <w:pPr>
        <w:ind w:firstLine="480"/>
        <w:jc w:val="left"/>
        <w:spacing w:line="360" w:lineRule="auto"/>
        <w:rPr>
          <w:rFonts w:ascii="宋体" w:hAnsi="宋体" w:cs="宋体"/>
          <w:sz w:val="24"/>
        </w:rPr>
      </w:pPr>
      <w:r>
        <w:rPr>
          <w:rFonts w:hint="eastAsia" w:ascii="宋体" w:hAnsi="宋体" w:cs="宋体"/>
          <w:sz w:val="24"/>
          <w:lang w:bidi="ar"/>
        </w:rPr>
        <w:t xml:space="preserve">8.采购代理机构在成交供应商确定后2个工作日内在“苏州市政府采购网”公告成交结果。</w:t>
      </w:r>
      <w:r/>
    </w:p>
    <w:p>
      <w:pPr>
        <w:ind w:firstLine="480"/>
        <w:jc w:val="left"/>
        <w:spacing w:line="360" w:lineRule="auto"/>
        <w:rPr>
          <w:rFonts w:ascii="宋体" w:hAnsi="宋体" w:cs="宋体"/>
          <w:bCs/>
          <w:sz w:val="24"/>
        </w:rPr>
      </w:pPr>
      <w:r>
        <w:rPr>
          <w:rFonts w:hint="eastAsia" w:ascii="宋体" w:hAnsi="宋体" w:cs="宋体"/>
          <w:sz w:val="24"/>
          <w:lang w:bidi="ar"/>
        </w:rPr>
        <w:t xml:space="preserve">（1）发出成交通知书。</w:t>
      </w:r>
      <w:r>
        <w:rPr>
          <w:rFonts w:hint="eastAsia" w:ascii="宋体" w:hAnsi="宋体" w:cs="宋体"/>
          <w:bCs/>
          <w:sz w:val="24"/>
          <w:lang w:bidi="ar"/>
        </w:rPr>
        <w:t xml:space="preserve">在发布成交公告的同时，向成交供应商发出成交通知书。</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（2）在发出成交通知书的同时，向参与项目评审的未成交供应商发放未成交通知书，告知其评审得分与排名。告知方式为</w:t>
      </w:r>
      <w:r>
        <w:rPr>
          <w:rFonts w:hint="eastAsia" w:ascii="宋体" w:hAnsi="宋体" w:cs="宋体"/>
          <w:sz w:val="24"/>
          <w:u w:val="single"/>
          <w:lang w:bidi="ar"/>
        </w:rPr>
        <w:t xml:space="preserve">电子邮件</w:t>
      </w:r>
      <w:r>
        <w:rPr>
          <w:rFonts w:hint="eastAsia" w:ascii="宋体" w:hAnsi="宋体" w:cs="宋体"/>
          <w:sz w:val="24"/>
          <w:lang w:bidi="ar"/>
        </w:rPr>
        <w:t xml:space="preserve">，接收方式以供应商响应文件中《磋商响应声明》所列</w:t>
      </w:r>
      <w:r>
        <w:rPr>
          <w:rFonts w:hint="eastAsia" w:ascii="宋体" w:hAnsi="宋体" w:cs="宋体"/>
          <w:sz w:val="24"/>
          <w:u w:val="single"/>
          <w:lang w:bidi="ar"/>
        </w:rPr>
        <w:t xml:space="preserve">电子邮件</w:t>
      </w:r>
      <w:r>
        <w:rPr>
          <w:rFonts w:hint="eastAsia" w:ascii="宋体" w:hAnsi="宋体" w:cs="宋体"/>
          <w:sz w:val="24"/>
          <w:lang w:bidi="ar"/>
        </w:rPr>
        <w:t xml:space="preserve">为准。未成交供应商未按约定的时间和方式获取告知信息的，视为自动放弃并自行承担相应后果。</w:t>
      </w:r>
      <w:r/>
    </w:p>
    <w:p>
      <w:pPr>
        <w:ind w:firstLine="480"/>
        <w:spacing w:line="360" w:lineRule="auto"/>
        <w:rPr>
          <w:rFonts w:ascii="宋体" w:hAnsi="宋体" w:cs="宋体"/>
          <w:sz w:val="24"/>
          <w:lang w:bidi="ar"/>
        </w:rPr>
      </w:pPr>
      <w:r>
        <w:rPr>
          <w:rFonts w:hint="eastAsia" w:ascii="宋体" w:hAnsi="宋体" w:cs="宋体"/>
          <w:sz w:val="24"/>
          <w:lang w:bidi="ar"/>
        </w:rPr>
        <w:t xml:space="preserve">9.凡涉及磋商采购文件的补充说明和修改，均以江苏政府采购网、苏州政府采购网上发布的通知为准。</w:t>
      </w:r>
      <w:r/>
    </w:p>
    <w:p>
      <w:r/>
      <w:r/>
    </w:p>
    <w:p>
      <w:pPr>
        <w:pStyle w:val="1123"/>
        <w:jc w:val="center"/>
        <w:spacing w:before="75" w:beforeAutospacing="0" w:after="75" w:afterAutospacing="0"/>
        <w:widowControl/>
        <w:rPr>
          <w:rStyle w:val="1127"/>
          <w:rFonts w:ascii="宋体" w:hAnsi="宋体" w:cs="宋体"/>
          <w:sz w:val="43"/>
          <w:szCs w:val="43"/>
        </w:rPr>
        <w:sectPr>
          <w:footerReference w:type="default" r:id="rId12"/>
          <w:footnotePr/>
          <w:endnotePr/>
          <w:type w:val="nextPage"/>
          <w:pgSz w:w="11906" w:h="16838" w:orient="portrait"/>
          <w:pgMar w:top="1440" w:right="748" w:bottom="1440" w:left="969" w:header="851" w:footer="992" w:gutter="0"/>
          <w:pgNumType w:start="1"/>
          <w:cols w:num="1" w:sep="0" w:space="1701" w:equalWidth="1"/>
          <w:docGrid w:linePitch="360"/>
        </w:sectPr>
      </w:pPr>
      <w:r>
        <w:rPr>
          <w:rFonts w:ascii="宋体" w:hAnsi="宋体" w:cs="宋体"/>
          <w:sz w:val="43"/>
          <w:szCs w:val="43"/>
        </w:rPr>
      </w:r>
      <w:r/>
    </w:p>
    <w:p>
      <w:pPr>
        <w:pStyle w:val="907"/>
        <w:jc w:val="center"/>
        <w:rPr>
          <w:b/>
          <w:bCs/>
        </w:rPr>
      </w:pPr>
      <w:r/>
      <w:bookmarkStart w:id="20" w:name="_Toc31405"/>
      <w:r>
        <w:rPr>
          <w:rFonts w:hint="eastAsia"/>
          <w:b/>
          <w:bCs/>
        </w:rPr>
        <w:t xml:space="preserve">第三章 采购内容</w:t>
      </w:r>
      <w:bookmarkEnd w:id="20"/>
      <w:r/>
      <w:r/>
    </w:p>
    <w:p>
      <w:pPr>
        <w:ind w:firstLine="480"/>
        <w:spacing w:line="360" w:lineRule="auto"/>
        <w:widowControl/>
        <w:rPr>
          <w:rFonts w:ascii="宋体" w:hAnsi="宋体" w:cs="宋体"/>
          <w:color w:val="auto"/>
          <w:sz w:val="24"/>
        </w:rPr>
      </w:pPr>
      <w:r>
        <w:rPr>
          <w:rFonts w:hint="eastAsia" w:ascii="宋体" w:hAnsi="宋体" w:cs="宋体"/>
          <w:sz w:val="24"/>
        </w:rPr>
        <w:t xml:space="preserve">苏州市诚捷项目管理有限公司受</w:t>
      </w:r>
      <w:r>
        <w:rPr>
          <w:rFonts w:hint="eastAsia" w:ascii="宋体" w:hAnsi="宋体" w:cs="宋体"/>
          <w:sz w:val="24"/>
          <w:u w:val="single"/>
        </w:rPr>
        <w:t xml:space="preserve">苏州工业园区应急管理局</w:t>
      </w:r>
      <w:r>
        <w:rPr>
          <w:rFonts w:hint="eastAsia" w:ascii="宋体" w:hAnsi="宋体" w:cs="宋体"/>
          <w:sz w:val="24"/>
        </w:rPr>
        <w:t xml:space="preserve">的委托，就</w:t>
      </w:r>
      <w:r>
        <w:rPr>
          <w:rFonts w:hint="eastAsia" w:ascii="宋体" w:hAnsi="宋体" w:cs="宋体"/>
          <w:sz w:val="24"/>
          <w:u w:val="single"/>
        </w:rPr>
        <w:t xml:space="preserve">苏州工业园区2026年度危化品领域企业第三方安</w:t>
      </w:r>
      <w:r>
        <w:rPr>
          <w:rFonts w:hint="eastAsia" w:ascii="宋体" w:hAnsi="宋体" w:cs="宋体"/>
          <w:color w:val="auto"/>
          <w:sz w:val="24"/>
          <w:u w:val="single"/>
        </w:rPr>
        <w:t xml:space="preserve">全生产指导服务项目</w:t>
      </w:r>
      <w:r>
        <w:rPr>
          <w:rFonts w:hint="eastAsia" w:ascii="宋体" w:hAnsi="宋体" w:cs="宋体"/>
          <w:color w:val="auto"/>
          <w:sz w:val="24"/>
        </w:rPr>
        <w:t xml:space="preserve">采用竞争性磋商方式进行采购，现欢迎符合相关条件的供应商参加本次磋商采购活动。</w:t>
      </w:r>
      <w:r/>
    </w:p>
    <w:p>
      <w:pPr>
        <w:ind w:firstLine="482"/>
        <w:spacing w:line="360" w:lineRule="auto"/>
        <w:widowControl/>
        <w:rPr>
          <w:rFonts w:hint="eastAsia" w:ascii="宋体" w:hAnsi="宋体" w:eastAsia="宋体" w:cs="宋体"/>
          <w:color w:val="auto"/>
          <w:sz w:val="24"/>
          <w:lang w:eastAsia="zh-CN"/>
        </w:rPr>
      </w:pPr>
      <w:r>
        <w:rPr>
          <w:rFonts w:hint="eastAsia" w:ascii="宋体" w:hAnsi="宋体" w:cs="宋体"/>
          <w:b/>
          <w:bCs/>
          <w:color w:val="auto"/>
          <w:sz w:val="24"/>
        </w:rPr>
        <w:t xml:space="preserve">一、项目编号：</w:t>
      </w:r>
      <w:r>
        <w:rPr>
          <w:rFonts w:hint="eastAsia" w:ascii="宋体" w:hAnsi="宋体" w:cs="宋体"/>
          <w:color w:val="auto"/>
          <w:sz w:val="24"/>
          <w:lang w:eastAsia="zh-CN"/>
        </w:rPr>
        <w:t xml:space="preserve">JSZC-320591-CJZT-C2026-0002</w:t>
      </w:r>
      <w:r/>
    </w:p>
    <w:p>
      <w:pPr>
        <w:ind w:firstLine="482"/>
        <w:spacing w:line="360" w:lineRule="auto"/>
        <w:widowControl/>
        <w:rPr>
          <w:rFonts w:ascii="宋体" w:hAnsi="宋体" w:cs="宋体"/>
          <w:sz w:val="24"/>
        </w:rPr>
      </w:pPr>
      <w:r>
        <w:rPr>
          <w:rFonts w:hint="eastAsia" w:ascii="宋体" w:hAnsi="宋体" w:cs="宋体"/>
          <w:b/>
          <w:bCs/>
          <w:color w:val="auto"/>
          <w:sz w:val="24"/>
        </w:rPr>
        <w:t xml:space="preserve">二、项目名称：</w:t>
      </w:r>
      <w:r>
        <w:rPr>
          <w:rFonts w:hint="eastAsia" w:ascii="宋体" w:hAnsi="宋体" w:cs="宋体"/>
          <w:color w:val="auto"/>
          <w:sz w:val="24"/>
        </w:rPr>
        <w:t xml:space="preserve">苏州工业园区2026年度危化品领域企业第三方安</w:t>
      </w:r>
      <w:r>
        <w:rPr>
          <w:rFonts w:hint="eastAsia" w:ascii="宋体" w:hAnsi="宋体" w:cs="宋体"/>
          <w:sz w:val="24"/>
        </w:rPr>
        <w:t xml:space="preserve">全生产指导服务项目</w:t>
      </w:r>
      <w:r/>
    </w:p>
    <w:p>
      <w:pPr>
        <w:pStyle w:val="1111"/>
        <w:ind w:firstLine="480"/>
        <w:spacing w:line="360" w:lineRule="auto"/>
        <w:widowControl/>
        <w:rPr>
          <w:rFonts w:ascii="宋体" w:hAnsi="宋体" w:eastAsia="宋体" w:cs="宋体"/>
          <w:sz w:val="24"/>
        </w:rPr>
      </w:pPr>
      <w:r>
        <w:rPr>
          <w:rFonts w:hint="eastAsia" w:ascii="宋体" w:hAnsi="宋体" w:cs="宋体"/>
          <w:b/>
          <w:bCs/>
          <w:sz w:val="24"/>
        </w:rPr>
        <w:t xml:space="preserve">三、</w:t>
      </w:r>
      <w:r>
        <w:rPr>
          <w:rFonts w:hint="eastAsia" w:ascii="宋体" w:hAnsi="宋体" w:cs="宋体"/>
          <w:b/>
          <w:sz w:val="24"/>
        </w:rPr>
        <w:t xml:space="preserve">项目总预算：</w:t>
      </w:r>
      <w:r>
        <w:rPr>
          <w:rFonts w:hint="eastAsia" w:ascii="宋体" w:hAnsi="宋体" w:eastAsia="宋体" w:cs="宋体"/>
          <w:sz w:val="24"/>
        </w:rPr>
        <w:t xml:space="preserve">人民币壹佰叁拾叁万元整（￥1330000.00）</w:t>
      </w:r>
      <w:r/>
    </w:p>
    <w:p>
      <w:pPr>
        <w:ind w:firstLine="480"/>
        <w:spacing w:line="360" w:lineRule="auto"/>
        <w:rPr>
          <w:rFonts w:ascii="宋体" w:hAnsi="宋体" w:cs="宋体"/>
          <w:sz w:val="24"/>
        </w:rPr>
      </w:pPr>
      <w:r>
        <w:rPr>
          <w:rFonts w:hint="eastAsia" w:ascii="宋体" w:hAnsi="宋体" w:cs="宋体"/>
          <w:sz w:val="24"/>
        </w:rPr>
        <w:t xml:space="preserve">标段一预算：人民币肆拾贰万伍仟元整（￥425000.00）；</w:t>
      </w:r>
      <w:r/>
    </w:p>
    <w:p>
      <w:pPr>
        <w:ind w:firstLine="480"/>
        <w:spacing w:line="360" w:lineRule="auto"/>
        <w:rPr>
          <w:rFonts w:ascii="宋体" w:hAnsi="宋体" w:cs="宋体"/>
          <w:sz w:val="24"/>
        </w:rPr>
      </w:pPr>
      <w:r>
        <w:rPr>
          <w:rFonts w:hint="eastAsia" w:ascii="宋体" w:hAnsi="宋体" w:cs="宋体"/>
          <w:sz w:val="24"/>
        </w:rPr>
        <w:t xml:space="preserve">标段二预算：人民币肆拾万伍仟元整（￥405000.00）；</w:t>
      </w:r>
      <w:r/>
    </w:p>
    <w:p>
      <w:pPr>
        <w:ind w:firstLine="480"/>
        <w:spacing w:line="360" w:lineRule="auto"/>
        <w:rPr>
          <w:rFonts w:ascii="宋体" w:hAnsi="宋体" w:cs="宋体"/>
          <w:sz w:val="24"/>
        </w:rPr>
      </w:pPr>
      <w:r>
        <w:rPr>
          <w:rFonts w:hint="eastAsia" w:ascii="宋体" w:hAnsi="宋体" w:cs="宋体"/>
          <w:sz w:val="24"/>
        </w:rPr>
        <w:t xml:space="preserve">标段三预算：人民币贰拾万元整（￥200000.00）；</w:t>
      </w:r>
      <w:r/>
    </w:p>
    <w:p>
      <w:pPr>
        <w:ind w:firstLine="480"/>
        <w:spacing w:line="360" w:lineRule="auto"/>
        <w:rPr>
          <w:rFonts w:ascii="宋体" w:hAnsi="宋体" w:cs="宋体"/>
          <w:sz w:val="24"/>
        </w:rPr>
      </w:pPr>
      <w:r>
        <w:rPr>
          <w:rFonts w:hint="eastAsia" w:ascii="宋体" w:hAnsi="宋体" w:cs="宋体"/>
          <w:sz w:val="24"/>
        </w:rPr>
        <w:t xml:space="preserve">标段四预算：人民币叁拾万元整（￥300000.00）；</w:t>
      </w:r>
      <w:r/>
    </w:p>
    <w:p>
      <w:pPr>
        <w:ind w:firstLine="480"/>
        <w:spacing w:line="360" w:lineRule="auto"/>
        <w:rPr>
          <w:rFonts w:ascii="宋体" w:hAnsi="宋体" w:cs="宋体"/>
          <w:sz w:val="24"/>
        </w:rPr>
      </w:pPr>
      <w:r>
        <w:rPr>
          <w:rFonts w:hint="eastAsia" w:ascii="宋体" w:hAnsi="宋体" w:cs="宋体"/>
          <w:sz w:val="24"/>
        </w:rPr>
        <w:t xml:space="preserve">最高限价：</w:t>
      </w:r>
      <w:r/>
    </w:p>
    <w:tbl>
      <w:tblPr>
        <w:tblStyle w:val="917"/>
        <w:tblW w:w="10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1712"/>
        <w:gridCol w:w="2902"/>
        <w:gridCol w:w="1782"/>
        <w:gridCol w:w="1543"/>
        <w:gridCol w:w="1149"/>
      </w:tblGrid>
      <w:tr>
        <w:trPr>
          <w:jc w:val="center"/>
          <w:trHeight w:val="530"/>
        </w:trPr>
        <w:tc>
          <w:tcPr>
            <w:tcW w:w="104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标段</w:t>
            </w:r>
            <w:r/>
          </w:p>
        </w:tc>
        <w:tc>
          <w:tcPr>
            <w:tcW w:w="171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tcW w:w="2902" w:type="dxa"/>
            <w:vAlign w:val="center"/>
            <w:textDirection w:val="lrTb"/>
            <w:noWrap w:val="false"/>
          </w:tcPr>
          <w:p>
            <w:pPr>
              <w:rPr>
                <w:rFonts w:ascii="宋体" w:hAnsi="宋体" w:cs="宋体"/>
                <w:sz w:val="24"/>
              </w:rPr>
            </w:pPr>
            <w:r>
              <w:rPr>
                <w:rFonts w:hint="eastAsia" w:ascii="宋体" w:hAnsi="宋体" w:cs="宋体"/>
                <w:sz w:val="24"/>
              </w:rPr>
              <w:t xml:space="preserve">服务综合要求</w:t>
            </w:r>
            <w:r/>
          </w:p>
        </w:tc>
        <w:tc>
          <w:tcPr>
            <w:tcW w:w="1782" w:type="dxa"/>
            <w:vAlign w:val="center"/>
            <w:textDirection w:val="lrTb"/>
            <w:noWrap w:val="false"/>
          </w:tcPr>
          <w:p>
            <w:pPr>
              <w:jc w:val="center"/>
              <w:spacing w:line="360" w:lineRule="auto"/>
              <w:rPr>
                <w:rFonts w:ascii="宋体" w:hAnsi="宋体" w:cs="宋体"/>
                <w:sz w:val="24"/>
              </w:rPr>
            </w:pPr>
            <w:r>
              <w:rPr>
                <w:rFonts w:hint="eastAsia" w:ascii="宋体" w:hAnsi="宋体" w:cs="宋体"/>
                <w:bCs/>
                <w:sz w:val="24"/>
              </w:rPr>
              <w:t xml:space="preserve">服务内容</w:t>
            </w:r>
            <w:r/>
          </w:p>
        </w:tc>
        <w:tc>
          <w:tcPr>
            <w:tcW w:w="1543" w:type="dxa"/>
            <w:vAlign w:val="center"/>
            <w:textDirection w:val="lrTb"/>
            <w:noWrap w:val="false"/>
          </w:tcPr>
          <w:p>
            <w:pPr>
              <w:pStyle w:val="951"/>
              <w:ind w:firstLine="0"/>
              <w:jc w:val="center"/>
              <w:rPr>
                <w:rFonts w:hint="default" w:hAnsi="宋体" w:cs="宋体"/>
                <w:sz w:val="24"/>
                <w:szCs w:val="24"/>
              </w:rPr>
            </w:pPr>
            <w:r>
              <w:rPr>
                <w:rFonts w:hAnsi="宋体" w:cs="宋体"/>
                <w:sz w:val="24"/>
                <w:szCs w:val="24"/>
              </w:rPr>
              <w:t xml:space="preserve">最高限价（单价）</w:t>
            </w:r>
            <w:r/>
          </w:p>
        </w:tc>
        <w:tc>
          <w:tcPr>
            <w:tcW w:w="1149" w:type="dxa"/>
            <w:vAlign w:val="center"/>
            <w:textDirection w:val="lrTb"/>
            <w:noWrap w:val="false"/>
          </w:tcPr>
          <w:p>
            <w:pPr>
              <w:pStyle w:val="951"/>
              <w:ind w:firstLine="0"/>
              <w:jc w:val="center"/>
              <w:rPr>
                <w:rFonts w:hint="default" w:hAnsi="宋体" w:cs="宋体"/>
                <w:sz w:val="24"/>
                <w:szCs w:val="24"/>
              </w:rPr>
            </w:pPr>
            <w:r>
              <w:rPr>
                <w:rFonts w:hAnsi="宋体" w:cs="宋体"/>
                <w:sz w:val="24"/>
                <w:szCs w:val="24"/>
              </w:rPr>
              <w:t xml:space="preserve">预算</w:t>
            </w:r>
            <w:r/>
          </w:p>
          <w:p>
            <w:pPr>
              <w:pStyle w:val="951"/>
              <w:ind w:firstLine="0"/>
              <w:jc w:val="center"/>
              <w:rPr>
                <w:rFonts w:hint="default" w:hAnsi="宋体" w:cs="宋体"/>
                <w:sz w:val="24"/>
                <w:szCs w:val="24"/>
              </w:rPr>
            </w:pPr>
            <w:r>
              <w:rPr>
                <w:rFonts w:hAnsi="宋体" w:cs="宋体"/>
                <w:sz w:val="24"/>
                <w:szCs w:val="24"/>
              </w:rPr>
              <w:t xml:space="preserve">（万元）</w:t>
            </w:r>
            <w:r/>
          </w:p>
        </w:tc>
      </w:tr>
      <w:tr>
        <w:trPr>
          <w:jc w:val="center"/>
          <w:trHeight w:val="1545"/>
        </w:trPr>
        <w:tc>
          <w:tcPr>
            <w:tcW w:w="1048" w:type="dxa"/>
            <w:vAlign w:val="center"/>
            <w:textDirection w:val="lrTb"/>
            <w:noWrap w:val="false"/>
          </w:tcPr>
          <w:p>
            <w:pPr>
              <w:jc w:val="center"/>
              <w:rPr>
                <w:rFonts w:ascii="宋体" w:hAnsi="宋体" w:cs="宋体"/>
                <w:sz w:val="24"/>
              </w:rPr>
            </w:pPr>
            <w:r>
              <w:rPr>
                <w:rFonts w:hint="eastAsia" w:ascii="宋体" w:hAnsi="宋体" w:cs="宋体"/>
                <w:sz w:val="24"/>
              </w:rPr>
              <w:t xml:space="preserve">标段一</w:t>
            </w:r>
            <w:r/>
          </w:p>
        </w:tc>
        <w:tc>
          <w:tcPr>
            <w:tcW w:w="1712" w:type="dxa"/>
            <w:vAlign w:val="center"/>
            <w:textDirection w:val="lrTb"/>
            <w:noWrap w:val="false"/>
          </w:tcPr>
          <w:p>
            <w:pPr>
              <w:jc w:val="center"/>
              <w:rPr>
                <w:rFonts w:ascii="宋体" w:hAnsi="宋体" w:cs="宋体"/>
                <w:sz w:val="24"/>
              </w:rPr>
            </w:pPr>
            <w:r>
              <w:rPr>
                <w:rFonts w:hint="eastAsia" w:ascii="宋体" w:hAnsi="宋体" w:cs="宋体"/>
                <w:sz w:val="24"/>
              </w:rPr>
              <w:t xml:space="preserve">化工（危化品）及工贸重大危险源企业指导服务</w:t>
            </w:r>
            <w:r/>
          </w:p>
        </w:tc>
        <w:tc>
          <w:tcPr>
            <w:tcW w:w="2902" w:type="dxa"/>
            <w:vAlign w:val="center"/>
            <w:textDirection w:val="lrTb"/>
            <w:noWrap w:val="false"/>
          </w:tcPr>
          <w:p>
            <w:pPr>
              <w:jc w:val="center"/>
              <w:rPr>
                <w:rFonts w:ascii="宋体" w:hAnsi="宋体" w:cs="宋体"/>
                <w:sz w:val="24"/>
              </w:rPr>
            </w:pPr>
            <w:r>
              <w:rPr>
                <w:rFonts w:hint="eastAsia" w:ascii="宋体" w:hAnsi="宋体" w:cs="宋体"/>
                <w:sz w:val="24"/>
              </w:rPr>
              <w:t xml:space="preserve">（1）开展隐患排查指导服务，包括重点生产工艺设备、安全装置、危化品仓库等部位以及特殊作业管理、新改扩建设项目等环节。（2）开展安全管理提升服务，加强安全政策宣贯、指导企业“六化”建设、参与配合“小切口”问题研究等。</w:t>
            </w:r>
            <w:r/>
          </w:p>
        </w:tc>
        <w:tc>
          <w:tcPr>
            <w:tcW w:w="1782" w:type="dxa"/>
            <w:vAlign w:val="center"/>
            <w:textDirection w:val="lrTb"/>
            <w:noWrap w:val="false"/>
          </w:tcPr>
          <w:p>
            <w:pPr>
              <w:jc w:val="center"/>
              <w:rPr>
                <w:rFonts w:ascii="宋体" w:hAnsi="宋体" w:cs="宋体"/>
                <w:sz w:val="24"/>
              </w:rPr>
            </w:pPr>
            <w:r>
              <w:rPr>
                <w:rFonts w:hint="eastAsia" w:ascii="宋体" w:hAnsi="宋体" w:cs="宋体"/>
                <w:sz w:val="24"/>
              </w:rPr>
              <w:t xml:space="preserve">指导化工（危化品）及工贸重大危险源企业17家</w:t>
            </w:r>
            <w:r/>
          </w:p>
        </w:tc>
        <w:tc>
          <w:tcPr>
            <w:tcW w:w="1543" w:type="dxa"/>
            <w:vAlign w:val="center"/>
            <w:textDirection w:val="lrTb"/>
            <w:noWrap w:val="false"/>
          </w:tcPr>
          <w:p>
            <w:pPr>
              <w:jc w:val="center"/>
              <w:rPr>
                <w:rFonts w:ascii="宋体" w:hAnsi="宋体" w:cs="宋体"/>
                <w:sz w:val="24"/>
              </w:rPr>
            </w:pPr>
            <w:r>
              <w:rPr>
                <w:rFonts w:hint="eastAsia" w:ascii="宋体" w:hAnsi="宋体" w:cs="宋体"/>
                <w:sz w:val="24"/>
              </w:rPr>
              <w:t xml:space="preserve">2.5万元/家</w:t>
            </w:r>
            <w:r/>
          </w:p>
        </w:tc>
        <w:tc>
          <w:tcPr>
            <w:tcW w:w="1149" w:type="dxa"/>
            <w:vAlign w:val="center"/>
            <w:textDirection w:val="lrTb"/>
            <w:noWrap w:val="false"/>
          </w:tcPr>
          <w:p>
            <w:pPr>
              <w:jc w:val="center"/>
              <w:rPr>
                <w:rFonts w:ascii="宋体" w:hAnsi="宋体" w:cs="宋体"/>
                <w:sz w:val="24"/>
              </w:rPr>
            </w:pPr>
            <w:r>
              <w:rPr>
                <w:rFonts w:hint="eastAsia" w:ascii="宋体" w:hAnsi="宋体" w:cs="宋体"/>
                <w:sz w:val="24"/>
              </w:rPr>
              <w:t xml:space="preserve">42.5</w:t>
            </w:r>
            <w:r/>
          </w:p>
        </w:tc>
      </w:tr>
      <w:tr>
        <w:trPr>
          <w:jc w:val="center"/>
          <w:trHeight w:val="382"/>
        </w:trPr>
        <w:tc>
          <w:tcPr>
            <w:tcW w:w="104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标段二</w:t>
            </w:r>
            <w:r/>
          </w:p>
        </w:tc>
        <w:tc>
          <w:tcPr>
            <w:tcW w:w="1712" w:type="dxa"/>
            <w:vAlign w:val="center"/>
            <w:textDirection w:val="lrTb"/>
            <w:noWrap w:val="false"/>
          </w:tcPr>
          <w:p>
            <w:pPr>
              <w:jc w:val="center"/>
              <w:rPr>
                <w:rFonts w:ascii="宋体" w:hAnsi="宋体" w:cs="宋体"/>
                <w:sz w:val="24"/>
              </w:rPr>
            </w:pPr>
            <w:r>
              <w:rPr>
                <w:rFonts w:hint="eastAsia" w:ascii="宋体" w:hAnsi="宋体" w:cs="宋体"/>
                <w:sz w:val="24"/>
              </w:rPr>
              <w:t xml:space="preserve">生物医药及研发实验室企业指导服务</w:t>
            </w:r>
            <w:r/>
          </w:p>
        </w:tc>
        <w:tc>
          <w:tcPr>
            <w:tcW w:w="2902" w:type="dxa"/>
            <w:vAlign w:val="center"/>
            <w:textDirection w:val="lrTb"/>
            <w:noWrap w:val="false"/>
          </w:tcPr>
          <w:p>
            <w:pPr>
              <w:jc w:val="center"/>
              <w:rPr>
                <w:rFonts w:ascii="宋体" w:hAnsi="宋体" w:cs="宋体"/>
                <w:sz w:val="24"/>
              </w:rPr>
            </w:pPr>
            <w:r>
              <w:rPr>
                <w:rFonts w:hint="eastAsia" w:ascii="宋体" w:hAnsi="宋体" w:cs="宋体"/>
                <w:sz w:val="24"/>
              </w:rPr>
              <w:t xml:space="preserve">对医药及研发实验室企业开展专项指导服务。（1）开展隐患排查指导服务，加强现场安全管理指导，尤其是危化品储存、使用以及特殊作业管理等环节。（2）开展安全管理提升服务，加强对企业安全政策宣贯、指导企业“六化”建设、参与配合“小切口”问题研究等。</w:t>
            </w:r>
            <w:r/>
          </w:p>
        </w:tc>
        <w:tc>
          <w:tcPr>
            <w:tcW w:w="1782" w:type="dxa"/>
            <w:vAlign w:val="center"/>
            <w:textDirection w:val="lrTb"/>
            <w:noWrap w:val="false"/>
          </w:tcPr>
          <w:p>
            <w:pPr>
              <w:jc w:val="center"/>
              <w:rPr>
                <w:rFonts w:ascii="宋体" w:hAnsi="宋体" w:cs="宋体"/>
                <w:sz w:val="24"/>
              </w:rPr>
            </w:pPr>
            <w:r>
              <w:rPr>
                <w:rFonts w:hint="eastAsia" w:ascii="宋体" w:hAnsi="宋体" w:cs="宋体"/>
                <w:sz w:val="24"/>
              </w:rPr>
              <w:t xml:space="preserve">指导生物医药及研发实验室企业54家</w:t>
            </w:r>
            <w:r/>
          </w:p>
        </w:tc>
        <w:tc>
          <w:tcPr>
            <w:tcW w:w="154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0.75万元/家</w:t>
            </w:r>
            <w:r/>
          </w:p>
        </w:tc>
        <w:tc>
          <w:tcPr>
            <w:tcW w:w="1149"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cs="宋体"/>
                <w:sz w:val="24"/>
              </w:rPr>
              <w:t xml:space="preserve">40</w:t>
            </w:r>
            <w:r>
              <w:rPr>
                <w:rFonts w:hint="eastAsia" w:ascii="宋体" w:hAnsi="宋体" w:cs="宋体"/>
                <w:sz w:val="24"/>
                <w:lang w:eastAsia="zh-CN"/>
              </w:rPr>
              <w:t xml:space="preserve">.</w:t>
            </w:r>
            <w:r>
              <w:rPr>
                <w:rFonts w:hint="eastAsia" w:ascii="宋体" w:hAnsi="宋体" w:cs="宋体"/>
                <w:sz w:val="24"/>
                <w:lang w:val="en-US" w:eastAsia="zh-CN"/>
              </w:rPr>
              <w:t xml:space="preserve">5</w:t>
            </w:r>
            <w:r/>
          </w:p>
        </w:tc>
      </w:tr>
      <w:tr>
        <w:trPr>
          <w:jc w:val="center"/>
          <w:trHeight w:val="791"/>
        </w:trPr>
        <w:tc>
          <w:tcPr>
            <w:tcW w:w="1048" w:type="dxa"/>
            <w:vAlign w:val="center"/>
            <w:textDirection w:val="lrTb"/>
            <w:noWrap w:val="false"/>
          </w:tcPr>
          <w:p>
            <w:pPr>
              <w:jc w:val="center"/>
              <w:rPr>
                <w:rFonts w:ascii="宋体" w:hAnsi="宋体" w:cs="宋体"/>
                <w:sz w:val="24"/>
              </w:rPr>
            </w:pPr>
            <w:r>
              <w:rPr>
                <w:rFonts w:hint="eastAsia" w:ascii="宋体" w:hAnsi="宋体" w:cs="宋体"/>
                <w:sz w:val="24"/>
              </w:rPr>
              <w:t xml:space="preserve">标段三</w:t>
            </w:r>
            <w:r/>
          </w:p>
        </w:tc>
        <w:tc>
          <w:tcPr>
            <w:tcW w:w="1712" w:type="dxa"/>
            <w:vAlign w:val="center"/>
            <w:textDirection w:val="lrTb"/>
            <w:noWrap w:val="false"/>
          </w:tcPr>
          <w:p>
            <w:pPr>
              <w:jc w:val="center"/>
              <w:rPr>
                <w:rFonts w:ascii="宋体" w:hAnsi="宋体" w:cs="宋体"/>
                <w:sz w:val="24"/>
              </w:rPr>
            </w:pPr>
            <w:r>
              <w:rPr>
                <w:rFonts w:hint="eastAsia" w:ascii="宋体" w:hAnsi="宋体" w:cs="宋体"/>
                <w:sz w:val="24"/>
              </w:rPr>
              <w:t xml:space="preserve">危化品领域应急技能提升服务</w:t>
            </w:r>
            <w:r/>
          </w:p>
        </w:tc>
        <w:tc>
          <w:tcPr>
            <w:tcW w:w="2902" w:type="dxa"/>
            <w:vAlign w:val="center"/>
            <w:textDirection w:val="lrTb"/>
            <w:noWrap w:val="false"/>
          </w:tcPr>
          <w:p>
            <w:pPr>
              <w:jc w:val="center"/>
              <w:rPr>
                <w:rFonts w:ascii="宋体" w:hAnsi="宋体" w:cs="宋体"/>
                <w:sz w:val="24"/>
              </w:rPr>
            </w:pPr>
            <w:r>
              <w:rPr>
                <w:rFonts w:hint="eastAsia" w:ascii="宋体" w:hAnsi="宋体" w:cs="宋体"/>
                <w:sz w:val="24"/>
              </w:rPr>
              <w:t xml:space="preserve">面向危化品领域企业，组织开展应急处置技能提升活动、应急演练。</w:t>
            </w:r>
            <w:r/>
          </w:p>
        </w:tc>
        <w:tc>
          <w:tcPr>
            <w:tcW w:w="1782" w:type="dxa"/>
            <w:vAlign w:val="center"/>
            <w:textDirection w:val="lrTb"/>
            <w:noWrap w:val="false"/>
          </w:tcPr>
          <w:p>
            <w:pPr>
              <w:jc w:val="center"/>
              <w:rPr>
                <w:rFonts w:ascii="宋体" w:hAnsi="宋体" w:cs="宋体"/>
                <w:sz w:val="24"/>
              </w:rPr>
            </w:pPr>
            <w:r>
              <w:rPr>
                <w:rFonts w:hint="eastAsia" w:ascii="宋体" w:hAnsi="宋体" w:cs="宋体"/>
                <w:sz w:val="24"/>
              </w:rPr>
              <w:t xml:space="preserve">开展应急处置技能提升活动2场，指导企业开展应急演练10场</w:t>
            </w:r>
            <w:r/>
          </w:p>
        </w:tc>
        <w:tc>
          <w:tcPr>
            <w:tcW w:w="1543" w:type="dxa"/>
            <w:vAlign w:val="center"/>
            <w:textDirection w:val="lrTb"/>
            <w:noWrap w:val="false"/>
          </w:tcPr>
          <w:p>
            <w:pPr>
              <w:jc w:val="center"/>
              <w:rPr>
                <w:rFonts w:ascii="宋体" w:hAnsi="宋体" w:cs="宋体"/>
                <w:sz w:val="24"/>
              </w:rPr>
            </w:pPr>
            <w:r>
              <w:rPr>
                <w:rFonts w:hint="eastAsia" w:ascii="宋体" w:hAnsi="宋体" w:cs="宋体"/>
                <w:sz w:val="24"/>
              </w:rPr>
              <w:t xml:space="preserve">20万元/项</w:t>
            </w:r>
            <w:r/>
          </w:p>
        </w:tc>
        <w:tc>
          <w:tcPr>
            <w:tcW w:w="114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20</w:t>
            </w:r>
            <w:r/>
          </w:p>
        </w:tc>
      </w:tr>
      <w:tr>
        <w:trPr>
          <w:jc w:val="center"/>
          <w:trHeight w:val="1796"/>
        </w:trPr>
        <w:tc>
          <w:tcPr>
            <w:tcW w:w="1048" w:type="dxa"/>
            <w:vAlign w:val="center"/>
            <w:textDirection w:val="lrTb"/>
            <w:noWrap w:val="false"/>
          </w:tcPr>
          <w:p>
            <w:pPr>
              <w:jc w:val="center"/>
              <w:rPr>
                <w:rFonts w:ascii="宋体" w:hAnsi="宋体" w:cs="宋体"/>
                <w:sz w:val="24"/>
              </w:rPr>
            </w:pPr>
            <w:r>
              <w:rPr>
                <w:rFonts w:hint="eastAsia" w:ascii="宋体" w:hAnsi="宋体" w:cs="宋体"/>
                <w:sz w:val="24"/>
              </w:rPr>
              <w:t xml:space="preserve">标段四</w:t>
            </w:r>
            <w:r/>
          </w:p>
        </w:tc>
        <w:tc>
          <w:tcPr>
            <w:tcW w:w="1712" w:type="dxa"/>
            <w:vAlign w:val="center"/>
            <w:textDirection w:val="lrTb"/>
            <w:noWrap w:val="false"/>
          </w:tcPr>
          <w:p>
            <w:pPr>
              <w:jc w:val="center"/>
              <w:rPr>
                <w:rFonts w:ascii="宋体" w:hAnsi="宋体" w:cs="宋体"/>
                <w:sz w:val="24"/>
              </w:rPr>
            </w:pPr>
            <w:r>
              <w:rPr>
                <w:rFonts w:hint="eastAsia" w:ascii="宋体" w:hAnsi="宋体" w:cs="宋体"/>
                <w:sz w:val="24"/>
              </w:rPr>
              <w:t xml:space="preserve">危化品领域安全生产“线上+线下”监测评估服务</w:t>
            </w:r>
            <w:r/>
          </w:p>
        </w:tc>
        <w:tc>
          <w:tcPr>
            <w:tcW w:w="2902" w:type="dxa"/>
            <w:vAlign w:val="center"/>
            <w:textDirection w:val="lrTb"/>
            <w:noWrap w:val="false"/>
          </w:tcPr>
          <w:p>
            <w:pPr>
              <w:jc w:val="center"/>
              <w:rPr>
                <w:rFonts w:ascii="宋体" w:hAnsi="宋体" w:cs="宋体"/>
                <w:sz w:val="24"/>
              </w:rPr>
            </w:pPr>
            <w:r>
              <w:rPr>
                <w:rFonts w:hint="eastAsia" w:ascii="宋体" w:hAnsi="宋体" w:cs="宋体"/>
                <w:sz w:val="24"/>
              </w:rPr>
              <w:t xml:space="preserve">组织专家力量，参与危化品领域安全教育培训，解读安全生产政策法规等；参与配合“小切口”问题研究，协助指导企业技术改造提升；依托“SIP安全360”系统，对重点危化品企业在线巡查，监督企业特殊作业、报警处置等情况，指导企业整改闭环问题</w:t>
            </w:r>
            <w:r/>
          </w:p>
        </w:tc>
        <w:tc>
          <w:tcPr>
            <w:tcW w:w="1782" w:type="dxa"/>
            <w:vAlign w:val="center"/>
            <w:textDirection w:val="lrTb"/>
            <w:noWrap w:val="false"/>
          </w:tcPr>
          <w:p>
            <w:pPr>
              <w:jc w:val="center"/>
              <w:rPr>
                <w:rFonts w:ascii="宋体" w:hAnsi="宋体" w:cs="宋体"/>
                <w:sz w:val="24"/>
              </w:rPr>
            </w:pPr>
            <w:r>
              <w:rPr>
                <w:rFonts w:hint="eastAsia" w:ascii="宋体" w:hAnsi="宋体" w:cs="宋体"/>
                <w:sz w:val="24"/>
              </w:rPr>
              <w:t xml:space="preserve">组织专家参与危化品领域安全教育培训，解读政策、法规等</w:t>
            </w:r>
            <w:r/>
          </w:p>
        </w:tc>
        <w:tc>
          <w:tcPr>
            <w:tcW w:w="1543" w:type="dxa"/>
            <w:vAlign w:val="center"/>
            <w:textDirection w:val="lrTb"/>
            <w:noWrap w:val="false"/>
          </w:tcPr>
          <w:p>
            <w:pPr>
              <w:jc w:val="center"/>
              <w:rPr>
                <w:rFonts w:ascii="宋体" w:hAnsi="宋体" w:cs="宋体"/>
                <w:sz w:val="24"/>
              </w:rPr>
            </w:pPr>
            <w:r>
              <w:rPr>
                <w:rFonts w:hint="eastAsia" w:ascii="宋体" w:hAnsi="宋体" w:cs="宋体"/>
                <w:sz w:val="24"/>
              </w:rPr>
              <w:t xml:space="preserve">30万元/项</w:t>
            </w:r>
            <w:r/>
          </w:p>
        </w:tc>
        <w:tc>
          <w:tcPr>
            <w:tcW w:w="1149" w:type="dxa"/>
            <w:vAlign w:val="center"/>
            <w:textDirection w:val="lrTb"/>
            <w:noWrap w:val="false"/>
          </w:tcPr>
          <w:p>
            <w:pPr>
              <w:jc w:val="center"/>
              <w:rPr>
                <w:rFonts w:ascii="宋体" w:hAnsi="宋体" w:cs="宋体"/>
                <w:sz w:val="24"/>
              </w:rPr>
            </w:pPr>
            <w:r>
              <w:rPr>
                <w:rFonts w:hint="eastAsia" w:ascii="宋体" w:hAnsi="宋体" w:cs="宋体"/>
                <w:sz w:val="24"/>
              </w:rPr>
              <w:t xml:space="preserve">30</w:t>
            </w:r>
            <w:r/>
          </w:p>
        </w:tc>
      </w:tr>
    </w:tbl>
    <w:p>
      <w:pPr>
        <w:ind w:firstLine="480"/>
        <w:jc w:val="left"/>
        <w:spacing w:line="360" w:lineRule="auto"/>
        <w:widowControl/>
        <w:rPr>
          <w:rFonts w:ascii="宋体" w:hAnsi="宋体" w:cs="宋体"/>
          <w:sz w:val="24"/>
        </w:rPr>
      </w:pPr>
      <w:r>
        <w:rPr>
          <w:rFonts w:hint="eastAsia" w:ascii="宋体" w:hAnsi="宋体" w:cs="宋体"/>
          <w:sz w:val="24"/>
        </w:rPr>
        <w:t xml:space="preserve">四、采购需求：</w:t>
      </w:r>
      <w:r/>
    </w:p>
    <w:p>
      <w:pPr>
        <w:ind w:firstLine="480"/>
        <w:jc w:val="left"/>
        <w:spacing w:line="360" w:lineRule="auto"/>
        <w:widowControl/>
        <w:rPr>
          <w:rFonts w:ascii="宋体" w:hAnsi="宋体" w:cs="宋体"/>
          <w:sz w:val="24"/>
        </w:rPr>
      </w:pPr>
      <w:r>
        <w:rPr>
          <w:rFonts w:hint="eastAsia" w:ascii="宋体" w:hAnsi="宋体" w:cs="宋体"/>
          <w:sz w:val="24"/>
        </w:rPr>
        <w:t xml:space="preserve">（一）工作内容</w:t>
      </w:r>
      <w:r/>
    </w:p>
    <w:tbl>
      <w:tblPr>
        <w:tblStyle w:val="917"/>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2316"/>
        <w:gridCol w:w="4331"/>
        <w:gridCol w:w="1830"/>
      </w:tblGrid>
      <w:tr>
        <w:trPr>
          <w:jc w:val="center"/>
          <w:trHeight w:val="530"/>
        </w:trPr>
        <w:tc>
          <w:tcPr>
            <w:tcW w:w="10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标段</w:t>
            </w:r>
            <w:r/>
          </w:p>
        </w:tc>
        <w:tc>
          <w:tcPr>
            <w:tcW w:w="23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tcW w:w="4331" w:type="dxa"/>
            <w:vAlign w:val="center"/>
            <w:textDirection w:val="lrTb"/>
            <w:noWrap w:val="false"/>
          </w:tcPr>
          <w:p>
            <w:pPr>
              <w:jc w:val="center"/>
              <w:rPr>
                <w:rFonts w:ascii="宋体" w:hAnsi="宋体" w:cs="宋体"/>
                <w:sz w:val="24"/>
              </w:rPr>
            </w:pPr>
            <w:r>
              <w:rPr>
                <w:rFonts w:hint="eastAsia" w:ascii="宋体" w:hAnsi="宋体" w:cs="宋体"/>
                <w:sz w:val="24"/>
              </w:rPr>
              <w:t xml:space="preserve">服务综合要求</w:t>
            </w:r>
            <w:r/>
          </w:p>
        </w:tc>
        <w:tc>
          <w:tcPr>
            <w:tcW w:w="1830" w:type="dxa"/>
            <w:vAlign w:val="center"/>
            <w:textDirection w:val="lrTb"/>
            <w:noWrap w:val="false"/>
          </w:tcPr>
          <w:p>
            <w:pPr>
              <w:jc w:val="center"/>
              <w:spacing w:line="360" w:lineRule="auto"/>
              <w:rPr>
                <w:rFonts w:ascii="宋体" w:hAnsi="宋体" w:cs="宋体"/>
                <w:sz w:val="24"/>
              </w:rPr>
            </w:pPr>
            <w:r>
              <w:rPr>
                <w:rFonts w:hint="eastAsia" w:ascii="宋体" w:hAnsi="宋体" w:cs="宋体"/>
                <w:bCs/>
                <w:sz w:val="24"/>
              </w:rPr>
              <w:t xml:space="preserve">服务内容</w:t>
            </w:r>
            <w:r/>
          </w:p>
        </w:tc>
      </w:tr>
      <w:tr>
        <w:trPr>
          <w:jc w:val="center"/>
          <w:trHeight w:val="2116"/>
        </w:trPr>
        <w:tc>
          <w:tcPr>
            <w:tcW w:w="1000" w:type="dxa"/>
            <w:vAlign w:val="center"/>
            <w:textDirection w:val="lrTb"/>
            <w:noWrap w:val="false"/>
          </w:tcPr>
          <w:p>
            <w:pPr>
              <w:jc w:val="center"/>
              <w:rPr>
                <w:rFonts w:ascii="宋体" w:hAnsi="宋体" w:cs="宋体"/>
                <w:sz w:val="24"/>
              </w:rPr>
            </w:pPr>
            <w:r>
              <w:rPr>
                <w:rFonts w:hint="eastAsia" w:ascii="宋体" w:hAnsi="宋体" w:cs="宋体"/>
                <w:sz w:val="24"/>
              </w:rPr>
              <w:t xml:space="preserve">标段一</w:t>
            </w:r>
            <w:r/>
          </w:p>
        </w:tc>
        <w:tc>
          <w:tcPr>
            <w:tcW w:w="2316" w:type="dxa"/>
            <w:vAlign w:val="center"/>
            <w:textDirection w:val="lrTb"/>
            <w:noWrap w:val="false"/>
          </w:tcPr>
          <w:p>
            <w:pPr>
              <w:jc w:val="center"/>
              <w:rPr>
                <w:rFonts w:ascii="宋体" w:hAnsi="宋体" w:cs="宋体"/>
                <w:sz w:val="24"/>
              </w:rPr>
            </w:pPr>
            <w:r>
              <w:rPr>
                <w:rFonts w:hint="eastAsia" w:ascii="宋体" w:hAnsi="宋体" w:cs="宋体"/>
                <w:sz w:val="24"/>
              </w:rPr>
              <w:t xml:space="preserve">化工（危化品）及工贸重大危险源企业指导服务</w:t>
            </w:r>
            <w:r/>
          </w:p>
        </w:tc>
        <w:tc>
          <w:tcPr>
            <w:tcW w:w="4331" w:type="dxa"/>
            <w:vAlign w:val="center"/>
            <w:textDirection w:val="lrTb"/>
            <w:noWrap w:val="false"/>
          </w:tcPr>
          <w:p>
            <w:pPr>
              <w:jc w:val="center"/>
              <w:rPr>
                <w:rFonts w:ascii="宋体" w:hAnsi="宋体" w:cs="宋体"/>
                <w:sz w:val="24"/>
              </w:rPr>
            </w:pPr>
            <w:r>
              <w:rPr>
                <w:rFonts w:hint="eastAsia" w:ascii="宋体" w:hAnsi="宋体" w:cs="宋体"/>
                <w:sz w:val="24"/>
              </w:rPr>
              <w:t xml:space="preserve">（1）开展隐患排查指导服务，包括重点生产工艺设备、安全装置、危化品仓库等部位以及特殊作业管理、新改扩建设项目等环节。（2）开展安全管理提升服务，加强安全政策宣贯、指导企业“六化”建设、参与配合“小切口”问题研究等。</w:t>
            </w:r>
            <w:r/>
          </w:p>
        </w:tc>
        <w:tc>
          <w:tcPr>
            <w:tcW w:w="1830" w:type="dxa"/>
            <w:vAlign w:val="center"/>
            <w:textDirection w:val="lrTb"/>
            <w:noWrap w:val="false"/>
          </w:tcPr>
          <w:p>
            <w:pPr>
              <w:jc w:val="center"/>
              <w:rPr>
                <w:rFonts w:ascii="宋体" w:hAnsi="宋体" w:cs="宋体"/>
                <w:sz w:val="24"/>
              </w:rPr>
            </w:pPr>
            <w:r>
              <w:rPr>
                <w:rFonts w:hint="eastAsia" w:ascii="宋体" w:hAnsi="宋体" w:cs="宋体"/>
                <w:sz w:val="24"/>
              </w:rPr>
              <w:t xml:space="preserve">指导企业17家</w:t>
            </w:r>
            <w:r/>
          </w:p>
        </w:tc>
      </w:tr>
      <w:tr>
        <w:trPr>
          <w:jc w:val="center"/>
          <w:trHeight w:val="650"/>
        </w:trPr>
        <w:tc>
          <w:tcPr>
            <w:tcW w:w="1000" w:type="dxa"/>
            <w:vAlign w:val="center"/>
            <w:textDirection w:val="lrTb"/>
            <w:noWrap w:val="false"/>
          </w:tcPr>
          <w:p>
            <w:pPr>
              <w:jc w:val="center"/>
              <w:rPr>
                <w:rFonts w:ascii="宋体" w:hAnsi="宋体" w:cs="宋体"/>
                <w:sz w:val="24"/>
              </w:rPr>
            </w:pPr>
            <w:r>
              <w:rPr>
                <w:rFonts w:hint="eastAsia" w:ascii="宋体" w:hAnsi="宋体" w:cs="宋体"/>
                <w:sz w:val="24"/>
              </w:rPr>
              <w:t xml:space="preserve">标段二</w:t>
            </w:r>
            <w:r/>
          </w:p>
        </w:tc>
        <w:tc>
          <w:tcPr>
            <w:tcW w:w="2316" w:type="dxa"/>
            <w:vAlign w:val="center"/>
            <w:textDirection w:val="lrTb"/>
            <w:noWrap w:val="false"/>
          </w:tcPr>
          <w:p>
            <w:pPr>
              <w:jc w:val="center"/>
              <w:rPr>
                <w:rFonts w:ascii="宋体" w:hAnsi="宋体" w:cs="宋体"/>
                <w:sz w:val="24"/>
              </w:rPr>
            </w:pPr>
            <w:r>
              <w:rPr>
                <w:rFonts w:hint="eastAsia" w:ascii="宋体" w:hAnsi="宋体" w:cs="宋体"/>
                <w:sz w:val="24"/>
              </w:rPr>
              <w:t xml:space="preserve">生物医药及研发实验室企业指导服务</w:t>
            </w:r>
            <w:r/>
          </w:p>
        </w:tc>
        <w:tc>
          <w:tcPr>
            <w:tcW w:w="4331" w:type="dxa"/>
            <w:vAlign w:val="center"/>
            <w:textDirection w:val="lrTb"/>
            <w:noWrap w:val="false"/>
          </w:tcPr>
          <w:p>
            <w:pPr>
              <w:jc w:val="center"/>
              <w:rPr>
                <w:rFonts w:ascii="宋体" w:hAnsi="宋体" w:cs="宋体"/>
                <w:sz w:val="24"/>
              </w:rPr>
            </w:pPr>
            <w:r>
              <w:rPr>
                <w:rFonts w:hint="eastAsia" w:ascii="宋体" w:hAnsi="宋体" w:cs="宋体"/>
                <w:sz w:val="24"/>
              </w:rPr>
              <w:t xml:space="preserve">对医药及研发实验室企业开展专项指导服务。（1）开展隐患排查指导服务，加强现场安全管理指导，尤其是危化品储存、使用以及特殊作业管理等环节。（2）开展安全管理提升服务，加强对企业安全政策宣贯、指导企业“六化”建设、参与配合“小切口”问题研究等。</w:t>
            </w:r>
            <w:r/>
          </w:p>
        </w:tc>
        <w:tc>
          <w:tcPr>
            <w:tcW w:w="1830" w:type="dxa"/>
            <w:vAlign w:val="center"/>
            <w:textDirection w:val="lrTb"/>
            <w:noWrap w:val="false"/>
          </w:tcPr>
          <w:p>
            <w:pPr>
              <w:jc w:val="center"/>
              <w:rPr>
                <w:rFonts w:ascii="宋体" w:hAnsi="宋体" w:cs="宋体"/>
                <w:sz w:val="24"/>
              </w:rPr>
            </w:pPr>
            <w:r>
              <w:rPr>
                <w:rFonts w:hint="eastAsia" w:ascii="宋体" w:hAnsi="宋体" w:cs="宋体"/>
                <w:sz w:val="24"/>
              </w:rPr>
              <w:t xml:space="preserve">指导生物医药及研发实验室企业54家</w:t>
            </w:r>
            <w:r/>
          </w:p>
        </w:tc>
      </w:tr>
      <w:tr>
        <w:trPr>
          <w:jc w:val="center"/>
          <w:trHeight w:val="2214"/>
        </w:trPr>
        <w:tc>
          <w:tcPr>
            <w:tcW w:w="1000" w:type="dxa"/>
            <w:vAlign w:val="center"/>
            <w:textDirection w:val="lrTb"/>
            <w:noWrap w:val="false"/>
          </w:tcPr>
          <w:p>
            <w:pPr>
              <w:jc w:val="center"/>
              <w:rPr>
                <w:rFonts w:ascii="宋体" w:hAnsi="宋体" w:cs="宋体"/>
                <w:sz w:val="24"/>
              </w:rPr>
            </w:pPr>
            <w:r>
              <w:rPr>
                <w:rFonts w:hint="eastAsia" w:ascii="宋体" w:hAnsi="宋体" w:cs="宋体"/>
                <w:sz w:val="24"/>
              </w:rPr>
              <w:t xml:space="preserve">标段三</w:t>
            </w:r>
            <w:r/>
          </w:p>
        </w:tc>
        <w:tc>
          <w:tcPr>
            <w:tcW w:w="2316" w:type="dxa"/>
            <w:vAlign w:val="center"/>
            <w:textDirection w:val="lrTb"/>
            <w:noWrap w:val="false"/>
          </w:tcPr>
          <w:p>
            <w:pPr>
              <w:jc w:val="center"/>
              <w:rPr>
                <w:rFonts w:ascii="宋体" w:hAnsi="宋体" w:cs="宋体"/>
                <w:sz w:val="24"/>
              </w:rPr>
            </w:pPr>
            <w:r>
              <w:rPr>
                <w:rFonts w:hint="eastAsia" w:ascii="宋体" w:hAnsi="宋体" w:cs="宋体"/>
                <w:sz w:val="24"/>
              </w:rPr>
              <w:t xml:space="preserve">危化品领域应急技能提升服务</w:t>
            </w:r>
            <w:r/>
          </w:p>
        </w:tc>
        <w:tc>
          <w:tcPr>
            <w:tcW w:w="4331" w:type="dxa"/>
            <w:vAlign w:val="center"/>
            <w:textDirection w:val="lrTb"/>
            <w:noWrap w:val="false"/>
          </w:tcPr>
          <w:p>
            <w:pPr>
              <w:jc w:val="center"/>
              <w:rPr>
                <w:rFonts w:ascii="宋体" w:hAnsi="宋体" w:cs="宋体"/>
                <w:sz w:val="24"/>
              </w:rPr>
            </w:pPr>
            <w:r>
              <w:rPr>
                <w:rFonts w:hint="eastAsia" w:ascii="宋体" w:hAnsi="宋体" w:cs="宋体"/>
                <w:sz w:val="24"/>
              </w:rPr>
              <w:t xml:space="preserve">面向危化品领域企业，组织开展应急处置技能提升活动、应急演练。</w:t>
            </w:r>
            <w:r/>
          </w:p>
        </w:tc>
        <w:tc>
          <w:tcPr>
            <w:tcW w:w="1830" w:type="dxa"/>
            <w:vAlign w:val="center"/>
            <w:textDirection w:val="lrTb"/>
            <w:noWrap w:val="false"/>
          </w:tcPr>
          <w:p>
            <w:pPr>
              <w:jc w:val="center"/>
              <w:rPr>
                <w:rFonts w:ascii="宋体" w:hAnsi="宋体" w:cs="宋体"/>
                <w:sz w:val="24"/>
              </w:rPr>
            </w:pPr>
            <w:r>
              <w:rPr>
                <w:rFonts w:hint="eastAsia" w:ascii="宋体" w:hAnsi="宋体" w:cs="宋体"/>
                <w:sz w:val="24"/>
              </w:rPr>
              <w:t xml:space="preserve">开展应急处置技能提升活动2场，指导企业开展应急演练10场</w:t>
            </w:r>
            <w:r/>
          </w:p>
        </w:tc>
      </w:tr>
      <w:tr>
        <w:trPr>
          <w:jc w:val="center"/>
          <w:trHeight w:val="1796"/>
        </w:trPr>
        <w:tc>
          <w:tcPr>
            <w:tcW w:w="100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标段四</w:t>
            </w:r>
            <w:r/>
          </w:p>
        </w:tc>
        <w:tc>
          <w:tcPr>
            <w:tcW w:w="231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危化品领域安全生产“线上+线下”监测评估服务</w:t>
            </w:r>
            <w:r/>
          </w:p>
        </w:tc>
        <w:tc>
          <w:tcPr>
            <w:tcW w:w="433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组织专家力量，参与危化品领域安全教育培训，解读安全生产政策法规等；参与配合“小切口”问题研究，协助指导企业技术改造提升；依托“SIP安全360”系统，对重点危化品企业在线巡查，监督企业特殊作业、报警处置等情况，指导企业整改闭环问题</w:t>
            </w:r>
            <w:r/>
          </w:p>
        </w:tc>
        <w:tc>
          <w:tcPr>
            <w:tcW w:w="18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组织专家参与危化品领域安全教育培训，解读危化品安全生产政策、法规等</w:t>
            </w:r>
            <w:r/>
          </w:p>
        </w:tc>
      </w:tr>
    </w:tbl>
    <w:p>
      <w:pPr>
        <w:ind w:firstLine="480"/>
        <w:spacing w:line="360" w:lineRule="auto"/>
        <w:tabs>
          <w:tab w:val="left" w:pos="420" w:leader="none"/>
          <w:tab w:val="left" w:pos="525" w:leader="none"/>
        </w:tabs>
        <w:rPr>
          <w:rFonts w:ascii="宋体" w:hAnsi="宋体" w:cs="宋体"/>
          <w:color w:val="auto"/>
          <w:sz w:val="24"/>
          <w:highlight w:val="none"/>
          <w:shd w:val="clear" w:color="auto" w:fill="ffffff"/>
        </w:rPr>
      </w:pPr>
      <w:r>
        <w:rPr>
          <w:rFonts w:hint="eastAsia" w:ascii="宋体" w:hAnsi="宋体" w:cs="宋体"/>
          <w:color w:val="auto"/>
          <w:sz w:val="24"/>
          <w:highlight w:val="none"/>
        </w:rPr>
        <w:t xml:space="preserve">注：响应单位在营业范围内，具有安全服务、安全评价、安全咨询等相关业务内容。</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（一）服务内容要求</w:t>
      </w:r>
      <w:r>
        <w:rPr>
          <w:rFonts w:hint="eastAsia" w:ascii="宋体" w:hAnsi="宋体" w:cs="宋体"/>
          <w:b/>
          <w:bCs/>
          <w:color w:val="auto"/>
          <w:sz w:val="24"/>
          <w:highlight w:val="none"/>
        </w:rPr>
        <w:t xml:space="preserve">（针对标段一、标段二、标段三、标段四）</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安全生产法》《2026年苏州工业园区化工（危化品）和医药企业安全监管工作要点》（苏园应急〔2026〕7号）《江苏省安全生产条例》《危险化学品安全管理条例》《化工和危险化学品生产经营企业重大生产安全事故隐患判定准则》（AQ 3067—2026）《工贸企业重大生产</w:t>
      </w:r>
      <w:r>
        <w:rPr>
          <w:rFonts w:hint="eastAsia" w:ascii="宋体" w:hAnsi="宋体" w:cs="宋体"/>
          <w:color w:val="auto"/>
          <w:sz w:val="24"/>
          <w:highlight w:val="none"/>
        </w:rPr>
        <w:t xml:space="preserve">安全事故隐患判定标准（2023版）》《建筑设计防火规范》《精细化工企业工程设计防火标准》《化工企业设备检修作业安全规范》（AQ 3026—2026）《危险化学品储罐安全专项提升方案》《苏州市危险化学品安全生产第三方专家指导服务工作指南》等法律法规标准规范和工作导则，对化工（危化品）企业、生物医药以及研发实验室企业安全生产开展综合指导和治理工作，督促相关企业落实安全生产主体责任制，深入排查危化品存储、使用、经营环节安全风险，及时治理事故隐患，提升危险化学品本质安全水平，防范和遏制危险化学品安全生产事故的发生。</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2.通过组织行业领域专家，突出“专业化”提升服务。其中，标段一、标段二应充分对照行业法规标准，</w:t>
      </w:r>
      <w:r>
        <w:rPr>
          <w:rFonts w:hint="eastAsia" w:ascii="宋体" w:hAnsi="宋体" w:cs="宋体"/>
          <w:color w:val="auto"/>
          <w:sz w:val="24"/>
          <w:highlight w:val="none"/>
        </w:rPr>
        <w:t xml:space="preserve">结合现场实践经验等，细化指导服务清单，制定服务计划，开展指导服务工作，查找消除企业有关问题隐患，提出针对性改进措施，形成安全指导服务报告，对检查出的问题提出整改要求并且进行闭环确认；标段三，组织危化品相关企业开展应急处置技能培训、技能比拼等；指导企业制定危化品综合应急救援演练方案，组织开展演练工作，形成应急救援演练总结报告；标段四，组织专家力量，解读危化品安全生产政策、法规等，参与配合“小切口”问题研究，协助指导企业技术改造提升，依托“SIP安全360”系统，对重点危化品企业在线巡查，指导企业整改闭环问题。</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3.双方协定的其他要求。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（二）服务外包中介机构要求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标段一、标段二、标段三、标段四的投入人数均不得少于8人，且从事安全生产等相关工作5年以上。供应商需提供全日制在职员工劳动合同、至少3个月（参照招标公告上网时间）的本单位社保缴纳证明、身份证、毕业证书、职称证书复印件，技术水平。</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2.为了保证投入本项目服务人员，标段一、标段二投入的市级及以上专家</w:t>
      </w:r>
      <w:r>
        <w:rPr>
          <w:rFonts w:hint="eastAsia" w:ascii="宋体" w:hAnsi="宋体" w:cs="宋体"/>
          <w:color w:val="auto"/>
          <w:sz w:val="24"/>
          <w:highlight w:val="none"/>
          <w:lang w:eastAsia="zh-CN"/>
        </w:rPr>
        <w:t xml:space="preserve">均</w:t>
      </w:r>
      <w:r>
        <w:rPr>
          <w:rFonts w:hint="eastAsia" w:ascii="宋体" w:hAnsi="宋体" w:cs="宋体"/>
          <w:color w:val="auto"/>
          <w:sz w:val="24"/>
          <w:highlight w:val="none"/>
        </w:rPr>
        <w:t xml:space="preserve">不</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rPr>
        <w:t xml:space="preserve">少于3人。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另外：专家需要是市级及以上专家库专家，需要有证明文件（专家任命文件，专家库正式文件或者专家证）；其中外聘的专家不得多于一人，供应商需提供全日制在职员工劳动合同、至少3个月（参照招标公告上网时间）的本单位社保缴纳证明、身份证、毕业证书。未提供相应证明材料则视为未实质性响应磋商文件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成交单位必须承诺成交后五个工作日内取得苏州市应急管理局备案许可并在苏州市应急管理局网站公示。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3.服务外包中介机构应充分发挥在人才、技术、信息等方面的优势，根据服务类型和内容，配备相应的专业技术人员，以确保安全技术服务工作质量。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4.中介机构需分析研究企业存在的问题，找出原因，帮助企业制订整改措施。结束后，相关报告撰写人员应从企业安全管理情况，存在的危险因素，整改意见及措施等多维度分析形成专题报告。</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（三）指导服务要求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1.标段一、标段二。对每家企业开展指导服务不少于2次，其中整改闭环复查不少于1次；服务人员视企业规模大小安排专家开展现场安全指导服务：每次服务不少于3人，其中市级及以上专家不少于1人。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2.标段三。对危化品领域企业，组织开展应急处置技能提升活动2场，组织企业开展应急演练10场次。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标段四。组织专家力量，开展危化品领域安全培训，解读危化品安全生产政策、法规等；参与配合“小切口”问题研究，协助指导企业技术改造提升；依托“SIP安全360”系统，对重点危化品企业在线巡查，指导企业整改闭环问题。</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（四）指导服务重点要求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核查重点主要包括以下但不仅限于以下要求：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1.标段一，对于化工（危化品）和工贸重大危险源企业指导服务，应重点关注：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1.1.企业生产合法性，建构筑物与总平面布局的一致性，安全管理基础情况，安全风险辨识情况；</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1.2.企业生产工艺与设备、电气及仪表、化学品储存使用、公辅工程等管理情况；</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1.3.企业“五位一体”信息化平台、危化品全链条管理系统建设及运行情况；</w:t>
      </w:r>
      <w:r/>
    </w:p>
    <w:p>
      <w:pPr>
        <w:pStyle w:val="943"/>
        <w:ind w:left="0" w:firstLine="480"/>
        <w:rPr>
          <w:rFonts w:ascii="宋体" w:hAnsi="宋体" w:eastAsia="宋体" w:cs="宋体"/>
          <w:color w:val="auto"/>
          <w:sz w:val="24"/>
          <w:highlight w:val="none"/>
        </w:rPr>
      </w:pPr>
      <w:r>
        <w:rPr>
          <w:rFonts w:hint="eastAsia" w:ascii="宋体" w:hAnsi="宋体" w:cs="宋体"/>
          <w:color w:val="auto"/>
          <w:sz w:val="24"/>
          <w:highlight w:val="none"/>
        </w:rPr>
        <w:t xml:space="preserve">1.4</w:t>
      </w:r>
      <w:r>
        <w:rPr>
          <w:rFonts w:hint="eastAsia" w:ascii="宋体" w:hAnsi="宋体" w:eastAsia="宋体" w:cs="宋体"/>
          <w:color w:val="auto"/>
          <w:sz w:val="24"/>
          <w:highlight w:val="none"/>
        </w:rPr>
        <w:t xml:space="preserve">.企业安全“小切口”工作落实情况，包括企业无泄漏工厂建设等。</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2.标段二，对生物医药以及生物医药研发企业指导服务，应重点关注：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2.1.企业安全管理基础情况、安全风险辨识情况；</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2.2.企业危化品安全管理合规性；</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2.3.企业安全生产“六化”工作开展情况。</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3.标段三，开展应急处置技能提升，应按照以下要求开展工作：</w:t>
      </w:r>
      <w:r/>
    </w:p>
    <w:tbl>
      <w:tblPr>
        <w:tblStyle w:val="917"/>
        <w:tblW w:w="9039" w:type="dxa"/>
        <w:tblInd w:w="452" w:type="dxa"/>
        <w:tblLayout w:type="fixed"/>
        <w:tblCellMar>
          <w:left w:w="108" w:type="dxa"/>
          <w:top w:w="0" w:type="dxa"/>
          <w:right w:w="108" w:type="dxa"/>
          <w:bottom w:w="0" w:type="dxa"/>
        </w:tblCellMar>
        <w:tblLook w:val="04A0" w:firstRow="1" w:lastRow="0" w:firstColumn="1" w:lastColumn="0" w:noHBand="0" w:noVBand="1"/>
      </w:tblPr>
      <w:tblGrid>
        <w:gridCol w:w="855"/>
        <w:gridCol w:w="1530"/>
        <w:gridCol w:w="1500"/>
        <w:gridCol w:w="2400"/>
        <w:gridCol w:w="1040"/>
        <w:gridCol w:w="1714"/>
      </w:tblGrid>
      <w:tr>
        <w:trPr>
          <w:trHeight w:val="47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采购内容</w:t>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服务次数</w:t>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服务内容及要求</w:t>
            </w:r>
            <w:r/>
          </w:p>
        </w:tc>
        <w:tc>
          <w:tcPr>
            <w:shd w:val="clear" w:color="auto" w:fill="ffffff"/>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形式</w:t>
            </w:r>
            <w:r/>
          </w:p>
        </w:tc>
        <w:tc>
          <w:tcPr>
            <w:shd w:val="clear" w:color="auto" w:fill="ffffff"/>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产出报告</w:t>
            </w:r>
            <w:r/>
          </w:p>
        </w:tc>
      </w:tr>
      <w:tr>
        <w:trPr>
          <w:trHeight w:val="125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组织开展应急处置技能提升活动</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2场</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应急处置技能提升活动</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培训等形式</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1.活动方案；</w:t>
            </w:r>
            <w:r>
              <w:rPr>
                <w:rFonts w:hint="eastAsia" w:ascii="宋体" w:hAnsi="宋体" w:cs="宋体"/>
                <w:color w:val="auto"/>
                <w:sz w:val="24"/>
                <w:highlight w:val="none"/>
              </w:rPr>
              <w:br/>
            </w:r>
            <w:r>
              <w:rPr>
                <w:rFonts w:hint="eastAsia" w:ascii="宋体" w:hAnsi="宋体" w:cs="宋体"/>
                <w:color w:val="auto"/>
                <w:sz w:val="24"/>
                <w:highlight w:val="none"/>
              </w:rPr>
              <w:t xml:space="preserve">2.总结报告。</w:t>
            </w:r>
            <w:r/>
          </w:p>
        </w:tc>
      </w:tr>
      <w:tr>
        <w:trPr>
          <w:trHeight w:val="1045"/>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应急演练</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10次</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指导重点企业开展应急演练</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企业实地举办</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1.演练方案；</w:t>
            </w:r>
            <w:r>
              <w:rPr>
                <w:rFonts w:hint="eastAsia" w:ascii="宋体" w:hAnsi="宋体" w:cs="宋体"/>
                <w:color w:val="auto"/>
                <w:sz w:val="24"/>
                <w:highlight w:val="none"/>
              </w:rPr>
              <w:br/>
            </w:r>
            <w:r>
              <w:rPr>
                <w:rFonts w:hint="eastAsia" w:ascii="宋体" w:hAnsi="宋体" w:cs="宋体"/>
                <w:color w:val="auto"/>
                <w:sz w:val="24"/>
                <w:highlight w:val="none"/>
              </w:rPr>
              <w:t xml:space="preserve">2.演练总结报告。</w:t>
            </w:r>
            <w:r/>
          </w:p>
        </w:tc>
      </w:tr>
    </w:tbl>
    <w:p>
      <w:pPr>
        <w:numPr>
          <w:ilvl w:val="255"/>
          <w:numId w:val="0"/>
        </w:num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4.标段四，开展危化品领域安全生产“线上+线下”监测评估服务，应重点关注：</w:t>
      </w:r>
      <w:r/>
    </w:p>
    <w:p>
      <w:pPr>
        <w:numPr>
          <w:ilvl w:val="255"/>
          <w:numId w:val="0"/>
        </w:num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4.1.组织危化品领域安全教育培训，解读危化品安全生产政策、法规等；</w:t>
      </w:r>
      <w:r/>
    </w:p>
    <w:p>
      <w:pPr>
        <w:numPr>
          <w:ilvl w:val="255"/>
          <w:numId w:val="0"/>
        </w:num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4.2.参与配合“小切口”问题研究，协助指导企业技术改造提升；</w:t>
      </w:r>
      <w:r/>
    </w:p>
    <w:p>
      <w:pPr>
        <w:numPr>
          <w:ilvl w:val="255"/>
          <w:numId w:val="0"/>
        </w:num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4.3.依托“SIP安全360”系统，对重点危化品企业在线巡查，监督企业特殊作业、报警处置等情况，指导企业整改闭环问题；</w:t>
      </w:r>
      <w:r/>
    </w:p>
    <w:p>
      <w:pPr>
        <w:numPr>
          <w:ilvl w:val="255"/>
          <w:numId w:val="0"/>
        </w:num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4.4.采购方其他要求。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（五）服务流程要求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本次服务工作主要包括但不限于以下必要流程：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1.制定服务工作计划</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根据安全技术外包服务内容，制定详细的总体服务工作计划，明确技术服务的内容、人员及工作量。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2.制定安全指导服务清单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服务外包中介机构需根据企业类别，制定符合要求的指导服务清单。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3.现场指导服务准备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服务外包中介机构在每次指导服务前应与企业网格监管工作人员联系，了解企业的基本情况。</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4.开展指导服务、闭环整改复核</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依据指导服务内容和制定的指导服务清单，对名单企业依据类别开展全面的安全指导服务，对发现企业中存在的问题提出整改意见，并对整改情况进行闭环确认。</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5.制定提交指导服务报告</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指导服务结束后形成安全生产情况指导服务报告，由参与指导服务的相关专家签名，并加盖单位印章后，及时向委托单位提交。安全生产情况核查报告正文内容包括：</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被指导单位的总体情况概述。重点描述企业基本信息，重点部位具体信息、指导服务发现的问题和隐患描述（附材料），法律法规（国标行标等）依据，是否属于重大隐患的判定记录，整改措施建议（需明确可行的具体措施），督促企业闭环整改并附整改完成报告（附材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（2）指导服务时发现的问题及提出的整改建议。综合考虑各个要素，包括企业的生产规模、风险分布、安全管理水平，员工安全意识，设备使用规范等多方面，并有针对性给出切实可行的整改意见和建议。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（3）按照问题项列出整改措施、整改期限及问题隐患闭环确认情况作为附件列入企业安全生产情况指导服务报告。</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（六）合同履行期限：标段一、标段二、标段三、标段四为合同签订之日至11月30日，其中标段一、标段二的第一轮专家指导服务需在9月底前完成。</w:t>
      </w:r>
      <w:r/>
    </w:p>
    <w:p>
      <w:pPr>
        <w:ind w:firstLine="482"/>
        <w:jc w:val="left"/>
        <w:spacing w:line="360" w:lineRule="auto"/>
        <w:tabs>
          <w:tab w:val="left" w:pos="420" w:leader="none"/>
          <w:tab w:val="left" w:pos="525" w:leader="none"/>
          <w:tab w:val="left" w:pos="3840" w:leader="none"/>
        </w:tabs>
        <w:rPr>
          <w:rFonts w:ascii="宋体" w:hAnsi="宋体" w:cs="宋体"/>
          <w:b/>
          <w:sz w:val="24"/>
        </w:rPr>
      </w:pPr>
      <w:r>
        <w:rPr>
          <w:rFonts w:hint="eastAsia" w:ascii="宋体" w:hAnsi="宋体" w:cs="宋体"/>
          <w:b/>
          <w:sz w:val="24"/>
        </w:rPr>
        <w:t xml:space="preserve">五、</w:t>
      </w:r>
      <w:r>
        <w:rPr>
          <w:rFonts w:hint="eastAsia" w:ascii="宋体" w:hAnsi="宋体" w:cs="宋体"/>
          <w:b/>
          <w:sz w:val="24"/>
          <w:lang w:val="zh-CN"/>
        </w:rPr>
        <w:t xml:space="preserve">其他要求：</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供应商提供的响应文件内容须真实、准确、有效，如提供虚假材料或对采购文件所要求说明的情况故意隐瞒或虚报，则视为非实质性响应，已中标的将取消中标资格，并按《中华人民共和国政府采购法》第七十七条的相关办法处理。</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响应单位必须按照《劳动法》及苏州市的有关规定配置工作人员数量，并支付工资、国假加班费和交纳正常的社会保险，不得安排工作人员超时限加班。响应供应商在本项目的人员报价中须包含人员工资和社保费用，其中人员工资部分和社保缴费部分不得低于项目所在行政区域的当前最低缴费标准，供应商在报价时应将在服务期限内人员工资和社保费用进行调整的情况包含在内，采购人不再为此承担任何费用和责任。相关服务人员与采购人无任何劳动人事关系，用工事宜由成交供应商负责。</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响应单位应对所投项目的全部内容进行报价，只投其中部分内容者，则视为非实质性响应，采购人除支付本次采购项目的成交金额外不再承担其他任何费用。</w:t>
      </w:r>
      <w:r/>
    </w:p>
    <w:p>
      <w:pPr>
        <w:ind w:firstLine="480"/>
        <w:spacing w:line="360" w:lineRule="auto"/>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供应商对货物或服务缺陷不予更正，采购人有权另请其他单位更正，所发生的费用在供应商提交的中扣除，如不足以补偿更正金额，采购人有权对不足部分提出的补偿。</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在服务期限内，如遇政策性最低工资调整、社保费用调整或国家法定节假日加班，相关费用均由成交单位承担。</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成交单位须按照本采购文件的要求对该采购项目进行服务工作。</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如遇服务范围内有大的调整情况，采购单位将提前告知成交单位，合同内容经双方协商调整。</w:t>
      </w:r>
      <w:r/>
    </w:p>
    <w:p>
      <w:pPr>
        <w:pStyle w:val="951"/>
        <w:ind w:firstLine="420"/>
        <w:spacing w:line="360" w:lineRule="auto"/>
        <w:rPr>
          <w:rFonts w:hint="default" w:hAnsi="宋体" w:cs="宋体"/>
          <w:sz w:val="24"/>
          <w:szCs w:val="24"/>
        </w:rPr>
      </w:pPr>
      <w:r>
        <w:rPr>
          <w:rFonts w:hint="eastAsia" w:hAnsi="宋体" w:cs="宋体"/>
          <w:sz w:val="24"/>
          <w:szCs w:val="24"/>
          <w:lang w:val="en-US" w:eastAsia="zh-CN"/>
        </w:rPr>
        <w:t xml:space="preserve">8.</w:t>
      </w:r>
      <w:r>
        <w:rPr>
          <w:rFonts w:hAnsi="宋体" w:cs="宋体"/>
          <w:sz w:val="24"/>
          <w:szCs w:val="24"/>
        </w:rPr>
        <w:t xml:space="preserve">若成交单位工作人员在服务期间内出现的工伤及其他意外事故，均由成交单位自行负责，采购人不承担任何责任。</w:t>
      </w:r>
      <w:r/>
    </w:p>
    <w:p>
      <w:pPr>
        <w:pStyle w:val="951"/>
        <w:ind w:firstLine="420"/>
        <w:spacing w:line="360" w:lineRule="auto"/>
        <w:rPr>
          <w:rFonts w:hint="default" w:hAnsi="宋体" w:cs="宋体"/>
          <w:sz w:val="24"/>
          <w:szCs w:val="24"/>
        </w:rPr>
      </w:pPr>
      <w:r>
        <w:rPr>
          <w:rFonts w:hint="eastAsia" w:hAnsi="宋体" w:cs="宋体"/>
          <w:sz w:val="24"/>
          <w:szCs w:val="24"/>
          <w:lang w:val="en-US" w:eastAsia="zh-CN"/>
        </w:rPr>
        <w:t xml:space="preserve">9.</w:t>
      </w:r>
      <w:r>
        <w:rPr>
          <w:rFonts w:hAnsi="宋体" w:cs="宋体"/>
          <w:sz w:val="24"/>
          <w:szCs w:val="24"/>
        </w:rPr>
        <w:t xml:space="preserve">成交单位配备的相关服务人员与采购单位无任何劳动人事关系，用工事宜由成交单位负责。</w:t>
      </w:r>
      <w:r/>
    </w:p>
    <w:p>
      <w:pPr>
        <w:ind w:firstLine="480"/>
        <w:jc w:val="left"/>
        <w:spacing w:line="360" w:lineRule="auto"/>
        <w:widowControl/>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关于政府采购促进中小企业发展政策要求：</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.1根据《政府采购促进中小企业发展管理办法》、《关于做好政府采购支持企业发展有关事项的通知</w:t>
      </w:r>
      <w:r>
        <w:rPr>
          <w:rFonts w:hint="eastAsia" w:ascii="宋体" w:hAnsi="宋体" w:cs="宋体"/>
          <w:sz w:val="24"/>
        </w:rPr>
        <w:t xml:space="preserve">》（苏财购〔2020〕52号）、《关于促进残疾人就业政府采购政策的通知》（财库〔2017〕141号）、《关于政府采购支持监狱企业发展有关问题的通知》（财库〔2014〕68号）等文件的精神，对属于小微企业、监狱企业、残疾人企业给予价格评审加分。响应单位为小型和微型企业其价格在评审时给予20%的扣除，残疾人企业和监狱企业的，其价格在评审时给予20%的扣除，用扣除后的价格参与评审，如扣除后的价格为最低价的，则作为评审基准价，如中标价格则以实际响应报价为准。残疾人企业和监狱企业属于小型、微型企业的，不重复享受政策。</w:t>
      </w:r>
      <w:r>
        <w:rPr>
          <w:rFonts w:hint="eastAsia" w:ascii="宋体" w:hAnsi="宋体" w:cs="宋体"/>
          <w:b/>
          <w:bCs/>
          <w:sz w:val="24"/>
        </w:rPr>
        <w:t xml:space="preserve">本项目为专门面向中小企业采购，将不再享受价格评审加分。</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2响应文件中小微企业必须提供响应人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.无论磋商过程中的做法和结果如何，供应商自行承担所有与参加磋商有关的全部费用。</w:t>
      </w:r>
      <w:r/>
    </w:p>
    <w:p>
      <w:pPr>
        <w:ind w:firstLine="480"/>
        <w:jc w:val="left"/>
        <w:spacing w:line="360" w:lineRule="auto"/>
        <w:widowControl/>
        <w:rPr>
          <w:rFonts w:ascii="宋体" w:hAnsi="宋体" w:cs="宋体"/>
          <w:sz w:val="24"/>
        </w:rPr>
        <w:sectPr>
          <w:footnotePr/>
          <w:endnotePr/>
          <w:type w:val="nextPage"/>
          <w:pgSz w:w="11906" w:h="16838" w:orient="portrait"/>
          <w:pgMar w:top="1440" w:right="748" w:bottom="1440" w:left="970" w:header="624" w:footer="510" w:gutter="113"/>
          <w:cols w:num="1" w:sep="0" w:space="1701" w:equalWidth="1"/>
          <w:docGrid w:linePitch="360"/>
          <w:titlePg/>
        </w:sect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.凡涉及磋商采购文件的补充说明和修改，均以苏州政府采购网上发布的通知为准</w:t>
      </w:r>
      <w:r/>
    </w:p>
    <w:p>
      <w:pPr>
        <w:pStyle w:val="907"/>
        <w:jc w:val="center"/>
        <w:rPr>
          <w:b/>
          <w:bCs/>
        </w:rPr>
      </w:pPr>
      <w:r/>
      <w:bookmarkStart w:id="21" w:name="_Toc19564"/>
      <w:r>
        <w:rPr>
          <w:rFonts w:hint="eastAsia"/>
          <w:b/>
          <w:bCs/>
        </w:rPr>
        <w:t xml:space="preserve">第四章 评审方法及评分标准</w:t>
      </w:r>
      <w:bookmarkEnd w:id="21"/>
      <w:r/>
      <w:r/>
    </w:p>
    <w:p>
      <w:pPr>
        <w:ind w:firstLine="420"/>
        <w:spacing w:line="360" w:lineRule="auto"/>
        <w:tabs>
          <w:tab w:val="left" w:pos="2870" w:leader="none"/>
        </w:tabs>
        <w:rPr>
          <w:rFonts w:ascii="宋体" w:hAnsi="宋体" w:cs="宋体"/>
          <w:b/>
          <w:sz w:val="24"/>
        </w:rPr>
      </w:pPr>
      <w:r>
        <w:rPr>
          <w:rFonts w:hint="eastAsia" w:ascii="宋体" w:hAnsi="宋体" w:cs="宋体"/>
          <w:b/>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磋商小组构成:3人(其中采购人代表1名)。除采购人代表外的评标专家确定方式:江苏省综合评标专家库中随机抽取。</w:t>
      </w:r>
      <w:r/>
    </w:p>
    <w:p>
      <w:pPr>
        <w:ind w:firstLine="420"/>
        <w:spacing w:line="360" w:lineRule="auto"/>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本</w:t>
      </w:r>
      <w:r>
        <w:rPr>
          <w:rFonts w:hint="eastAsia" w:ascii="宋体" w:hAnsi="宋体" w:cs="宋体"/>
          <w:sz w:val="24"/>
        </w:rPr>
        <w:t xml:space="preserve">项目共分为4个标段，根据最终总得分排名，每个标段中标单位为一名。投标单位可选择其中一个或多个标段投标，标段开标顺序按标段号顺序确定，但只能就其中一个标段中标，中标标段按标段号顺序。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投标文件不再参与评审），也不具备本次招标如有废标标段再次挂牌的投标资格</w:t>
      </w:r>
      <w:r>
        <w:rPr>
          <w:rFonts w:hint="eastAsia" w:ascii="宋体" w:hAnsi="宋体"/>
          <w:b/>
          <w:bCs/>
          <w:sz w:val="24"/>
        </w:rPr>
        <w:t xml:space="preserve">。</w:t>
      </w:r>
      <w:r/>
    </w:p>
    <w:p>
      <w:pPr>
        <w:ind w:firstLine="480"/>
        <w:spacing w:line="360" w:lineRule="auto"/>
        <w:rPr>
          <w:rFonts w:ascii="宋体" w:hAnsi="宋体" w:cs="宋体"/>
          <w:sz w:val="24"/>
          <w:lang w:val="zh-TW"/>
        </w:rPr>
      </w:pPr>
      <w:r>
        <w:rPr>
          <w:rFonts w:hint="eastAsia" w:ascii="宋体" w:hAnsi="宋体" w:cs="Arial Unicode MS"/>
          <w:sz w:val="24"/>
        </w:rPr>
        <w:t xml:space="preserve">3</w:t>
      </w:r>
      <w:r>
        <w:rPr>
          <w:rFonts w:hint="eastAsia" w:ascii="宋体" w:hAnsi="宋体" w:cs="宋体"/>
          <w:sz w:val="24"/>
          <w:lang w:val="en-US" w:eastAsia="zh-CN"/>
        </w:rPr>
        <w:t xml:space="preserve">.</w:t>
      </w:r>
      <w:r>
        <w:rPr>
          <w:rFonts w:ascii="宋体" w:hAnsi="宋体" w:cs="宋体"/>
          <w:sz w:val="24"/>
          <w:lang w:val="zh-TW"/>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sz w:val="24"/>
          <w:lang w:val="zh-TW"/>
        </w:rPr>
        <w:t xml:space="preserve">以评标总得分由高到低进行排名。</w:t>
      </w:r>
      <w:r/>
    </w:p>
    <w:p>
      <w:pPr>
        <w:ind w:firstLine="480"/>
        <w:spacing w:line="360" w:lineRule="auto"/>
        <w:rPr>
          <w:rFonts w:ascii="宋体" w:hAnsi="宋体" w:cs="Arial Unicode MS"/>
          <w:sz w:val="24"/>
        </w:rPr>
      </w:pPr>
      <w:r>
        <w:rPr>
          <w:rFonts w:hint="eastAsia" w:ascii="宋体" w:hAnsi="宋体" w:cs="Arial Unicode MS"/>
          <w:sz w:val="24"/>
        </w:rPr>
        <w:t xml:space="preserve">4</w:t>
      </w:r>
      <w:r>
        <w:rPr>
          <w:rFonts w:hint="eastAsia" w:ascii="宋体" w:hAnsi="宋体" w:cs="宋体"/>
          <w:sz w:val="24"/>
          <w:lang w:val="en-US" w:eastAsia="zh-CN"/>
        </w:rPr>
        <w:t xml:space="preserve">.</w:t>
      </w:r>
      <w:r>
        <w:rPr>
          <w:rFonts w:ascii="宋体" w:hAnsi="宋体" w:cs="宋体"/>
          <w:sz w:val="24"/>
          <w:lang w:val="zh-TW"/>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Arial Unicode MS"/>
          <w:sz w:val="24"/>
        </w:rPr>
      </w:pPr>
      <w:r>
        <w:rPr>
          <w:rFonts w:hint="eastAsia" w:ascii="宋体" w:hAnsi="宋体" w:cs="Arial Unicode MS"/>
          <w:sz w:val="24"/>
        </w:rPr>
        <w:t xml:space="preserve">5</w:t>
      </w:r>
      <w:r>
        <w:rPr>
          <w:rFonts w:hint="eastAsia" w:ascii="宋体" w:hAnsi="宋体" w:cs="宋体"/>
          <w:sz w:val="24"/>
          <w:lang w:val="en-US" w:eastAsia="zh-CN"/>
        </w:rPr>
        <w:t xml:space="preserve">.</w:t>
      </w:r>
      <w:r>
        <w:rPr>
          <w:rFonts w:ascii="宋体" w:hAnsi="宋体" w:cs="宋体"/>
          <w:sz w:val="24"/>
          <w:lang w:val="zh-TW"/>
        </w:rPr>
        <w:t xml:space="preserve">评审时，磋商小组各成员应当独立对每个有效响应的文件进行评价、打分，然后汇总每个供应商每项评分因素的得分。</w:t>
      </w:r>
      <w:r/>
    </w:p>
    <w:p>
      <w:pPr>
        <w:ind w:firstLine="42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对评委的评分(除价格分外)进行统计汇总，直接算术平均计算得分；计算出每个响应单位的得分，加上价格得分即为每个响应单位的综合得分。 </w:t>
      </w:r>
      <w:r/>
    </w:p>
    <w:p>
      <w:pPr>
        <w:ind w:firstLine="468"/>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lang w:val="en-US" w:eastAsia="zh-CN"/>
        </w:rPr>
        <w:t xml:space="preserve">.</w:t>
      </w:r>
      <w:r>
        <w:rPr>
          <w:rFonts w:hint="eastAsia" w:ascii="宋体" w:hAnsi="宋体" w:cs="宋体"/>
          <w:sz w:val="24"/>
        </w:rPr>
        <w:t xml:space="preserve">如出现评标总得分最高的响应单位有两个或两个以上的，以响应报价较低者优先作为成交候选人，如果响应报价也相同的，则由代理机构组织以抽签方式确定成交候选人。</w:t>
      </w:r>
      <w:r/>
    </w:p>
    <w:p>
      <w:pPr>
        <w:ind w:firstLine="48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lang w:val="en-US" w:eastAsia="zh-CN"/>
        </w:rPr>
        <w:t xml:space="preserve">.</w:t>
      </w:r>
      <w:r>
        <w:rPr>
          <w:rFonts w:hint="eastAsia" w:ascii="宋体" w:hAnsi="宋体" w:cs="宋体"/>
          <w:sz w:val="24"/>
        </w:rPr>
        <w:t xml:space="preserve">针对中小型企业残疾人企业和监狱企业的评审：</w:t>
      </w:r>
      <w:r/>
    </w:p>
    <w:p>
      <w:pPr>
        <w:ind w:firstLine="480"/>
        <w:spacing w:line="360" w:lineRule="auto"/>
        <w:rPr>
          <w:rFonts w:ascii="宋体" w:hAnsi="宋体" w:cs="宋体"/>
          <w:b/>
          <w:bCs/>
          <w:sz w:val="24"/>
        </w:rPr>
      </w:pPr>
      <w:r>
        <w:rPr>
          <w:rFonts w:hint="eastAsia" w:ascii="宋体" w:hAnsi="宋体" w:cs="宋体"/>
          <w:sz w:val="24"/>
        </w:rPr>
        <w:t xml:space="preserve">如响应单位为小型和微型企业，其价格在评审时给予20%的扣除，残疾人企业和监狱企业的，其价格在评审时给予20%的扣除；扣除后的价格参与价格评审。</w:t>
      </w:r>
      <w:r>
        <w:rPr>
          <w:rFonts w:hint="eastAsia" w:ascii="宋体" w:hAnsi="宋体" w:cs="宋体"/>
          <w:b/>
          <w:bCs/>
          <w:sz w:val="24"/>
        </w:rPr>
        <w:t xml:space="preserve">本项目为专门面向中小企业采购，将不再享受价格评审加分。</w:t>
      </w:r>
      <w:r/>
    </w:p>
    <w:p>
      <w:pPr>
        <w:ind w:firstLine="480"/>
        <w:spacing w:line="360" w:lineRule="auto"/>
        <w:rPr>
          <w:rFonts w:ascii="宋体" w:hAnsi="宋体" w:cs="宋体"/>
          <w:sz w:val="24"/>
        </w:rPr>
      </w:pPr>
      <w:r>
        <w:rPr>
          <w:rFonts w:hint="eastAsia" w:ascii="宋体" w:hAnsi="宋体" w:cs="宋体"/>
          <w:sz w:val="24"/>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本项目为专门面向中小企业采购，将不再享受价格评审加分。</w:t>
      </w:r>
      <w:r/>
    </w:p>
    <w:p>
      <w:pPr>
        <w:ind w:left="420"/>
        <w:spacing w:line="360" w:lineRule="auto"/>
        <w:rPr>
          <w:b/>
          <w:bCs/>
          <w:sz w:val="24"/>
        </w:rPr>
      </w:pPr>
      <w:r>
        <w:rPr>
          <w:rFonts w:hint="eastAsia" w:ascii="宋体" w:hAnsi="宋体" w:cs="宋体"/>
          <w:b/>
          <w:sz w:val="24"/>
        </w:rPr>
        <w:t xml:space="preserve">二、评分标准</w:t>
      </w:r>
      <w:r>
        <w:rPr>
          <w:rFonts w:hint="eastAsia"/>
          <w:b/>
          <w:bCs/>
          <w:sz w:val="24"/>
        </w:rPr>
        <w:t xml:space="preserve">（1至4标段）</w:t>
      </w:r>
      <w:r/>
    </w:p>
    <w:p>
      <w:pPr>
        <w:ind w:firstLine="486"/>
        <w:spacing w:line="360" w:lineRule="auto"/>
        <w:rPr>
          <w:b/>
          <w:color w:val="000000"/>
          <w:sz w:val="24"/>
        </w:rPr>
      </w:pPr>
      <w:r>
        <w:rPr>
          <w:b/>
          <w:color w:val="000000"/>
          <w:sz w:val="24"/>
        </w:rPr>
        <w:t xml:space="preserve">（一）价格基准分：（20分）</w:t>
      </w:r>
      <w:r/>
    </w:p>
    <w:p>
      <w:pPr>
        <w:ind w:firstLine="486"/>
        <w:spacing w:line="360" w:lineRule="auto"/>
        <w:rPr>
          <w:color w:val="000000"/>
          <w:sz w:val="24"/>
        </w:rPr>
      </w:pPr>
      <w:r>
        <w:rPr>
          <w:color w:val="000000"/>
          <w:sz w:val="24"/>
        </w:rPr>
        <w:t xml:space="preserve">第一步：投标报价低于或等于财政预算价的，为有效报价。超财政预算的投标报价为无效报价。无效报价的投标文件不进行评审，也不得标。</w:t>
      </w:r>
      <w:r/>
    </w:p>
    <w:p>
      <w:pPr>
        <w:ind w:firstLine="486"/>
        <w:spacing w:line="360" w:lineRule="auto"/>
        <w:rPr>
          <w:color w:val="000000"/>
          <w:sz w:val="24"/>
        </w:rPr>
      </w:pPr>
      <w:r>
        <w:rPr>
          <w:color w:val="000000"/>
          <w:sz w:val="24"/>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6"/>
        <w:spacing w:line="360" w:lineRule="auto"/>
        <w:rPr>
          <w:color w:val="000000"/>
          <w:sz w:val="24"/>
        </w:rPr>
      </w:pPr>
      <w:r>
        <w:rPr>
          <w:color w:val="000000"/>
          <w:sz w:val="24"/>
        </w:rPr>
        <w:t xml:space="preserve">公式：投标报价得分=（评标基准价/投标报价）×20。</w:t>
      </w:r>
      <w:r/>
    </w:p>
    <w:p>
      <w:pPr>
        <w:ind w:firstLine="480"/>
        <w:spacing w:line="360" w:lineRule="auto"/>
        <w:rPr>
          <w:rFonts w:ascii="宋体" w:hAnsi="宋体" w:cs="宋体"/>
          <w:color w:val="000000"/>
          <w:sz w:val="24"/>
        </w:rPr>
      </w:pPr>
      <w:r>
        <w:rPr>
          <w:rFonts w:hint="eastAsia" w:ascii="宋体" w:hAnsi="宋体" w:cs="宋体"/>
          <w:color w:val="000000"/>
          <w:sz w:val="24"/>
        </w:rPr>
        <w:t xml:space="preserve">1. 工作方案 （50分）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1.1针对本项目的工作目标方案（10分）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响应单位针对本项目制定的各项工作目标方案内容评定：对项目现状和项目特点有全面深入的了解并有针对性研究，针对本项目的各项工作目标方案详实具体，贴合项目需求，针对性高的为10分；对项目现状和项目特点有基本了解和研究，针对本项目的各项工作目标方案较为详细，较为符合项目需求，针对性较好的为</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分；对项目现状和项目特点有基本了解但不全面，针对本项目的各项工作目标方案不够详细，针对性较差的为</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分；对项目现状和项目特点了解较缺乏，针对本项目的各项工作目标方案内容简单且针对性差的为</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分；未提供上述相关内容的不得分。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1.2对本项目的重点、难点的分析（10分）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响应单位对本项目的重点、难点的分析，准确到位、有贴合实际对应方案的得10分；对项目的重点、难点的分析内容基本准确、有较贴合实际处理方案的得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分；对项目的重点、难点的分析不够准确，所提供的处理预案可行性较弱的得</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分；对项目的重点、难点的分析简单，相关处理预案提供不全的得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分；未提供上述相关内容的不得分。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1.3针对本项目的具体服务流程方案（6分）</w:t>
      </w:r>
      <w:r/>
    </w:p>
    <w:p>
      <w:pPr>
        <w:ind w:firstLine="480"/>
        <w:spacing w:line="360" w:lineRule="auto"/>
      </w:pPr>
      <w:r>
        <w:rPr>
          <w:rFonts w:hint="eastAsia" w:ascii="宋体" w:hAnsi="宋体" w:cs="宋体"/>
          <w:color w:val="000000"/>
          <w:sz w:val="24"/>
        </w:rPr>
        <w:t xml:space="preserve">根据响应单位针对本项目制定的各项具体服务流程方案内容评定：针对本项目制定的各项具体服务流程方案详实具体，贴合项目需求，针对性和可实施性高的为6分；针对本项目制定的各项具体服务流程方案较为详细，较为符合项目需求，可实施性较好的为4分；针对本项目制定的各项具体服务流程方案不够详细，可实施性较差的为2分；针对本项目制定的各项具体服务流程方案内容简单且可实施性差的为1分；未提供上述相关内容的不得分。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1.4针对本项目服务的工作计划方案（6分）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响应单位针对本项目制定的各项工作计划方案内容评定：针对本项目制定的各项工作计划方案详实具体，贴合项目需求，针对性和可实施性高的为6分；针对本项目制定的各项工作计划方案较为详细，较为符合项目需求，可实施性较好的为4分；针对本项目制定的各项工作计划方案不够详细，可实施性较差的为2分；针对本项目制定的各项工作计划方案内容简单且可实施性差的为1分；未提供上述相关内容的不得分。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1.5响应单位提供的指导服务报告大纲情况（10分）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响应单位所提供指导服务报告大纲符合国家规定和采购需求，结构合理性强，针对性强，并能提供与本项目类似的文稿的得10分；指导服务报告大纲较为符合国家规定和采购要求，结构合理性、针对性较强，提供与本项目类似的文稿有可借鉴之处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分；指导服务报告大纲符合国家规定和采购要求但与本项目可借鉴之处较少的得</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分；指导服务报告基本符合上述要求但不具备可借鉴性的得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分；未提供上述相关内容的不得分。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1.6针对本项目服务的各项保障措施方案（5分）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响应单位针对本项目制定的各项保障措施方案内容评定：各项保障措施方案详实具体，贴合项目需求，针对性和可实施性高的为5分；各项保障措施方案较为详细，较为符合项目需求，可实施性较好的为3分；各项保障措施方案不够详细，可实施性较差的为1分；未提供上述相关内容的不得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1.7服务承诺：本项目的技术服务人员能立即响应、应急能力强得3分，应急能力较强得2分，应急能力较弱的得1分（需提供落实方案及相关证明材料，否则不得分）。 最高得3分。  </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2.拟投入人员比较 （22分）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2.1项目总负责人具有</w:t>
      </w:r>
      <w:r>
        <w:rPr>
          <w:rFonts w:hint="eastAsia" w:ascii="宋体" w:hAnsi="宋体" w:cs="宋体"/>
          <w:color w:val="000000"/>
          <w:sz w:val="24"/>
          <w:lang w:eastAsia="zh-CN"/>
        </w:rPr>
        <w:t xml:space="preserve">高级职称</w:t>
      </w:r>
      <w:r>
        <w:rPr>
          <w:rFonts w:hint="eastAsia" w:ascii="宋体" w:hAnsi="宋体" w:cs="宋体"/>
          <w:color w:val="000000"/>
          <w:sz w:val="24"/>
        </w:rPr>
        <w:t xml:space="preserve">得3分；具有与本项目相关专业本科及以上学历有一项得3分，最高6分。（提供在职员工劳动合同和社保缴纳证明、身份证、证书复印件。）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2.2拟投入本项目人员中具有高级技术职称证书的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除</w:t>
      </w:r>
      <w:r>
        <w:rPr>
          <w:rFonts w:hint="eastAsia" w:ascii="宋体" w:hAnsi="宋体" w:cs="宋体"/>
          <w:color w:val="000000"/>
          <w:sz w:val="24"/>
        </w:rPr>
        <w:t xml:space="preserve">项目总负责人</w:t>
      </w:r>
      <w:r>
        <w:rPr>
          <w:rFonts w:hint="eastAsia" w:ascii="宋体" w:hAnsi="宋体" w:cs="宋体"/>
          <w:color w:val="000000"/>
          <w:sz w:val="24"/>
          <w:lang w:val="en-US" w:eastAsia="zh-CN"/>
        </w:rPr>
        <w:t xml:space="preserve">以外</w:t>
      </w:r>
      <w:r>
        <w:rPr>
          <w:rFonts w:hint="eastAsia" w:ascii="宋体" w:hAnsi="宋体" w:cs="宋体"/>
          <w:color w:val="000000"/>
          <w:sz w:val="24"/>
          <w:lang w:eastAsia="zh-CN"/>
        </w:rPr>
        <w:t xml:space="preserve">）</w:t>
      </w:r>
      <w:r>
        <w:rPr>
          <w:rFonts w:hint="eastAsia" w:ascii="宋体" w:hAnsi="宋体" w:cs="宋体"/>
          <w:color w:val="000000"/>
          <w:sz w:val="24"/>
        </w:rPr>
        <w:t xml:space="preserve">，有1个得2分，最高得6分（提供在职员工劳动合同和社保缴纳证明、身份证、证书复印件）。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2.3拟投入本项目人员中具有中级注册安全工程师证书的，有1个得1分，最高得10分（提供在职员工劳动合同和社保缴纳证明或人员聘书、身份证、证书复印件）。         </w:t>
      </w:r>
      <w:r/>
    </w:p>
    <w:p>
      <w:pPr>
        <w:ind w:firstLine="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3.企业综合实力（8分）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3.1响应单位</w:t>
      </w:r>
      <w:r>
        <w:rPr>
          <w:rFonts w:hint="eastAsia" w:ascii="宋体" w:hAnsi="宋体" w:cs="宋体"/>
          <w:color w:val="auto"/>
          <w:sz w:val="24"/>
        </w:rPr>
        <w:t xml:space="preserve">提供2023年1</w:t>
      </w:r>
      <w:r>
        <w:rPr>
          <w:rFonts w:hint="eastAsia" w:ascii="宋体" w:hAnsi="宋体" w:cs="宋体"/>
          <w:color w:val="000000"/>
          <w:sz w:val="24"/>
        </w:rPr>
        <w:t xml:space="preserve">月1日至今相关类似业绩，每提供一份得2分，最高得8分。（时间以合同签订时间为准，相关类似业绩指危险化学品、医药企业等与本项目相关的业绩）。</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（注：投标文件中需提供合同复印件并加盖响应单位公章，不提供不得分。类似业绩日期认定：以签订合同日期为准）</w:t>
      </w:r>
      <w:r/>
    </w:p>
    <w:p>
      <w:pPr>
        <w:pStyle w:val="1150"/>
        <w:ind w:firstLine="482"/>
        <w:spacing w:line="420" w:lineRule="exact"/>
        <w:rPr>
          <w:rFonts w:ascii="宋体" w:hAnsi="宋体"/>
          <w:color w:val="000000"/>
          <w:sz w:val="24"/>
        </w:rPr>
      </w:pPr>
      <w:r>
        <w:rPr>
          <w:rFonts w:hint="eastAsia" w:ascii="宋体" w:hAnsi="宋体"/>
          <w:b/>
          <w:bCs/>
          <w:color w:val="000000"/>
          <w:sz w:val="24"/>
          <w:lang w:val="en-US"/>
        </w:rPr>
        <w:t xml:space="preserve">备注：针对评分标准中评分的每一条，响应单位均应提供相关资料并作出相应说明供评委评判。响应单位必须保证全部投标资料的真实性，如有虚假或对采购文件所要求说明的情况故意隐瞒或虚报，视为不实质性响应采购文件，为无效投标。已中标的将取消中标资格，并按《中华人民共和国政府采购法》相关条例及处理办法执行。</w:t>
      </w:r>
      <w:r/>
    </w:p>
    <w:p>
      <w:pPr>
        <w:jc w:val="center"/>
        <w:spacing w:line="360" w:lineRule="auto"/>
        <w:rPr>
          <w:b/>
          <w:bCs/>
        </w:rPr>
      </w:pPr>
      <w:r>
        <w:rPr>
          <w:rStyle w:val="1127"/>
          <w:rFonts w:hint="eastAsia" w:ascii="宋体" w:hAnsi="宋体" w:cs="宋体"/>
          <w:szCs w:val="21"/>
        </w:rPr>
        <w:br w:type="page" w:clear="all"/>
      </w:r>
      <w:bookmarkStart w:id="22" w:name="_Toc8867"/>
      <w:r>
        <w:rPr>
          <w:rFonts w:hint="eastAsia" w:ascii="Arial" w:hAnsi="Arial" w:eastAsia="Arial" w:cs="Arial"/>
          <w:b/>
          <w:bCs/>
          <w:sz w:val="40"/>
          <w:szCs w:val="40"/>
        </w:rPr>
        <w:t xml:space="preserve">第五章 合同主要条款及格式</w:t>
      </w:r>
      <w:bookmarkEnd w:id="22"/>
      <w:r/>
      <w:r/>
    </w:p>
    <w:p>
      <w:pPr>
        <w:jc w:val="right"/>
        <w:spacing w:line="360" w:lineRule="auto"/>
        <w:rPr>
          <w:rFonts w:ascii="宋体" w:hAnsi="宋体" w:cs="宋体"/>
          <w:sz w:val="24"/>
          <w:lang w:bidi="ar"/>
        </w:rPr>
      </w:pPr>
      <w:r>
        <w:rPr>
          <w:rFonts w:hint="eastAsia" w:ascii="宋体" w:hAnsi="宋体" w:cs="宋体"/>
          <w:sz w:val="24"/>
          <w:lang w:bidi="ar"/>
        </w:rPr>
        <w:t xml:space="preserve">采购编号：                </w:t>
      </w:r>
      <w:r/>
    </w:p>
    <w:p>
      <w:pPr>
        <w:spacing w:line="360" w:lineRule="auto"/>
        <w:rPr>
          <w:rFonts w:ascii="宋体" w:hAnsi="宋体" w:cs="宋体"/>
          <w:sz w:val="24"/>
        </w:rPr>
      </w:pPr>
      <w:r>
        <w:rPr>
          <w:rFonts w:hint="eastAsia" w:ascii="宋体" w:hAnsi="宋体" w:cs="宋体"/>
          <w:sz w:val="24"/>
        </w:rPr>
        <w:t xml:space="preserve">委托方（甲方）：</w:t>
      </w:r>
      <w:r/>
    </w:p>
    <w:p>
      <w:pPr>
        <w:spacing w:line="360" w:lineRule="auto"/>
        <w:rPr>
          <w:rFonts w:ascii="宋体" w:hAnsi="宋体" w:cs="宋体"/>
          <w:sz w:val="24"/>
        </w:rPr>
      </w:pPr>
      <w:r>
        <w:rPr>
          <w:rFonts w:hint="eastAsia" w:ascii="宋体" w:hAnsi="宋体" w:cs="宋体"/>
          <w:sz w:val="24"/>
        </w:rPr>
        <w:t xml:space="preserve">联系人：</w:t>
      </w:r>
      <w:r/>
    </w:p>
    <w:p>
      <w:pPr>
        <w:spacing w:line="360" w:lineRule="auto"/>
        <w:rPr>
          <w:rFonts w:ascii="宋体" w:hAnsi="宋体" w:cs="宋体"/>
          <w:sz w:val="24"/>
        </w:rPr>
      </w:pPr>
      <w:r>
        <w:rPr>
          <w:rFonts w:hint="eastAsia" w:ascii="宋体" w:hAnsi="宋体" w:cs="宋体"/>
          <w:sz w:val="24"/>
        </w:rPr>
        <w:t xml:space="preserve">联系电话：</w:t>
      </w:r>
      <w:r/>
    </w:p>
    <w:p>
      <w:pPr>
        <w:ind w:firstLine="20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受托方（乙方）：</w:t>
      </w:r>
      <w:r/>
    </w:p>
    <w:p>
      <w:pPr>
        <w:spacing w:line="360" w:lineRule="auto"/>
        <w:rPr>
          <w:rFonts w:ascii="宋体" w:hAnsi="宋体" w:cs="宋体"/>
          <w:sz w:val="24"/>
        </w:rPr>
      </w:pPr>
      <w:r>
        <w:rPr>
          <w:rFonts w:hint="eastAsia" w:ascii="宋体" w:hAnsi="宋体" w:cs="宋体"/>
          <w:sz w:val="24"/>
        </w:rPr>
        <w:t xml:space="preserve">联系人：</w:t>
      </w:r>
      <w:r/>
    </w:p>
    <w:p>
      <w:pPr>
        <w:spacing w:line="360" w:lineRule="auto"/>
        <w:rPr>
          <w:rFonts w:ascii="宋体" w:hAnsi="宋体" w:cs="宋体"/>
          <w:sz w:val="24"/>
        </w:rPr>
      </w:pPr>
      <w:r>
        <w:rPr>
          <w:rFonts w:hint="eastAsia" w:ascii="宋体" w:hAnsi="宋体" w:cs="宋体"/>
          <w:sz w:val="24"/>
        </w:rPr>
        <w:t xml:space="preserve">联系电话：                  </w:t>
      </w:r>
      <w:r/>
    </w:p>
    <w:p>
      <w:pPr>
        <w:pStyle w:val="951"/>
        <w:ind w:firstLine="0"/>
        <w:spacing w:line="360" w:lineRule="auto"/>
        <w:rPr>
          <w:rFonts w:hint="default" w:hAnsi="宋体" w:cs="宋体"/>
          <w:color w:val="000000"/>
          <w:sz w:val="24"/>
          <w:szCs w:val="24"/>
        </w:rPr>
      </w:pPr>
      <w:r>
        <w:rPr>
          <w:rFonts w:hint="default" w:hAnsi="宋体" w:cs="宋体"/>
          <w:color w:val="000000"/>
          <w:sz w:val="24"/>
          <w:szCs w:val="24"/>
        </w:rPr>
      </w:r>
      <w:r/>
    </w:p>
    <w:p>
      <w:pPr>
        <w:ind w:firstLine="480"/>
        <w:spacing w:line="360" w:lineRule="auto"/>
        <w:rPr>
          <w:sz w:val="24"/>
        </w:rPr>
      </w:pPr>
      <w:r>
        <w:rPr>
          <w:rFonts w:hint="eastAsia"/>
          <w:sz w:val="24"/>
        </w:rPr>
        <w:t xml:space="preserve">根据苏州市诚捷项目管理有限公司招投标咨询服务有限公司招标编号       号招标文件及该文件的投标文件和成交通知书，甲方和乙方就苏州工业园区2026年度危化品领域企业第三方安全生产指导服务项目的成交事宜，签订本合同。</w:t>
      </w:r>
      <w:r/>
    </w:p>
    <w:p>
      <w:pPr>
        <w:ind w:firstLine="480"/>
        <w:spacing w:line="360" w:lineRule="auto"/>
        <w:rPr>
          <w:sz w:val="24"/>
        </w:rPr>
      </w:pPr>
      <w:r>
        <w:rPr>
          <w:rFonts w:hint="eastAsia"/>
          <w:sz w:val="24"/>
        </w:rPr>
        <w:t xml:space="preserve">一、定义：以下术语有特定的含义：</w:t>
      </w:r>
      <w:r/>
    </w:p>
    <w:p>
      <w:pPr>
        <w:ind w:firstLine="480"/>
        <w:spacing w:line="360" w:lineRule="auto"/>
        <w:rPr>
          <w:sz w:val="24"/>
        </w:rPr>
      </w:pPr>
      <w:r>
        <w:rPr>
          <w:rFonts w:hint="eastAsia"/>
          <w:sz w:val="24"/>
        </w:rPr>
        <w:t xml:space="preserve">“货物”本合同所称货物是指乙方基于其已中标的投标文件而应向甲方提供的符合招标要求规格及功能的苏州工业园区2026年度危化品领域企业第三方安全生产指导服务项目及其全部设备及备品备件，它还应包括由乙方送交给甲方的所有的必须文件和与使用及测试有关的应进行的任何规定的服务。</w:t>
      </w:r>
      <w:r/>
    </w:p>
    <w:p>
      <w:pPr>
        <w:ind w:firstLine="480"/>
        <w:spacing w:line="360" w:lineRule="auto"/>
        <w:rPr>
          <w:sz w:val="24"/>
        </w:rPr>
      </w:pPr>
      <w:r>
        <w:rPr>
          <w:rFonts w:hint="eastAsia"/>
          <w:sz w:val="24"/>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80"/>
        <w:spacing w:line="360" w:lineRule="auto"/>
        <w:rPr>
          <w:sz w:val="24"/>
        </w:rPr>
      </w:pPr>
      <w:r>
        <w:rPr>
          <w:rFonts w:hint="eastAsia"/>
          <w:sz w:val="24"/>
        </w:rPr>
        <w:t xml:space="preserve">“合同价”系指根据中标的投标文件和合同规定，乙方在正确地履行合同义务后甲方应支付乙方的价款。</w:t>
      </w:r>
      <w:r/>
    </w:p>
    <w:p>
      <w:pPr>
        <w:ind w:firstLine="480"/>
        <w:spacing w:line="360" w:lineRule="auto"/>
        <w:rPr>
          <w:sz w:val="24"/>
        </w:rPr>
      </w:pPr>
      <w:r>
        <w:rPr>
          <w:rFonts w:hint="eastAsia"/>
          <w:sz w:val="24"/>
        </w:rPr>
        <w:t xml:space="preserve"> “甲方”系指合同中明确规定的实际购买货物和接受服务单位。</w:t>
      </w:r>
      <w:r/>
    </w:p>
    <w:p>
      <w:pPr>
        <w:ind w:firstLine="480"/>
        <w:spacing w:line="360" w:lineRule="auto"/>
        <w:rPr>
          <w:sz w:val="24"/>
        </w:rPr>
      </w:pPr>
      <w:r>
        <w:rPr>
          <w:rFonts w:hint="eastAsia"/>
          <w:sz w:val="24"/>
        </w:rPr>
        <w:t xml:space="preserve"> “乙方”系指合同中规定的提供货物和提供服务的单位。</w:t>
      </w:r>
      <w:r/>
    </w:p>
    <w:p>
      <w:pPr>
        <w:ind w:firstLine="480"/>
        <w:spacing w:line="360" w:lineRule="auto"/>
        <w:rPr>
          <w:sz w:val="24"/>
        </w:rPr>
      </w:pPr>
      <w:r>
        <w:rPr>
          <w:rFonts w:hint="eastAsia"/>
          <w:sz w:val="24"/>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numPr>
          <w:ilvl w:val="0"/>
          <w:numId w:val="5"/>
        </w:numPr>
        <w:ind w:firstLine="480"/>
        <w:spacing w:line="360" w:lineRule="auto"/>
        <w:rPr>
          <w:sz w:val="24"/>
        </w:rPr>
      </w:pPr>
      <w:r>
        <w:rPr>
          <w:rFonts w:hint="eastAsia"/>
          <w:sz w:val="24"/>
        </w:rPr>
        <w:t xml:space="preserve">项目名称：苏州工业园区2026年度危化品领域企业第三方安全生产指导服务项目</w:t>
      </w:r>
      <w:r/>
    </w:p>
    <w:p>
      <w:pPr>
        <w:ind w:firstLine="960"/>
        <w:spacing w:line="360" w:lineRule="auto"/>
        <w:rPr>
          <w:color w:val="auto"/>
          <w:sz w:val="24"/>
          <w:highlight w:val="none"/>
        </w:rPr>
      </w:pPr>
      <w:r>
        <w:rPr>
          <w:rFonts w:hint="eastAsia"/>
          <w:color w:val="auto"/>
          <w:sz w:val="24"/>
          <w:highlight w:val="none"/>
        </w:rPr>
        <w:t xml:space="preserve">服务时间：  </w:t>
      </w:r>
      <w:r/>
    </w:p>
    <w:p>
      <w:pPr>
        <w:ind w:firstLine="960"/>
        <w:spacing w:line="360" w:lineRule="auto"/>
        <w:rPr>
          <w:color w:val="auto"/>
          <w:sz w:val="24"/>
          <w:highlight w:val="none"/>
        </w:rPr>
      </w:pPr>
      <w:r>
        <w:rPr>
          <w:rFonts w:hint="eastAsia"/>
          <w:color w:val="auto"/>
          <w:sz w:val="24"/>
          <w:highlight w:val="none"/>
        </w:rPr>
        <w:t xml:space="preserve">服务内容：</w:t>
      </w:r>
      <w:r/>
    </w:p>
    <w:tbl>
      <w:tblPr>
        <w:tblStyle w:val="917"/>
        <w:tblW w:w="8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0"/>
        <w:gridCol w:w="1440"/>
        <w:gridCol w:w="1440"/>
        <w:gridCol w:w="2235"/>
      </w:tblGrid>
      <w:tr>
        <w:trPr>
          <w:jc w:val="center"/>
          <w:trHeight w:val="574"/>
        </w:trPr>
        <w:tc>
          <w:tcPr>
            <w:tcW w:w="3240" w:type="dxa"/>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服务项目</w:t>
            </w:r>
            <w:r/>
          </w:p>
        </w:tc>
        <w:tc>
          <w:tcPr>
            <w:tcW w:w="1440" w:type="dxa"/>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服务数量</w:t>
            </w:r>
            <w:r/>
          </w:p>
        </w:tc>
        <w:tc>
          <w:tcPr>
            <w:tcW w:w="1440" w:type="dxa"/>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合同金额</w:t>
            </w:r>
            <w:r/>
          </w:p>
        </w:tc>
        <w:tc>
          <w:tcPr>
            <w:tcW w:w="2235" w:type="dxa"/>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期限</w:t>
            </w:r>
            <w:r/>
          </w:p>
        </w:tc>
      </w:tr>
      <w:tr>
        <w:trPr>
          <w:cantSplit/>
          <w:jc w:val="center"/>
          <w:trHeight w:val="759"/>
        </w:trPr>
        <w:tc>
          <w:tcPr>
            <w:tcW w:w="3240" w:type="dxa"/>
            <w:textDirection w:val="lrTb"/>
            <w:noWrap w:val="false"/>
          </w:tcPr>
          <w:p>
            <w:pPr>
              <w:ind w:firstLine="480"/>
              <w:spacing w:line="360" w:lineRule="auto"/>
              <w:rPr>
                <w:color w:val="auto"/>
                <w:sz w:val="24"/>
                <w:highlight w:val="none"/>
              </w:rPr>
            </w:pPr>
            <w:r>
              <w:rPr>
                <w:color w:val="auto"/>
                <w:sz w:val="24"/>
                <w:highlight w:val="none"/>
              </w:rPr>
            </w:r>
            <w:r/>
          </w:p>
        </w:tc>
        <w:tc>
          <w:tcPr>
            <w:tcW w:w="1440" w:type="dxa"/>
            <w:textDirection w:val="lrTb"/>
            <w:noWrap w:val="false"/>
          </w:tcPr>
          <w:p>
            <w:pPr>
              <w:ind w:firstLine="480"/>
              <w:spacing w:line="360" w:lineRule="auto"/>
              <w:rPr>
                <w:color w:val="auto"/>
                <w:sz w:val="24"/>
                <w:highlight w:val="none"/>
              </w:rPr>
            </w:pPr>
            <w:r>
              <w:rPr>
                <w:color w:val="auto"/>
                <w:sz w:val="24"/>
                <w:highlight w:val="none"/>
              </w:rPr>
            </w:r>
            <w:r/>
          </w:p>
        </w:tc>
        <w:tc>
          <w:tcPr>
            <w:tcW w:w="1440" w:type="dxa"/>
            <w:textDirection w:val="lrTb"/>
            <w:noWrap w:val="false"/>
          </w:tcPr>
          <w:p>
            <w:pPr>
              <w:ind w:firstLine="480"/>
              <w:spacing w:line="360" w:lineRule="auto"/>
              <w:rPr>
                <w:color w:val="auto"/>
                <w:sz w:val="24"/>
                <w:highlight w:val="none"/>
              </w:rPr>
            </w:pPr>
            <w:r>
              <w:rPr>
                <w:color w:val="auto"/>
                <w:sz w:val="24"/>
                <w:highlight w:val="none"/>
              </w:rPr>
            </w:r>
            <w:r/>
          </w:p>
        </w:tc>
        <w:tc>
          <w:tcPr>
            <w:tcW w:w="2235" w:type="dxa"/>
            <w:textDirection w:val="lrTb"/>
            <w:noWrap w:val="false"/>
          </w:tcPr>
          <w:p>
            <w:pPr>
              <w:ind w:firstLine="480"/>
              <w:spacing w:line="360" w:lineRule="auto"/>
              <w:rPr>
                <w:color w:val="auto"/>
                <w:sz w:val="24"/>
                <w:highlight w:val="none"/>
              </w:rPr>
            </w:pPr>
            <w:r>
              <w:rPr>
                <w:color w:val="auto"/>
                <w:sz w:val="24"/>
                <w:highlight w:val="none"/>
              </w:rPr>
            </w:r>
            <w:r/>
          </w:p>
        </w:tc>
      </w:tr>
    </w:tbl>
    <w:p>
      <w:pPr>
        <w:ind w:firstLine="480"/>
        <w:spacing w:line="360" w:lineRule="auto"/>
        <w:rPr>
          <w:color w:val="auto"/>
          <w:sz w:val="24"/>
          <w:highlight w:val="none"/>
        </w:rPr>
      </w:pPr>
      <w:r>
        <w:rPr>
          <w:rFonts w:hint="eastAsia"/>
          <w:color w:val="auto"/>
          <w:sz w:val="24"/>
          <w:highlight w:val="none"/>
        </w:rPr>
        <w:t xml:space="preserve">（一）服务内容要求</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三、合同总价款：            元整。</w:t>
      </w:r>
      <w:r/>
    </w:p>
    <w:p>
      <w:pPr>
        <w:ind w:firstLine="480"/>
        <w:spacing w:line="360" w:lineRule="auto"/>
        <w:rPr>
          <w:color w:val="auto"/>
          <w:sz w:val="24"/>
          <w:highlight w:val="none"/>
        </w:rPr>
      </w:pPr>
      <w:r>
        <w:rPr>
          <w:rFonts w:hint="eastAsia"/>
          <w:color w:val="auto"/>
          <w:sz w:val="24"/>
          <w:highlight w:val="none"/>
        </w:rPr>
        <w:t xml:space="preserve">四、合同总价范围：</w:t>
      </w:r>
      <w:r/>
    </w:p>
    <w:p>
      <w:pPr>
        <w:ind w:firstLine="480"/>
        <w:spacing w:line="360" w:lineRule="auto"/>
        <w:rPr>
          <w:color w:val="auto"/>
          <w:sz w:val="24"/>
          <w:highlight w:val="none"/>
        </w:rPr>
      </w:pPr>
      <w:r>
        <w:rPr>
          <w:rFonts w:hint="eastAsia"/>
          <w:color w:val="auto"/>
          <w:sz w:val="24"/>
          <w:highlight w:val="none"/>
        </w:rPr>
        <w:t xml:space="preserve">1．本次招标包括但不限于乙方完成该项目的全部服务成本、企业利润、税金和政策性文件规定及合同包含的所有风险、责任等各项应有费用。甲方不再支付报价之外的任何费用。</w:t>
      </w:r>
      <w:r/>
    </w:p>
    <w:p>
      <w:pPr>
        <w:ind w:firstLine="480"/>
        <w:spacing w:line="360" w:lineRule="auto"/>
        <w:rPr>
          <w:color w:val="auto"/>
          <w:sz w:val="24"/>
          <w:highlight w:val="none"/>
        </w:rPr>
      </w:pPr>
      <w:r>
        <w:rPr>
          <w:rFonts w:hint="eastAsia"/>
          <w:color w:val="auto"/>
          <w:sz w:val="24"/>
          <w:highlight w:val="none"/>
        </w:rPr>
        <w:t xml:space="preserve">2</w:t>
      </w:r>
      <w:r>
        <w:rPr>
          <w:rFonts w:hint="eastAsia"/>
          <w:color w:val="auto"/>
          <w:sz w:val="24"/>
          <w:highlight w:val="none"/>
          <w:lang w:val="en-US" w:eastAsia="zh-CN"/>
        </w:rPr>
        <w:t xml:space="preserve">. </w:t>
      </w:r>
      <w:r>
        <w:rPr>
          <w:rFonts w:hint="eastAsia"/>
          <w:color w:val="auto"/>
          <w:sz w:val="24"/>
          <w:highlight w:val="none"/>
        </w:rPr>
        <w:t xml:space="preserve">付款方式：</w:t>
      </w:r>
      <w:r>
        <w:rPr>
          <w:rFonts w:hint="eastAsia" w:ascii="宋体" w:hAnsi="宋体" w:cs="宋体"/>
          <w:color w:val="auto"/>
          <w:sz w:val="24"/>
          <w:highlight w:val="none"/>
        </w:rPr>
        <w:t xml:space="preserve">合同生效后甲方支付合同金额40%，乙方完成服务经甲方验收通过后30个工作日内，甲方按照服务合同支付剩余合同款项。甲方付款前，乙方应提供合法有效的发票，否则甲方有权顺延付款，且不构成违约。</w:t>
      </w:r>
      <w:r/>
    </w:p>
    <w:p>
      <w:pPr>
        <w:ind w:firstLine="480"/>
        <w:spacing w:line="360" w:lineRule="auto"/>
        <w:rPr>
          <w:color w:val="auto"/>
          <w:sz w:val="24"/>
          <w:highlight w:val="none"/>
        </w:rPr>
      </w:pPr>
      <w:r>
        <w:rPr>
          <w:rFonts w:hint="eastAsia"/>
          <w:color w:val="auto"/>
          <w:sz w:val="24"/>
          <w:highlight w:val="none"/>
        </w:rPr>
        <w:t xml:space="preserve">3</w:t>
      </w:r>
      <w:r>
        <w:rPr>
          <w:rFonts w:hint="eastAsia"/>
          <w:color w:val="auto"/>
          <w:sz w:val="24"/>
          <w:highlight w:val="none"/>
          <w:lang w:val="en-US" w:eastAsia="zh-CN"/>
        </w:rPr>
        <w:t xml:space="preserve">. </w:t>
      </w:r>
      <w:r>
        <w:rPr>
          <w:rFonts w:hint="eastAsia"/>
          <w:color w:val="auto"/>
          <w:sz w:val="24"/>
          <w:highlight w:val="none"/>
        </w:rPr>
        <w:t xml:space="preserve">收款账号（同时提供数字人民币账户）： </w:t>
      </w:r>
      <w:r/>
    </w:p>
    <w:p>
      <w:pPr>
        <w:ind w:firstLine="480"/>
        <w:spacing w:line="360" w:lineRule="auto"/>
        <w:rPr>
          <w:color w:val="auto"/>
          <w:sz w:val="24"/>
          <w:highlight w:val="none"/>
        </w:rPr>
      </w:pPr>
      <w:r>
        <w:rPr>
          <w:rFonts w:hint="eastAsia"/>
          <w:color w:val="auto"/>
          <w:sz w:val="24"/>
          <w:highlight w:val="none"/>
        </w:rPr>
        <w:t xml:space="preserve">乙方名称：</w:t>
      </w:r>
      <w:r/>
    </w:p>
    <w:p>
      <w:pPr>
        <w:ind w:firstLine="480"/>
        <w:spacing w:line="360" w:lineRule="auto"/>
        <w:rPr>
          <w:color w:val="auto"/>
          <w:sz w:val="24"/>
          <w:highlight w:val="none"/>
        </w:rPr>
      </w:pPr>
      <w:r>
        <w:rPr>
          <w:rFonts w:hint="eastAsia"/>
          <w:color w:val="auto"/>
          <w:sz w:val="24"/>
          <w:highlight w:val="none"/>
        </w:rPr>
        <w:t xml:space="preserve">账户：</w:t>
      </w:r>
      <w:r/>
    </w:p>
    <w:p>
      <w:pPr>
        <w:ind w:firstLine="480"/>
        <w:spacing w:line="360" w:lineRule="auto"/>
        <w:rPr>
          <w:color w:val="auto"/>
          <w:sz w:val="24"/>
          <w:highlight w:val="none"/>
        </w:rPr>
      </w:pPr>
      <w:r>
        <w:rPr>
          <w:rFonts w:hint="eastAsia"/>
          <w:color w:val="auto"/>
          <w:sz w:val="24"/>
          <w:highlight w:val="none"/>
        </w:rPr>
        <w:t xml:space="preserve">开户行：</w:t>
      </w:r>
      <w:r/>
    </w:p>
    <w:p>
      <w:pPr>
        <w:ind w:firstLine="480"/>
        <w:spacing w:line="360" w:lineRule="auto"/>
        <w:rPr>
          <w:color w:val="auto"/>
          <w:sz w:val="24"/>
          <w:highlight w:val="none"/>
        </w:rPr>
      </w:pPr>
      <w:r>
        <w:rPr>
          <w:rFonts w:hint="eastAsia"/>
          <w:color w:val="auto"/>
          <w:sz w:val="24"/>
          <w:highlight w:val="none"/>
        </w:rPr>
        <w:t xml:space="preserve">数字人民币账户：</w:t>
      </w:r>
      <w:r/>
    </w:p>
    <w:p>
      <w:pPr>
        <w:ind w:firstLine="480"/>
        <w:spacing w:line="360" w:lineRule="auto"/>
        <w:rPr>
          <w:color w:val="auto"/>
          <w:sz w:val="24"/>
          <w:highlight w:val="none"/>
        </w:rPr>
      </w:pPr>
      <w:r>
        <w:rPr>
          <w:rFonts w:hint="eastAsia"/>
          <w:color w:val="auto"/>
          <w:sz w:val="24"/>
          <w:highlight w:val="none"/>
        </w:rPr>
        <w:t xml:space="preserve">五、双方权利与义务</w:t>
      </w:r>
      <w:r/>
    </w:p>
    <w:p>
      <w:pPr>
        <w:ind w:firstLine="480"/>
        <w:spacing w:line="360" w:lineRule="auto"/>
        <w:rPr>
          <w:color w:val="auto"/>
          <w:sz w:val="24"/>
          <w:highlight w:val="none"/>
        </w:rPr>
      </w:pPr>
      <w:r>
        <w:rPr>
          <w:rFonts w:hint="eastAsia"/>
          <w:color w:val="auto"/>
          <w:sz w:val="24"/>
          <w:highlight w:val="none"/>
          <w:lang w:val="en-US" w:eastAsia="zh-CN"/>
        </w:rPr>
        <w:t xml:space="preserve">1. </w:t>
      </w:r>
      <w:r>
        <w:rPr>
          <w:rFonts w:hint="eastAsia"/>
          <w:color w:val="auto"/>
          <w:sz w:val="24"/>
          <w:highlight w:val="none"/>
        </w:rPr>
        <w:t xml:space="preserve">甲方权利义务：</w:t>
      </w:r>
      <w:r/>
    </w:p>
    <w:p>
      <w:pPr>
        <w:ind w:firstLine="480"/>
        <w:spacing w:line="360" w:lineRule="auto"/>
        <w:rPr>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合同签订7个工作日内，甲方应向乙方提供被服务企业名称、地址、联系人等开展服务必需的资料，如有特殊原因（如企业关闭），甲方有权更改服务企业。</w:t>
      </w:r>
      <w:r/>
    </w:p>
    <w:p>
      <w:pPr>
        <w:ind w:firstLine="48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2</w:t>
      </w:r>
      <w:r>
        <w:rPr>
          <w:rFonts w:hint="eastAsia"/>
          <w:color w:val="auto"/>
          <w:sz w:val="24"/>
          <w:highlight w:val="none"/>
          <w:lang w:eastAsia="zh-CN"/>
        </w:rPr>
        <w:t xml:space="preserve">）</w:t>
      </w:r>
      <w:r>
        <w:rPr>
          <w:rFonts w:hint="eastAsia"/>
          <w:color w:val="auto"/>
          <w:sz w:val="24"/>
          <w:highlight w:val="none"/>
        </w:rPr>
        <w:t xml:space="preserve"> 协调相关的政府部门和单位，为乙方顺利开展工作提供便利。</w:t>
      </w:r>
      <w:r/>
    </w:p>
    <w:p>
      <w:pPr>
        <w:ind w:firstLine="480"/>
        <w:spacing w:line="360" w:lineRule="auto"/>
        <w:rPr>
          <w:color w:val="auto"/>
          <w:sz w:val="24"/>
          <w:highlight w:val="none"/>
        </w:rPr>
      </w:pPr>
      <w:r>
        <w:rPr>
          <w:rFonts w:hint="eastAsia"/>
          <w:color w:val="auto"/>
          <w:sz w:val="24"/>
          <w:highlight w:val="none"/>
          <w:lang w:val="en-US" w:eastAsia="zh-CN"/>
        </w:rPr>
        <w:t xml:space="preserve">2. </w:t>
      </w:r>
      <w:r>
        <w:rPr>
          <w:rFonts w:hint="eastAsia"/>
          <w:color w:val="auto"/>
          <w:sz w:val="24"/>
          <w:highlight w:val="none"/>
        </w:rPr>
        <w:t xml:space="preserve">乙方权利与义务：      </w:t>
      </w:r>
      <w:r/>
    </w:p>
    <w:p>
      <w:pPr>
        <w:ind w:firstLine="48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1</w:t>
      </w:r>
      <w:r>
        <w:rPr>
          <w:rFonts w:hint="eastAsia"/>
          <w:color w:val="auto"/>
          <w:sz w:val="24"/>
          <w:highlight w:val="none"/>
          <w:lang w:eastAsia="zh-CN"/>
        </w:rPr>
        <w:t xml:space="preserve">）</w:t>
      </w:r>
      <w:r>
        <w:rPr>
          <w:rFonts w:hint="eastAsia"/>
          <w:color w:val="auto"/>
          <w:sz w:val="24"/>
          <w:highlight w:val="none"/>
        </w:rPr>
        <w:t xml:space="preserve">乙方应严格遵循招标文件确定的采购内容开展工作。</w:t>
      </w:r>
      <w:r/>
    </w:p>
    <w:p>
      <w:pPr>
        <w:ind w:firstLine="48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2</w:t>
      </w:r>
      <w:r>
        <w:rPr>
          <w:rFonts w:hint="eastAsia"/>
          <w:color w:val="auto"/>
          <w:sz w:val="24"/>
          <w:highlight w:val="none"/>
          <w:lang w:eastAsia="zh-CN"/>
        </w:rPr>
        <w:t xml:space="preserve">）</w:t>
      </w:r>
      <w:r>
        <w:rPr>
          <w:rFonts w:hint="eastAsia"/>
          <w:color w:val="auto"/>
          <w:sz w:val="24"/>
          <w:highlight w:val="none"/>
        </w:rPr>
        <w:t xml:space="preserve">乙方在完成合同项目后，15个工作日之内，向甲方提交相关项目完成情况报告。</w:t>
      </w:r>
      <w:r/>
    </w:p>
    <w:p>
      <w:pPr>
        <w:ind w:firstLine="48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3</w:t>
      </w:r>
      <w:r>
        <w:rPr>
          <w:rFonts w:hint="eastAsia"/>
          <w:color w:val="auto"/>
          <w:sz w:val="24"/>
          <w:highlight w:val="none"/>
          <w:lang w:eastAsia="zh-CN"/>
        </w:rPr>
        <w:t xml:space="preserve">）</w:t>
      </w:r>
      <w:r>
        <w:rPr>
          <w:rFonts w:hint="eastAsia"/>
          <w:color w:val="auto"/>
          <w:sz w:val="24"/>
          <w:highlight w:val="none"/>
        </w:rPr>
        <w:t xml:space="preserve">乙方在履行合同过程中，不得将服务项目委托给第三方。</w:t>
      </w:r>
      <w:r/>
    </w:p>
    <w:p>
      <w:pPr>
        <w:ind w:firstLine="48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4</w:t>
      </w:r>
      <w:r>
        <w:rPr>
          <w:rFonts w:hint="eastAsia"/>
          <w:color w:val="auto"/>
          <w:sz w:val="24"/>
          <w:highlight w:val="none"/>
          <w:lang w:eastAsia="zh-CN"/>
        </w:rPr>
        <w:t xml:space="preserve">）</w:t>
      </w:r>
      <w:r>
        <w:rPr>
          <w:rFonts w:hint="eastAsia"/>
          <w:color w:val="auto"/>
          <w:sz w:val="24"/>
          <w:highlight w:val="none"/>
        </w:rPr>
        <w:t xml:space="preserve">乙方提供给甲方的各类报告的真实性承担相应责任。</w:t>
      </w:r>
      <w:r/>
    </w:p>
    <w:p>
      <w:pPr>
        <w:ind w:firstLine="48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5</w:t>
      </w:r>
      <w:r>
        <w:rPr>
          <w:rFonts w:hint="eastAsia"/>
          <w:color w:val="auto"/>
          <w:sz w:val="24"/>
          <w:highlight w:val="none"/>
          <w:lang w:eastAsia="zh-CN"/>
        </w:rPr>
        <w:t xml:space="preserve">）</w:t>
      </w:r>
      <w:r>
        <w:rPr>
          <w:rFonts w:hint="eastAsia"/>
          <w:color w:val="auto"/>
          <w:sz w:val="24"/>
          <w:highlight w:val="none"/>
        </w:rPr>
        <w:t xml:space="preserve">乙方在履行合同过程中，因不可抗拒原因（如地震、疫情等），造成乙方无法履约开展服务工作的，经甲乙双方协商同意，可延期完成合同。</w:t>
      </w:r>
      <w:r/>
    </w:p>
    <w:p>
      <w:pPr>
        <w:ind w:firstLine="480"/>
        <w:spacing w:line="360" w:lineRule="auto"/>
        <w:rPr>
          <w:color w:val="auto"/>
          <w:sz w:val="24"/>
          <w:highlight w:val="none"/>
        </w:rPr>
      </w:pPr>
      <w:r>
        <w:rPr>
          <w:rFonts w:hint="eastAsia"/>
          <w:color w:val="auto"/>
          <w:sz w:val="24"/>
          <w:highlight w:val="none"/>
        </w:rPr>
        <w:t xml:space="preserve">六、税费</w:t>
      </w:r>
      <w:r/>
    </w:p>
    <w:p>
      <w:pPr>
        <w:ind w:firstLine="480"/>
        <w:spacing w:line="360" w:lineRule="auto"/>
        <w:rPr>
          <w:color w:val="auto"/>
          <w:sz w:val="24"/>
          <w:highlight w:val="none"/>
        </w:rPr>
      </w:pPr>
      <w:r>
        <w:rPr>
          <w:rFonts w:hint="eastAsia"/>
          <w:color w:val="auto"/>
          <w:sz w:val="24"/>
          <w:highlight w:val="none"/>
        </w:rPr>
        <w:t xml:space="preserve">中国政府根据现行税法规定对乙方征收的、与本合同有关的一切税费，均由乙方负担。</w:t>
      </w:r>
      <w:r/>
    </w:p>
    <w:p>
      <w:pPr>
        <w:ind w:firstLine="480"/>
        <w:spacing w:line="360" w:lineRule="auto"/>
        <w:rPr>
          <w:color w:val="auto"/>
          <w:sz w:val="24"/>
          <w:highlight w:val="none"/>
        </w:rPr>
      </w:pPr>
      <w:r>
        <w:rPr>
          <w:rFonts w:hint="eastAsia"/>
          <w:color w:val="auto"/>
          <w:sz w:val="24"/>
          <w:highlight w:val="none"/>
        </w:rPr>
        <w:t xml:space="preserve">七、违约责任</w:t>
      </w:r>
      <w:r/>
    </w:p>
    <w:p>
      <w:pPr>
        <w:ind w:firstLine="480"/>
        <w:spacing w:line="360" w:lineRule="auto"/>
        <w:rPr>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 </w:t>
      </w:r>
      <w:r>
        <w:rPr>
          <w:rFonts w:hint="eastAsia"/>
          <w:color w:val="auto"/>
          <w:sz w:val="24"/>
          <w:highlight w:val="none"/>
        </w:rPr>
        <w:t xml:space="preserve">经甲方验收，乙方服务企业家数不足，按照合同单价扣除相应费用，并再扣除合同金额的10%。甲方组织对乙方服务对象开展满意度调查，满意度低于90%的，扣除合同金额的10%。</w:t>
      </w:r>
      <w:r/>
    </w:p>
    <w:p>
      <w:pPr>
        <w:ind w:firstLine="480"/>
        <w:spacing w:line="360" w:lineRule="auto"/>
        <w:rPr>
          <w:color w:val="auto"/>
          <w:sz w:val="24"/>
          <w:highlight w:val="none"/>
        </w:rPr>
      </w:pPr>
      <w:r>
        <w:rPr>
          <w:rFonts w:hint="eastAsia"/>
          <w:color w:val="auto"/>
          <w:sz w:val="24"/>
          <w:highlight w:val="none"/>
        </w:rPr>
        <w:t xml:space="preserve">2</w:t>
      </w:r>
      <w:r>
        <w:rPr>
          <w:rFonts w:hint="eastAsia"/>
          <w:color w:val="auto"/>
          <w:sz w:val="24"/>
          <w:highlight w:val="none"/>
          <w:lang w:val="en-US" w:eastAsia="zh-CN"/>
        </w:rPr>
        <w:t xml:space="preserve">. </w:t>
      </w:r>
      <w:r>
        <w:rPr>
          <w:rFonts w:hint="eastAsia"/>
          <w:color w:val="auto"/>
          <w:sz w:val="24"/>
          <w:highlight w:val="none"/>
        </w:rPr>
        <w:t xml:space="preserve">甲方对本合同规定的义务未履行或履行不力的，乙方可依法向甲方要求经济赔偿；</w:t>
      </w:r>
      <w:r/>
    </w:p>
    <w:p>
      <w:pPr>
        <w:ind w:firstLine="480"/>
        <w:spacing w:line="360" w:lineRule="auto"/>
        <w:rPr>
          <w:color w:val="auto"/>
          <w:sz w:val="24"/>
          <w:highlight w:val="none"/>
        </w:rPr>
      </w:pPr>
      <w:r>
        <w:rPr>
          <w:rFonts w:hint="eastAsia"/>
          <w:color w:val="auto"/>
          <w:sz w:val="24"/>
          <w:highlight w:val="none"/>
        </w:rPr>
        <w:t xml:space="preserve">3</w:t>
      </w:r>
      <w:r>
        <w:rPr>
          <w:rFonts w:hint="eastAsia"/>
          <w:color w:val="auto"/>
          <w:sz w:val="24"/>
          <w:highlight w:val="none"/>
          <w:lang w:val="en-US" w:eastAsia="zh-CN"/>
        </w:rPr>
        <w:t xml:space="preserve">. </w:t>
      </w:r>
      <w:r>
        <w:rPr>
          <w:rFonts w:hint="eastAsia"/>
          <w:color w:val="auto"/>
          <w:sz w:val="24"/>
          <w:highlight w:val="none"/>
        </w:rPr>
        <w:t xml:space="preserve">乙方对本合同规定的义务未履行或履行不力的，甲方可按相关法律、法规的规定进行处罚，直至取消供应商资格；</w:t>
      </w:r>
      <w:r/>
    </w:p>
    <w:p>
      <w:pPr>
        <w:ind w:firstLine="480"/>
        <w:spacing w:line="360" w:lineRule="auto"/>
        <w:rPr>
          <w:color w:val="auto"/>
          <w:sz w:val="24"/>
          <w:highlight w:val="none"/>
        </w:rPr>
      </w:pPr>
      <w:r>
        <w:rPr>
          <w:rFonts w:hint="eastAsia"/>
          <w:color w:val="auto"/>
          <w:sz w:val="24"/>
          <w:highlight w:val="none"/>
        </w:rPr>
        <w:t xml:space="preserve">4</w:t>
      </w:r>
      <w:r>
        <w:rPr>
          <w:rFonts w:hint="eastAsia"/>
          <w:color w:val="auto"/>
          <w:sz w:val="24"/>
          <w:highlight w:val="none"/>
          <w:lang w:val="en-US" w:eastAsia="zh-CN"/>
        </w:rPr>
        <w:t xml:space="preserve">. </w:t>
      </w:r>
      <w:r>
        <w:rPr>
          <w:rFonts w:hint="eastAsia"/>
          <w:color w:val="auto"/>
          <w:sz w:val="24"/>
          <w:highlight w:val="none"/>
        </w:rPr>
        <w:t xml:space="preserve">甲方、乙方可就违反供应商合同规定或违纪事项向相关部门投诉。</w:t>
      </w:r>
      <w:r/>
    </w:p>
    <w:p>
      <w:pPr>
        <w:ind w:firstLine="480"/>
        <w:spacing w:line="360" w:lineRule="auto"/>
        <w:rPr>
          <w:color w:val="auto"/>
          <w:sz w:val="24"/>
          <w:highlight w:val="none"/>
        </w:rPr>
      </w:pPr>
      <w:r>
        <w:rPr>
          <w:rFonts w:hint="eastAsia"/>
          <w:color w:val="auto"/>
          <w:sz w:val="24"/>
          <w:highlight w:val="none"/>
        </w:rPr>
        <w:t xml:space="preserve">5</w:t>
      </w:r>
      <w:r>
        <w:rPr>
          <w:rFonts w:hint="eastAsia"/>
          <w:color w:val="auto"/>
          <w:sz w:val="24"/>
          <w:highlight w:val="none"/>
          <w:lang w:val="en-US" w:eastAsia="zh-CN"/>
        </w:rPr>
        <w:t xml:space="preserve">. </w:t>
      </w:r>
      <w:r>
        <w:rPr>
          <w:rFonts w:hint="eastAsia"/>
          <w:color w:val="auto"/>
          <w:sz w:val="24"/>
          <w:highlight w:val="none"/>
        </w:rPr>
        <w:t xml:space="preserve">经甲方及相关部门联合核查，如情况属实则投诉有效，将作为有效投诉记录在案。</w:t>
      </w:r>
      <w:r/>
    </w:p>
    <w:p>
      <w:pPr>
        <w:ind w:firstLine="480"/>
        <w:spacing w:line="360" w:lineRule="auto"/>
        <w:rPr>
          <w:color w:val="auto"/>
          <w:sz w:val="24"/>
          <w:highlight w:val="none"/>
        </w:rPr>
      </w:pPr>
      <w:r>
        <w:rPr>
          <w:rFonts w:hint="eastAsia"/>
          <w:color w:val="auto"/>
          <w:sz w:val="24"/>
          <w:highlight w:val="none"/>
        </w:rPr>
        <w:t xml:space="preserve">八、不可抗力</w:t>
      </w:r>
      <w:r/>
    </w:p>
    <w:p>
      <w:pPr>
        <w:ind w:firstLine="480"/>
        <w:spacing w:line="360" w:lineRule="auto"/>
        <w:rPr>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 </w:t>
      </w:r>
      <w:r>
        <w:rPr>
          <w:rFonts w:hint="eastAsia"/>
          <w:color w:val="auto"/>
          <w:sz w:val="24"/>
          <w:highlight w:val="none"/>
        </w:rPr>
        <w:t xml:space="preserve">甲、乙双方如果因不可抗力而导致合同义务的延误或不能履行，误期赔偿或终止合同的责任。</w:t>
      </w:r>
      <w:r/>
    </w:p>
    <w:p>
      <w:pPr>
        <w:ind w:firstLine="480"/>
        <w:spacing w:line="360" w:lineRule="auto"/>
        <w:rPr>
          <w:color w:val="auto"/>
          <w:sz w:val="24"/>
          <w:highlight w:val="none"/>
        </w:rPr>
      </w:pPr>
      <w:r>
        <w:rPr>
          <w:rFonts w:hint="eastAsia"/>
          <w:color w:val="auto"/>
          <w:sz w:val="24"/>
          <w:highlight w:val="none"/>
        </w:rPr>
        <w:t xml:space="preserve">2</w:t>
      </w:r>
      <w:r>
        <w:rPr>
          <w:rFonts w:hint="eastAsia"/>
          <w:color w:val="auto"/>
          <w:sz w:val="24"/>
          <w:highlight w:val="none"/>
          <w:lang w:val="en-US" w:eastAsia="zh-CN"/>
        </w:rPr>
        <w:t xml:space="preserve">. </w:t>
      </w:r>
      <w:r>
        <w:rPr>
          <w:rFonts w:hint="eastAsia"/>
          <w:color w:val="auto"/>
          <w:sz w:val="24"/>
          <w:highlight w:val="none"/>
        </w:rPr>
        <w:t xml:space="preserve">本条所述的“不可抗力”系指下列甲、乙双方无法控制、不可预见的事件，但不包括甲、乙双方的违约或疏忽。这些事件包括：战争、严重火灾、洪水、台风、地震以及其他甲方和乙方商定的事件。</w:t>
      </w:r>
      <w:r/>
    </w:p>
    <w:p>
      <w:pPr>
        <w:ind w:firstLine="480"/>
        <w:spacing w:line="360" w:lineRule="auto"/>
        <w:rPr>
          <w:sz w:val="24"/>
        </w:rPr>
      </w:pPr>
      <w:r>
        <w:rPr>
          <w:rFonts w:hint="eastAsia"/>
          <w:color w:val="auto"/>
          <w:sz w:val="24"/>
          <w:highlight w:val="none"/>
        </w:rPr>
        <w:t xml:space="preserve">3</w:t>
      </w:r>
      <w:r>
        <w:rPr>
          <w:rFonts w:hint="eastAsia"/>
          <w:color w:val="auto"/>
          <w:sz w:val="24"/>
          <w:highlight w:val="none"/>
          <w:lang w:val="en-US" w:eastAsia="zh-CN"/>
        </w:rPr>
        <w:t xml:space="preserve">. </w:t>
      </w:r>
      <w:r>
        <w:rPr>
          <w:rFonts w:hint="eastAsia"/>
          <w:color w:val="auto"/>
          <w:sz w:val="24"/>
          <w:highlight w:val="none"/>
        </w:rPr>
        <w:t xml:space="preserve">在不可抗力事件发生后，受影响的一方</w:t>
      </w:r>
      <w:r>
        <w:rPr>
          <w:rFonts w:hint="eastAsia"/>
          <w:sz w:val="24"/>
        </w:rPr>
        <w:t xml:space="preserve">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供应商义务的协议。</w:t>
      </w:r>
      <w:r/>
    </w:p>
    <w:p>
      <w:pPr>
        <w:ind w:firstLine="480"/>
        <w:spacing w:line="360" w:lineRule="auto"/>
        <w:rPr>
          <w:sz w:val="24"/>
        </w:rPr>
      </w:pPr>
      <w:r>
        <w:rPr>
          <w:rFonts w:hint="eastAsia"/>
          <w:sz w:val="24"/>
        </w:rPr>
        <w:t xml:space="preserve">4</w:t>
      </w:r>
      <w:r>
        <w:rPr>
          <w:rFonts w:hint="eastAsia"/>
          <w:sz w:val="24"/>
          <w:lang w:val="en-US" w:eastAsia="zh-CN"/>
        </w:rPr>
        <w:t xml:space="preserve">. </w:t>
      </w:r>
      <w:r>
        <w:rPr>
          <w:rFonts w:hint="eastAsia"/>
          <w:sz w:val="24"/>
        </w:rPr>
        <w:t xml:space="preserve">对出具虚假报告的或有欺报瞒报行为的，由园区应急局核实后将该第三方服务机构列入园区失信“黑名单”向社会公布，并抄报市应急管理局。园区应急局将强化过程督查，对工作考核不合格的中标单位将进入园区失信企业名单。</w:t>
      </w:r>
      <w:r/>
    </w:p>
    <w:p>
      <w:pPr>
        <w:ind w:firstLine="480"/>
        <w:spacing w:line="360" w:lineRule="auto"/>
        <w:rPr>
          <w:sz w:val="24"/>
        </w:rPr>
      </w:pPr>
      <w:r>
        <w:rPr>
          <w:rFonts w:hint="eastAsia"/>
          <w:sz w:val="24"/>
        </w:rPr>
        <w:t xml:space="preserve">九、合同的解除：</w:t>
      </w:r>
      <w:r/>
    </w:p>
    <w:p>
      <w:pPr>
        <w:ind w:firstLine="480"/>
        <w:spacing w:line="360" w:lineRule="auto"/>
        <w:rPr>
          <w:sz w:val="24"/>
        </w:rPr>
      </w:pPr>
      <w:r>
        <w:rPr>
          <w:rFonts w:hint="eastAsia"/>
          <w:sz w:val="24"/>
        </w:rPr>
        <w:t xml:space="preserve">1</w:t>
      </w:r>
      <w:r>
        <w:rPr>
          <w:rFonts w:hint="eastAsia"/>
          <w:sz w:val="24"/>
          <w:lang w:val="en-US" w:eastAsia="zh-CN"/>
        </w:rPr>
        <w:t xml:space="preserve">. </w:t>
      </w:r>
      <w:r>
        <w:rPr>
          <w:rFonts w:hint="eastAsia"/>
          <w:sz w:val="24"/>
        </w:rPr>
        <w:t xml:space="preserve">甲方和乙方协商一致，可以解除合同。</w:t>
      </w:r>
      <w:r/>
    </w:p>
    <w:p>
      <w:pPr>
        <w:ind w:firstLine="480"/>
        <w:spacing w:line="360" w:lineRule="auto"/>
        <w:rPr>
          <w:sz w:val="24"/>
        </w:rPr>
      </w:pPr>
      <w:r>
        <w:rPr>
          <w:rFonts w:hint="eastAsia"/>
          <w:sz w:val="24"/>
        </w:rPr>
        <w:t xml:space="preserve">2</w:t>
      </w:r>
      <w:r>
        <w:rPr>
          <w:rFonts w:hint="eastAsia"/>
          <w:sz w:val="24"/>
          <w:lang w:val="en-US" w:eastAsia="zh-CN"/>
        </w:rPr>
        <w:t xml:space="preserve">. </w:t>
      </w:r>
      <w:r>
        <w:rPr>
          <w:rFonts w:hint="eastAsia"/>
          <w:sz w:val="24"/>
        </w:rPr>
        <w:t xml:space="preserve">有权解除合同的一方，应当在违约事实或不可抗力发生之后三十天内书面通知对方提出解除合同，合同在书面通知到达对方时解除。</w:t>
      </w:r>
      <w:r/>
    </w:p>
    <w:p>
      <w:pPr>
        <w:ind w:firstLine="480"/>
        <w:spacing w:line="360" w:lineRule="auto"/>
        <w:rPr>
          <w:sz w:val="24"/>
        </w:rPr>
      </w:pPr>
      <w:r>
        <w:rPr>
          <w:rFonts w:hint="eastAsia"/>
          <w:sz w:val="24"/>
        </w:rPr>
        <w:t xml:space="preserve">3</w:t>
      </w:r>
      <w:r>
        <w:rPr>
          <w:rFonts w:hint="eastAsia"/>
          <w:sz w:val="24"/>
          <w:lang w:val="en-US" w:eastAsia="zh-CN"/>
        </w:rPr>
        <w:t xml:space="preserve">. </w:t>
      </w:r>
      <w:r>
        <w:rPr>
          <w:rFonts w:hint="eastAsia"/>
          <w:sz w:val="24"/>
        </w:rPr>
        <w:t xml:space="preserve">合同的部分和全部都不得擅自转让。</w:t>
      </w:r>
      <w:r/>
    </w:p>
    <w:p>
      <w:pPr>
        <w:ind w:firstLine="480"/>
        <w:spacing w:line="360" w:lineRule="auto"/>
        <w:rPr>
          <w:sz w:val="24"/>
        </w:rPr>
      </w:pPr>
      <w:r>
        <w:rPr>
          <w:rFonts w:hint="eastAsia"/>
          <w:sz w:val="24"/>
        </w:rPr>
        <w:t xml:space="preserve">4</w:t>
      </w:r>
      <w:r>
        <w:rPr>
          <w:rFonts w:hint="eastAsia"/>
          <w:sz w:val="24"/>
          <w:lang w:val="en-US" w:eastAsia="zh-CN"/>
        </w:rPr>
        <w:t xml:space="preserve">. </w:t>
      </w:r>
      <w:r>
        <w:rPr>
          <w:rFonts w:hint="eastAsia"/>
          <w:sz w:val="24"/>
        </w:rPr>
        <w:t xml:space="preserve">出现下列情况之一，甲方可以解除合同：</w:t>
      </w:r>
      <w:r/>
    </w:p>
    <w:p>
      <w:pPr>
        <w:ind w:firstLine="480"/>
        <w:spacing w:line="360" w:lineRule="auto"/>
        <w:rPr>
          <w:sz w:val="24"/>
        </w:rPr>
      </w:pPr>
      <w:r>
        <w:rPr>
          <w:rFonts w:hint="eastAsia"/>
          <w:sz w:val="24"/>
        </w:rPr>
        <w:t xml:space="preserve">（1）对乙方有效投诉记录累计达3次；</w:t>
      </w:r>
      <w:r/>
    </w:p>
    <w:p>
      <w:pPr>
        <w:ind w:firstLine="480"/>
        <w:spacing w:line="360" w:lineRule="auto"/>
        <w:rPr>
          <w:sz w:val="24"/>
        </w:rPr>
      </w:pPr>
      <w:r>
        <w:rPr>
          <w:rFonts w:hint="eastAsia"/>
          <w:sz w:val="24"/>
        </w:rPr>
        <w:t xml:space="preserve">（2）在合同有效期内，被主管部门取消经营资格的；</w:t>
      </w:r>
      <w:r/>
    </w:p>
    <w:p>
      <w:pPr>
        <w:ind w:firstLine="480"/>
        <w:spacing w:line="360" w:lineRule="auto"/>
        <w:rPr>
          <w:sz w:val="24"/>
        </w:rPr>
      </w:pPr>
      <w:r>
        <w:rPr>
          <w:rFonts w:hint="eastAsia"/>
          <w:sz w:val="24"/>
        </w:rPr>
        <w:t xml:space="preserve">（3）在合同有效期内，乙方擅自变更、转让、租借供应商资格的；</w:t>
      </w:r>
      <w:r/>
    </w:p>
    <w:p>
      <w:pPr>
        <w:ind w:firstLine="480"/>
        <w:spacing w:line="360" w:lineRule="auto"/>
        <w:rPr>
          <w:sz w:val="24"/>
        </w:rPr>
      </w:pPr>
      <w:r>
        <w:rPr>
          <w:rFonts w:hint="eastAsia"/>
          <w:sz w:val="24"/>
        </w:rPr>
        <w:t xml:space="preserve">（4）不如实反映情况，提供虚假材料的。</w:t>
      </w:r>
      <w:r/>
    </w:p>
    <w:p>
      <w:pPr>
        <w:ind w:firstLine="480"/>
        <w:spacing w:line="360" w:lineRule="auto"/>
        <w:rPr>
          <w:sz w:val="24"/>
        </w:rPr>
      </w:pPr>
      <w:r>
        <w:rPr>
          <w:rFonts w:hint="eastAsia"/>
          <w:sz w:val="24"/>
        </w:rPr>
        <w:t xml:space="preserve">5</w:t>
      </w:r>
      <w:r>
        <w:rPr>
          <w:rFonts w:hint="eastAsia"/>
          <w:sz w:val="24"/>
          <w:lang w:val="en-US" w:eastAsia="zh-CN"/>
        </w:rPr>
        <w:t xml:space="preserve">. </w:t>
      </w:r>
      <w:r>
        <w:rPr>
          <w:rFonts w:hint="eastAsia"/>
          <w:sz w:val="24"/>
        </w:rPr>
        <w:t xml:space="preserve">如果乙方破产、解散、清算、停业以及其他原因无法提供服务的，甲方可在任何时间以书面形式通知取消其供应商资格。</w:t>
      </w:r>
      <w:r/>
    </w:p>
    <w:p>
      <w:pPr>
        <w:ind w:firstLine="480"/>
        <w:spacing w:line="360" w:lineRule="auto"/>
        <w:rPr>
          <w:sz w:val="24"/>
        </w:rPr>
      </w:pPr>
      <w:r>
        <w:rPr>
          <w:rFonts w:hint="eastAsia"/>
          <w:sz w:val="24"/>
        </w:rPr>
        <w:t xml:space="preserve">十、争议处置</w:t>
      </w:r>
      <w:r/>
    </w:p>
    <w:p>
      <w:pPr>
        <w:ind w:firstLine="480"/>
        <w:spacing w:line="360" w:lineRule="auto"/>
        <w:rPr>
          <w:sz w:val="24"/>
        </w:rPr>
      </w:pPr>
      <w:r>
        <w:rPr>
          <w:rFonts w:hint="eastAsia"/>
          <w:sz w:val="24"/>
        </w:rPr>
        <w:t xml:space="preserve">1</w:t>
      </w:r>
      <w:r>
        <w:rPr>
          <w:rFonts w:hint="eastAsia"/>
          <w:sz w:val="24"/>
          <w:lang w:val="en-US" w:eastAsia="zh-CN"/>
        </w:rPr>
        <w:t xml:space="preserve">. </w:t>
      </w:r>
      <w:r>
        <w:rPr>
          <w:rFonts w:hint="eastAsia"/>
          <w:sz w:val="24"/>
        </w:rPr>
        <w:t xml:space="preserve">在执行本合同中所发生的一切争议，甲、乙双方应通过友好协商的办法进行解决，如协商不能解决的，可提请苏州仲裁委员会按照该会仲裁规则进行仲裁。</w:t>
      </w:r>
      <w:r/>
    </w:p>
    <w:p>
      <w:pPr>
        <w:ind w:firstLine="480"/>
        <w:spacing w:line="360" w:lineRule="auto"/>
        <w:rPr>
          <w:sz w:val="24"/>
        </w:rPr>
      </w:pPr>
      <w:r>
        <w:rPr>
          <w:rFonts w:hint="eastAsia"/>
          <w:sz w:val="24"/>
        </w:rPr>
        <w:t xml:space="preserve">2</w:t>
      </w:r>
      <w:r>
        <w:rPr>
          <w:rFonts w:hint="eastAsia"/>
          <w:sz w:val="24"/>
          <w:lang w:val="en-US" w:eastAsia="zh-CN"/>
        </w:rPr>
        <w:t xml:space="preserve">.</w:t>
      </w:r>
      <w:r>
        <w:rPr>
          <w:rFonts w:hint="eastAsia"/>
          <w:sz w:val="24"/>
        </w:rPr>
        <w:t xml:space="preserve"> 仲裁裁决为最终裁决，对当事各方均有约束力。</w:t>
      </w:r>
      <w:r/>
    </w:p>
    <w:p>
      <w:pPr>
        <w:ind w:firstLine="480"/>
        <w:spacing w:line="360" w:lineRule="auto"/>
        <w:rPr>
          <w:sz w:val="24"/>
        </w:rPr>
      </w:pPr>
      <w:r>
        <w:rPr>
          <w:rFonts w:hint="eastAsia"/>
          <w:sz w:val="24"/>
        </w:rPr>
        <w:t xml:space="preserve">十一、合同生效及其它：</w:t>
      </w:r>
      <w:r/>
    </w:p>
    <w:p>
      <w:pPr>
        <w:ind w:firstLine="480"/>
        <w:spacing w:line="360" w:lineRule="auto"/>
        <w:rPr>
          <w:sz w:val="24"/>
        </w:rPr>
      </w:pPr>
      <w:r>
        <w:rPr>
          <w:rFonts w:hint="eastAsia"/>
          <w:sz w:val="24"/>
        </w:rPr>
        <w:t xml:space="preserve">1</w:t>
      </w:r>
      <w:r>
        <w:rPr>
          <w:rFonts w:hint="eastAsia"/>
          <w:sz w:val="24"/>
          <w:lang w:val="en-US" w:eastAsia="zh-CN"/>
        </w:rPr>
        <w:t xml:space="preserve">. </w:t>
      </w:r>
      <w:r>
        <w:rPr>
          <w:rFonts w:hint="eastAsia"/>
          <w:sz w:val="24"/>
        </w:rPr>
        <w:t xml:space="preserve">本合同经甲乙双方签字并盖章后方生效。</w:t>
      </w:r>
      <w:r/>
    </w:p>
    <w:p>
      <w:pPr>
        <w:ind w:firstLine="480"/>
        <w:spacing w:line="360" w:lineRule="auto"/>
        <w:rPr>
          <w:sz w:val="24"/>
        </w:rPr>
      </w:pPr>
      <w:r>
        <w:rPr>
          <w:rFonts w:hint="eastAsia"/>
          <w:sz w:val="24"/>
        </w:rPr>
        <w:t xml:space="preserve">2</w:t>
      </w:r>
      <w:r>
        <w:rPr>
          <w:rFonts w:hint="eastAsia"/>
          <w:sz w:val="24"/>
          <w:lang w:val="en-US" w:eastAsia="zh-CN"/>
        </w:rPr>
        <w:t xml:space="preserve">. </w:t>
      </w:r>
      <w:r>
        <w:rPr>
          <w:rFonts w:hint="eastAsia"/>
          <w:sz w:val="24"/>
        </w:rPr>
        <w:t xml:space="preserve">合同在执行过程中出现的未尽事宜，双方在不违背本合同的原则下协商解决，协商结果以书面形式记录在案，作为本合同附件，与本合同具有同等效力。</w:t>
      </w:r>
      <w:r/>
    </w:p>
    <w:p>
      <w:pPr>
        <w:ind w:firstLine="480"/>
        <w:spacing w:line="360" w:lineRule="auto"/>
        <w:rPr>
          <w:sz w:val="24"/>
        </w:rPr>
      </w:pPr>
      <w:r>
        <w:rPr>
          <w:rFonts w:hint="eastAsia"/>
          <w:sz w:val="24"/>
        </w:rPr>
        <w:t xml:space="preserve">十二、本合同一式四份，签订合同的单位各执一份，招标代理机构一份，苏州市工业园区政府采购监管部门一份。</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甲方：                                   乙方：                      </w:t>
      </w:r>
      <w:r/>
    </w:p>
    <w:p>
      <w:pPr>
        <w:ind w:firstLine="480"/>
        <w:spacing w:line="360" w:lineRule="auto"/>
        <w:rPr>
          <w:sz w:val="24"/>
        </w:rPr>
      </w:pPr>
      <w:r>
        <w:rPr>
          <w:rFonts w:hint="eastAsia"/>
          <w:sz w:val="24"/>
        </w:rPr>
        <w:t xml:space="preserve">法定代表人（授权代表）：                 法定代表人（授权代表）：     </w:t>
      </w:r>
      <w:r/>
    </w:p>
    <w:p>
      <w:pPr>
        <w:ind w:firstLine="480"/>
        <w:spacing w:line="360" w:lineRule="auto"/>
        <w:rPr>
          <w:sz w:val="24"/>
        </w:rPr>
      </w:pPr>
      <w:r>
        <w:rPr>
          <w:rFonts w:hint="eastAsia"/>
          <w:sz w:val="24"/>
        </w:rPr>
        <w:t xml:space="preserve">签约日期：                               签约日期：</w:t>
      </w:r>
      <w:r/>
    </w:p>
    <w:p>
      <w:pPr>
        <w:rPr>
          <w:b/>
          <w:bCs/>
        </w:rPr>
      </w:pPr>
      <w:r>
        <w:rPr>
          <w:rFonts w:hint="eastAsia"/>
          <w:b/>
          <w:bCs/>
        </w:rPr>
        <w:br w:type="page" w:clear="all"/>
      </w:r>
      <w:r/>
    </w:p>
    <w:p>
      <w:pPr>
        <w:pStyle w:val="907"/>
        <w:jc w:val="center"/>
        <w:rPr>
          <w:b/>
          <w:bCs/>
        </w:rPr>
      </w:pPr>
      <w:r/>
      <w:bookmarkStart w:id="23" w:name="_Toc4880"/>
      <w:r>
        <w:rPr>
          <w:rFonts w:hint="eastAsia"/>
          <w:b/>
          <w:bCs/>
        </w:rPr>
        <w:t xml:space="preserve">第六章  磋商响应文件格式</w:t>
      </w:r>
      <w:bookmarkEnd w:id="23"/>
      <w:r/>
      <w:r/>
    </w:p>
    <w:p>
      <w:pPr>
        <w:pStyle w:val="1123"/>
        <w:spacing w:before="75" w:beforeAutospacing="0" w:after="75" w:afterAutospacing="0" w:line="360" w:lineRule="auto"/>
        <w:widowControl/>
        <w:rPr>
          <w:rStyle w:val="1127"/>
          <w:rFonts w:ascii="宋体" w:hAnsi="宋体" w:cs="宋体"/>
        </w:rPr>
      </w:pPr>
      <w:r>
        <w:rPr>
          <w:rStyle w:val="1127"/>
          <w:rFonts w:hint="eastAsia" w:ascii="宋体" w:hAnsi="宋体" w:cs="宋体"/>
        </w:rPr>
        <w:t xml:space="preserve">说明：</w:t>
      </w:r>
      <w:r/>
    </w:p>
    <w:p>
      <w:pPr>
        <w:pStyle w:val="1123"/>
        <w:ind w:firstLine="480"/>
        <w:spacing w:before="75" w:beforeAutospacing="0" w:after="75" w:afterAutospacing="0" w:line="360" w:lineRule="auto"/>
        <w:widowControl/>
        <w:rPr>
          <w:rStyle w:val="1127"/>
          <w:rFonts w:ascii="宋体" w:hAnsi="宋体" w:cs="宋体"/>
          <w:b w:val="0"/>
          <w:bCs/>
        </w:rPr>
      </w:pPr>
      <w:r>
        <w:rPr>
          <w:rStyle w:val="1127"/>
          <w:rFonts w:hint="eastAsia" w:ascii="宋体" w:hAnsi="宋体" w:cs="宋体"/>
          <w:b w:val="0"/>
          <w:bCs/>
        </w:rPr>
        <w:t xml:space="preserve">对本章所有的格式，供应商可根据自身情况进行补充和修改，但补充和修改不得造成与本格式内容有实质性的违背。</w:t>
      </w:r>
      <w:r/>
    </w:p>
    <w:p>
      <w:pPr>
        <w:pStyle w:val="1123"/>
        <w:spacing w:before="75" w:beforeAutospacing="0" w:after="75" w:afterAutospacing="0" w:line="360" w:lineRule="auto"/>
        <w:widowControl/>
        <w:rPr>
          <w:rFonts w:ascii="sans-serif" w:hAnsi="sans-serif" w:eastAsia="sans-serif" w:cs="sans-serif"/>
          <w:bCs/>
          <w:sz w:val="20"/>
          <w:szCs w:val="20"/>
        </w:rPr>
      </w:pPr>
      <w:r>
        <w:rPr>
          <w:rStyle w:val="1127"/>
          <w:rFonts w:hint="eastAsia" w:ascii="宋体" w:hAnsi="宋体" w:cs="宋体"/>
          <w:b w:val="0"/>
          <w:bCs/>
        </w:rPr>
        <w:t xml:space="preserve"> </w:t>
      </w:r>
      <w:r/>
    </w:p>
    <w:p>
      <w:pPr>
        <w:spacing w:line="360" w:lineRule="auto"/>
        <w:rPr>
          <w:rFonts w:ascii="宋体" w:hAnsi="宋体" w:cs="宋体"/>
          <w:spacing w:val="6"/>
          <w:sz w:val="24"/>
        </w:rPr>
      </w:pPr>
      <w:r>
        <w:rPr>
          <w:rFonts w:ascii="宋体" w:hAnsi="宋体" w:cs="宋体"/>
          <w:spacing w:val="6"/>
          <w:sz w:val="24"/>
        </w:rPr>
      </w:r>
      <w:r/>
    </w:p>
    <w:p>
      <w:pPr>
        <w:pStyle w:val="1123"/>
        <w:spacing w:before="75" w:beforeAutospacing="0" w:after="75" w:afterAutospacing="0" w:line="495" w:lineRule="atLeast"/>
        <w:widowControl/>
        <w:rPr>
          <w:rFonts w:ascii="宋体" w:hAnsi="宋体" w:cs="宋体"/>
        </w:rPr>
        <w:sectPr>
          <w:headerReference w:type="default" r:id="rId9"/>
          <w:footerReference w:type="default" r:id="rId13"/>
          <w:footnotePr/>
          <w:endnotePr/>
          <w:type w:val="nextPage"/>
          <w:pgSz w:w="11906" w:h="16838" w:orient="portrait"/>
          <w:pgMar w:top="1440" w:right="748" w:bottom="1440" w:left="969" w:header="851" w:footer="992" w:gutter="0"/>
          <w:cols w:num="1" w:sep="0" w:space="1701" w:equalWidth="1"/>
          <w:docGrid w:linePitch="360"/>
        </w:sectPr>
      </w:pPr>
      <w:r>
        <w:rPr>
          <w:rFonts w:ascii="宋体" w:hAnsi="宋体" w:cs="宋体"/>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附件1</w:t>
      </w:r>
      <w:r/>
    </w:p>
    <w:p>
      <w:pPr>
        <w:pStyle w:val="1123"/>
        <w:jc w:val="center"/>
        <w:spacing w:before="75" w:beforeAutospacing="0" w:after="75" w:afterAutospacing="0" w:line="495" w:lineRule="atLeast"/>
        <w:widowControl/>
        <w:rPr>
          <w:rFonts w:ascii="宋体" w:hAnsi="宋体" w:cs="宋体"/>
        </w:rPr>
      </w:pPr>
      <w:r>
        <w:rPr>
          <w:rFonts w:hint="eastAsia" w:ascii="宋体" w:hAnsi="宋体" w:cs="宋体"/>
          <w:b/>
          <w:bCs/>
        </w:rPr>
        <w:t xml:space="preserve">开标一览表</w:t>
      </w:r>
      <w:r/>
    </w:p>
    <w:p>
      <w:pPr>
        <w:pStyle w:val="1123"/>
        <w:spacing w:before="75" w:beforeAutospacing="0" w:after="75" w:afterAutospacing="0" w:line="495" w:lineRule="atLeast"/>
        <w:widowControl/>
        <w:rPr>
          <w:rFonts w:ascii="宋体" w:hAnsi="宋体" w:cs="宋体"/>
        </w:rPr>
      </w:pPr>
      <w:r>
        <w:rPr>
          <w:rFonts w:hint="eastAsia" w:ascii="宋体" w:hAnsi="宋体" w:cs="宋体"/>
        </w:rPr>
        <w:t xml:space="preserve">    </w:t>
      </w:r>
      <w:r/>
    </w:p>
    <w:p>
      <w:pPr>
        <w:pStyle w:val="1123"/>
        <w:spacing w:before="75" w:beforeAutospacing="0" w:after="75" w:afterAutospacing="0" w:line="495" w:lineRule="atLeast"/>
        <w:widowControl/>
        <w:rPr>
          <w:rFonts w:ascii="宋体" w:hAnsi="宋体" w:cs="宋体"/>
        </w:rPr>
      </w:pPr>
      <w:r>
        <w:rPr>
          <w:rFonts w:hint="eastAsia" w:ascii="宋体" w:hAnsi="宋体" w:cs="宋体"/>
        </w:rPr>
        <w:t xml:space="preserve">采购编号：</w:t>
      </w:r>
      <w:r/>
    </w:p>
    <w:tbl>
      <w:tblPr>
        <w:tblStyle w:val="91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684"/>
        <w:gridCol w:w="2518"/>
        <w:gridCol w:w="1722"/>
      </w:tblGrid>
      <w:tr>
        <w:trPr>
          <w:jc w:val="center"/>
          <w:trHeight w:val="567"/>
        </w:trPr>
        <w:tc>
          <w:tcPr>
            <w:tcBorders>
              <w:top w:val="single" w:color="auto" w:sz="4" w:space="0"/>
              <w:left w:val="single" w:color="auto" w:sz="4" w:space="0"/>
              <w:bottom w:val="single" w:color="auto" w:sz="4" w:space="0"/>
              <w:right w:val="single" w:color="auto" w:sz="4" w:space="0"/>
            </w:tcBorders>
            <w:tcW w:w="3684" w:type="dxa"/>
            <w:vAlign w:val="center"/>
            <w:textDirection w:val="lrTb"/>
            <w:noWrap w:val="false"/>
          </w:tcPr>
          <w:p>
            <w:pPr>
              <w:pStyle w:val="1158"/>
              <w:jc w:val="center"/>
              <w:spacing w:line="400" w:lineRule="exact"/>
              <w:rPr>
                <w:rFonts w:hAnsi="宋体" w:eastAsia="宋体"/>
                <w:color w:val="000000"/>
                <w:sz w:val="24"/>
                <w:szCs w:val="24"/>
              </w:rPr>
            </w:pPr>
            <w:r>
              <w:rPr>
                <w:rFonts w:hint="eastAsia" w:hAnsi="宋体" w:eastAsia="宋体"/>
                <w:color w:val="000000"/>
                <w:sz w:val="24"/>
                <w:szCs w:val="24"/>
              </w:rPr>
              <w:t xml:space="preserve">项目名称</w:t>
            </w:r>
            <w:r/>
          </w:p>
        </w:tc>
        <w:tc>
          <w:tcPr>
            <w:tcBorders>
              <w:top w:val="single" w:color="auto" w:sz="4" w:space="0"/>
              <w:left w:val="none" w:color="000000" w:sz="4" w:space="0"/>
              <w:bottom w:val="single" w:color="auto" w:sz="4" w:space="0"/>
              <w:right w:val="single" w:color="auto" w:sz="4" w:space="0"/>
            </w:tcBorders>
            <w:tcW w:w="2518" w:type="dxa"/>
            <w:vAlign w:val="center"/>
            <w:textDirection w:val="lrTb"/>
            <w:noWrap w:val="false"/>
          </w:tcPr>
          <w:p>
            <w:pPr>
              <w:pStyle w:val="1158"/>
              <w:jc w:val="center"/>
              <w:spacing w:line="400" w:lineRule="exact"/>
              <w:rPr>
                <w:rFonts w:hAnsi="宋体" w:eastAsia="宋体"/>
                <w:color w:val="000000"/>
                <w:sz w:val="24"/>
                <w:szCs w:val="24"/>
              </w:rPr>
            </w:pPr>
            <w:r>
              <w:rPr>
                <w:rFonts w:hint="eastAsia" w:hAnsi="宋体" w:eastAsia="宋体"/>
                <w:color w:val="000000"/>
                <w:sz w:val="24"/>
                <w:szCs w:val="24"/>
              </w:rPr>
              <w:t xml:space="preserve">磋商响应报价（元）</w:t>
            </w:r>
            <w:r/>
          </w:p>
        </w:tc>
        <w:tc>
          <w:tcPr>
            <w:tcBorders>
              <w:top w:val="single" w:color="auto" w:sz="4" w:space="0"/>
              <w:left w:val="none" w:color="000000" w:sz="4" w:space="0"/>
              <w:bottom w:val="single" w:color="auto" w:sz="4" w:space="0"/>
              <w:right w:val="single" w:color="auto" w:sz="4" w:space="0"/>
            </w:tcBorders>
            <w:tcW w:w="1722" w:type="dxa"/>
            <w:vAlign w:val="center"/>
            <w:textDirection w:val="lrTb"/>
            <w:noWrap w:val="false"/>
          </w:tcPr>
          <w:p>
            <w:pPr>
              <w:pStyle w:val="1158"/>
              <w:jc w:val="center"/>
              <w:spacing w:line="400" w:lineRule="exact"/>
              <w:rPr>
                <w:rFonts w:hAnsi="宋体" w:eastAsia="宋体"/>
                <w:color w:val="000000"/>
                <w:sz w:val="24"/>
                <w:szCs w:val="24"/>
              </w:rPr>
            </w:pPr>
            <w:r>
              <w:rPr>
                <w:rFonts w:hint="eastAsia" w:hAnsi="宋体" w:eastAsia="宋体"/>
                <w:color w:val="000000"/>
                <w:sz w:val="24"/>
                <w:szCs w:val="24"/>
              </w:rPr>
              <w:t xml:space="preserve">服务期</w:t>
            </w:r>
            <w:r/>
          </w:p>
        </w:tc>
      </w:tr>
      <w:tr>
        <w:trPr>
          <w:jc w:val="center"/>
          <w:trHeight w:val="1196"/>
        </w:trPr>
        <w:tc>
          <w:tcPr>
            <w:tcBorders>
              <w:top w:val="single" w:color="auto" w:sz="4" w:space="0"/>
              <w:left w:val="single" w:color="auto" w:sz="4" w:space="0"/>
              <w:bottom w:val="single" w:color="auto" w:sz="4" w:space="0"/>
              <w:right w:val="single" w:color="auto" w:sz="4" w:space="0"/>
            </w:tcBorders>
            <w:tcW w:w="3684" w:type="dxa"/>
            <w:vAlign w:val="center"/>
            <w:textDirection w:val="lrTb"/>
            <w:noWrap w:val="false"/>
          </w:tcPr>
          <w:p>
            <w:pPr>
              <w:pStyle w:val="1158"/>
              <w:jc w:val="center"/>
              <w:spacing w:line="400" w:lineRule="exact"/>
              <w:rPr>
                <w:rFonts w:hAnsi="宋体" w:eastAsia="宋体"/>
                <w:color w:val="000000"/>
                <w:sz w:val="24"/>
                <w:szCs w:val="24"/>
              </w:rPr>
            </w:pPr>
            <w:r>
              <w:rPr>
                <w:rFonts w:hAnsi="宋体" w:eastAsia="宋体"/>
                <w:color w:val="000000"/>
                <w:sz w:val="24"/>
                <w:szCs w:val="24"/>
              </w:rPr>
            </w:r>
            <w:r/>
          </w:p>
        </w:tc>
        <w:tc>
          <w:tcPr>
            <w:tcBorders>
              <w:top w:val="single" w:color="auto" w:sz="4" w:space="0"/>
              <w:left w:val="none" w:color="000000" w:sz="4" w:space="0"/>
              <w:bottom w:val="single" w:color="auto" w:sz="4" w:space="0"/>
              <w:right w:val="single" w:color="auto" w:sz="4" w:space="0"/>
            </w:tcBorders>
            <w:tcW w:w="2518" w:type="dxa"/>
            <w:vAlign w:val="center"/>
            <w:textDirection w:val="lrTb"/>
            <w:noWrap w:val="false"/>
          </w:tcPr>
          <w:p>
            <w:pPr>
              <w:pStyle w:val="1158"/>
              <w:jc w:val="center"/>
              <w:spacing w:line="400" w:lineRule="exact"/>
              <w:rPr>
                <w:rFonts w:hAnsi="宋体" w:eastAsia="宋体"/>
                <w:color w:val="000000"/>
                <w:sz w:val="24"/>
                <w:szCs w:val="24"/>
              </w:rPr>
            </w:pPr>
            <w:r>
              <w:rPr>
                <w:rFonts w:hAnsi="宋体" w:eastAsia="宋体"/>
                <w:color w:val="000000"/>
                <w:sz w:val="24"/>
                <w:szCs w:val="24"/>
              </w:rPr>
            </w:r>
            <w:r/>
          </w:p>
        </w:tc>
        <w:tc>
          <w:tcPr>
            <w:tcBorders>
              <w:top w:val="single" w:color="auto" w:sz="4" w:space="0"/>
              <w:left w:val="none" w:color="000000" w:sz="4" w:space="0"/>
              <w:bottom w:val="single" w:color="auto" w:sz="4" w:space="0"/>
              <w:right w:val="single" w:color="auto" w:sz="4" w:space="0"/>
            </w:tcBorders>
            <w:tcW w:w="1722" w:type="dxa"/>
            <w:vAlign w:val="center"/>
            <w:textDirection w:val="lrTb"/>
            <w:noWrap w:val="false"/>
          </w:tcPr>
          <w:p>
            <w:pPr>
              <w:pStyle w:val="1158"/>
              <w:spacing w:line="400" w:lineRule="exact"/>
              <w:rPr>
                <w:rFonts w:hAnsi="宋体" w:eastAsia="宋体"/>
                <w:color w:val="000000"/>
                <w:sz w:val="24"/>
                <w:szCs w:val="24"/>
              </w:rPr>
            </w:pPr>
            <w:r>
              <w:rPr>
                <w:rFonts w:hAnsi="宋体" w:eastAsia="宋体"/>
                <w:color w:val="000000"/>
                <w:sz w:val="24"/>
                <w:szCs w:val="24"/>
              </w:rPr>
            </w:r>
            <w:r/>
          </w:p>
        </w:tc>
      </w:tr>
    </w:tbl>
    <w:p>
      <w:pPr>
        <w:pStyle w:val="1123"/>
        <w:spacing w:before="75" w:beforeAutospacing="0" w:after="75" w:afterAutospacing="0" w:line="495" w:lineRule="atLeast"/>
        <w:widowControl/>
        <w:rPr>
          <w:rFonts w:ascii="宋体" w:hAnsi="宋体" w:cs="宋体"/>
        </w:rPr>
      </w:pPr>
      <w:r>
        <w:rPr>
          <w:rFonts w:ascii="宋体" w:hAnsi="宋体" w:cs="宋体"/>
        </w:rPr>
      </w:r>
      <w:r/>
    </w:p>
    <w:p>
      <w:pPr>
        <w:pStyle w:val="1123"/>
        <w:spacing w:before="75" w:beforeAutospacing="0" w:after="75" w:afterAutospacing="0" w:line="495" w:lineRule="atLeast"/>
        <w:widowControl/>
        <w:rPr>
          <w:rFonts w:ascii="宋体" w:hAnsi="宋体" w:cs="宋体"/>
        </w:rPr>
      </w:pPr>
      <w:r>
        <w:rPr>
          <w:rFonts w:ascii="宋体" w:hAnsi="宋体" w:cs="宋体"/>
        </w:rPr>
      </w:r>
      <w:r/>
    </w:p>
    <w:p>
      <w:pPr>
        <w:pStyle w:val="1123"/>
        <w:spacing w:before="75" w:beforeAutospacing="0" w:after="75" w:afterAutospacing="0" w:line="495" w:lineRule="atLeast"/>
        <w:widowControl/>
        <w:rPr>
          <w:rFonts w:ascii="宋体" w:hAnsi="宋体" w:cs="宋体"/>
          <w:lang w:val="zh-CN"/>
        </w:rPr>
      </w:pPr>
      <w:r>
        <w:rPr>
          <w:rFonts w:hint="eastAsia" w:ascii="宋体" w:hAnsi="宋体" w:cs="宋体"/>
          <w:lang w:val="zh-CN"/>
        </w:rPr>
        <w:t xml:space="preserve">响应单位：（签章）</w:t>
      </w:r>
      <w:r/>
    </w:p>
    <w:p>
      <w:pPr>
        <w:pStyle w:val="1123"/>
        <w:spacing w:before="75" w:beforeAutospacing="0" w:after="75" w:afterAutospacing="0" w:line="495" w:lineRule="atLeast"/>
        <w:widowControl/>
        <w:rPr>
          <w:rFonts w:ascii="宋体" w:hAnsi="宋体" w:cs="宋体"/>
          <w:lang w:val="zh-CN"/>
        </w:rPr>
      </w:pPr>
      <w:r>
        <w:rPr>
          <w:rFonts w:hint="eastAsia" w:ascii="宋体" w:hAnsi="宋体" w:cs="宋体"/>
          <w:lang w:val="zh-CN"/>
        </w:rPr>
        <w:t xml:space="preserve">法定代表人或代理人：（签字或盖章）</w:t>
      </w:r>
      <w:r/>
    </w:p>
    <w:p>
      <w:pPr>
        <w:pStyle w:val="1123"/>
        <w:spacing w:before="75" w:beforeAutospacing="0" w:after="75" w:afterAutospacing="0" w:line="495" w:lineRule="atLeast"/>
        <w:widowControl/>
        <w:rPr>
          <w:rFonts w:ascii="宋体" w:hAnsi="宋体" w:cs="宋体"/>
          <w:lang w:val="zh-CN"/>
        </w:rPr>
      </w:pPr>
      <w:r>
        <w:rPr>
          <w:rFonts w:hint="eastAsia" w:ascii="宋体" w:hAnsi="宋体" w:cs="宋体"/>
          <w:lang w:val="zh-CN"/>
        </w:rPr>
        <w:t xml:space="preserve">日期：      年     月     日 </w:t>
      </w:r>
      <w:r/>
    </w:p>
    <w:p>
      <w:pPr>
        <w:pStyle w:val="1123"/>
        <w:spacing w:before="75" w:beforeAutospacing="0" w:after="75" w:afterAutospacing="0" w:line="495" w:lineRule="atLeast"/>
        <w:widowControl/>
        <w:rPr>
          <w:rFonts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附件2</w:t>
      </w:r>
      <w:r/>
    </w:p>
    <w:p>
      <w:pPr>
        <w:jc w:val="center"/>
        <w:spacing w:before="75" w:after="75" w:line="435" w:lineRule="atLeast"/>
        <w:widowControl/>
        <w:rPr>
          <w:rFonts w:ascii="宋体" w:hAnsi="宋体" w:cs="宋体"/>
          <w:sz w:val="24"/>
        </w:rPr>
      </w:pPr>
      <w:r>
        <w:rPr>
          <w:rFonts w:hint="eastAsia" w:ascii="宋体" w:hAnsi="宋体" w:cs="宋体"/>
          <w:b/>
          <w:sz w:val="24"/>
        </w:rPr>
        <w:t xml:space="preserve">法人代表授权书</w:t>
      </w:r>
      <w:r/>
    </w:p>
    <w:p>
      <w:pPr>
        <w:jc w:val="left"/>
        <w:spacing w:before="75" w:after="75" w:line="405" w:lineRule="atLeast"/>
        <w:widowControl/>
        <w:rPr>
          <w:rFonts w:ascii="宋体" w:hAnsi="宋体" w:cs="宋体"/>
          <w:sz w:val="24"/>
        </w:rPr>
      </w:pPr>
      <w:r>
        <w:rPr>
          <w:rFonts w:hint="eastAsia" w:ascii="宋体" w:hAnsi="宋体" w:cs="宋体"/>
          <w:sz w:val="24"/>
        </w:rPr>
        <w:t xml:space="preserve"> </w:t>
      </w:r>
      <w:r/>
    </w:p>
    <w:p>
      <w:pPr>
        <w:jc w:val="left"/>
        <w:spacing w:before="75" w:after="75" w:line="360" w:lineRule="atLeast"/>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(采购人或采购代理机构)       </w:t>
      </w:r>
      <w:r/>
    </w:p>
    <w:p>
      <w:pPr>
        <w:ind w:firstLine="480"/>
        <w:jc w:val="left"/>
        <w:spacing w:before="75" w:after="75" w:line="360" w:lineRule="atLeast"/>
        <w:widowControl/>
        <w:rPr>
          <w:rFonts w:ascii="宋体" w:hAnsi="宋体" w:cs="宋体"/>
          <w:sz w:val="24"/>
        </w:rPr>
      </w:pPr>
      <w:r>
        <w:rPr>
          <w:rFonts w:hint="eastAsia" w:ascii="宋体" w:hAnsi="宋体" w:cs="宋体"/>
          <w:sz w:val="24"/>
        </w:rPr>
        <w:t xml:space="preserve">我方的法人代表</w:t>
      </w:r>
      <w:r>
        <w:rPr>
          <w:rFonts w:hint="eastAsia" w:ascii="宋体" w:hAnsi="宋体" w:cs="宋体"/>
          <w:sz w:val="24"/>
          <w:u w:val="single"/>
        </w:rPr>
        <w:t xml:space="preserve">（填写“法人代表全名”）</w:t>
      </w:r>
      <w:r>
        <w:rPr>
          <w:rFonts w:hint="eastAsia" w:ascii="宋体" w:hAnsi="宋体" w:cs="宋体"/>
          <w:sz w:val="24"/>
        </w:rPr>
        <w:t xml:space="preserve">授权</w:t>
      </w:r>
      <w:r>
        <w:rPr>
          <w:rFonts w:hint="eastAsia" w:ascii="宋体" w:hAnsi="宋体" w:cs="宋体"/>
          <w:sz w:val="24"/>
          <w:u w:val="single"/>
        </w:rPr>
        <w:t xml:space="preserve">（填写“授权代表全名”）</w:t>
      </w:r>
      <w:r>
        <w:rPr>
          <w:rFonts w:hint="eastAsia" w:ascii="宋体" w:hAnsi="宋体" w:cs="宋体"/>
          <w:sz w:val="24"/>
        </w:rPr>
        <w:t xml:space="preserve">为我方的授权代表，代表我方参加</w:t>
      </w:r>
      <w:r>
        <w:rPr>
          <w:rFonts w:hint="eastAsia" w:ascii="宋体" w:hAnsi="宋体" w:cs="宋体"/>
          <w:sz w:val="24"/>
          <w:u w:val="single"/>
        </w:rPr>
        <w:t xml:space="preserve">  （填写“项目名称”）   </w:t>
      </w:r>
      <w:r>
        <w:rPr>
          <w:rFonts w:hint="eastAsia" w:ascii="宋体" w:hAnsi="宋体" w:cs="宋体"/>
          <w:sz w:val="24"/>
        </w:rPr>
        <w:t xml:space="preserve">项目（采购编号：</w:t>
      </w:r>
      <w:r>
        <w:rPr>
          <w:rFonts w:hint="eastAsia" w:ascii="宋体" w:hAnsi="宋体" w:cs="宋体"/>
          <w:sz w:val="24"/>
          <w:u w:val="single"/>
        </w:rPr>
        <w:t xml:space="preserve">         </w:t>
      </w:r>
      <w:r>
        <w:rPr>
          <w:rFonts w:hint="eastAsia" w:ascii="宋体" w:hAnsi="宋体" w:cs="宋体"/>
          <w:sz w:val="24"/>
        </w:rPr>
        <w:t xml:space="preserve">）的响应磋商，全权代表我方处理响应磋商过程的一切事宜。授权代表在响应磋商过程中所签署的一切文件和处理与之有关的一切事务，我方均予以认可并对此承担责任。授权期限自______至____。</w:t>
      </w:r>
      <w:r/>
    </w:p>
    <w:p>
      <w:pPr>
        <w:jc w:val="left"/>
        <w:spacing w:before="75" w:after="75" w:line="360" w:lineRule="atLeast"/>
        <w:widowControl/>
        <w:rPr>
          <w:rFonts w:ascii="宋体" w:hAnsi="宋体" w:cs="宋体"/>
          <w:sz w:val="24"/>
        </w:rPr>
      </w:pPr>
      <w:r>
        <w:rPr>
          <w:rFonts w:hint="eastAsia" w:ascii="宋体" w:hAnsi="宋体" w:cs="宋体"/>
          <w:sz w:val="24"/>
        </w:rPr>
        <w:t xml:space="preserve">  授权代表无转委权。特此授权。</w:t>
      </w:r>
      <w:r/>
    </w:p>
    <w:p>
      <w:pPr>
        <w:jc w:val="center"/>
        <w:spacing w:before="75" w:after="75" w:line="360" w:lineRule="atLeast"/>
        <w:widowControl/>
        <w:rPr>
          <w:rFonts w:ascii="宋体" w:hAnsi="宋体" w:cs="宋体"/>
          <w:sz w:val="24"/>
        </w:rPr>
      </w:pPr>
      <w:r>
        <w:rPr>
          <w:rFonts w:hint="eastAsia" w:ascii="宋体" w:hAnsi="宋体" w:cs="宋体"/>
          <w:sz w:val="24"/>
        </w:rPr>
        <w:t xml:space="preserve">（以下无正文）</w:t>
      </w:r>
      <w:r/>
    </w:p>
    <w:p>
      <w:pPr>
        <w:jc w:val="left"/>
        <w:spacing w:before="75" w:after="75" w:line="360" w:lineRule="atLeast"/>
        <w:widowControl/>
        <w:rPr>
          <w:rFonts w:ascii="宋体" w:hAnsi="宋体" w:cs="宋体"/>
          <w:sz w:val="24"/>
        </w:rPr>
      </w:pPr>
      <w:r>
        <w:rPr>
          <w:rFonts w:hint="eastAsia" w:ascii="宋体" w:hAnsi="宋体" w:cs="宋体"/>
          <w:sz w:val="24"/>
        </w:rPr>
        <w:t xml:space="preserve">法人代表：</w:t>
      </w:r>
      <w:r>
        <w:rPr>
          <w:rFonts w:hint="eastAsia" w:ascii="宋体" w:hAnsi="宋体" w:cs="宋体"/>
          <w:sz w:val="24"/>
          <w:u w:val="single"/>
        </w:rPr>
        <w:t xml:space="preserve">     </w:t>
      </w: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手机：</w:t>
      </w:r>
      <w:r>
        <w:rPr>
          <w:rFonts w:hint="eastAsia" w:ascii="宋体" w:hAnsi="宋体" w:cs="宋体"/>
          <w:sz w:val="24"/>
          <w:u w:val="single"/>
        </w:rPr>
        <w:t xml:space="preserve">        </w:t>
      </w:r>
      <w:r/>
    </w:p>
    <w:p>
      <w:pPr>
        <w:jc w:val="left"/>
        <w:spacing w:before="75" w:after="75" w:line="360" w:lineRule="atLeast"/>
        <w:widowControl/>
        <w:rPr>
          <w:rFonts w:ascii="宋体" w:hAnsi="宋体" w:cs="宋体"/>
          <w:sz w:val="24"/>
        </w:rPr>
      </w:pPr>
      <w:r>
        <w:rPr>
          <w:rFonts w:hint="eastAsia" w:ascii="宋体" w:hAnsi="宋体" w:cs="宋体"/>
          <w:sz w:val="24"/>
        </w:rPr>
        <w:t xml:space="preserve">授权代表：</w:t>
      </w:r>
      <w:r>
        <w:rPr>
          <w:rFonts w:hint="eastAsia" w:ascii="宋体" w:hAnsi="宋体" w:cs="宋体"/>
          <w:sz w:val="24"/>
          <w:u w:val="single"/>
        </w:rPr>
        <w:t xml:space="preserve">     </w:t>
      </w: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手机：</w:t>
      </w:r>
      <w:r>
        <w:rPr>
          <w:rFonts w:hint="eastAsia" w:ascii="宋体" w:hAnsi="宋体" w:cs="宋体"/>
          <w:sz w:val="24"/>
          <w:u w:val="single"/>
        </w:rPr>
        <w:t xml:space="preserve">        </w:t>
      </w:r>
      <w:r/>
    </w:p>
    <w:p>
      <w:pPr>
        <w:jc w:val="left"/>
        <w:spacing w:before="75" w:after="75" w:line="360" w:lineRule="atLeast"/>
        <w:widowControl/>
        <w:rPr>
          <w:rFonts w:ascii="宋体" w:hAnsi="宋体" w:cs="宋体"/>
          <w:sz w:val="24"/>
        </w:rPr>
      </w:pPr>
      <w:r>
        <w:rPr>
          <w:rFonts w:hint="eastAsia" w:ascii="宋体" w:hAnsi="宋体" w:cs="宋体"/>
          <w:sz w:val="24"/>
        </w:rPr>
        <w:t xml:space="preserve"> </w:t>
      </w:r>
      <w:r/>
    </w:p>
    <w:p>
      <w:pPr>
        <w:jc w:val="left"/>
        <w:spacing w:before="75" w:after="75" w:line="360" w:lineRule="atLeast"/>
        <w:widowControl/>
        <w:rPr>
          <w:rFonts w:ascii="宋体" w:hAnsi="宋体" w:cs="宋体"/>
          <w:sz w:val="24"/>
        </w:rPr>
      </w:pPr>
      <w:r>
        <w:rPr>
          <w:rFonts w:hint="eastAsia" w:ascii="宋体" w:hAnsi="宋体" w:cs="宋体"/>
          <w:sz w:val="24"/>
        </w:rPr>
        <w:t xml:space="preserve">授权方</w:t>
      </w:r>
      <w:r/>
    </w:p>
    <w:p>
      <w:pPr>
        <w:jc w:val="left"/>
        <w:spacing w:before="75" w:after="75" w:line="360" w:lineRule="atLeast"/>
        <w:widowControl/>
        <w:rPr>
          <w:rFonts w:ascii="宋体" w:hAnsi="宋体" w:cs="宋体"/>
          <w:sz w:val="24"/>
        </w:rPr>
      </w:pPr>
      <w:r>
        <w:rPr>
          <w:rFonts w:hint="eastAsia" w:ascii="宋体" w:hAnsi="宋体" w:cs="宋体"/>
          <w:sz w:val="24"/>
        </w:rPr>
        <w:t xml:space="preserve">响应单位：</w:t>
      </w:r>
      <w:r>
        <w:rPr>
          <w:rFonts w:hint="eastAsia" w:ascii="宋体" w:hAnsi="宋体" w:cs="宋体"/>
          <w:sz w:val="24"/>
          <w:u w:val="single"/>
        </w:rPr>
        <w:t xml:space="preserve">（全称并加盖单位公章）</w:t>
      </w:r>
      <w:r/>
    </w:p>
    <w:p>
      <w:pPr>
        <w:jc w:val="left"/>
        <w:spacing w:before="75" w:after="75" w:line="360" w:lineRule="atLeast"/>
        <w:widowControl/>
        <w:rPr>
          <w:rFonts w:ascii="宋体" w:hAnsi="宋体" w:cs="宋体"/>
          <w:sz w:val="24"/>
        </w:rPr>
      </w:pPr>
      <w:r>
        <w:rPr>
          <w:rFonts w:hint="eastAsia" w:ascii="宋体" w:hAnsi="宋体" w:cs="宋体"/>
          <w:sz w:val="24"/>
        </w:rPr>
        <w:t xml:space="preserve">法人代表签字或盖章：</w:t>
      </w:r>
      <w:r>
        <w:rPr>
          <w:rFonts w:hint="eastAsia" w:ascii="宋体" w:hAnsi="宋体" w:cs="宋体"/>
          <w:sz w:val="24"/>
          <w:u w:val="single"/>
        </w:rPr>
        <w:t xml:space="preserve">                   </w:t>
      </w:r>
      <w:r/>
    </w:p>
    <w:p>
      <w:pPr>
        <w:jc w:val="left"/>
        <w:spacing w:before="75" w:after="75" w:line="360" w:lineRule="atLeast"/>
        <w:widowControl/>
        <w:rPr>
          <w:rFonts w:ascii="宋体" w:hAnsi="宋体" w:cs="宋体"/>
          <w:sz w:val="24"/>
        </w:rPr>
      </w:pPr>
      <w:r>
        <w:rPr>
          <w:rFonts w:hint="eastAsia" w:ascii="宋体" w:hAnsi="宋体" w:cs="宋体"/>
          <w:sz w:val="24"/>
        </w:rPr>
        <w:t xml:space="preserve"> </w:t>
      </w:r>
      <w:r/>
    </w:p>
    <w:p>
      <w:pPr>
        <w:jc w:val="left"/>
        <w:spacing w:before="75" w:after="75" w:line="360" w:lineRule="atLeast"/>
        <w:widowControl/>
        <w:rPr>
          <w:rFonts w:ascii="宋体" w:hAnsi="宋体" w:cs="宋体"/>
          <w:sz w:val="24"/>
        </w:rPr>
      </w:pPr>
      <w:r>
        <w:rPr>
          <w:rFonts w:hint="eastAsia" w:ascii="宋体" w:hAnsi="宋体" w:cs="宋体"/>
          <w:sz w:val="24"/>
        </w:rPr>
        <w:t xml:space="preserve">接受授权方</w:t>
      </w:r>
      <w:r/>
    </w:p>
    <w:p>
      <w:pPr>
        <w:jc w:val="left"/>
        <w:spacing w:before="75" w:after="75" w:line="360" w:lineRule="atLeast"/>
        <w:widowControl/>
        <w:rPr>
          <w:rFonts w:ascii="宋体" w:hAnsi="宋体" w:cs="宋体"/>
          <w:sz w:val="24"/>
        </w:rPr>
      </w:pPr>
      <w:r>
        <w:rPr>
          <w:rFonts w:hint="eastAsia" w:ascii="宋体" w:hAnsi="宋体" w:cs="宋体"/>
          <w:sz w:val="24"/>
        </w:rPr>
        <w:t xml:space="preserve">授权代表签字：</w:t>
      </w:r>
      <w:r>
        <w:rPr>
          <w:rFonts w:hint="eastAsia" w:ascii="宋体" w:hAnsi="宋体" w:cs="宋体"/>
          <w:sz w:val="24"/>
          <w:u w:val="single"/>
        </w:rPr>
        <w:t xml:space="preserve">                   </w:t>
      </w:r>
      <w:r/>
    </w:p>
    <w:p>
      <w:pPr>
        <w:jc w:val="right"/>
        <w:spacing w:before="75" w:after="75" w:line="360" w:lineRule="atLeast"/>
        <w:widowControl/>
        <w:rPr>
          <w:rFonts w:ascii="宋体" w:hAnsi="宋体" w:cs="宋体"/>
          <w:sz w:val="24"/>
        </w:rPr>
      </w:pPr>
      <w:r>
        <w:rPr>
          <w:rFonts w:hint="eastAsia" w:ascii="宋体" w:hAnsi="宋体" w:cs="宋体"/>
          <w:sz w:val="24"/>
        </w:rPr>
        <w:t xml:space="preserve">签署日期：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spacing w:before="75" w:after="75" w:line="360" w:lineRule="atLeast"/>
        <w:widowControl/>
        <w:rPr>
          <w:rFonts w:ascii="宋体" w:hAnsi="宋体" w:cs="宋体"/>
          <w:sz w:val="24"/>
        </w:rPr>
      </w:pPr>
      <w:r>
        <w:rPr>
          <w:rFonts w:hint="eastAsia" w:ascii="宋体" w:hAnsi="宋体" w:cs="宋体"/>
          <w:sz w:val="24"/>
        </w:rPr>
        <w:t xml:space="preserve"> </w:t>
      </w:r>
      <w:r/>
    </w:p>
    <w:p>
      <w:pPr>
        <w:jc w:val="left"/>
        <w:spacing w:before="75" w:after="75" w:line="405" w:lineRule="atLeast"/>
        <w:widowControl/>
        <w:rPr>
          <w:rFonts w:ascii="宋体" w:hAnsi="宋体" w:cs="宋体"/>
          <w:sz w:val="24"/>
        </w:rPr>
      </w:pPr>
      <w:r>
        <w:rPr>
          <w:rFonts w:hint="eastAsia" w:ascii="宋体" w:hAnsi="宋体" w:cs="宋体"/>
          <w:sz w:val="24"/>
        </w:rPr>
        <w:t xml:space="preserve">附：法人代表、授权代表的身份证正反面复印件</w:t>
      </w:r>
      <w:r/>
    </w:p>
    <w:tbl>
      <w:tblPr>
        <w:tblStyle w:val="917"/>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right w:w="105" w:type="dxa"/>
            </w:tcMar>
            <w:tcW w:w="8565" w:type="dxa"/>
            <w:vAlign w:val="center"/>
            <w:textDirection w:val="lrTb"/>
            <w:noWrap w:val="false"/>
          </w:tcPr>
          <w:p>
            <w:pPr>
              <w:jc w:val="center"/>
              <w:spacing w:beforeAutospacing="1" w:afterAutospacing="1" w:line="405" w:lineRule="atLeast"/>
              <w:widowControl/>
              <w:rPr>
                <w:rFonts w:ascii="宋体" w:hAnsi="宋体" w:cs="宋体"/>
                <w:sz w:val="24"/>
              </w:rPr>
            </w:pPr>
            <w:r>
              <w:rPr>
                <w:rFonts w:hint="eastAsia" w:ascii="宋体" w:hAnsi="宋体" w:cs="宋体"/>
                <w:b/>
                <w:sz w:val="24"/>
              </w:rPr>
              <w:t xml:space="preserve"> </w:t>
            </w:r>
            <w:r/>
          </w:p>
          <w:p>
            <w:pPr>
              <w:jc w:val="center"/>
              <w:spacing w:beforeAutospacing="1" w:afterAutospacing="1" w:line="405" w:lineRule="atLeast"/>
              <w:widowControl/>
              <w:rPr>
                <w:rFonts w:ascii="宋体" w:hAnsi="宋体" w:cs="宋体"/>
                <w:sz w:val="24"/>
              </w:rPr>
            </w:pPr>
            <w:r>
              <w:rPr>
                <w:rFonts w:hint="eastAsia" w:ascii="宋体" w:hAnsi="宋体" w:cs="宋体"/>
                <w:b/>
                <w:sz w:val="24"/>
              </w:rPr>
              <w:t xml:space="preserve">要求：真实、有效、清晰</w:t>
            </w:r>
            <w:r/>
          </w:p>
          <w:p>
            <w:pPr>
              <w:jc w:val="center"/>
              <w:spacing w:beforeAutospacing="1" w:afterAutospacing="1" w:line="405" w:lineRule="atLeast"/>
              <w:widowControl/>
              <w:rPr>
                <w:rFonts w:ascii="宋体" w:hAnsi="宋体" w:cs="宋体"/>
                <w:sz w:val="24"/>
              </w:rPr>
            </w:pPr>
            <w:r>
              <w:rPr>
                <w:rFonts w:hint="eastAsia" w:ascii="宋体" w:hAnsi="宋体" w:cs="宋体"/>
                <w:b/>
                <w:sz w:val="24"/>
              </w:rPr>
              <w:t xml:space="preserve"> </w:t>
            </w:r>
            <w:r/>
          </w:p>
        </w:tc>
      </w:tr>
    </w:tbl>
    <w:p>
      <w:pPr>
        <w:pStyle w:val="1123"/>
        <w:spacing w:before="75" w:beforeAutospacing="0" w:after="75" w:afterAutospacing="0" w:line="495" w:lineRule="atLeast"/>
        <w:widowControl/>
        <w:rPr>
          <w:rFonts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附件3：</w:t>
      </w:r>
      <w:r/>
    </w:p>
    <w:p>
      <w:pPr>
        <w:jc w:val="center"/>
        <w:spacing w:before="75" w:after="75" w:line="495" w:lineRule="atLeast"/>
        <w:widowControl/>
        <w:rPr>
          <w:rFonts w:ascii="宋体" w:hAnsi="宋体" w:cs="宋体"/>
          <w:b/>
          <w:bCs/>
          <w:sz w:val="24"/>
        </w:rPr>
      </w:pPr>
      <w:r>
        <w:rPr>
          <w:rFonts w:hint="eastAsia" w:ascii="宋体" w:hAnsi="宋体" w:cs="宋体"/>
          <w:b/>
          <w:bCs/>
          <w:sz w:val="24"/>
        </w:rPr>
        <w:t xml:space="preserve">关于资格文件的声明函</w:t>
      </w:r>
      <w:r/>
    </w:p>
    <w:p>
      <w:pPr>
        <w:jc w:val="left"/>
        <w:spacing w:before="75" w:after="75" w:line="495" w:lineRule="atLeast"/>
        <w:widowControl/>
        <w:rPr>
          <w:rFonts w:ascii="宋体" w:hAnsi="宋体" w:cs="宋体"/>
          <w:b/>
          <w:bCs/>
          <w:sz w:val="24"/>
        </w:rPr>
      </w:pPr>
      <w:r>
        <w:rPr>
          <w:rFonts w:ascii="宋体" w:hAnsi="宋体" w:cs="宋体"/>
          <w:b/>
          <w:bCs/>
          <w:sz w:val="24"/>
        </w:rPr>
      </w:r>
      <w:r/>
    </w:p>
    <w:p>
      <w:pPr>
        <w:jc w:val="left"/>
        <w:spacing w:before="75" w:after="75" w:line="495" w:lineRule="atLeast"/>
        <w:widowControl/>
        <w:rPr>
          <w:rFonts w:ascii="宋体" w:hAnsi="宋体" w:cs="宋体"/>
          <w:sz w:val="24"/>
          <w:u w:val="single"/>
        </w:rPr>
      </w:pPr>
      <w:r>
        <w:rPr>
          <w:rFonts w:hint="eastAsia" w:ascii="宋体" w:hAnsi="宋体" w:cs="宋体"/>
          <w:sz w:val="24"/>
          <w:u w:val="single"/>
        </w:rPr>
        <w:t xml:space="preserve">(采购人或采购代理机构)   ：</w:t>
      </w:r>
      <w:r/>
    </w:p>
    <w:p>
      <w:pPr>
        <w:ind w:firstLine="480"/>
        <w:jc w:val="left"/>
        <w:spacing w:before="75" w:after="75" w:line="495" w:lineRule="atLeast"/>
        <w:widowControl/>
        <w:rPr>
          <w:rFonts w:ascii="宋体" w:hAnsi="宋体" w:cs="宋体"/>
          <w:sz w:val="24"/>
        </w:rPr>
      </w:pPr>
      <w:r>
        <w:rPr>
          <w:rFonts w:hint="eastAsia" w:ascii="宋体" w:hAnsi="宋体" w:cs="宋体"/>
          <w:sz w:val="24"/>
        </w:rPr>
        <w:t xml:space="preserve">本公司愿就由贵中心组织实施的编号为</w:t>
      </w:r>
      <w:r>
        <w:rPr>
          <w:rFonts w:hint="eastAsia" w:ascii="宋体" w:hAnsi="宋体" w:cs="宋体"/>
          <w:sz w:val="24"/>
          <w:u w:val="single"/>
        </w:rPr>
        <w:t xml:space="preserve">              号</w:t>
      </w:r>
      <w:r>
        <w:rPr>
          <w:rFonts w:hint="eastAsia" w:ascii="宋体" w:hAnsi="宋体" w:cs="宋体"/>
          <w:sz w:val="24"/>
        </w:rPr>
        <w:t xml:space="preserve">（项目编号）的磋商采购活动进行响应。本公司所提交的响应文件中所有关于磋商资格的文件、证明和陈述均是真实的、准确的。若与真实情况不符，本公司愿意承担由此而产生的一切后果。</w:t>
      </w:r>
      <w:r/>
    </w:p>
    <w:p>
      <w:pPr>
        <w:jc w:val="left"/>
        <w:spacing w:before="75" w:after="75" w:line="495" w:lineRule="atLeast"/>
        <w:widowControl/>
        <w:rPr>
          <w:rFonts w:ascii="宋体" w:hAnsi="宋体" w:cs="宋体"/>
          <w:sz w:val="24"/>
        </w:rPr>
      </w:pPr>
      <w:r>
        <w:rPr>
          <w:rFonts w:ascii="宋体" w:hAnsi="宋体" w:cs="宋体"/>
          <w:sz w:val="24"/>
        </w:rPr>
      </w:r>
      <w:r/>
    </w:p>
    <w:p>
      <w:pPr>
        <w:jc w:val="left"/>
        <w:spacing w:before="75" w:after="75" w:line="495" w:lineRule="atLeast"/>
        <w:widowControl/>
        <w:rPr>
          <w:rFonts w:ascii="宋体" w:hAnsi="宋体" w:cs="宋体"/>
          <w:sz w:val="24"/>
        </w:rPr>
      </w:pPr>
      <w:r>
        <w:rPr>
          <w:rFonts w:ascii="宋体" w:hAnsi="宋体" w:cs="宋体"/>
          <w:sz w:val="24"/>
        </w:rPr>
      </w:r>
      <w:r/>
    </w:p>
    <w:p>
      <w:pPr>
        <w:jc w:val="left"/>
        <w:spacing w:before="75" w:after="75" w:line="495"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lang w:val="zh-CN"/>
        </w:rPr>
        <w:t xml:space="preserve">响应单位：（签章）</w:t>
      </w:r>
      <w:r>
        <w:rPr>
          <w:rFonts w:hint="eastAsia" w:ascii="宋体" w:hAnsi="宋体" w:cs="宋体"/>
          <w:sz w:val="24"/>
        </w:rPr>
        <w:t xml:space="preserve"> </w:t>
      </w:r>
      <w:r/>
    </w:p>
    <w:p>
      <w:pPr>
        <w:jc w:val="left"/>
        <w:spacing w:before="75" w:after="75" w:line="495" w:lineRule="atLeast"/>
        <w:widowControl/>
        <w:rPr>
          <w:rFonts w:ascii="宋体" w:hAnsi="宋体" w:cs="宋体"/>
          <w:sz w:val="24"/>
        </w:rPr>
      </w:pPr>
      <w:r>
        <w:rPr>
          <w:rFonts w:hint="eastAsia" w:ascii="宋体" w:hAnsi="宋体" w:cs="宋体"/>
          <w:sz w:val="24"/>
        </w:rPr>
        <w:t xml:space="preserve">                                   法定代表人或被授权人：（签字或盖章）</w:t>
      </w:r>
      <w:r/>
    </w:p>
    <w:p>
      <w:pPr>
        <w:ind w:firstLine="4320"/>
        <w:jc w:val="left"/>
        <w:spacing w:before="75" w:after="75" w:line="495" w:lineRule="atLeast"/>
        <w:widowControl/>
        <w:rPr>
          <w:rFonts w:ascii="宋体" w:hAnsi="宋体" w:cs="宋体"/>
          <w:sz w:val="24"/>
        </w:rPr>
      </w:pPr>
      <w:r>
        <w:rPr>
          <w:rFonts w:hint="eastAsia" w:ascii="宋体" w:hAnsi="宋体" w:cs="宋体"/>
          <w:sz w:val="24"/>
        </w:rPr>
        <w:t xml:space="preserve">日    期：     年     月    日</w:t>
      </w:r>
      <w:r/>
    </w:p>
    <w:p>
      <w:pPr>
        <w:jc w:val="left"/>
        <w:spacing w:before="75" w:after="75" w:line="495" w:lineRule="atLeast"/>
        <w:widowControl/>
        <w:rPr>
          <w:rFonts w:ascii="宋体" w:hAnsi="宋体" w:cs="宋体"/>
          <w:sz w:val="24"/>
        </w:rPr>
      </w:pPr>
      <w:r>
        <w:rPr>
          <w:rFonts w:ascii="宋体" w:hAnsi="宋体" w:cs="宋体"/>
          <w:sz w:val="24"/>
        </w:rPr>
      </w:r>
      <w:r/>
    </w:p>
    <w:p>
      <w:pPr>
        <w:pStyle w:val="1123"/>
        <w:spacing w:before="75" w:beforeAutospacing="0" w:after="75" w:afterAutospacing="0" w:line="495" w:lineRule="atLeast"/>
        <w:widowControl/>
        <w:rPr>
          <w:rFonts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附件4：</w:t>
      </w:r>
      <w:r/>
    </w:p>
    <w:p>
      <w:pPr>
        <w:pStyle w:val="1123"/>
        <w:jc w:val="center"/>
        <w:spacing w:before="75" w:beforeAutospacing="0" w:after="75" w:afterAutospacing="0" w:line="495" w:lineRule="atLeast"/>
        <w:widowControl/>
        <w:rPr>
          <w:rFonts w:ascii="宋体" w:hAnsi="宋体" w:cs="宋体"/>
          <w:b/>
          <w:bCs/>
        </w:rPr>
      </w:pPr>
      <w:r>
        <w:rPr>
          <w:rFonts w:hint="eastAsia" w:ascii="宋体" w:hAnsi="宋体" w:cs="宋体"/>
          <w:b/>
          <w:bCs/>
        </w:rPr>
        <w:t xml:space="preserve">磋商响应单位基本情况表</w:t>
      </w:r>
      <w:r/>
    </w:p>
    <w:tbl>
      <w:tblPr>
        <w:tblStyle w:val="917"/>
        <w:tblW w:w="912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99"/>
        <w:gridCol w:w="1870"/>
        <w:gridCol w:w="1757"/>
        <w:gridCol w:w="2601"/>
      </w:tblGrid>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法定代表人（负责人）</w:t>
            </w:r>
            <w:r/>
          </w:p>
        </w:tc>
        <w:tc>
          <w:tcPr>
            <w:tcW w:w="1870" w:type="dxa"/>
            <w:textDirection w:val="lrTb"/>
            <w:noWrap w:val="false"/>
          </w:tcPr>
          <w:p>
            <w:pPr>
              <w:jc w:val="left"/>
              <w:spacing w:line="400" w:lineRule="exact"/>
              <w:rPr>
                <w:rFonts w:ascii="宋体" w:hAnsi="宋体" w:cs="宋体"/>
                <w:sz w:val="24"/>
              </w:rPr>
            </w:pPr>
            <w:r>
              <w:rPr>
                <w:rFonts w:ascii="宋体" w:hAnsi="宋体" w:cs="宋体"/>
                <w:sz w:val="24"/>
              </w:rPr>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成立日期</w:t>
            </w:r>
            <w:r/>
          </w:p>
        </w:tc>
        <w:tc>
          <w:tcPr>
            <w:tcW w:w="2601" w:type="dxa"/>
            <w:textDirection w:val="lrTb"/>
            <w:noWrap w:val="false"/>
          </w:tcPr>
          <w:p>
            <w:pPr>
              <w:jc w:val="left"/>
              <w:spacing w:line="400" w:lineRule="exact"/>
              <w:rPr>
                <w:rFonts w:ascii="宋体" w:hAnsi="宋体" w:cs="宋体"/>
                <w:sz w:val="24"/>
              </w:rPr>
            </w:pPr>
            <w:r>
              <w:rPr>
                <w:rFonts w:ascii="宋体" w:hAnsi="宋体" w:cs="宋体"/>
                <w:sz w:val="24"/>
              </w:rPr>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企业地址</w:t>
            </w:r>
            <w:r/>
          </w:p>
        </w:tc>
        <w:tc>
          <w:tcPr>
            <w:tcW w:w="1870" w:type="dxa"/>
            <w:textDirection w:val="lrTb"/>
            <w:noWrap w:val="false"/>
          </w:tcPr>
          <w:p>
            <w:pPr>
              <w:jc w:val="left"/>
              <w:spacing w:line="400" w:lineRule="exact"/>
              <w:rPr>
                <w:rFonts w:ascii="宋体" w:hAnsi="宋体" w:cs="宋体"/>
                <w:sz w:val="24"/>
              </w:rPr>
            </w:pPr>
            <w:r>
              <w:rPr>
                <w:rFonts w:ascii="宋体" w:hAnsi="宋体" w:cs="宋体"/>
                <w:sz w:val="24"/>
              </w:rPr>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注册资本</w:t>
            </w:r>
            <w:r/>
          </w:p>
        </w:tc>
        <w:tc>
          <w:tcPr>
            <w:tcW w:w="2601" w:type="dxa"/>
            <w:textDirection w:val="lrTb"/>
            <w:noWrap w:val="false"/>
          </w:tcPr>
          <w:p>
            <w:pPr>
              <w:ind w:firstLine="1680"/>
              <w:jc w:val="left"/>
              <w:spacing w:line="400" w:lineRule="exact"/>
              <w:rPr>
                <w:rFonts w:ascii="宋体" w:hAnsi="宋体" w:cs="宋体"/>
                <w:sz w:val="24"/>
              </w:rPr>
            </w:pPr>
            <w:r>
              <w:rPr>
                <w:rFonts w:hint="eastAsia" w:ascii="宋体" w:hAnsi="宋体" w:cs="宋体"/>
                <w:sz w:val="24"/>
              </w:rPr>
              <w:t xml:space="preserve">万元</w:t>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经营范围</w:t>
            </w:r>
            <w:r/>
          </w:p>
        </w:tc>
        <w:tc>
          <w:tcPr>
            <w:gridSpan w:val="3"/>
            <w:tcW w:w="6228" w:type="dxa"/>
            <w:textDirection w:val="lrTb"/>
            <w:noWrap w:val="false"/>
          </w:tcPr>
          <w:p>
            <w:pPr>
              <w:jc w:val="left"/>
              <w:spacing w:line="400" w:lineRule="exact"/>
              <w:rPr>
                <w:rFonts w:ascii="宋体" w:hAnsi="宋体" w:cs="宋体"/>
                <w:sz w:val="24"/>
              </w:rPr>
            </w:pPr>
            <w:r>
              <w:rPr>
                <w:rFonts w:ascii="宋体" w:hAnsi="宋体" w:cs="宋体"/>
                <w:sz w:val="24"/>
              </w:rPr>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职工人数</w:t>
            </w:r>
            <w:r/>
          </w:p>
        </w:tc>
        <w:tc>
          <w:tcPr>
            <w:tcW w:w="1870" w:type="dxa"/>
            <w:textDirection w:val="lrTb"/>
            <w:noWrap w:val="false"/>
          </w:tcPr>
          <w:p>
            <w:pPr>
              <w:jc w:val="left"/>
              <w:spacing w:line="400" w:lineRule="exact"/>
              <w:rPr>
                <w:rFonts w:ascii="宋体" w:hAnsi="宋体" w:cs="宋体"/>
                <w:sz w:val="24"/>
              </w:rPr>
            </w:pPr>
            <w:r>
              <w:rPr>
                <w:rFonts w:ascii="宋体" w:hAnsi="宋体" w:cs="宋体"/>
                <w:sz w:val="24"/>
              </w:rPr>
            </w:r>
            <w:r/>
          </w:p>
        </w:tc>
        <w:tc>
          <w:tcPr>
            <w:gridSpan w:val="2"/>
            <w:tcW w:w="4358"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其中：</w:t>
            </w:r>
            <w:r/>
          </w:p>
          <w:p>
            <w:pPr>
              <w:jc w:val="left"/>
              <w:spacing w:line="400" w:lineRule="exact"/>
              <w:rPr>
                <w:rFonts w:ascii="宋体" w:hAnsi="宋体" w:cs="宋体"/>
                <w:sz w:val="24"/>
              </w:rPr>
            </w:pPr>
            <w:r>
              <w:rPr>
                <w:rFonts w:hint="eastAsia" w:ascii="宋体" w:hAnsi="宋体" w:cs="宋体"/>
                <w:sz w:val="24"/>
              </w:rPr>
              <w:t xml:space="preserve">中级职称   人数、高级职称    人数</w:t>
            </w:r>
            <w:r/>
          </w:p>
        </w:tc>
      </w:tr>
      <w:tr>
        <w:trPr>
          <w:jc w:val="center"/>
          <w:trHeight w:val="590"/>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2025年12月资产总额</w:t>
            </w:r>
            <w:r/>
          </w:p>
        </w:tc>
        <w:tc>
          <w:tcPr>
            <w:tcW w:w="187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万元</w:t>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净资产</w:t>
            </w:r>
            <w:r/>
          </w:p>
        </w:tc>
        <w:tc>
          <w:tcPr>
            <w:tcW w:w="2601"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万元</w:t>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2025年12月股东权益</w:t>
            </w:r>
            <w:r/>
          </w:p>
        </w:tc>
        <w:tc>
          <w:tcPr>
            <w:tcW w:w="187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万元</w:t>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2025年业务收入</w:t>
            </w:r>
            <w:r/>
          </w:p>
        </w:tc>
        <w:tc>
          <w:tcPr>
            <w:tcW w:w="2601"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万元</w:t>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2025年实现利润</w:t>
            </w:r>
            <w:r/>
          </w:p>
        </w:tc>
        <w:tc>
          <w:tcPr>
            <w:tcW w:w="1870" w:type="dxa"/>
            <w:textDirection w:val="lrTb"/>
            <w:noWrap w:val="false"/>
          </w:tcPr>
          <w:p>
            <w:pPr>
              <w:jc w:val="right"/>
              <w:spacing w:line="400" w:lineRule="exact"/>
              <w:rPr>
                <w:rFonts w:ascii="宋体" w:hAnsi="宋体" w:cs="宋体"/>
                <w:sz w:val="24"/>
              </w:rPr>
            </w:pPr>
            <w:r>
              <w:rPr>
                <w:rFonts w:hint="eastAsia" w:ascii="宋体" w:hAnsi="宋体" w:cs="宋体"/>
                <w:sz w:val="24"/>
              </w:rPr>
              <w:t xml:space="preserve">万元</w:t>
            </w:r>
            <w:r/>
          </w:p>
        </w:tc>
        <w:tc>
          <w:tcPr>
            <w:tcW w:w="1757" w:type="dxa"/>
            <w:textDirection w:val="lrTb"/>
            <w:noWrap w:val="false"/>
          </w:tcPr>
          <w:p>
            <w:pPr>
              <w:jc w:val="left"/>
              <w:spacing w:line="400" w:lineRule="exact"/>
              <w:rPr>
                <w:rFonts w:ascii="宋体" w:hAnsi="宋体" w:cs="宋体"/>
                <w:sz w:val="24"/>
              </w:rPr>
            </w:pPr>
            <w:r>
              <w:rPr>
                <w:rFonts w:ascii="宋体" w:hAnsi="宋体" w:cs="宋体"/>
                <w:sz w:val="24"/>
              </w:rPr>
            </w:r>
            <w:r/>
          </w:p>
        </w:tc>
        <w:tc>
          <w:tcPr>
            <w:tcW w:w="2601" w:type="dxa"/>
            <w:textDirection w:val="lrTb"/>
            <w:noWrap w:val="false"/>
          </w:tcPr>
          <w:p>
            <w:pPr>
              <w:jc w:val="left"/>
              <w:spacing w:line="400" w:lineRule="exact"/>
              <w:rPr>
                <w:rFonts w:ascii="宋体" w:hAnsi="宋体" w:cs="宋体"/>
                <w:sz w:val="24"/>
              </w:rPr>
            </w:pPr>
            <w:r>
              <w:rPr>
                <w:rFonts w:ascii="宋体" w:hAnsi="宋体" w:cs="宋体"/>
                <w:sz w:val="24"/>
              </w:rPr>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办公面积</w:t>
            </w:r>
            <w:r/>
          </w:p>
          <w:p>
            <w:pPr>
              <w:jc w:val="left"/>
              <w:spacing w:line="400" w:lineRule="exact"/>
              <w:rPr>
                <w:rFonts w:ascii="宋体" w:hAnsi="宋体" w:cs="宋体"/>
                <w:sz w:val="24"/>
              </w:rPr>
            </w:pPr>
            <w:r>
              <w:rPr>
                <w:rFonts w:ascii="宋体" w:hAnsi="宋体" w:cs="宋体"/>
                <w:sz w:val="24"/>
              </w:rPr>
            </w:r>
            <w:r/>
          </w:p>
        </w:tc>
        <w:tc>
          <w:tcPr>
            <w:tcW w:w="187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平方米</w:t>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其中：</w:t>
            </w:r>
            <w:r/>
          </w:p>
        </w:tc>
        <w:tc>
          <w:tcPr>
            <w:tcW w:w="2601"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自有面积     平方米</w:t>
            </w:r>
            <w:r/>
          </w:p>
          <w:p>
            <w:pPr>
              <w:jc w:val="left"/>
              <w:spacing w:line="400" w:lineRule="exact"/>
              <w:rPr>
                <w:rFonts w:ascii="宋体" w:hAnsi="宋体" w:cs="宋体"/>
                <w:sz w:val="24"/>
              </w:rPr>
            </w:pPr>
            <w:r>
              <w:rPr>
                <w:rFonts w:hint="eastAsia" w:ascii="宋体" w:hAnsi="宋体" w:cs="宋体"/>
                <w:sz w:val="24"/>
              </w:rPr>
              <w:t xml:space="preserve">承租面积     平方米</w:t>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单位简历及内设机构情况</w:t>
            </w:r>
            <w:r/>
          </w:p>
        </w:tc>
        <w:tc>
          <w:tcPr>
            <w:gridSpan w:val="3"/>
            <w:tcW w:w="6228" w:type="dxa"/>
            <w:textDirection w:val="lrTb"/>
            <w:noWrap w:val="false"/>
          </w:tcPr>
          <w:p>
            <w:pPr>
              <w:jc w:val="left"/>
              <w:spacing w:line="400" w:lineRule="exact"/>
              <w:rPr>
                <w:rFonts w:ascii="宋体" w:hAnsi="宋体" w:cs="宋体"/>
                <w:sz w:val="24"/>
              </w:rPr>
            </w:pPr>
            <w:r>
              <w:rPr>
                <w:rFonts w:ascii="宋体" w:hAnsi="宋体" w:cs="宋体"/>
                <w:sz w:val="24"/>
              </w:rPr>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单位优势及特长</w:t>
            </w:r>
            <w:r/>
          </w:p>
        </w:tc>
        <w:tc>
          <w:tcPr>
            <w:gridSpan w:val="3"/>
            <w:tcW w:w="6228" w:type="dxa"/>
            <w:textDirection w:val="lrTb"/>
            <w:noWrap w:val="false"/>
          </w:tcPr>
          <w:p>
            <w:pPr>
              <w:jc w:val="left"/>
              <w:spacing w:line="400" w:lineRule="exact"/>
              <w:rPr>
                <w:rFonts w:ascii="宋体" w:hAnsi="宋体" w:cs="宋体"/>
                <w:sz w:val="24"/>
              </w:rPr>
            </w:pPr>
            <w:r>
              <w:rPr>
                <w:rFonts w:ascii="宋体" w:hAnsi="宋体" w:cs="宋体"/>
                <w:sz w:val="24"/>
              </w:rPr>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近三年来完成或正在履行的重大合同情况</w:t>
            </w:r>
            <w:r/>
          </w:p>
        </w:tc>
        <w:tc>
          <w:tcPr>
            <w:gridSpan w:val="3"/>
            <w:tcW w:w="6228" w:type="dxa"/>
            <w:textDirection w:val="lrTb"/>
            <w:noWrap w:val="false"/>
          </w:tcPr>
          <w:p>
            <w:pPr>
              <w:jc w:val="left"/>
              <w:spacing w:line="400" w:lineRule="exact"/>
              <w:rPr>
                <w:rFonts w:ascii="宋体" w:hAnsi="宋体" w:cs="宋体"/>
                <w:sz w:val="24"/>
              </w:rPr>
            </w:pPr>
            <w:r>
              <w:rPr>
                <w:rFonts w:ascii="宋体" w:hAnsi="宋体" w:cs="宋体"/>
                <w:sz w:val="24"/>
              </w:rPr>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最近3年内在经营过程中受到何种奖励或处分</w:t>
            </w:r>
            <w:r/>
          </w:p>
        </w:tc>
        <w:tc>
          <w:tcPr>
            <w:gridSpan w:val="3"/>
            <w:tcW w:w="6228"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（行政主管部门的奖惩）</w:t>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最近3年内有无因违纪或是其他原因被投诉或起诉的情况及说明</w:t>
            </w:r>
            <w:r/>
          </w:p>
        </w:tc>
        <w:tc>
          <w:tcPr>
            <w:gridSpan w:val="3"/>
            <w:tcW w:w="6228"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（包括解决方式和结果）</w:t>
            </w:r>
            <w:r/>
          </w:p>
        </w:tc>
      </w:tr>
      <w:tr>
        <w:trPr>
          <w:jc w:val="center"/>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最近3年内主要负责人有无因经济犯罪被司法机关追究的情况及说明</w:t>
            </w:r>
            <w:r/>
          </w:p>
        </w:tc>
        <w:tc>
          <w:tcPr>
            <w:gridSpan w:val="3"/>
            <w:tcW w:w="6228" w:type="dxa"/>
            <w:textDirection w:val="lrTb"/>
            <w:noWrap w:val="false"/>
          </w:tcPr>
          <w:p>
            <w:pPr>
              <w:jc w:val="left"/>
              <w:spacing w:line="400" w:lineRule="exact"/>
              <w:rPr>
                <w:rFonts w:ascii="宋体" w:hAnsi="宋体" w:cs="宋体"/>
                <w:sz w:val="24"/>
              </w:rPr>
            </w:pPr>
            <w:r>
              <w:rPr>
                <w:rFonts w:ascii="宋体" w:hAnsi="宋体" w:cs="宋体"/>
                <w:sz w:val="24"/>
              </w:rPr>
            </w:r>
            <w:r/>
          </w:p>
        </w:tc>
      </w:tr>
      <w:tr>
        <w:trPr>
          <w:jc w:val="center"/>
          <w:trHeight w:val="540"/>
        </w:trPr>
        <w:tc>
          <w:tcPr>
            <w:tcW w:w="289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其他需要说明的情况</w:t>
            </w:r>
            <w:r/>
          </w:p>
        </w:tc>
        <w:tc>
          <w:tcPr>
            <w:gridSpan w:val="3"/>
            <w:tcW w:w="6228" w:type="dxa"/>
            <w:textDirection w:val="lrTb"/>
            <w:noWrap w:val="false"/>
          </w:tcPr>
          <w:p>
            <w:pPr>
              <w:jc w:val="left"/>
              <w:spacing w:line="400" w:lineRule="exact"/>
              <w:rPr>
                <w:rFonts w:ascii="宋体" w:hAnsi="宋体" w:cs="宋体"/>
                <w:sz w:val="24"/>
              </w:rPr>
            </w:pPr>
            <w:r>
              <w:rPr>
                <w:rFonts w:ascii="宋体" w:hAnsi="宋体" w:cs="宋体"/>
                <w:sz w:val="24"/>
              </w:rPr>
            </w:r>
            <w:r/>
          </w:p>
        </w:tc>
      </w:tr>
    </w:tbl>
    <w:p>
      <w:pPr>
        <w:pStyle w:val="1123"/>
        <w:spacing w:before="75" w:beforeAutospacing="0" w:after="75" w:afterAutospacing="0" w:line="495" w:lineRule="atLeast"/>
        <w:widowControl/>
        <w:rPr>
          <w:rFonts w:ascii="宋体" w:hAnsi="宋体" w:cs="宋体"/>
        </w:rPr>
      </w:pPr>
      <w:r>
        <w:rPr>
          <w:rFonts w:hint="eastAsia" w:ascii="宋体" w:hAnsi="宋体" w:cs="宋体"/>
        </w:rPr>
        <w:t xml:space="preserve">注：若事项较多，供应商可根据实际情况另纸说明。</w:t>
      </w:r>
      <w:r/>
    </w:p>
    <w:p>
      <w:pPr>
        <w:pStyle w:val="1123"/>
        <w:spacing w:before="75" w:beforeAutospacing="0" w:after="75" w:afterAutospacing="0" w:line="495" w:lineRule="atLeast"/>
        <w:widowControl/>
        <w:rPr>
          <w:rFonts w:ascii="宋体" w:hAnsi="宋体" w:cs="宋体"/>
        </w:rPr>
      </w:pPr>
      <w:r>
        <w:rPr>
          <w:rFonts w:hint="eastAsia" w:ascii="宋体" w:hAnsi="宋体" w:cs="宋体"/>
        </w:rPr>
        <w:t xml:space="preserve">                                 </w:t>
      </w:r>
      <w:r>
        <w:rPr>
          <w:rFonts w:hint="eastAsia" w:ascii="宋体" w:hAnsi="宋体" w:cs="宋体"/>
          <w:lang w:val="zh-CN"/>
        </w:rPr>
        <w:t xml:space="preserve">响应单位：（</w:t>
      </w:r>
      <w:r>
        <w:rPr>
          <w:rFonts w:hint="eastAsia" w:ascii="宋体" w:hAnsi="宋体" w:cs="宋体"/>
        </w:rPr>
        <w:t xml:space="preserve">签章</w:t>
      </w:r>
      <w:r>
        <w:rPr>
          <w:rFonts w:hint="eastAsia" w:ascii="宋体" w:hAnsi="宋体" w:cs="宋体"/>
          <w:lang w:val="zh-CN"/>
        </w:rPr>
        <w:t xml:space="preserve">）</w:t>
      </w:r>
      <w:r/>
    </w:p>
    <w:p>
      <w:pPr>
        <w:pStyle w:val="1123"/>
        <w:spacing w:before="75" w:beforeAutospacing="0" w:after="75" w:afterAutospacing="0" w:line="495" w:lineRule="atLeast"/>
        <w:widowControl/>
        <w:rPr>
          <w:rFonts w:ascii="宋体" w:hAnsi="宋体" w:cs="宋体"/>
        </w:rPr>
      </w:pPr>
      <w:r>
        <w:rPr>
          <w:rFonts w:hint="eastAsia" w:ascii="宋体" w:hAnsi="宋体" w:cs="宋体"/>
        </w:rPr>
        <w:t xml:space="preserve">                                 法定代表人或被授权人：（签字或盖章）</w:t>
      </w:r>
      <w:r/>
    </w:p>
    <w:p>
      <w:pPr>
        <w:pStyle w:val="1123"/>
        <w:spacing w:before="75" w:beforeAutospacing="0" w:after="75" w:afterAutospacing="0" w:line="495" w:lineRule="atLeast"/>
        <w:widowControl/>
        <w:rPr>
          <w:rFonts w:ascii="宋体" w:hAnsi="宋体" w:cs="宋体"/>
        </w:rPr>
      </w:pPr>
      <w:r>
        <w:rPr>
          <w:rFonts w:hint="eastAsia" w:ascii="宋体" w:hAnsi="宋体" w:cs="宋体"/>
        </w:rPr>
        <w:t xml:space="preserve">                                  日    期：     年     月    日</w:t>
      </w:r>
      <w:r/>
    </w:p>
    <w:p>
      <w:pPr>
        <w:jc w:val="left"/>
        <w:spacing w:before="75" w:after="75" w:line="435" w:lineRule="atLeast"/>
        <w:widowControl/>
        <w:rPr>
          <w:rFonts w:ascii="宋体" w:hAnsi="宋体" w:cs="宋体"/>
          <w:b/>
          <w:bCs/>
          <w:sz w:val="24"/>
        </w:rPr>
      </w:pPr>
      <w:r>
        <w:rPr>
          <w:rFonts w:ascii="宋体" w:hAnsi="宋体" w:cs="宋体"/>
          <w:b/>
          <w:bCs/>
          <w:sz w:val="24"/>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附件5-1：资格条件证明材料</w:t>
      </w:r>
      <w:r/>
    </w:p>
    <w:p>
      <w:pPr>
        <w:jc w:val="center"/>
        <w:spacing w:before="75" w:after="75" w:line="360" w:lineRule="auto"/>
        <w:widowControl/>
        <w:rPr>
          <w:rFonts w:ascii="宋体" w:hAnsi="宋体" w:cs="宋体"/>
          <w:sz w:val="24"/>
        </w:rPr>
      </w:pPr>
      <w:r>
        <w:rPr>
          <w:rFonts w:hint="eastAsia" w:ascii="宋体" w:hAnsi="宋体" w:cs="宋体"/>
          <w:b/>
          <w:sz w:val="24"/>
        </w:rPr>
        <w:t xml:space="preserve">营业执照等证明文件</w:t>
      </w:r>
      <w:r/>
    </w:p>
    <w:p>
      <w:pPr>
        <w:jc w:val="left"/>
        <w:spacing w:before="75" w:after="75"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(采购人或采购代理机构)        </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 ）供应商为法人（包括企业、事业单位和社会团体）的</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现附上由</w:t>
      </w:r>
      <w:r>
        <w:rPr>
          <w:rFonts w:hint="eastAsia" w:ascii="宋体" w:hAnsi="宋体" w:cs="宋体"/>
          <w:sz w:val="24"/>
          <w:u w:val="single"/>
        </w:rPr>
        <w:t xml:space="preserve">（填写“签发机关全称”）</w:t>
      </w:r>
      <w:r>
        <w:rPr>
          <w:rFonts w:hint="eastAsia" w:ascii="宋体" w:hAnsi="宋体" w:cs="宋体"/>
          <w:sz w:val="24"/>
        </w:rPr>
        <w:t xml:space="preserve">签发的我方统一社会信用代码</w:t>
      </w:r>
      <w:r>
        <w:rPr>
          <w:rFonts w:hint="eastAsia" w:ascii="宋体" w:hAnsi="宋体" w:cs="宋体"/>
          <w:sz w:val="24"/>
          <w:u w:val="single"/>
        </w:rPr>
        <w:t xml:space="preserve">（请填写法人的具体证照名称）</w:t>
      </w:r>
      <w:r>
        <w:rPr>
          <w:rFonts w:hint="eastAsia" w:ascii="宋体" w:hAnsi="宋体" w:cs="宋体"/>
          <w:sz w:val="24"/>
        </w:rPr>
        <w:t xml:space="preserve">复印件，该证明材料真实有效，否则我方负全部责任。</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 ）供应商为非法人（包括其他组织、自然人）的</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□现附上由</w:t>
      </w:r>
      <w:r>
        <w:rPr>
          <w:rFonts w:hint="eastAsia" w:ascii="宋体" w:hAnsi="宋体" w:cs="宋体"/>
          <w:sz w:val="24"/>
          <w:u w:val="single"/>
        </w:rPr>
        <w:t xml:space="preserve">（填写“签发机关全称”）</w:t>
      </w:r>
      <w:r>
        <w:rPr>
          <w:rFonts w:hint="eastAsia" w:ascii="宋体" w:hAnsi="宋体" w:cs="宋体"/>
          <w:sz w:val="24"/>
        </w:rPr>
        <w:t xml:space="preserve">签发的我方</w:t>
      </w:r>
      <w:r>
        <w:rPr>
          <w:rFonts w:hint="eastAsia" w:ascii="宋体" w:hAnsi="宋体" w:cs="宋体"/>
          <w:sz w:val="24"/>
          <w:u w:val="single"/>
        </w:rPr>
        <w:t xml:space="preserve">（请填写非自然人的非法人的具体证照名称）</w:t>
      </w:r>
      <w:r>
        <w:rPr>
          <w:rFonts w:hint="eastAsia" w:ascii="宋体" w:hAnsi="宋体" w:cs="宋体"/>
          <w:sz w:val="24"/>
        </w:rPr>
        <w:t xml:space="preserve">复印件，该证明材料真实有效，否则我方负全部责任。</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□现附上由</w:t>
      </w:r>
      <w:r>
        <w:rPr>
          <w:rFonts w:hint="eastAsia" w:ascii="宋体" w:hAnsi="宋体" w:cs="宋体"/>
          <w:sz w:val="24"/>
          <w:u w:val="single"/>
        </w:rPr>
        <w:t xml:space="preserve">（填写“签发机关全称”）</w:t>
      </w:r>
      <w:r>
        <w:rPr>
          <w:rFonts w:hint="eastAsia" w:ascii="宋体" w:hAnsi="宋体" w:cs="宋体"/>
          <w:sz w:val="24"/>
        </w:rPr>
        <w:t xml:space="preserve">签发的我方</w:t>
      </w:r>
      <w:r>
        <w:rPr>
          <w:rFonts w:hint="eastAsia" w:ascii="宋体" w:hAnsi="宋体" w:cs="宋体"/>
          <w:sz w:val="24"/>
          <w:u w:val="single"/>
        </w:rPr>
        <w:t xml:space="preserve">（请填写自然人的身份证件名称）</w:t>
      </w:r>
      <w:r>
        <w:rPr>
          <w:rFonts w:hint="eastAsia" w:ascii="宋体" w:hAnsi="宋体" w:cs="宋体"/>
          <w:sz w:val="24"/>
        </w:rPr>
        <w:t xml:space="preserve">复印件，该证明材料真实有效，否则我方负全部责任。</w:t>
      </w:r>
      <w:r/>
    </w:p>
    <w:p>
      <w:pPr>
        <w:jc w:val="left"/>
        <w:spacing w:before="75" w:after="75" w:line="360" w:lineRule="auto"/>
        <w:widowControl/>
        <w:rPr>
          <w:rFonts w:ascii="宋体" w:hAnsi="宋体" w:cs="宋体"/>
          <w:sz w:val="24"/>
        </w:rPr>
      </w:pPr>
      <w:r>
        <w:rPr>
          <w:rFonts w:hint="eastAsia" w:ascii="宋体" w:hAnsi="宋体" w:cs="宋体"/>
          <w:sz w:val="24"/>
        </w:rPr>
        <w:t xml:space="preserve">★注意：</w:t>
      </w:r>
      <w:r/>
    </w:p>
    <w:p>
      <w:pPr>
        <w:jc w:val="left"/>
        <w:spacing w:before="75" w:after="75" w:line="360" w:lineRule="auto"/>
        <w:widowControl/>
        <w:rPr>
          <w:rFonts w:ascii="宋体" w:hAnsi="宋体" w:cs="宋体"/>
          <w:sz w:val="24"/>
        </w:rPr>
      </w:pPr>
      <w:r>
        <w:rPr>
          <w:rFonts w:hint="eastAsia" w:ascii="宋体" w:hAnsi="宋体" w:cs="宋体"/>
          <w:sz w:val="24"/>
        </w:rPr>
        <w:t xml:space="preserve">1、请供应商根据实际情况填写，在相应的（）中打“√”并选择相应的“□”（若有）后，再按照本格式的要求提供相应证明材料的复印件。</w:t>
      </w:r>
      <w:r/>
    </w:p>
    <w:p>
      <w:pPr>
        <w:jc w:val="left"/>
        <w:spacing w:before="75" w:after="75" w:line="360" w:lineRule="auto"/>
        <w:widowControl/>
        <w:rPr>
          <w:rFonts w:ascii="宋体" w:hAnsi="宋体" w:cs="宋体"/>
          <w:sz w:val="24"/>
        </w:rPr>
      </w:pPr>
      <w:r>
        <w:rPr>
          <w:rFonts w:hint="eastAsia" w:ascii="宋体" w:hAnsi="宋体" w:cs="宋体"/>
          <w:sz w:val="24"/>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jc w:val="left"/>
        <w:spacing w:before="75" w:after="75" w:line="360" w:lineRule="auto"/>
        <w:widowControl/>
        <w:rPr>
          <w:rFonts w:ascii="宋体" w:hAnsi="宋体" w:cs="宋体"/>
          <w:sz w:val="24"/>
        </w:rPr>
      </w:pPr>
      <w:r>
        <w:rPr>
          <w:rFonts w:hint="eastAsia" w:ascii="宋体" w:hAnsi="宋体" w:cs="宋体"/>
          <w:sz w:val="24"/>
        </w:rPr>
        <w:t xml:space="preserve">3、供应商提供的相应证明材料复印件均应符合：内容完整、清晰、整洁，并由供应商加盖其单位公章。</w:t>
      </w:r>
      <w:r/>
    </w:p>
    <w:p>
      <w:pPr>
        <w:jc w:val="left"/>
        <w:spacing w:before="75" w:after="75" w:line="360" w:lineRule="auto"/>
        <w:widowControl/>
        <w:rPr>
          <w:rFonts w:ascii="宋体" w:hAnsi="宋体" w:cs="宋体"/>
          <w:sz w:val="24"/>
        </w:rPr>
      </w:pPr>
      <w:r>
        <w:rPr>
          <w:rFonts w:hint="eastAsia" w:ascii="宋体" w:hAnsi="宋体" w:cs="宋体"/>
          <w:sz w:val="24"/>
        </w:rPr>
        <w:t xml:space="preserve">4、对于接受联合体形式的磋商且供应商是联合体的，则联合体各成员都应当提交本资格证明文件。</w:t>
      </w:r>
      <w:r/>
    </w:p>
    <w:p>
      <w:pPr>
        <w:ind w:firstLine="3360"/>
        <w:jc w:val="left"/>
        <w:spacing w:before="75" w:after="75" w:line="360" w:lineRule="auto"/>
        <w:widowControl/>
        <w:rPr>
          <w:rFonts w:ascii="宋体" w:hAnsi="宋体" w:cs="宋体"/>
          <w:sz w:val="24"/>
        </w:rPr>
      </w:pPr>
      <w:r>
        <w:rPr>
          <w:rFonts w:hint="eastAsia" w:ascii="宋体" w:hAnsi="宋体" w:cs="宋体"/>
          <w:sz w:val="24"/>
        </w:rPr>
        <w:t xml:space="preserve"> </w:t>
      </w:r>
      <w:r>
        <w:rPr>
          <w:rFonts w:hint="eastAsia" w:ascii="宋体" w:hAnsi="宋体" w:cs="宋体"/>
          <w:sz w:val="24"/>
          <w:lang w:val="zh-CN"/>
        </w:rPr>
        <w:t xml:space="preserve">响应单位：（</w:t>
      </w:r>
      <w:r>
        <w:rPr>
          <w:rFonts w:hint="eastAsia" w:ascii="宋体" w:hAnsi="宋体" w:cs="宋体"/>
          <w:sz w:val="24"/>
        </w:rPr>
        <w:t xml:space="preserve">签章</w:t>
      </w:r>
      <w:r>
        <w:rPr>
          <w:rFonts w:hint="eastAsia" w:ascii="宋体" w:hAnsi="宋体" w:cs="宋体"/>
          <w:sz w:val="24"/>
          <w:lang w:val="zh-CN"/>
        </w:rPr>
        <w:t xml:space="preserve">）</w:t>
      </w:r>
      <w:r/>
    </w:p>
    <w:p>
      <w:pPr>
        <w:ind w:firstLine="3360"/>
        <w:jc w:val="left"/>
        <w:spacing w:before="75" w:after="75" w:line="360" w:lineRule="auto"/>
        <w:widowControl/>
        <w:rPr>
          <w:rFonts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spacing w:before="75" w:after="75" w:line="360" w:lineRule="auto"/>
        <w:widowControl/>
        <w:rPr>
          <w:rFonts w:ascii="宋体" w:hAnsi="宋体" w:cs="宋体"/>
          <w:b/>
          <w:bCs/>
          <w:sz w:val="24"/>
        </w:rPr>
      </w:pPr>
      <w:r>
        <w:rPr>
          <w:rFonts w:ascii="宋体" w:hAnsi="宋体" w:cs="宋体"/>
          <w:b/>
          <w:bCs/>
          <w:sz w:val="24"/>
        </w:rPr>
      </w:r>
      <w:r/>
    </w:p>
    <w:p>
      <w:pPr>
        <w:jc w:val="left"/>
        <w:spacing w:before="75" w:after="75" w:line="495" w:lineRule="atLeast"/>
        <w:widowControl/>
        <w:rPr>
          <w:rFonts w:ascii="宋体" w:hAnsi="宋体" w:cs="宋体"/>
          <w:b/>
          <w:bCs/>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sz w:val="24"/>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附件5-2：资格条件证明材料</w:t>
      </w:r>
      <w:r/>
    </w:p>
    <w:p>
      <w:pPr>
        <w:jc w:val="left"/>
        <w:spacing w:before="75" w:after="75" w:line="495" w:lineRule="atLeast"/>
        <w:widowControl/>
        <w:rPr>
          <w:rFonts w:ascii="宋体" w:hAnsi="宋体" w:cs="宋体"/>
          <w:b/>
          <w:bCs/>
          <w:sz w:val="24"/>
        </w:rPr>
      </w:pPr>
      <w:r>
        <w:rPr>
          <w:rFonts w:ascii="宋体" w:hAnsi="宋体" w:cs="宋体"/>
          <w:b/>
          <w:bCs/>
          <w:sz w:val="24"/>
        </w:rPr>
      </w:r>
      <w:r/>
    </w:p>
    <w:p>
      <w:pPr>
        <w:jc w:val="center"/>
        <w:spacing w:before="75" w:after="75" w:line="435" w:lineRule="atLeast"/>
        <w:widowControl/>
        <w:rPr>
          <w:rFonts w:ascii="宋体" w:hAnsi="宋体" w:cs="宋体"/>
          <w:sz w:val="24"/>
        </w:rPr>
      </w:pPr>
      <w:r>
        <w:rPr>
          <w:rFonts w:hint="eastAsia" w:ascii="宋体" w:hAnsi="宋体" w:cs="宋体"/>
          <w:b/>
          <w:sz w:val="24"/>
        </w:rPr>
        <w:t xml:space="preserve">财务状况报告</w:t>
      </w:r>
      <w:r/>
    </w:p>
    <w:p>
      <w:pPr>
        <w:jc w:val="left"/>
        <w:spacing w:before="75" w:after="75" w:line="435" w:lineRule="atLeast"/>
        <w:widowControl/>
        <w:rPr>
          <w:rFonts w:ascii="宋体" w:hAnsi="宋体" w:cs="宋体"/>
          <w:sz w:val="24"/>
        </w:rPr>
      </w:pPr>
      <w:r>
        <w:rPr>
          <w:rFonts w:hint="eastAsia" w:ascii="宋体" w:hAnsi="宋体" w:cs="宋体"/>
          <w:sz w:val="24"/>
        </w:rPr>
        <w:t xml:space="preserve"> </w:t>
      </w:r>
      <w:r/>
    </w:p>
    <w:p>
      <w:pPr>
        <w:spacing w:before="75" w:after="75" w:line="435" w:lineRule="atLeast"/>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(采购人或采购代理机构)         </w:t>
      </w:r>
      <w:r/>
    </w:p>
    <w:p>
      <w:pPr>
        <w:ind w:firstLine="480"/>
        <w:spacing w:before="75" w:after="75" w:line="435" w:lineRule="atLeast"/>
        <w:widowControl/>
        <w:rPr>
          <w:rFonts w:ascii="宋体" w:hAnsi="宋体" w:cs="宋体"/>
          <w:sz w:val="24"/>
        </w:rPr>
      </w:pPr>
      <w:r>
        <w:rPr>
          <w:rFonts w:hint="eastAsia" w:ascii="宋体" w:hAnsi="宋体" w:cs="宋体"/>
          <w:sz w:val="24"/>
        </w:rPr>
        <w:t xml:space="preserve">（ ）供应商提供财务报告的</w:t>
      </w:r>
      <w:r/>
    </w:p>
    <w:p>
      <w:pPr>
        <w:ind w:firstLine="480"/>
        <w:spacing w:before="75" w:after="75" w:line="435" w:lineRule="atLeast"/>
        <w:widowControl/>
        <w:rPr>
          <w:rFonts w:ascii="宋体" w:hAnsi="宋体" w:cs="宋体"/>
          <w:sz w:val="24"/>
        </w:rPr>
      </w:pPr>
      <w:r>
        <w:rPr>
          <w:rFonts w:hint="eastAsia" w:ascii="宋体" w:hAnsi="宋体" w:cs="宋体"/>
          <w:sz w:val="24"/>
        </w:rPr>
        <w:t xml:space="preserve">□企业适用：现附上我方</w:t>
      </w:r>
      <w:r>
        <w:rPr>
          <w:rFonts w:hint="eastAsia" w:ascii="宋体" w:hAnsi="宋体" w:cs="宋体"/>
          <w:sz w:val="24"/>
          <w:u w:val="single"/>
        </w:rPr>
        <w:t xml:space="preserve">（填写“具体的年度、或半年度、或季度”）</w:t>
      </w:r>
      <w:r>
        <w:rPr>
          <w:rFonts w:hint="eastAsia" w:ascii="宋体" w:hAnsi="宋体" w:cs="宋体"/>
          <w:sz w:val="24"/>
        </w:rPr>
        <w:t xml:space="preserve">财务报告复印件，包括资产负债表、利润表、现金流量表、所有者权益变动表及其附注（若有），上述证明材料真实有效，否则我方负全部责任。</w:t>
      </w:r>
      <w:r/>
    </w:p>
    <w:p>
      <w:pPr>
        <w:ind w:firstLine="480"/>
        <w:spacing w:before="75" w:after="75" w:line="435" w:lineRule="atLeast"/>
        <w:widowControl/>
        <w:rPr>
          <w:rFonts w:ascii="宋体" w:hAnsi="宋体" w:cs="宋体"/>
          <w:sz w:val="24"/>
        </w:rPr>
      </w:pPr>
      <w:r>
        <w:rPr>
          <w:rFonts w:hint="eastAsia" w:ascii="宋体" w:hAnsi="宋体" w:cs="宋体"/>
          <w:sz w:val="24"/>
        </w:rPr>
        <w:t xml:space="preserve">□事业单位适用：现附上我方</w:t>
      </w:r>
      <w:r>
        <w:rPr>
          <w:rFonts w:hint="eastAsia" w:ascii="宋体" w:hAnsi="宋体" w:cs="宋体"/>
          <w:sz w:val="24"/>
          <w:u w:val="single"/>
        </w:rPr>
        <w:t xml:space="preserve">（填写“具体的年度、或半年度、或季度”）</w:t>
      </w:r>
      <w:r>
        <w:rPr>
          <w:rFonts w:hint="eastAsia" w:ascii="宋体" w:hAnsi="宋体" w:cs="宋体"/>
          <w:sz w:val="24"/>
        </w:rPr>
        <w:t xml:space="preserve">财务报告复印件，包括资产负债表、收入支出表或收入费用表、财政补助收入支出表（若有），上述证明材料真实有效，否则我方负全部责任。</w:t>
      </w:r>
      <w:r/>
    </w:p>
    <w:p>
      <w:pPr>
        <w:ind w:firstLine="480"/>
        <w:spacing w:before="75" w:after="75" w:line="435" w:lineRule="atLeast"/>
        <w:widowControl/>
        <w:rPr>
          <w:rFonts w:ascii="宋体" w:hAnsi="宋体" w:cs="宋体"/>
          <w:sz w:val="24"/>
        </w:rPr>
      </w:pPr>
      <w:r>
        <w:rPr>
          <w:rFonts w:hint="eastAsia" w:ascii="宋体" w:hAnsi="宋体" w:cs="宋体"/>
          <w:sz w:val="24"/>
        </w:rPr>
        <w:t xml:space="preserve">□社会团体适用：现附上我方</w:t>
      </w:r>
      <w:r>
        <w:rPr>
          <w:rFonts w:hint="eastAsia" w:ascii="宋体" w:hAnsi="宋体" w:cs="宋体"/>
          <w:sz w:val="24"/>
          <w:u w:val="single"/>
        </w:rPr>
        <w:t xml:space="preserve">（填写“具体的年度、或半年度、或季度”）</w:t>
      </w:r>
      <w:r>
        <w:rPr>
          <w:rFonts w:hint="eastAsia" w:ascii="宋体" w:hAnsi="宋体" w:cs="宋体"/>
          <w:sz w:val="24"/>
        </w:rPr>
        <w:t xml:space="preserve">财务报告复印件，包括资产负债表、业务活动表、现金流量表，上述证明材料真实有效，否则我方负全部责任。</w:t>
      </w:r>
      <w:r/>
    </w:p>
    <w:p>
      <w:pPr>
        <w:ind w:firstLine="480"/>
        <w:spacing w:before="75" w:after="75" w:line="435" w:lineRule="atLeast"/>
        <w:widowControl/>
        <w:rPr>
          <w:rFonts w:ascii="宋体" w:hAnsi="宋体" w:cs="宋体"/>
          <w:sz w:val="24"/>
        </w:rPr>
      </w:pPr>
      <w:r>
        <w:rPr>
          <w:rFonts w:hint="eastAsia" w:ascii="宋体" w:hAnsi="宋体" w:cs="宋体"/>
          <w:sz w:val="24"/>
        </w:rPr>
        <w:t xml:space="preserve">（ ）供应商提供资信证明的</w:t>
      </w:r>
      <w:r/>
    </w:p>
    <w:p>
      <w:pPr>
        <w:ind w:firstLine="480"/>
        <w:spacing w:before="75" w:after="75" w:line="435" w:lineRule="atLeast"/>
        <w:widowControl/>
        <w:rPr>
          <w:rFonts w:ascii="宋体" w:hAnsi="宋体" w:cs="宋体"/>
          <w:sz w:val="24"/>
        </w:rPr>
      </w:pPr>
      <w:r>
        <w:rPr>
          <w:rFonts w:hint="eastAsia" w:ascii="宋体" w:hAnsi="宋体" w:cs="宋体"/>
          <w:sz w:val="24"/>
        </w:rPr>
        <w:t xml:space="preserve">□非自然人适用：现附上我方开户（基本户）许可证复印件及我方银行：</w:t>
      </w:r>
      <w:r>
        <w:rPr>
          <w:rFonts w:hint="eastAsia" w:ascii="宋体" w:hAnsi="宋体" w:cs="宋体"/>
          <w:sz w:val="24"/>
          <w:u w:val="single"/>
        </w:rPr>
        <w:t xml:space="preserve">（填写“基本户的开户银行全称”）</w:t>
      </w:r>
      <w:r>
        <w:rPr>
          <w:rFonts w:hint="eastAsia" w:ascii="宋体" w:hAnsi="宋体" w:cs="宋体"/>
          <w:sz w:val="24"/>
        </w:rPr>
        <w:t xml:space="preserve">出具的资信证明复印件，上述证明材料真实有效，否则我方负全部责任。</w:t>
      </w:r>
      <w:r/>
    </w:p>
    <w:p>
      <w:pPr>
        <w:ind w:firstLine="480"/>
        <w:spacing w:before="75" w:after="75" w:line="435" w:lineRule="atLeast"/>
        <w:widowControl/>
        <w:rPr>
          <w:rFonts w:ascii="宋体" w:hAnsi="宋体" w:cs="宋体"/>
          <w:sz w:val="24"/>
        </w:rPr>
      </w:pPr>
      <w:r>
        <w:rPr>
          <w:rFonts w:hint="eastAsia" w:ascii="宋体" w:hAnsi="宋体" w:cs="宋体"/>
          <w:sz w:val="24"/>
        </w:rPr>
        <w:t xml:space="preserve">□自然人适用：现附上我方银行：</w:t>
      </w:r>
      <w:r>
        <w:rPr>
          <w:rFonts w:hint="eastAsia" w:ascii="宋体" w:hAnsi="宋体" w:cs="宋体"/>
          <w:sz w:val="24"/>
          <w:u w:val="single"/>
        </w:rPr>
        <w:t xml:space="preserve">（填写自然人的“个人账户的开户银行全称”）</w:t>
      </w:r>
      <w:r>
        <w:rPr>
          <w:rFonts w:hint="eastAsia" w:ascii="宋体" w:hAnsi="宋体" w:cs="宋体"/>
          <w:sz w:val="24"/>
        </w:rPr>
        <w:t xml:space="preserve">出具的资信证明复印件，上述证明材料真实有效，否则我方负全部责任。</w:t>
      </w:r>
      <w:r/>
    </w:p>
    <w:p>
      <w:pPr>
        <w:jc w:val="left"/>
        <w:spacing w:before="75" w:after="75"/>
        <w:widowControl/>
        <w:rPr>
          <w:rFonts w:ascii="宋体" w:hAnsi="宋体" w:cs="宋体"/>
          <w:sz w:val="24"/>
        </w:rPr>
      </w:pPr>
      <w:r>
        <w:rPr>
          <w:rFonts w:hint="eastAsia" w:ascii="宋体" w:hAnsi="宋体" w:cs="宋体"/>
          <w:b/>
          <w:sz w:val="24"/>
        </w:rPr>
        <w:t xml:space="preserve"> </w:t>
      </w:r>
      <w:r/>
    </w:p>
    <w:p>
      <w:pPr>
        <w:jc w:val="left"/>
        <w:spacing w:before="75" w:after="75"/>
        <w:widowControl/>
        <w:rPr>
          <w:rFonts w:ascii="宋体" w:hAnsi="宋体" w:cs="宋体"/>
          <w:sz w:val="24"/>
        </w:rPr>
      </w:pPr>
      <w:r>
        <w:rPr>
          <w:rFonts w:hint="eastAsia" w:ascii="宋体" w:hAnsi="宋体" w:cs="宋体"/>
          <w:sz w:val="24"/>
        </w:rPr>
        <w:t xml:space="preserve">★注意事项：</w:t>
      </w:r>
      <w:r/>
    </w:p>
    <w:p>
      <w:pPr>
        <w:ind w:firstLine="420"/>
        <w:jc w:val="left"/>
        <w:spacing w:before="75" w:after="75"/>
        <w:widowControl/>
        <w:rPr>
          <w:rFonts w:ascii="宋体" w:hAnsi="宋体" w:cs="宋体"/>
          <w:sz w:val="24"/>
        </w:rPr>
      </w:pPr>
      <w:r>
        <w:rPr>
          <w:rFonts w:hint="eastAsia" w:ascii="宋体" w:hAnsi="宋体" w:cs="宋体"/>
          <w:sz w:val="24"/>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firstLine="420"/>
        <w:jc w:val="left"/>
        <w:spacing w:before="75" w:after="75"/>
        <w:widowControl/>
        <w:rPr>
          <w:rFonts w:ascii="宋体" w:hAnsi="宋体" w:cs="宋体"/>
          <w:sz w:val="24"/>
        </w:rPr>
      </w:pPr>
      <w:r>
        <w:rPr>
          <w:rFonts w:hint="eastAsia" w:ascii="宋体" w:hAnsi="宋体" w:cs="宋体"/>
          <w:sz w:val="24"/>
        </w:rPr>
        <w:t xml:space="preserve">2、供应商提供的财务报告或资信证明复印件（成立年限按照响应文件递交截止时间推算）应符合下列规定：</w:t>
      </w:r>
      <w:r/>
    </w:p>
    <w:p>
      <w:pPr>
        <w:ind w:firstLine="420"/>
        <w:jc w:val="left"/>
        <w:spacing w:before="75" w:after="75"/>
        <w:widowControl/>
        <w:rPr>
          <w:rFonts w:ascii="宋体" w:hAnsi="宋体" w:cs="宋体"/>
          <w:sz w:val="24"/>
        </w:rPr>
      </w:pPr>
      <w:r>
        <w:rPr>
          <w:rFonts w:hint="eastAsia" w:ascii="宋体" w:hAnsi="宋体" w:cs="宋体"/>
          <w:sz w:val="24"/>
        </w:rPr>
        <w:t xml:space="preserve">2.1成立年限满1年及以上的供应商，提供最近一期的财务报告。</w:t>
      </w:r>
      <w:r/>
    </w:p>
    <w:p>
      <w:pPr>
        <w:ind w:firstLine="420"/>
        <w:jc w:val="left"/>
        <w:spacing w:before="75" w:after="75"/>
        <w:widowControl/>
        <w:rPr>
          <w:rFonts w:ascii="宋体" w:hAnsi="宋体" w:cs="宋体"/>
          <w:sz w:val="24"/>
        </w:rPr>
      </w:pPr>
      <w:r>
        <w:rPr>
          <w:rFonts w:hint="eastAsia" w:ascii="宋体" w:hAnsi="宋体" w:cs="宋体"/>
          <w:sz w:val="24"/>
        </w:rPr>
        <w:t xml:space="preserve">2.2成立年限不足1年的供应商，提供资信证明复印件。</w:t>
      </w:r>
      <w:r/>
    </w:p>
    <w:p>
      <w:pPr>
        <w:ind w:firstLine="420"/>
        <w:jc w:val="left"/>
        <w:spacing w:before="75" w:after="75"/>
        <w:widowControl/>
        <w:rPr>
          <w:rFonts w:ascii="宋体" w:hAnsi="宋体" w:cs="宋体"/>
          <w:sz w:val="24"/>
        </w:rPr>
      </w:pPr>
      <w:r>
        <w:rPr>
          <w:rFonts w:hint="eastAsia" w:ascii="宋体" w:hAnsi="宋体" w:cs="宋体"/>
          <w:sz w:val="24"/>
        </w:rPr>
        <w:t xml:space="preserve">3、供应商提供的相应证明材料复印件均应符合：内容完整、清晰、整洁，并由供应商加盖其单位公章。</w:t>
      </w:r>
      <w:r/>
    </w:p>
    <w:p>
      <w:pPr>
        <w:ind w:firstLine="420"/>
        <w:jc w:val="left"/>
        <w:spacing w:before="75" w:after="75" w:line="315" w:lineRule="atLeast"/>
        <w:widowControl/>
        <w:rPr>
          <w:rFonts w:ascii="宋体" w:hAnsi="宋体" w:cs="宋体"/>
          <w:sz w:val="24"/>
        </w:rPr>
      </w:pPr>
      <w:r>
        <w:rPr>
          <w:rFonts w:hint="eastAsia" w:ascii="宋体" w:hAnsi="宋体" w:cs="宋体"/>
          <w:sz w:val="24"/>
        </w:rPr>
        <w:t xml:space="preserve">4、对于接受联合体形式的磋商且供应商是联合体的，则联合体各成员都应当提交本资格证明文件。</w:t>
      </w:r>
      <w:r/>
    </w:p>
    <w:p>
      <w:pPr>
        <w:spacing w:before="75" w:after="75" w:line="435" w:lineRule="atLeast"/>
        <w:widowControl/>
        <w:rPr>
          <w:rFonts w:ascii="宋体" w:hAnsi="宋体" w:cs="宋体"/>
          <w:sz w:val="24"/>
        </w:rPr>
      </w:pPr>
      <w:r>
        <w:rPr>
          <w:rFonts w:hint="eastAsia" w:ascii="宋体" w:hAnsi="宋体" w:cs="宋体"/>
          <w:b/>
          <w:sz w:val="24"/>
        </w:rPr>
        <w:t xml:space="preserve"> </w:t>
      </w:r>
      <w:r/>
    </w:p>
    <w:p>
      <w:pPr>
        <w:jc w:val="left"/>
        <w:spacing w:before="75" w:after="75" w:line="435" w:lineRule="atLeast"/>
        <w:widowControl/>
        <w:rPr>
          <w:rFonts w:ascii="宋体" w:hAnsi="宋体" w:cs="宋体"/>
          <w:sz w:val="24"/>
        </w:rPr>
      </w:pPr>
      <w:r>
        <w:rPr>
          <w:rFonts w:hint="eastAsia" w:ascii="宋体" w:hAnsi="宋体" w:cs="宋体"/>
          <w:b/>
          <w:sz w:val="24"/>
        </w:rPr>
        <w:t xml:space="preserve"> </w:t>
      </w:r>
      <w:r/>
    </w:p>
    <w:p>
      <w:pPr>
        <w:jc w:val="left"/>
        <w:spacing w:before="75" w:after="75" w:line="435" w:lineRule="atLeast"/>
        <w:widowControl/>
        <w:rPr>
          <w:rFonts w:ascii="宋体" w:hAnsi="宋体" w:cs="宋体"/>
          <w:sz w:val="24"/>
          <w:lang w:val="zh-CN"/>
        </w:rPr>
      </w:pPr>
      <w:r>
        <w:rPr>
          <w:rFonts w:ascii="宋体" w:hAnsi="宋体" w:cs="宋体"/>
          <w:sz w:val="24"/>
          <w:lang w:val="zh-CN"/>
        </w:rPr>
      </w:r>
      <w:r/>
    </w:p>
    <w:p>
      <w:pPr>
        <w:jc w:val="left"/>
        <w:spacing w:before="75" w:after="75" w:line="435" w:lineRule="atLeast"/>
        <w:widowControl/>
        <w:rPr>
          <w:rFonts w:ascii="宋体" w:hAnsi="宋体" w:cs="宋体"/>
          <w:sz w:val="24"/>
          <w:lang w:val="zh-CN"/>
        </w:rPr>
      </w:pPr>
      <w:r>
        <w:rPr>
          <w:rFonts w:hint="eastAsia" w:ascii="宋体" w:hAnsi="宋体" w:cs="宋体"/>
          <w:sz w:val="24"/>
          <w:lang w:val="zh-CN"/>
        </w:rPr>
        <w:t xml:space="preserve">响应单位：（</w:t>
      </w:r>
      <w:r>
        <w:rPr>
          <w:rFonts w:hint="eastAsia" w:ascii="宋体" w:hAnsi="宋体" w:cs="宋体"/>
          <w:sz w:val="24"/>
        </w:rPr>
        <w:t xml:space="preserve">签章</w:t>
      </w:r>
      <w:r>
        <w:rPr>
          <w:rFonts w:hint="eastAsia" w:ascii="宋体" w:hAnsi="宋体" w:cs="宋体"/>
          <w:sz w:val="24"/>
          <w:lang w:val="zh-CN"/>
        </w:rPr>
        <w:t xml:space="preserve">）</w:t>
      </w:r>
      <w:r/>
    </w:p>
    <w:p>
      <w:pPr>
        <w:jc w:val="left"/>
        <w:spacing w:before="75" w:after="75" w:line="435" w:lineRule="atLeast"/>
        <w:widowControl/>
        <w:rPr>
          <w:rFonts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spacing w:before="75" w:after="75" w:line="495" w:lineRule="atLeast"/>
        <w:widowControl/>
        <w:rPr>
          <w:rFonts w:ascii="宋体" w:hAnsi="宋体" w:cs="宋体"/>
          <w:b/>
          <w:bCs/>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sz w:val="24"/>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附件5-3：资格条件证明材料</w:t>
      </w:r>
      <w:r/>
    </w:p>
    <w:p>
      <w:pPr>
        <w:jc w:val="center"/>
        <w:spacing w:before="75" w:after="75" w:line="435" w:lineRule="atLeast"/>
        <w:widowControl/>
        <w:rPr>
          <w:rFonts w:ascii="宋体" w:hAnsi="宋体" w:cs="宋体"/>
          <w:b/>
          <w:sz w:val="24"/>
        </w:rPr>
      </w:pPr>
      <w:r>
        <w:rPr>
          <w:rFonts w:ascii="宋体" w:hAnsi="宋体" w:cs="宋体"/>
          <w:b/>
          <w:sz w:val="24"/>
        </w:rPr>
      </w:r>
      <w:r/>
    </w:p>
    <w:p>
      <w:pPr>
        <w:jc w:val="center"/>
        <w:spacing w:before="75" w:after="75" w:line="435" w:lineRule="atLeast"/>
        <w:widowControl/>
        <w:rPr>
          <w:rFonts w:ascii="宋体" w:hAnsi="宋体" w:cs="宋体"/>
          <w:sz w:val="24"/>
        </w:rPr>
      </w:pPr>
      <w:r>
        <w:rPr>
          <w:rFonts w:hint="eastAsia" w:ascii="宋体" w:hAnsi="宋体" w:cs="宋体"/>
          <w:b/>
          <w:sz w:val="24"/>
        </w:rPr>
        <w:t xml:space="preserve">具备履行合同所必需设备和专业技术能力证明材料</w:t>
      </w:r>
      <w:r/>
    </w:p>
    <w:p>
      <w:pPr>
        <w:jc w:val="left"/>
        <w:spacing w:before="75" w:after="75" w:line="360" w:lineRule="auto"/>
        <w:widowControl/>
        <w:rPr>
          <w:rFonts w:ascii="宋体" w:hAnsi="宋体" w:cs="宋体"/>
          <w:sz w:val="24"/>
        </w:rPr>
      </w:pPr>
      <w:r>
        <w:rPr>
          <w:rFonts w:hint="eastAsia" w:ascii="宋体" w:hAnsi="宋体" w:cs="宋体"/>
          <w:sz w:val="24"/>
        </w:rPr>
        <w:t xml:space="preserve"> </w:t>
      </w:r>
      <w:r/>
    </w:p>
    <w:p>
      <w:pPr>
        <w:jc w:val="center"/>
        <w:spacing w:before="75" w:after="75" w:line="360" w:lineRule="auto"/>
        <w:widowControl/>
        <w:rPr>
          <w:rFonts w:ascii="宋体" w:hAnsi="宋体" w:cs="宋体"/>
          <w:sz w:val="24"/>
        </w:rPr>
      </w:pPr>
      <w:r>
        <w:rPr>
          <w:rFonts w:hint="eastAsia" w:ascii="宋体" w:hAnsi="宋体" w:cs="宋体"/>
          <w:b/>
          <w:sz w:val="24"/>
        </w:rPr>
        <w:t xml:space="preserve">声明函</w:t>
      </w:r>
      <w:r/>
    </w:p>
    <w:p>
      <w:pPr>
        <w:jc w:val="left"/>
        <w:spacing w:before="75" w:after="75"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(采购人或采购代理机构)       </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我方具备履行合同所必需的设备和专业技术能力，并对本声明承诺的真实性负责，否则产生不利后果由我方承担责任。</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特此声明。</w:t>
      </w:r>
      <w:r/>
    </w:p>
    <w:p>
      <w:pPr>
        <w:jc w:val="left"/>
        <w:spacing w:before="75" w:after="75" w:line="360" w:lineRule="auto"/>
        <w:widowControl/>
        <w:rPr>
          <w:rFonts w:ascii="宋体" w:hAnsi="宋体" w:cs="宋体"/>
          <w:sz w:val="24"/>
        </w:rPr>
      </w:pPr>
      <w:r>
        <w:rPr>
          <w:rFonts w:hint="eastAsia" w:ascii="宋体" w:hAnsi="宋体" w:cs="宋体"/>
          <w:sz w:val="24"/>
        </w:rPr>
        <w:t xml:space="preserve"> </w:t>
      </w:r>
      <w:r/>
    </w:p>
    <w:p>
      <w:pPr>
        <w:jc w:val="left"/>
        <w:spacing w:before="75" w:after="75" w:line="360" w:lineRule="auto"/>
        <w:widowControl/>
        <w:rPr>
          <w:rFonts w:ascii="宋体" w:hAnsi="宋体" w:cs="宋体"/>
          <w:sz w:val="24"/>
        </w:rPr>
      </w:pPr>
      <w:r>
        <w:rPr>
          <w:rFonts w:hint="eastAsia" w:ascii="宋体" w:hAnsi="宋体" w:cs="宋体"/>
          <w:sz w:val="24"/>
        </w:rPr>
        <w:t xml:space="preserve">★注意：</w:t>
      </w:r>
      <w:r/>
    </w:p>
    <w:p>
      <w:pPr>
        <w:ind w:firstLine="480"/>
        <w:jc w:val="left"/>
        <w:spacing w:before="75" w:after="75" w:line="360" w:lineRule="auto"/>
        <w:widowControl/>
        <w:rPr>
          <w:rFonts w:ascii="宋体" w:hAnsi="宋体" w:cs="宋体"/>
          <w:sz w:val="24"/>
        </w:rPr>
      </w:pPr>
      <w:r>
        <w:rPr>
          <w:rFonts w:hint="eastAsia" w:ascii="宋体" w:hAnsi="宋体" w:cs="宋体"/>
          <w:b/>
          <w:sz w:val="24"/>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firstLine="480"/>
        <w:jc w:val="left"/>
        <w:spacing w:before="75" w:after="75" w:line="360" w:lineRule="auto"/>
        <w:widowControl/>
        <w:rPr>
          <w:rFonts w:ascii="宋体" w:hAnsi="宋体" w:cs="宋体"/>
          <w:sz w:val="24"/>
        </w:rPr>
      </w:pPr>
      <w:r>
        <w:rPr>
          <w:rFonts w:hint="eastAsia" w:ascii="宋体" w:hAnsi="宋体" w:cs="宋体"/>
          <w:b/>
          <w:sz w:val="24"/>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spacing w:before="75" w:after="75" w:line="360" w:lineRule="auto"/>
        <w:widowControl/>
        <w:rPr>
          <w:rFonts w:ascii="宋体" w:hAnsi="宋体" w:cs="宋体"/>
          <w:sz w:val="24"/>
        </w:rPr>
      </w:pPr>
      <w:r>
        <w:rPr>
          <w:rFonts w:hint="eastAsia" w:ascii="宋体" w:hAnsi="宋体" w:cs="宋体"/>
          <w:b/>
          <w:sz w:val="24"/>
        </w:rPr>
        <w:t xml:space="preserve">  3.对于接受联合体形式的磋商且供应商是联合体的，则联合体各成员都应当提交本资格证明文件。</w:t>
      </w:r>
      <w:r/>
    </w:p>
    <w:p>
      <w:pPr>
        <w:jc w:val="left"/>
        <w:spacing w:before="75" w:after="75" w:line="360" w:lineRule="auto"/>
        <w:widowControl/>
        <w:rPr>
          <w:rFonts w:ascii="宋体" w:hAnsi="宋体" w:cs="宋体"/>
          <w:sz w:val="24"/>
        </w:rPr>
      </w:pPr>
      <w:r>
        <w:rPr>
          <w:rFonts w:hint="eastAsia" w:ascii="宋体" w:hAnsi="宋体" w:cs="宋体"/>
          <w:sz w:val="24"/>
        </w:rPr>
        <w:t xml:space="preserve"> </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 </w:t>
      </w:r>
      <w:r/>
    </w:p>
    <w:p>
      <w:pPr>
        <w:jc w:val="left"/>
        <w:spacing w:before="75" w:after="75" w:line="360" w:lineRule="auto"/>
        <w:widowControl/>
        <w:rPr>
          <w:rFonts w:ascii="宋体" w:hAnsi="宋体" w:cs="宋体"/>
          <w:sz w:val="24"/>
          <w:lang w:val="zh-CN"/>
        </w:rPr>
      </w:pPr>
      <w:r>
        <w:rPr>
          <w:rFonts w:hint="eastAsia" w:ascii="宋体" w:hAnsi="宋体" w:cs="宋体"/>
          <w:sz w:val="24"/>
          <w:lang w:val="zh-CN"/>
        </w:rPr>
        <w:t xml:space="preserve">响应单位：（</w:t>
      </w:r>
      <w:r>
        <w:rPr>
          <w:rFonts w:hint="eastAsia" w:ascii="宋体" w:hAnsi="宋体" w:cs="宋体"/>
          <w:sz w:val="24"/>
        </w:rPr>
        <w:t xml:space="preserve">签章</w:t>
      </w:r>
      <w:r>
        <w:rPr>
          <w:rFonts w:hint="eastAsia" w:ascii="宋体" w:hAnsi="宋体" w:cs="宋体"/>
          <w:sz w:val="24"/>
          <w:lang w:val="zh-CN"/>
        </w:rPr>
        <w:t xml:space="preserve">）</w:t>
      </w:r>
      <w:r/>
    </w:p>
    <w:p>
      <w:pPr>
        <w:jc w:val="left"/>
        <w:spacing w:before="75" w:after="75" w:line="360" w:lineRule="auto"/>
        <w:widowControl/>
        <w:rPr>
          <w:rFonts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1125"/>
        <w:ind w:left="0" w:firstLine="0"/>
        <w:rPr>
          <w:rFonts w:ascii="宋体" w:hAnsi="宋体" w:eastAsia="宋体" w:cs="宋体"/>
          <w:sz w:val="24"/>
        </w:rPr>
      </w:pPr>
      <w:r>
        <w:rPr>
          <w:rFonts w:ascii="宋体" w:hAnsi="宋体" w:eastAsia="宋体" w:cs="宋体"/>
          <w:sz w:val="24"/>
        </w:rPr>
      </w:r>
      <w:r/>
    </w:p>
    <w:p>
      <w:pPr>
        <w:jc w:val="left"/>
        <w:spacing w:before="75" w:after="75" w:line="435" w:lineRule="atLeast"/>
        <w:widowControl/>
        <w:rPr>
          <w:rFonts w:ascii="宋体" w:hAnsi="宋体" w:cs="宋体"/>
          <w:b/>
          <w:bCs/>
          <w:sz w:val="24"/>
        </w:rPr>
      </w:pPr>
      <w:r>
        <w:rPr>
          <w:rFonts w:ascii="宋体" w:hAnsi="宋体" w:cs="宋体"/>
          <w:b/>
          <w:bCs/>
          <w:sz w:val="24"/>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附件5-4：资格条件证明材料</w:t>
      </w:r>
      <w:r/>
    </w:p>
    <w:p>
      <w:pPr>
        <w:jc w:val="center"/>
        <w:spacing w:before="75" w:after="75" w:line="435" w:lineRule="atLeast"/>
        <w:widowControl/>
        <w:rPr>
          <w:rFonts w:ascii="宋体" w:hAnsi="宋体" w:cs="宋体"/>
          <w:sz w:val="24"/>
        </w:rPr>
      </w:pPr>
      <w:r>
        <w:rPr>
          <w:rFonts w:hint="eastAsia" w:ascii="宋体" w:hAnsi="宋体" w:cs="宋体"/>
          <w:b/>
          <w:sz w:val="24"/>
        </w:rPr>
        <w:t xml:space="preserve">依法缴纳税收证明材料</w:t>
      </w:r>
      <w:r/>
    </w:p>
    <w:p>
      <w:pPr>
        <w:jc w:val="left"/>
        <w:spacing w:before="75" w:after="75" w:line="435" w:lineRule="atLeast"/>
        <w:widowControl/>
        <w:rPr>
          <w:rFonts w:ascii="宋体" w:hAnsi="宋体" w:cs="宋体"/>
          <w:sz w:val="24"/>
        </w:rPr>
      </w:pPr>
      <w:r>
        <w:rPr>
          <w:rFonts w:hint="eastAsia" w:ascii="宋体" w:hAnsi="宋体" w:cs="宋体"/>
          <w:sz w:val="24"/>
        </w:rPr>
        <w:t xml:space="preserve"> </w:t>
      </w:r>
      <w:r/>
    </w:p>
    <w:p>
      <w:pPr>
        <w:jc w:val="left"/>
        <w:spacing w:before="75" w:after="75"/>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(采购人或采购代理机构)      </w:t>
      </w:r>
      <w:r/>
    </w:p>
    <w:p>
      <w:pPr>
        <w:ind w:firstLine="420"/>
        <w:jc w:val="left"/>
        <w:spacing w:before="75" w:after="75"/>
        <w:widowControl/>
        <w:rPr>
          <w:rFonts w:ascii="宋体" w:hAnsi="宋体" w:cs="宋体"/>
          <w:sz w:val="24"/>
        </w:rPr>
      </w:pPr>
      <w:r>
        <w:rPr>
          <w:rFonts w:hint="eastAsia" w:ascii="宋体" w:hAnsi="宋体" w:cs="宋体"/>
          <w:b/>
          <w:sz w:val="24"/>
        </w:rPr>
        <w:t xml:space="preserve">1、依法缴纳税收的供应商</w:t>
      </w:r>
      <w:r/>
    </w:p>
    <w:p>
      <w:pPr>
        <w:ind w:firstLine="420"/>
        <w:jc w:val="left"/>
        <w:spacing w:before="75" w:after="75"/>
        <w:widowControl/>
        <w:rPr>
          <w:rFonts w:ascii="宋体" w:hAnsi="宋体" w:cs="宋体"/>
          <w:sz w:val="24"/>
        </w:rPr>
      </w:pPr>
      <w:r>
        <w:rPr>
          <w:rFonts w:hint="eastAsia" w:ascii="宋体" w:hAnsi="宋体" w:cs="宋体"/>
          <w:sz w:val="24"/>
        </w:rPr>
        <w:t xml:space="preserve">（ ）法人（包括企业、事业单位和社会团体）的</w:t>
      </w:r>
      <w:r/>
    </w:p>
    <w:p>
      <w:pPr>
        <w:ind w:firstLine="420"/>
        <w:jc w:val="left"/>
        <w:spacing w:before="75" w:after="75"/>
        <w:widowControl/>
        <w:rPr>
          <w:rFonts w:ascii="宋体" w:hAnsi="宋体" w:cs="宋体"/>
          <w:sz w:val="24"/>
        </w:rPr>
      </w:pPr>
      <w:r>
        <w:rPr>
          <w:rFonts w:hint="eastAsia" w:ascii="宋体" w:hAnsi="宋体" w:cs="宋体"/>
          <w:sz w:val="24"/>
        </w:rPr>
        <w:t xml:space="preserve">现附上自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日期间我方缴纳的</w:t>
      </w:r>
      <w:r>
        <w:rPr>
          <w:rFonts w:hint="eastAsia" w:ascii="宋体" w:hAnsi="宋体" w:cs="宋体"/>
          <w:sz w:val="24"/>
          <w:u w:val="single"/>
        </w:rPr>
        <w:t xml:space="preserve">（按照供应商实际缴纳的税种名称填写，如：增值税、所得税等）</w:t>
      </w:r>
      <w:r>
        <w:rPr>
          <w:rFonts w:hint="eastAsia" w:ascii="宋体" w:hAnsi="宋体" w:cs="宋体"/>
          <w:sz w:val="24"/>
        </w:rPr>
        <w:t xml:space="preserve">税收凭据复印件，上述证明材料真实有效，否则我方负全部责任。</w:t>
      </w:r>
      <w:r/>
    </w:p>
    <w:p>
      <w:pPr>
        <w:ind w:firstLine="420"/>
        <w:jc w:val="left"/>
        <w:spacing w:before="75" w:after="75"/>
        <w:widowControl/>
        <w:rPr>
          <w:rFonts w:ascii="宋体" w:hAnsi="宋体" w:cs="宋体"/>
          <w:sz w:val="24"/>
        </w:rPr>
      </w:pPr>
      <w:r>
        <w:rPr>
          <w:rFonts w:hint="eastAsia" w:ascii="宋体" w:hAnsi="宋体" w:cs="宋体"/>
          <w:sz w:val="24"/>
        </w:rPr>
        <w:t xml:space="preserve">（ ）非法人（包括其他组织、自然人）的</w:t>
      </w:r>
      <w:r/>
    </w:p>
    <w:p>
      <w:pPr>
        <w:ind w:firstLine="420"/>
        <w:jc w:val="left"/>
        <w:spacing w:before="75" w:after="75"/>
        <w:widowControl/>
        <w:rPr>
          <w:rFonts w:ascii="宋体" w:hAnsi="宋体" w:cs="宋体"/>
          <w:sz w:val="24"/>
        </w:rPr>
      </w:pPr>
      <w:r>
        <w:rPr>
          <w:rFonts w:hint="eastAsia" w:ascii="宋体" w:hAnsi="宋体" w:cs="宋体"/>
          <w:sz w:val="24"/>
        </w:rPr>
        <w:t xml:space="preserve">现附上自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日期间我方缴纳的</w:t>
      </w:r>
      <w:r>
        <w:rPr>
          <w:rFonts w:hint="eastAsia" w:ascii="宋体" w:hAnsi="宋体" w:cs="宋体"/>
          <w:sz w:val="24"/>
          <w:u w:val="single"/>
        </w:rPr>
        <w:t xml:space="preserve">（按照供应商实际缴纳的税种名称填写）</w:t>
      </w:r>
      <w:r>
        <w:rPr>
          <w:rFonts w:hint="eastAsia" w:ascii="宋体" w:hAnsi="宋体" w:cs="宋体"/>
          <w:sz w:val="24"/>
        </w:rPr>
        <w:t xml:space="preserve">税收凭据复印件，上述证明材料真实有效，否则我方负全部责任。</w:t>
      </w:r>
      <w:r/>
    </w:p>
    <w:p>
      <w:pPr>
        <w:ind w:firstLine="420"/>
        <w:jc w:val="left"/>
        <w:spacing w:before="75" w:after="75"/>
        <w:widowControl/>
        <w:rPr>
          <w:rFonts w:ascii="宋体" w:hAnsi="宋体" w:cs="宋体"/>
          <w:sz w:val="24"/>
        </w:rPr>
      </w:pPr>
      <w:r>
        <w:rPr>
          <w:rFonts w:hint="eastAsia" w:ascii="宋体" w:hAnsi="宋体" w:cs="宋体"/>
          <w:b/>
          <w:sz w:val="24"/>
        </w:rPr>
        <w:t xml:space="preserve">2、依法免税的供应商</w:t>
      </w:r>
      <w:r/>
    </w:p>
    <w:p>
      <w:pPr>
        <w:ind w:firstLine="420"/>
        <w:jc w:val="left"/>
        <w:spacing w:before="75" w:after="75"/>
        <w:widowControl/>
        <w:rPr>
          <w:rFonts w:ascii="宋体" w:hAnsi="宋体" w:cs="宋体"/>
          <w:sz w:val="24"/>
        </w:rPr>
      </w:pPr>
      <w:r>
        <w:rPr>
          <w:rFonts w:hint="eastAsia" w:ascii="宋体" w:hAnsi="宋体" w:cs="宋体"/>
          <w:sz w:val="24"/>
        </w:rPr>
        <w:t xml:space="preserve">（ ）现附上我方依法免税证明材料复印件，上述证明材料真实有效，否则我方负全部责任。</w:t>
      </w:r>
      <w:r/>
    </w:p>
    <w:p>
      <w:pPr>
        <w:jc w:val="left"/>
        <w:spacing w:before="75" w:after="75"/>
        <w:widowControl/>
        <w:rPr>
          <w:rFonts w:ascii="宋体" w:hAnsi="宋体" w:cs="宋体"/>
          <w:sz w:val="24"/>
        </w:rPr>
      </w:pPr>
      <w:r>
        <w:rPr>
          <w:rFonts w:hint="eastAsia" w:ascii="宋体" w:hAnsi="宋体" w:cs="宋体"/>
          <w:sz w:val="24"/>
        </w:rPr>
        <w:t xml:space="preserve"> </w:t>
      </w:r>
      <w:r/>
    </w:p>
    <w:p>
      <w:pPr>
        <w:jc w:val="left"/>
        <w:spacing w:before="75" w:after="75"/>
        <w:widowControl/>
        <w:rPr>
          <w:rFonts w:ascii="宋体" w:hAnsi="宋体" w:cs="宋体"/>
          <w:sz w:val="24"/>
        </w:rPr>
      </w:pPr>
      <w:r>
        <w:rPr>
          <w:rFonts w:hint="eastAsia" w:ascii="宋体" w:hAnsi="宋体" w:cs="宋体"/>
          <w:sz w:val="24"/>
        </w:rPr>
        <w:t xml:space="preserve">★注意：</w:t>
      </w:r>
      <w:r/>
    </w:p>
    <w:p>
      <w:pPr>
        <w:jc w:val="left"/>
        <w:spacing w:before="75" w:after="75"/>
        <w:widowControl/>
        <w:rPr>
          <w:rFonts w:ascii="宋体" w:hAnsi="宋体" w:cs="宋体"/>
          <w:sz w:val="24"/>
        </w:rPr>
      </w:pPr>
      <w:r>
        <w:rPr>
          <w:rFonts w:hint="eastAsia" w:ascii="宋体" w:hAnsi="宋体" w:cs="宋体"/>
          <w:sz w:val="24"/>
        </w:rPr>
        <w:t xml:space="preserve">1、请供应商根据实际情况填写，在相应的（）中打“√”，并按照本格式的要求提供相应证明材料的复印件。</w:t>
      </w:r>
      <w:r/>
    </w:p>
    <w:p>
      <w:pPr>
        <w:jc w:val="left"/>
        <w:spacing w:before="75" w:after="75"/>
        <w:widowControl/>
        <w:rPr>
          <w:rFonts w:ascii="宋体" w:hAnsi="宋体" w:cs="宋体"/>
          <w:sz w:val="24"/>
        </w:rPr>
      </w:pPr>
      <w:r>
        <w:rPr>
          <w:rFonts w:hint="eastAsia" w:ascii="宋体" w:hAnsi="宋体" w:cs="宋体"/>
          <w:sz w:val="24"/>
        </w:rPr>
        <w:t xml:space="preserve">2、供应商提供的税收凭据复印件应符合下列规定：</w:t>
      </w:r>
      <w:r/>
    </w:p>
    <w:p>
      <w:pPr>
        <w:jc w:val="left"/>
        <w:spacing w:before="75" w:after="75"/>
        <w:widowControl/>
        <w:rPr>
          <w:rFonts w:ascii="宋体" w:hAnsi="宋体" w:cs="宋体"/>
          <w:sz w:val="24"/>
        </w:rPr>
      </w:pPr>
      <w:r>
        <w:rPr>
          <w:rFonts w:hint="eastAsia" w:ascii="宋体" w:hAnsi="宋体" w:cs="宋体"/>
          <w:sz w:val="24"/>
        </w:rPr>
        <w:t xml:space="preserve">2.1响应文件递交截止时间前（不含截止时间的当月）已依法缴纳税收的供应商，提供响应文件递交截止时间前近一个月的税收凭据复印件。</w:t>
      </w:r>
      <w:r/>
    </w:p>
    <w:p>
      <w:pPr>
        <w:jc w:val="left"/>
        <w:spacing w:before="75" w:after="75"/>
        <w:widowControl/>
        <w:rPr>
          <w:rFonts w:ascii="宋体" w:hAnsi="宋体" w:cs="宋体"/>
          <w:sz w:val="24"/>
        </w:rPr>
      </w:pPr>
      <w:r>
        <w:rPr>
          <w:rFonts w:hint="eastAsia" w:ascii="宋体" w:hAnsi="宋体" w:cs="宋体"/>
          <w:sz w:val="24"/>
        </w:rPr>
        <w:t xml:space="preserve">2.2响应文件递交截止时间的当月成立且已依法缴纳税收的供应商，提供截止时间当月的税收凭据复印件。</w:t>
      </w:r>
      <w:r/>
    </w:p>
    <w:p>
      <w:pPr>
        <w:jc w:val="left"/>
        <w:spacing w:before="75" w:after="75"/>
        <w:widowControl/>
        <w:rPr>
          <w:rFonts w:ascii="宋体" w:hAnsi="宋体" w:cs="宋体"/>
          <w:sz w:val="24"/>
        </w:rPr>
      </w:pPr>
      <w:r>
        <w:rPr>
          <w:rFonts w:hint="eastAsia" w:ascii="宋体" w:hAnsi="宋体" w:cs="宋体"/>
          <w:sz w:val="24"/>
        </w:rPr>
        <w:t xml:space="preserve">2.3响应文件递交截止时间的当月成立但因税务机关原因而尚未依法缴纳税收的供应商，提供依法缴纳税收承诺书原件（格式自拟），该承诺书视同税收凭据。</w:t>
      </w:r>
      <w:r/>
    </w:p>
    <w:p>
      <w:pPr>
        <w:jc w:val="left"/>
        <w:spacing w:before="75" w:after="75"/>
        <w:widowControl/>
        <w:rPr>
          <w:rFonts w:ascii="宋体" w:hAnsi="宋体" w:cs="宋体"/>
          <w:sz w:val="24"/>
        </w:rPr>
      </w:pPr>
      <w:r>
        <w:rPr>
          <w:rFonts w:hint="eastAsia" w:ascii="宋体" w:hAnsi="宋体" w:cs="宋体"/>
          <w:sz w:val="24"/>
        </w:rPr>
        <w:t xml:space="preserve">3、供应商提供的相应证明材料复印件均应符合：内容完整、清晰、整洁，并由供应商加盖其单位公章。</w:t>
      </w:r>
      <w:r/>
    </w:p>
    <w:p>
      <w:pPr>
        <w:jc w:val="left"/>
        <w:spacing w:before="75" w:after="75"/>
        <w:widowControl/>
        <w:rPr>
          <w:rFonts w:ascii="宋体" w:hAnsi="宋体" w:cs="宋体"/>
          <w:sz w:val="24"/>
        </w:rPr>
      </w:pPr>
      <w:r>
        <w:rPr>
          <w:rFonts w:hint="eastAsia" w:ascii="宋体" w:hAnsi="宋体" w:cs="宋体"/>
          <w:sz w:val="24"/>
        </w:rPr>
        <w:t xml:space="preserve">4、</w:t>
      </w:r>
      <w:r>
        <w:rPr>
          <w:rFonts w:hint="eastAsia" w:ascii="宋体" w:hAnsi="宋体" w:cs="宋体"/>
          <w:b/>
          <w:sz w:val="24"/>
        </w:rPr>
        <w:t xml:space="preserve">“依法缴纳税收证明材料”</w:t>
      </w:r>
      <w:r>
        <w:rPr>
          <w:rFonts w:hint="eastAsia" w:ascii="宋体" w:hAnsi="宋体" w:cs="宋体"/>
          <w:sz w:val="24"/>
        </w:rPr>
        <w:t xml:space="preserve">有欠缴记录的，视为</w:t>
      </w:r>
      <w:r>
        <w:rPr>
          <w:rFonts w:hint="eastAsia" w:ascii="宋体" w:hAnsi="宋体" w:cs="宋体"/>
          <w:b/>
          <w:sz w:val="24"/>
        </w:rPr>
        <w:t xml:space="preserve">未依法缴纳税收</w:t>
      </w:r>
      <w:r>
        <w:rPr>
          <w:rFonts w:hint="eastAsia" w:ascii="宋体" w:hAnsi="宋体" w:cs="宋体"/>
          <w:sz w:val="24"/>
        </w:rPr>
        <w:t xml:space="preserve">。</w:t>
      </w:r>
      <w:r/>
    </w:p>
    <w:p>
      <w:pPr>
        <w:jc w:val="left"/>
        <w:spacing w:before="75" w:after="75" w:line="315" w:lineRule="atLeast"/>
        <w:widowControl/>
        <w:rPr>
          <w:rFonts w:ascii="宋体" w:hAnsi="宋体" w:cs="宋体"/>
          <w:sz w:val="24"/>
        </w:rPr>
      </w:pPr>
      <w:r>
        <w:rPr>
          <w:rFonts w:hint="eastAsia" w:ascii="宋体" w:hAnsi="宋体" w:cs="宋体"/>
          <w:sz w:val="24"/>
        </w:rPr>
        <w:t xml:space="preserve">5、对于接受联合体形式的磋商且供应商是联合体的，则联合体各成员都应当提交本资格证明文件。</w:t>
      </w:r>
      <w:r/>
    </w:p>
    <w:p>
      <w:pPr>
        <w:jc w:val="left"/>
        <w:spacing w:before="75" w:after="75" w:line="435" w:lineRule="atLeast"/>
        <w:widowControl/>
        <w:rPr>
          <w:rFonts w:ascii="宋体" w:hAnsi="宋体" w:cs="宋体"/>
          <w:sz w:val="24"/>
        </w:rPr>
      </w:pPr>
      <w:r>
        <w:rPr>
          <w:rFonts w:hint="eastAsia" w:ascii="宋体" w:hAnsi="宋体" w:cs="宋体"/>
          <w:sz w:val="24"/>
        </w:rPr>
        <w:t xml:space="preserve"> </w:t>
      </w:r>
      <w:r/>
    </w:p>
    <w:p>
      <w:pPr>
        <w:spacing w:before="75" w:after="75" w:line="435" w:lineRule="atLeast"/>
        <w:widowControl/>
        <w:rPr>
          <w:rFonts w:ascii="宋体" w:hAnsi="宋体" w:cs="宋体"/>
          <w:sz w:val="24"/>
        </w:rPr>
      </w:pPr>
      <w:r>
        <w:rPr>
          <w:rFonts w:hint="eastAsia" w:ascii="宋体" w:hAnsi="宋体" w:cs="宋体"/>
          <w:sz w:val="24"/>
          <w:lang w:val="zh-CN"/>
        </w:rPr>
        <w:t xml:space="preserve">响应单位：（</w:t>
      </w:r>
      <w:r>
        <w:rPr>
          <w:rFonts w:hint="eastAsia" w:ascii="宋体" w:hAnsi="宋体" w:cs="宋体"/>
          <w:sz w:val="24"/>
        </w:rPr>
        <w:t xml:space="preserve">签章</w:t>
      </w:r>
      <w:r>
        <w:rPr>
          <w:rFonts w:hint="eastAsia" w:ascii="宋体" w:hAnsi="宋体" w:cs="宋体"/>
          <w:sz w:val="24"/>
          <w:lang w:val="zh-CN"/>
        </w:rPr>
        <w:t xml:space="preserve">）</w:t>
      </w:r>
      <w:r/>
    </w:p>
    <w:p>
      <w:pPr>
        <w:jc w:val="left"/>
        <w:spacing w:before="75" w:after="75" w:line="435" w:lineRule="atLeast"/>
        <w:widowControl/>
        <w:rPr>
          <w:rFonts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附件5-5       </w:t>
      </w:r>
      <w:r/>
    </w:p>
    <w:p>
      <w:pPr>
        <w:jc w:val="center"/>
        <w:spacing w:before="75" w:after="75" w:line="435" w:lineRule="atLeast"/>
        <w:widowControl/>
        <w:rPr>
          <w:rFonts w:ascii="宋体" w:hAnsi="宋体" w:cs="宋体"/>
          <w:sz w:val="24"/>
        </w:rPr>
      </w:pPr>
      <w:r>
        <w:rPr>
          <w:rFonts w:hint="eastAsia" w:ascii="宋体" w:hAnsi="宋体" w:cs="宋体"/>
          <w:b/>
          <w:sz w:val="24"/>
        </w:rPr>
        <w:t xml:space="preserve">依法缴纳社会保障资金证明材料</w:t>
      </w:r>
      <w:r/>
    </w:p>
    <w:p>
      <w:pPr>
        <w:jc w:val="left"/>
        <w:spacing w:before="75" w:after="75" w:line="435" w:lineRule="atLeast"/>
        <w:widowControl/>
        <w:rPr>
          <w:rFonts w:ascii="宋体" w:hAnsi="宋体" w:cs="宋体"/>
          <w:sz w:val="24"/>
        </w:rPr>
      </w:pPr>
      <w:r>
        <w:rPr>
          <w:rFonts w:hint="eastAsia" w:ascii="宋体" w:hAnsi="宋体" w:cs="宋体"/>
          <w:sz w:val="24"/>
        </w:rPr>
        <w:t xml:space="preserve"> </w:t>
      </w:r>
      <w:r/>
    </w:p>
    <w:p>
      <w:pPr>
        <w:jc w:val="left"/>
        <w:spacing w:before="75" w:after="75"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(采购人或采购代理机构)       </w:t>
      </w:r>
      <w:r/>
    </w:p>
    <w:p>
      <w:pPr>
        <w:ind w:firstLine="480"/>
        <w:jc w:val="left"/>
        <w:spacing w:before="75" w:after="75" w:line="360" w:lineRule="auto"/>
        <w:widowControl/>
        <w:rPr>
          <w:rFonts w:ascii="宋体" w:hAnsi="宋体" w:cs="宋体"/>
          <w:sz w:val="24"/>
        </w:rPr>
      </w:pPr>
      <w:r>
        <w:rPr>
          <w:rFonts w:hint="eastAsia" w:ascii="宋体" w:hAnsi="宋体" w:cs="宋体"/>
          <w:b/>
          <w:sz w:val="24"/>
        </w:rPr>
        <w:t xml:space="preserve">1、依法缴纳社会保障资金的供应商</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 ）法人（包括企业、事业单位和社会团体）的</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现附上自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 ）非法人（包括其他组织、自然人）的</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firstLine="480"/>
        <w:jc w:val="left"/>
        <w:spacing w:before="75" w:after="75" w:line="360" w:lineRule="auto"/>
        <w:widowControl/>
        <w:rPr>
          <w:rFonts w:ascii="宋体" w:hAnsi="宋体" w:cs="宋体"/>
          <w:sz w:val="24"/>
        </w:rPr>
      </w:pPr>
      <w:r>
        <w:rPr>
          <w:rFonts w:hint="eastAsia" w:ascii="宋体" w:hAnsi="宋体" w:cs="宋体"/>
          <w:b/>
          <w:sz w:val="24"/>
        </w:rPr>
        <w:t xml:space="preserve">2、依法不需要缴纳社会保障资金的供应商</w:t>
      </w:r>
      <w:r/>
    </w:p>
    <w:p>
      <w:pPr>
        <w:ind w:firstLine="420"/>
        <w:jc w:val="left"/>
        <w:spacing w:before="75" w:after="75" w:line="360" w:lineRule="auto"/>
        <w:widowControl/>
        <w:rPr>
          <w:rFonts w:ascii="宋体" w:hAnsi="宋体" w:cs="宋体"/>
          <w:sz w:val="24"/>
        </w:rPr>
      </w:pPr>
      <w:r>
        <w:rPr>
          <w:rFonts w:hint="eastAsia" w:ascii="宋体" w:hAnsi="宋体" w:cs="宋体"/>
          <w:sz w:val="24"/>
        </w:rPr>
        <w:t xml:space="preserve">（ ）现附上我方依法不需要缴纳社会保障资金证明材料复印件，上述证明材料真实有效，否则我方负全部责任。</w:t>
      </w:r>
      <w:r/>
    </w:p>
    <w:p>
      <w:pPr>
        <w:jc w:val="left"/>
        <w:spacing w:before="75" w:after="75" w:line="435" w:lineRule="atLeast"/>
        <w:widowControl/>
        <w:rPr>
          <w:rFonts w:ascii="宋体" w:hAnsi="宋体" w:cs="宋体"/>
          <w:sz w:val="24"/>
        </w:rPr>
      </w:pPr>
      <w:r>
        <w:rPr>
          <w:rFonts w:hint="eastAsia" w:ascii="宋体" w:hAnsi="宋体" w:cs="宋体"/>
          <w:sz w:val="24"/>
          <w:lang w:val="zh-CN"/>
        </w:rPr>
        <w:t xml:space="preserve">响应单位：（</w:t>
      </w:r>
      <w:r>
        <w:rPr>
          <w:rFonts w:hint="eastAsia" w:ascii="宋体" w:hAnsi="宋体" w:cs="宋体"/>
          <w:sz w:val="24"/>
        </w:rPr>
        <w:t xml:space="preserve">签章</w:t>
      </w:r>
      <w:r>
        <w:rPr>
          <w:rFonts w:hint="eastAsia" w:ascii="宋体" w:hAnsi="宋体" w:cs="宋体"/>
          <w:sz w:val="24"/>
          <w:lang w:val="zh-CN"/>
        </w:rPr>
        <w:t xml:space="preserve">）</w:t>
      </w:r>
      <w:r/>
    </w:p>
    <w:p>
      <w:pPr>
        <w:jc w:val="left"/>
        <w:spacing w:before="75" w:after="75" w:line="435" w:lineRule="atLeast"/>
        <w:widowControl/>
        <w:rPr>
          <w:rFonts w:ascii="宋体" w:hAnsi="宋体" w:cs="宋体"/>
          <w:sz w:val="24"/>
        </w:rPr>
      </w:pPr>
      <w:r>
        <w:rPr>
          <w:rFonts w:hint="eastAsia" w:ascii="宋体" w:hAnsi="宋体" w:cs="宋体"/>
          <w:sz w:val="24"/>
        </w:rPr>
        <w:t xml:space="preserve">日     期：    年   月   日</w:t>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附件5-6：</w:t>
      </w:r>
      <w:r/>
    </w:p>
    <w:p>
      <w:pPr>
        <w:jc w:val="left"/>
        <w:spacing w:before="75" w:after="75" w:line="435" w:lineRule="atLeast"/>
        <w:widowControl/>
        <w:rPr>
          <w:rFonts w:ascii="宋体" w:hAnsi="宋体" w:cs="宋体"/>
          <w:sz w:val="24"/>
        </w:rPr>
      </w:pPr>
      <w:r>
        <w:rPr>
          <w:rFonts w:hint="eastAsia" w:ascii="宋体" w:hAnsi="宋体" w:cs="宋体"/>
          <w:b/>
          <w:bCs/>
          <w:sz w:val="24"/>
        </w:rPr>
        <w:t xml:space="preserve">   </w:t>
      </w:r>
      <w:r>
        <w:rPr>
          <w:rFonts w:hint="eastAsia" w:ascii="宋体" w:hAnsi="宋体" w:cs="宋体"/>
          <w:sz w:val="24"/>
        </w:rPr>
        <w:t xml:space="preserve">   </w:t>
      </w:r>
      <w:r/>
    </w:p>
    <w:p>
      <w:pPr>
        <w:jc w:val="center"/>
        <w:spacing w:before="75" w:after="75" w:line="360" w:lineRule="auto"/>
        <w:widowControl/>
        <w:rPr>
          <w:rFonts w:ascii="宋体" w:hAnsi="宋体" w:cs="宋体"/>
          <w:sz w:val="24"/>
        </w:rPr>
      </w:pPr>
      <w:r>
        <w:rPr>
          <w:rFonts w:hint="eastAsia" w:ascii="宋体" w:hAnsi="宋体" w:cs="宋体"/>
          <w:b/>
          <w:sz w:val="24"/>
        </w:rPr>
        <w:t xml:space="preserve">参加采购活动前三年内在经营活动中</w:t>
      </w:r>
      <w:r/>
    </w:p>
    <w:p>
      <w:pPr>
        <w:jc w:val="center"/>
        <w:spacing w:before="75" w:after="75" w:line="360" w:lineRule="auto"/>
        <w:widowControl/>
        <w:rPr>
          <w:rFonts w:ascii="宋体" w:hAnsi="宋体" w:cs="宋体"/>
          <w:sz w:val="24"/>
        </w:rPr>
      </w:pPr>
      <w:r>
        <w:rPr>
          <w:rFonts w:hint="eastAsia" w:ascii="宋体" w:hAnsi="宋体" w:cs="宋体"/>
          <w:b/>
          <w:sz w:val="24"/>
        </w:rPr>
        <w:t xml:space="preserve">没有重大违法记录书面声明</w:t>
      </w:r>
      <w:r/>
    </w:p>
    <w:p>
      <w:pPr>
        <w:jc w:val="left"/>
        <w:spacing w:before="75" w:after="75" w:line="360" w:lineRule="auto"/>
        <w:widowControl/>
        <w:rPr>
          <w:rFonts w:ascii="宋体" w:hAnsi="宋体" w:cs="宋体"/>
          <w:sz w:val="24"/>
        </w:rPr>
      </w:pPr>
      <w:r>
        <w:rPr>
          <w:rFonts w:hint="eastAsia" w:ascii="宋体" w:hAnsi="宋体" w:cs="宋体"/>
          <w:sz w:val="24"/>
        </w:rPr>
        <w:t xml:space="preserve"> </w:t>
      </w:r>
      <w:r/>
    </w:p>
    <w:p>
      <w:pPr>
        <w:jc w:val="left"/>
        <w:spacing w:before="75" w:after="75"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(采购人或采购代理机构)       </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参加政府采购活动前三年内，我方在经营活动中没有重大违法记录。</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特此声明。</w:t>
      </w:r>
      <w:r/>
    </w:p>
    <w:p>
      <w:pPr>
        <w:jc w:val="left"/>
        <w:spacing w:before="75" w:after="75" w:line="360" w:lineRule="auto"/>
        <w:widowControl/>
        <w:rPr>
          <w:rFonts w:ascii="宋体" w:hAnsi="宋体" w:cs="宋体"/>
          <w:sz w:val="24"/>
        </w:rPr>
      </w:pPr>
      <w:r>
        <w:rPr>
          <w:rFonts w:hint="eastAsia" w:ascii="宋体" w:hAnsi="宋体" w:cs="宋体"/>
          <w:sz w:val="24"/>
        </w:rPr>
        <w:t xml:space="preserve"> </w:t>
      </w:r>
      <w:r/>
    </w:p>
    <w:p>
      <w:pPr>
        <w:jc w:val="left"/>
        <w:spacing w:before="75" w:after="75" w:line="360" w:lineRule="auto"/>
        <w:widowControl/>
        <w:rPr>
          <w:rFonts w:ascii="宋体" w:hAnsi="宋体" w:cs="宋体"/>
          <w:sz w:val="24"/>
        </w:rPr>
      </w:pPr>
      <w:r>
        <w:rPr>
          <w:rFonts w:hint="eastAsia" w:ascii="宋体" w:hAnsi="宋体" w:cs="宋体"/>
          <w:sz w:val="24"/>
        </w:rPr>
        <w:t xml:space="preserve">★注意：</w:t>
      </w:r>
      <w:r/>
    </w:p>
    <w:p>
      <w:pPr>
        <w:jc w:val="left"/>
        <w:spacing w:before="75" w:after="75" w:line="360" w:lineRule="auto"/>
        <w:widowControl/>
        <w:rPr>
          <w:rFonts w:ascii="宋体" w:hAnsi="宋体" w:cs="宋体"/>
          <w:sz w:val="24"/>
        </w:rPr>
      </w:pPr>
      <w:r>
        <w:rPr>
          <w:rFonts w:hint="eastAsia" w:ascii="宋体" w:hAnsi="宋体" w:cs="宋体"/>
          <w:sz w:val="24"/>
        </w:rPr>
        <w:t xml:space="preserve">1、“重大违法记录”指供应商因违法经营受到刑事处罚或责令停产停业、吊销许可证或执照、较大数额罚款等行政处罚。</w:t>
      </w:r>
      <w:r/>
    </w:p>
    <w:p>
      <w:pPr>
        <w:jc w:val="left"/>
        <w:spacing w:before="75" w:after="75" w:line="360" w:lineRule="auto"/>
        <w:widowControl/>
        <w:rPr>
          <w:rFonts w:ascii="宋体" w:hAnsi="宋体" w:cs="宋体"/>
          <w:sz w:val="24"/>
        </w:rPr>
      </w:pPr>
      <w:r>
        <w:rPr>
          <w:rFonts w:hint="eastAsia" w:ascii="宋体" w:hAnsi="宋体" w:cs="宋体"/>
          <w:sz w:val="24"/>
        </w:rPr>
        <w:t xml:space="preserve">2、请供应商根据实际情况进行声明，</w:t>
      </w:r>
      <w:r>
        <w:rPr>
          <w:rFonts w:hint="eastAsia" w:ascii="宋体" w:hAnsi="宋体" w:cs="宋体"/>
          <w:b/>
          <w:sz w:val="24"/>
        </w:rPr>
        <w:t xml:space="preserve">若声明不真实，视为提供虚假材料。</w:t>
      </w:r>
      <w:r/>
    </w:p>
    <w:p>
      <w:pPr>
        <w:jc w:val="left"/>
        <w:spacing w:before="75" w:after="75" w:line="360" w:lineRule="auto"/>
        <w:widowControl/>
        <w:rPr>
          <w:rFonts w:ascii="宋体" w:hAnsi="宋体" w:cs="宋体"/>
          <w:sz w:val="24"/>
        </w:rPr>
      </w:pPr>
      <w:r>
        <w:rPr>
          <w:rFonts w:hint="eastAsia" w:ascii="宋体" w:hAnsi="宋体" w:cs="宋体"/>
          <w:sz w:val="24"/>
        </w:rPr>
        <w:t xml:space="preserve">3、对于接受联合体形式的磋商且供应商是联合体的，则联合体各成员都应当提交本资格证明文件。</w:t>
      </w:r>
      <w:r/>
    </w:p>
    <w:p>
      <w:pPr>
        <w:jc w:val="left"/>
        <w:spacing w:before="75" w:after="75" w:line="435" w:lineRule="atLeast"/>
        <w:widowControl/>
        <w:rPr>
          <w:rFonts w:ascii="宋体" w:hAnsi="宋体" w:cs="宋体"/>
          <w:sz w:val="24"/>
        </w:rPr>
      </w:pPr>
      <w:r>
        <w:rPr>
          <w:rFonts w:hint="eastAsia" w:ascii="宋体" w:hAnsi="宋体" w:cs="宋体"/>
          <w:sz w:val="24"/>
          <w:lang w:val="zh-CN"/>
        </w:rPr>
        <w:t xml:space="preserve">响应单位：（</w:t>
      </w:r>
      <w:r>
        <w:rPr>
          <w:rFonts w:hint="eastAsia" w:ascii="宋体" w:hAnsi="宋体" w:cs="宋体"/>
          <w:sz w:val="24"/>
        </w:rPr>
        <w:t xml:space="preserve">签章</w:t>
      </w:r>
      <w:r>
        <w:rPr>
          <w:rFonts w:hint="eastAsia" w:ascii="宋体" w:hAnsi="宋体" w:cs="宋体"/>
          <w:sz w:val="24"/>
          <w:lang w:val="zh-CN"/>
        </w:rPr>
        <w:t xml:space="preserve">）</w:t>
      </w:r>
      <w:r/>
    </w:p>
    <w:p>
      <w:pPr>
        <w:jc w:val="left"/>
        <w:spacing w:before="75" w:after="75" w:line="435" w:lineRule="atLeast"/>
        <w:widowControl/>
        <w:rPr>
          <w:rFonts w:ascii="宋体" w:hAnsi="宋体" w:cs="宋体"/>
          <w:sz w:val="24"/>
        </w:rPr>
      </w:pPr>
      <w:r>
        <w:rPr>
          <w:rFonts w:hint="eastAsia" w:ascii="宋体" w:hAnsi="宋体" w:cs="宋体"/>
          <w:sz w:val="24"/>
        </w:rPr>
        <w:t xml:space="preserve">日     期：    年   月   日</w:t>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sz w:val="24"/>
        </w:rPr>
      </w:pPr>
      <w:r>
        <w:rPr>
          <w:rFonts w:ascii="宋体" w:hAnsi="宋体" w:cs="宋体"/>
          <w:sz w:val="24"/>
        </w:rPr>
      </w:r>
      <w:r/>
    </w:p>
    <w:p>
      <w:pPr>
        <w:jc w:val="left"/>
        <w:spacing w:before="75" w:after="75" w:line="435" w:lineRule="atLeast"/>
        <w:widowControl/>
        <w:rPr>
          <w:rFonts w:ascii="宋体" w:hAnsi="宋体" w:cs="宋体"/>
          <w:b/>
          <w:bCs/>
          <w:sz w:val="24"/>
        </w:rPr>
      </w:pPr>
      <w:r>
        <w:rPr>
          <w:rFonts w:hint="eastAsia" w:ascii="宋体" w:hAnsi="宋体" w:cs="宋体"/>
          <w:b/>
          <w:bCs/>
          <w:sz w:val="24"/>
        </w:rPr>
        <w:t xml:space="preserve">附件6-1：</w:t>
      </w:r>
      <w:r/>
    </w:p>
    <w:p>
      <w:pPr>
        <w:jc w:val="center"/>
        <w:spacing w:line="480" w:lineRule="exact"/>
        <w:widowControl/>
        <w:rPr>
          <w:rFonts w:ascii="宋体" w:hAnsi="宋体" w:cs="宋体"/>
          <w:b/>
          <w:sz w:val="24"/>
        </w:rPr>
      </w:pPr>
      <w:r>
        <w:rPr>
          <w:rFonts w:hint="eastAsia" w:ascii="宋体" w:hAnsi="宋体" w:cs="宋体"/>
          <w:b/>
          <w:sz w:val="24"/>
        </w:rPr>
        <w:t xml:space="preserve">中小企业声明函（服务）</w:t>
      </w:r>
      <w:r/>
    </w:p>
    <w:p>
      <w:pPr>
        <w:jc w:val="left"/>
        <w:spacing w:line="480" w:lineRule="exact"/>
        <w:widowControl/>
        <w:rPr>
          <w:rFonts w:ascii="宋体" w:hAnsi="宋体" w:cs="宋体"/>
          <w:sz w:val="24"/>
        </w:rPr>
      </w:pPr>
      <w:r>
        <w:rPr>
          <w:rFonts w:hint="eastAsia" w:ascii="宋体" w:hAnsi="宋体" w:cs="宋体"/>
          <w:sz w:val="24"/>
          <w:u w:val="single"/>
        </w:rPr>
        <w:t xml:space="preserve">(采购人或采购代理机构)：</w:t>
      </w:r>
      <w:r/>
    </w:p>
    <w:p>
      <w:pPr>
        <w:ind w:firstLine="480"/>
        <w:spacing w:line="480" w:lineRule="exact"/>
        <w:widowControl/>
        <w:rPr>
          <w:rFonts w:ascii="宋体" w:hAnsi="宋体" w:cs="宋体"/>
          <w:sz w:val="24"/>
          <w:u w:val="single"/>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ind w:firstLine="480"/>
        <w:spacing w:line="480" w:lineRule="exact"/>
        <w:widowControl/>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（项目名称）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footnoteReference w:id="2"/>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48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u w:val="single"/>
          <w:lang w:val="zh-CN"/>
        </w:rPr>
        <w:t xml:space="preserve">（</w:t>
      </w:r>
      <w:r>
        <w:rPr>
          <w:rFonts w:hint="eastAsia" w:ascii="宋体" w:hAnsi="宋体" w:cs="宋体"/>
          <w:sz w:val="24"/>
          <w:u w:val="single"/>
        </w:rPr>
        <w:t xml:space="preserve">项目</w:t>
      </w:r>
      <w:r>
        <w:rPr>
          <w:rFonts w:hint="eastAsia" w:ascii="宋体" w:hAnsi="宋体" w:cs="宋体"/>
          <w:sz w:val="24"/>
          <w:u w:val="single"/>
          <w:lang w:val="zh-CN"/>
        </w:rPr>
        <w:t xml:space="preserve">名称）</w:t>
      </w:r>
      <w:r>
        <w:rPr>
          <w:rFonts w:hint="eastAsia" w:ascii="宋体" w:hAnsi="宋体" w:cs="宋体"/>
          <w:sz w:val="24"/>
          <w:lang w:val="zh-CN"/>
        </w:rPr>
        <w:t xml:space="preserve">，属于</w:t>
      </w:r>
      <w:r>
        <w:rPr>
          <w:rFonts w:hint="eastAsia" w:ascii="宋体" w:hAnsi="宋体" w:cs="宋体"/>
          <w:sz w:val="24"/>
          <w:u w:val="single"/>
          <w:lang w:val="zh-CN"/>
        </w:rPr>
        <w:t xml:space="preserve">（采购文件中明确的所属行业）行业</w:t>
      </w:r>
      <w:r>
        <w:rPr>
          <w:rFonts w:hint="eastAsia" w:ascii="宋体" w:hAnsi="宋体" w:cs="宋体"/>
          <w:sz w:val="24"/>
          <w:lang w:val="zh-CN"/>
        </w:rPr>
        <w:t xml:space="preserve">；承接企业为</w:t>
      </w:r>
      <w:r>
        <w:rPr>
          <w:rFonts w:hint="eastAsia" w:ascii="宋体" w:hAnsi="宋体" w:cs="宋体"/>
          <w:sz w:val="24"/>
          <w:u w:val="single"/>
          <w:lang w:val="zh-CN"/>
        </w:rPr>
        <w:t xml:space="preserve">（企业名称）</w:t>
      </w:r>
      <w:r>
        <w:rPr>
          <w:rFonts w:hint="eastAsia" w:ascii="宋体" w:hAnsi="宋体" w:cs="宋体"/>
          <w:sz w:val="24"/>
          <w:lang w:val="zh-CN"/>
        </w:rPr>
        <w:t xml:space="preserve">，</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480" w:lineRule="exact"/>
        <w:widowControl/>
        <w:rPr>
          <w:rFonts w:ascii="宋体" w:hAnsi="宋体" w:cs="宋体"/>
          <w:sz w:val="24"/>
        </w:rPr>
      </w:pPr>
      <w:r>
        <w:rPr>
          <w:rFonts w:hint="eastAsia" w:ascii="宋体" w:hAnsi="宋体" w:cs="宋体"/>
          <w:sz w:val="24"/>
        </w:rPr>
        <w:t xml:space="preserve">……</w:t>
      </w:r>
      <w:r/>
    </w:p>
    <w:p>
      <w:pPr>
        <w:ind w:firstLine="480"/>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jc w:val="left"/>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 w:val="24"/>
        </w:rPr>
      </w:pPr>
      <w:r>
        <w:rPr>
          <w:rFonts w:hint="eastAsia" w:ascii="宋体" w:hAnsi="宋体" w:cs="宋体"/>
          <w:sz w:val="24"/>
          <w:lang w:val="zh-CN"/>
        </w:rPr>
        <w:t xml:space="preserve">响应单位：（</w:t>
      </w:r>
      <w:r>
        <w:rPr>
          <w:rFonts w:hint="eastAsia" w:ascii="宋体" w:hAnsi="宋体" w:cs="宋体"/>
          <w:sz w:val="24"/>
        </w:rPr>
        <w:t xml:space="preserve">签章</w:t>
      </w:r>
      <w:r>
        <w:rPr>
          <w:rFonts w:hint="eastAsia" w:ascii="宋体" w:hAnsi="宋体" w:cs="宋体"/>
          <w:sz w:val="24"/>
          <w:lang w:val="zh-CN"/>
        </w:rPr>
        <w:t xml:space="preserve">）</w:t>
      </w:r>
      <w:r/>
    </w:p>
    <w:p>
      <w:pPr>
        <w:spacing w:line="360" w:lineRule="auto"/>
        <w:widowControl/>
        <w:rPr>
          <w:rFonts w:ascii="宋体" w:hAnsi="宋体" w:cs="宋体"/>
          <w:sz w:val="24"/>
          <w:lang w:val="zh-CN"/>
        </w:rPr>
      </w:pPr>
      <w:r>
        <w:rPr>
          <w:rFonts w:hint="eastAsia" w:ascii="宋体" w:hAnsi="宋体" w:cs="宋体"/>
          <w:sz w:val="24"/>
        </w:rPr>
        <w:t xml:space="preserve">日     期：    年   月   日</w:t>
      </w:r>
      <w:r/>
    </w:p>
    <w:p>
      <w:pPr>
        <w:spacing w:line="280" w:lineRule="exact"/>
        <w:widowControl/>
        <w:rPr>
          <w:rFonts w:ascii="宋体" w:hAnsi="宋体"/>
          <w:b/>
          <w:sz w:val="20"/>
          <w:szCs w:val="20"/>
        </w:rPr>
      </w:pPr>
      <w:r>
        <w:rPr>
          <w:rFonts w:hint="eastAsia" w:ascii="宋体" w:hAnsi="宋体" w:cs="宋体"/>
          <w:b/>
          <w:bCs/>
          <w:sz w:val="24"/>
        </w:rPr>
        <w:br w:type="page" w:clear="all"/>
      </w:r>
      <w:r>
        <w:rPr>
          <w:rFonts w:hint="eastAsia" w:ascii="宋体" w:hAnsi="宋体"/>
          <w:b/>
          <w:sz w:val="20"/>
          <w:szCs w:val="20"/>
        </w:rPr>
        <w:t xml:space="preserve">附：中小企业划型标准规定</w:t>
      </w:r>
      <w:r/>
    </w:p>
    <w:p>
      <w:pPr>
        <w:ind w:firstLine="402"/>
        <w:spacing w:line="280" w:lineRule="exact"/>
        <w:widowControl/>
        <w:rPr>
          <w:rFonts w:ascii="宋体" w:hAnsi="宋体"/>
          <w:sz w:val="20"/>
          <w:szCs w:val="20"/>
        </w:rPr>
      </w:pPr>
      <w:r>
        <w:rPr>
          <w:rFonts w:hint="eastAsia" w:ascii="宋体" w:hAnsi="宋体"/>
          <w:b/>
          <w:sz w:val="20"/>
          <w:szCs w:val="20"/>
        </w:rPr>
        <w:t xml:space="preserve">（一）农、林、牧、渔业。</w:t>
      </w:r>
      <w:r>
        <w:rPr>
          <w:rFonts w:hint="eastAsia" w:ascii="宋体" w:hAnsi="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（二）工业。</w:t>
      </w:r>
      <w:r>
        <w:rPr>
          <w:rFonts w:hint="eastAsia" w:ascii="宋体" w:hAnsi="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（三）建筑业。</w:t>
      </w:r>
      <w:r>
        <w:rPr>
          <w:rFonts w:hint="eastAsia" w:ascii="宋体" w:hAnsi="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（四）批发业。</w:t>
      </w:r>
      <w:r>
        <w:rPr>
          <w:rFonts w:hint="eastAsia" w:ascii="宋体" w:hAnsi="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（五）零售业。</w:t>
      </w:r>
      <w:r>
        <w:rPr>
          <w:rFonts w:hint="eastAsia" w:ascii="宋体" w:hAnsi="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（六）交通运输业。</w:t>
      </w:r>
      <w:r>
        <w:rPr>
          <w:rFonts w:hint="eastAsia" w:ascii="宋体" w:hAnsi="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（七）仓储业。</w:t>
      </w:r>
      <w:r>
        <w:rPr>
          <w:rFonts w:hint="eastAsia" w:ascii="宋体" w:hAnsi="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（八）邮政业。</w:t>
      </w:r>
      <w:r>
        <w:rPr>
          <w:rFonts w:hint="eastAsia" w:ascii="宋体" w:hAnsi="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（九）住宿业。</w:t>
      </w:r>
      <w:r>
        <w:rPr>
          <w:rFonts w:hint="eastAsia" w:ascii="宋体" w:hAnsi="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（十）餐饮业。</w:t>
      </w:r>
      <w:r>
        <w:rPr>
          <w:rFonts w:hint="eastAsia" w:ascii="宋体" w:hAnsi="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（十一）信息传输业。</w:t>
      </w:r>
      <w:r>
        <w:rPr>
          <w:rFonts w:hint="eastAsia" w:ascii="宋体" w:hAnsi="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（十二）软件和信息技术服务业。</w:t>
      </w:r>
      <w:r>
        <w:rPr>
          <w:rFonts w:hint="eastAsia" w:ascii="宋体" w:hAnsi="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（十三）房地产开发经营。</w:t>
      </w:r>
      <w:r>
        <w:rPr>
          <w:rFonts w:hint="eastAsia" w:ascii="宋体" w:hAnsi="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（十四）物业管理。</w:t>
      </w:r>
      <w:r>
        <w:rPr>
          <w:rFonts w:hint="eastAsia" w:ascii="宋体" w:hAnsi="宋体"/>
          <w:sz w:val="20"/>
          <w:szCs w:val="20"/>
        </w:rPr>
        <w:t xml:space="preserve">从业人员1000人以下或营业收入5000万元以下的为中小微型企业。其中，从业人员</w:t>
      </w:r>
      <w:r/>
    </w:p>
    <w:p>
      <w:pPr>
        <w:spacing w:line="280" w:lineRule="exact"/>
        <w:widowControl/>
        <w:rPr>
          <w:rFonts w:ascii="宋体" w:hAnsi="宋体"/>
          <w:sz w:val="20"/>
          <w:szCs w:val="20"/>
        </w:rPr>
      </w:pPr>
      <w:r>
        <w:rPr>
          <w:rFonts w:hint="eastAsia" w:ascii="宋体" w:hAnsi="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（十五）租赁和商务服务业。</w:t>
      </w:r>
      <w:r>
        <w:rPr>
          <w:rFonts w:hint="eastAsia" w:ascii="宋体" w:hAnsi="宋体"/>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sz w:val="20"/>
          <w:szCs w:val="20"/>
        </w:rPr>
      </w:pPr>
      <w:r>
        <w:rPr>
          <w:rFonts w:hint="eastAsia" w:ascii="宋体" w:hAnsi="宋体"/>
          <w:b/>
          <w:sz w:val="20"/>
          <w:szCs w:val="20"/>
        </w:rPr>
        <w:t xml:space="preserve">（十六）其他未列明行业。</w:t>
      </w:r>
      <w:r>
        <w:rPr>
          <w:rFonts w:hint="eastAsia" w:ascii="宋体" w:hAnsi="宋体"/>
          <w:sz w:val="20"/>
          <w:szCs w:val="20"/>
        </w:rPr>
        <w:t xml:space="preserve">从业人员300人以下的为中小微型企业。其中，从业人员100人及以上的为中型企业；从业人员10人及以上的为小型企业；从业人员10人以下的为微型企业。</w:t>
      </w:r>
      <w:r/>
    </w:p>
    <w:p>
      <w:pPr>
        <w:pStyle w:val="1123"/>
        <w:spacing w:before="75" w:beforeAutospacing="0" w:after="75" w:afterAutospacing="0" w:line="495" w:lineRule="atLeast"/>
        <w:widowControl/>
        <w:rPr>
          <w:rFonts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rPr>
      </w:r>
      <w:r/>
    </w:p>
    <w:p>
      <w:pPr>
        <w:widowControl/>
        <w:rPr>
          <w:rFonts w:ascii="宋体" w:hAnsi="宋体" w:cs="宋体"/>
          <w:b/>
          <w:bCs/>
          <w:sz w:val="24"/>
        </w:rPr>
      </w:pPr>
      <w:r>
        <w:rPr>
          <w:rFonts w:hint="eastAsia" w:ascii="宋体" w:hAnsi="宋体" w:cs="宋体"/>
          <w:b/>
          <w:bCs/>
          <w:sz w:val="24"/>
        </w:rPr>
        <w:t xml:space="preserve">附件6-2：</w:t>
      </w:r>
      <w:r/>
    </w:p>
    <w:p>
      <w:pPr>
        <w:jc w:val="left"/>
        <w:spacing w:line="480" w:lineRule="exact"/>
        <w:widowControl/>
        <w:rPr>
          <w:rFonts w:ascii="Calibri" w:hAnsi="Calibri"/>
          <w:sz w:val="24"/>
        </w:rPr>
      </w:pPr>
      <w:r>
        <w:rPr>
          <w:rFonts w:ascii="Calibri" w:hAnsi="Calibri"/>
          <w:sz w:val="24"/>
        </w:rPr>
      </w:r>
      <w:r/>
    </w:p>
    <w:p>
      <w:pPr>
        <w:jc w:val="center"/>
        <w:spacing w:line="360" w:lineRule="auto"/>
        <w:widowControl/>
        <w:rPr>
          <w:rFonts w:ascii="宋体" w:hAnsi="宋体"/>
          <w:b/>
          <w:sz w:val="24"/>
        </w:rPr>
      </w:pPr>
      <w:r>
        <w:rPr>
          <w:rFonts w:hint="eastAsia" w:ascii="宋体" w:hAnsi="宋体"/>
          <w:b/>
          <w:sz w:val="24"/>
        </w:rPr>
        <w:t xml:space="preserve">残疾人福利性单位声明函</w:t>
      </w:r>
      <w:r/>
    </w:p>
    <w:p>
      <w:pPr>
        <w:spacing w:line="360" w:lineRule="auto"/>
        <w:widowControl/>
        <w:rPr>
          <w:rFonts w:ascii="宋体" w:hAnsi="宋体"/>
          <w:sz w:val="24"/>
          <w:lang w:val="zh-CN"/>
        </w:rPr>
      </w:pPr>
      <w:r/>
      <w:bookmarkStart w:id="24" w:name="_Toc32206"/>
      <w:r/>
      <w:bookmarkStart w:id="25" w:name="_Toc15378"/>
      <w:r/>
      <w:bookmarkStart w:id="26" w:name="_Toc3869"/>
      <w:r>
        <w:rPr>
          <w:rFonts w:hint="eastAsia" w:ascii="宋体" w:hAnsi="宋体"/>
          <w:sz w:val="24"/>
          <w:u w:val="single"/>
          <w:lang w:val="zh-CN"/>
        </w:rPr>
        <w:t xml:space="preserve">(采购人或采购代理机构)</w:t>
      </w:r>
      <w:r>
        <w:rPr>
          <w:rFonts w:hint="eastAsia" w:ascii="宋体" w:hAnsi="宋体"/>
          <w:sz w:val="24"/>
          <w:lang w:val="zh-CN"/>
        </w:rPr>
        <w:t xml:space="preserve">：</w:t>
      </w:r>
      <w:bookmarkEnd w:id="24"/>
      <w:r/>
      <w:bookmarkEnd w:id="25"/>
      <w:r/>
      <w:bookmarkEnd w:id="26"/>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lang w:val="zh-CN"/>
        </w:rPr>
        <w:t xml:space="preserve">贵中心组织实施的编号为</w:t>
      </w:r>
      <w:r>
        <w:rPr>
          <w:rFonts w:ascii="宋体" w:hAnsi="宋体" w:cs="宋体"/>
          <w:sz w:val="24"/>
          <w:u w:val="single"/>
          <w:lang w:val="zh-CN"/>
        </w:rPr>
        <w:t xml:space="preserve">              </w:t>
      </w:r>
      <w:r>
        <w:rPr>
          <w:rFonts w:hint="eastAsia" w:ascii="宋体" w:hAnsi="宋体" w:cs="宋体"/>
          <w:sz w:val="24"/>
          <w:lang w:val="zh-CN"/>
        </w:rPr>
        <w:t xml:space="preserve">号的采购活动</w:t>
      </w:r>
      <w:r>
        <w:rPr>
          <w:rFonts w:hint="eastAsia" w:ascii="宋体" w:hAnsi="宋体"/>
          <w:sz w:val="24"/>
        </w:rPr>
        <w:t xml:space="preserve">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ascii="宋体" w:hAnsi="宋体"/>
          <w:sz w:val="24"/>
        </w:rPr>
      </w:pPr>
      <w:r>
        <w:rPr>
          <w:rFonts w:hint="eastAsia" w:ascii="宋体" w:hAnsi="宋体"/>
          <w:sz w:val="24"/>
        </w:rPr>
        <w:t xml:space="preserve">本单位对上述声明的真实性负责。如有虚假，将依法承担相应责任。</w:t>
      </w:r>
      <w:r/>
    </w:p>
    <w:p>
      <w:pPr>
        <w:ind w:left="1024"/>
        <w:spacing w:line="360" w:lineRule="auto"/>
        <w:rPr>
          <w:rFonts w:ascii="宋体" w:hAnsi="宋体"/>
          <w:sz w:val="24"/>
        </w:rPr>
      </w:pPr>
      <w:r>
        <w:rPr>
          <w:rFonts w:ascii="宋体" w:hAnsi="宋体"/>
          <w:sz w:val="24"/>
        </w:rPr>
      </w:r>
      <w:r/>
    </w:p>
    <w:p>
      <w:pPr>
        <w:ind w:left="1024"/>
        <w:spacing w:line="360" w:lineRule="auto"/>
        <w:widowControl/>
        <w:rPr>
          <w:rFonts w:ascii="宋体" w:hAnsi="宋体"/>
          <w:b/>
          <w:sz w:val="24"/>
        </w:rPr>
      </w:pPr>
      <w:r>
        <w:rPr>
          <w:rFonts w:ascii="宋体" w:hAnsi="宋体"/>
          <w:b/>
          <w:sz w:val="24"/>
        </w:rPr>
      </w:r>
      <w:r/>
    </w:p>
    <w:p>
      <w:pPr>
        <w:ind w:left="1024"/>
        <w:spacing w:line="360" w:lineRule="auto"/>
        <w:widowControl/>
        <w:rPr>
          <w:rFonts w:ascii="宋体" w:hAnsi="宋体"/>
          <w:b/>
          <w:sz w:val="24"/>
        </w:rPr>
      </w:pPr>
      <w:r>
        <w:rPr>
          <w:rFonts w:ascii="宋体" w:hAnsi="宋体"/>
          <w:b/>
          <w:sz w:val="24"/>
        </w:rPr>
      </w:r>
      <w:r/>
    </w:p>
    <w:p>
      <w:pPr>
        <w:ind w:left="1024"/>
        <w:spacing w:line="360" w:lineRule="auto"/>
        <w:widowControl/>
        <w:rPr>
          <w:rFonts w:ascii="宋体" w:hAnsi="宋体"/>
          <w:b/>
          <w:sz w:val="24"/>
        </w:rPr>
      </w:pPr>
      <w:r>
        <w:rPr>
          <w:rFonts w:ascii="宋体" w:hAnsi="宋体"/>
          <w:b/>
          <w:sz w:val="24"/>
        </w:rPr>
      </w:r>
      <w:r/>
    </w:p>
    <w:p>
      <w:pPr>
        <w:ind w:right="-210"/>
        <w:jc w:val="center"/>
        <w:spacing w:line="360" w:lineRule="auto"/>
        <w:rPr>
          <w:rFonts w:ascii="宋体" w:hAnsi="宋体" w:cs="宋体"/>
          <w:sz w:val="24"/>
          <w:lang w:val="zh-CN"/>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lang w:val="zh-CN"/>
        </w:rPr>
        <w:t xml:space="preserve">响应单位：（</w:t>
      </w:r>
      <w:r>
        <w:rPr>
          <w:rFonts w:hint="eastAsia" w:ascii="宋体" w:hAnsi="宋体" w:cs="宋体"/>
          <w:sz w:val="24"/>
        </w:rPr>
        <w:t xml:space="preserve">签章</w:t>
      </w:r>
      <w:r>
        <w:rPr>
          <w:rFonts w:hint="eastAsia" w:ascii="宋体" w:hAnsi="宋体" w:cs="宋体"/>
          <w:sz w:val="24"/>
          <w:lang w:val="zh-CN"/>
        </w:rPr>
        <w:t xml:space="preserve">） </w:t>
      </w:r>
      <w:r/>
    </w:p>
    <w:p>
      <w:pPr>
        <w:ind w:firstLine="240"/>
        <w:jc w:val="right"/>
        <w:spacing w:line="360" w:lineRule="auto"/>
        <w:widowControl/>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960"/>
        <w:jc w:val="center"/>
        <w:spacing w:line="360" w:lineRule="auto"/>
        <w:widowControl/>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pStyle w:val="1123"/>
        <w:spacing w:before="75" w:beforeAutospacing="0" w:after="75" w:afterAutospacing="0" w:line="360" w:lineRule="auto"/>
        <w:widowControl/>
        <w:rPr>
          <w:rFonts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rPr>
      </w:r>
      <w:r/>
    </w:p>
    <w:p>
      <w:pPr>
        <w:spacing w:line="360" w:lineRule="auto"/>
        <w:rPr>
          <w:rFonts w:ascii="宋体" w:hAnsi="宋体"/>
          <w:b/>
          <w:sz w:val="24"/>
        </w:rPr>
      </w:pPr>
      <w:r>
        <w:rPr>
          <w:rFonts w:hint="eastAsia" w:ascii="宋体" w:hAnsi="宋体"/>
          <w:b/>
          <w:sz w:val="24"/>
        </w:rPr>
        <w:t xml:space="preserve">附件7：</w:t>
      </w:r>
      <w:r/>
    </w:p>
    <w:p>
      <w:pPr>
        <w:jc w:val="center"/>
        <w:spacing w:line="440" w:lineRule="exact"/>
        <w:widowControl/>
        <w:rPr>
          <w:rFonts w:ascii="宋体" w:hAnsi="宋体"/>
          <w:b/>
          <w:sz w:val="24"/>
        </w:rPr>
      </w:pPr>
      <w:r>
        <w:rPr>
          <w:rFonts w:hint="eastAsia" w:ascii="宋体" w:hAnsi="宋体"/>
          <w:b/>
          <w:sz w:val="24"/>
        </w:rPr>
        <w:t xml:space="preserve">磋商响应函</w:t>
      </w:r>
      <w:r/>
    </w:p>
    <w:p>
      <w:pPr>
        <w:ind w:firstLine="5301"/>
        <w:jc w:val="left"/>
        <w:spacing w:line="440" w:lineRule="exact"/>
        <w:widowControl/>
        <w:rPr>
          <w:rFonts w:ascii="宋体" w:hAnsi="宋体"/>
          <w:b/>
          <w:sz w:val="24"/>
        </w:rPr>
      </w:pPr>
      <w:r>
        <w:rPr>
          <w:rFonts w:ascii="宋体" w:hAnsi="宋体"/>
          <w:b/>
          <w:sz w:val="24"/>
        </w:rPr>
      </w:r>
      <w:r/>
    </w:p>
    <w:p>
      <w:pPr>
        <w:jc w:val="left"/>
        <w:spacing w:line="440" w:lineRule="exact"/>
        <w:widowControl/>
        <w:rPr>
          <w:rFonts w:ascii="宋体" w:hAnsi="宋体" w:cs="宋体"/>
          <w:sz w:val="24"/>
          <w:lang w:val="zh-CN"/>
        </w:rPr>
      </w:pPr>
      <w:r>
        <w:rPr>
          <w:rFonts w:hint="eastAsia" w:ascii="宋体" w:hAnsi="宋体" w:cs="宋体"/>
          <w:sz w:val="24"/>
          <w:lang w:val="zh-CN"/>
        </w:rPr>
        <w:t xml:space="preserve">致：</w:t>
      </w:r>
      <w:r>
        <w:rPr>
          <w:rFonts w:hint="eastAsia" w:ascii="宋体" w:hAnsi="宋体" w:cs="宋体"/>
          <w:sz w:val="24"/>
          <w:u w:val="single"/>
          <w:lang w:val="zh-CN"/>
        </w:rPr>
        <w:t xml:space="preserve">(采购人或采购代理机构)</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我方收到贵中心</w:t>
      </w:r>
      <w:r>
        <w:rPr>
          <w:rFonts w:hint="eastAsia" w:ascii="宋体" w:hAnsi="宋体" w:cs="宋体"/>
          <w:sz w:val="24"/>
          <w:u w:val="single"/>
          <w:lang w:val="zh-CN"/>
        </w:rPr>
        <w:t xml:space="preserve">             </w:t>
      </w:r>
      <w:r>
        <w:rPr>
          <w:rFonts w:hint="eastAsia" w:ascii="宋体" w:hAnsi="宋体" w:cs="宋体"/>
          <w:sz w:val="24"/>
          <w:lang w:val="zh-CN"/>
        </w:rPr>
        <w:t xml:space="preserve">（项目编号）采购文件，经仔细阅读和研究，我方决定参加磋商活动，并向贵中心作出如下承诺：</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1、我方愿意按照采购文件的一切要求，提供本项目的所有内容，我方的报价包括完成本项工作所需的一切应有费用。</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3、我方已详细审查并同意采购文件及更正文件（若有）中的规定。我方完全理解并同意放弃对这方面有不明及误解的权利。</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4、本磋商响应文件的有效期限为</w:t>
      </w:r>
      <w:r>
        <w:rPr>
          <w:rFonts w:hint="eastAsia" w:ascii="宋体" w:hAnsi="宋体"/>
          <w:sz w:val="24"/>
        </w:rPr>
        <w:t xml:space="preserve">响应文件接收</w:t>
      </w:r>
      <w:r>
        <w:rPr>
          <w:rFonts w:hint="eastAsia" w:ascii="宋体" w:hAnsi="宋体" w:cs="宋体"/>
          <w:sz w:val="24"/>
          <w:lang w:val="zh-CN"/>
        </w:rPr>
        <w:t xml:space="preserve">截止时间之日起</w:t>
      </w:r>
      <w:r>
        <w:rPr>
          <w:rFonts w:hint="eastAsia" w:ascii="宋体" w:hAnsi="宋体" w:cs="宋体"/>
          <w:sz w:val="24"/>
        </w:rPr>
        <w:t xml:space="preserve">90</w:t>
      </w:r>
      <w:r>
        <w:rPr>
          <w:rFonts w:hint="eastAsia" w:ascii="宋体" w:hAnsi="宋体" w:cs="宋体"/>
          <w:sz w:val="24"/>
          <w:lang w:val="zh-CN"/>
        </w:rPr>
        <w:t xml:space="preserve">天。</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5、我方保证所提交的响应文件中所有资料均是真实的、准确的。若与真实情况不符，我方愿意承担由此而产生的一切后果。</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6、我方承诺磋商响应文件在磋商开始后的全过程中保持有效，不作任何更改和变动。</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7、我方承诺满足《中华人民共和国政府采购法》第二十二条规定的所有条件。</w:t>
      </w:r>
      <w:r/>
    </w:p>
    <w:p>
      <w:pPr>
        <w:ind w:firstLine="480"/>
        <w:jc w:val="left"/>
        <w:spacing w:line="440" w:lineRule="exact"/>
        <w:widowControl/>
        <w:rPr>
          <w:rFonts w:ascii="宋体" w:hAnsi="宋体" w:cs="宋体"/>
          <w:sz w:val="24"/>
          <w:lang w:val="zh-CN"/>
        </w:rPr>
      </w:pPr>
      <w:r>
        <w:rPr>
          <w:rFonts w:hint="eastAsia" w:ascii="宋体" w:hAnsi="宋体" w:cs="宋体"/>
          <w:sz w:val="24"/>
          <w:lang w:val="zh-CN"/>
        </w:rPr>
        <w:t xml:space="preserve">8、与本磋商相应文件有关的通讯地址：</w:t>
      </w:r>
      <w:r/>
    </w:p>
    <w:p>
      <w:pPr>
        <w:ind w:firstLine="240"/>
        <w:jc w:val="left"/>
        <w:spacing w:line="440" w:lineRule="exact"/>
        <w:widowControl/>
        <w:rPr>
          <w:rFonts w:ascii="宋体" w:hAnsi="宋体" w:cs="宋体"/>
          <w:sz w:val="24"/>
          <w:lang w:val="zh-CN"/>
        </w:rPr>
      </w:pPr>
      <w:r>
        <w:rPr>
          <w:rFonts w:hint="eastAsia" w:ascii="宋体" w:hAnsi="宋体" w:cs="宋体"/>
          <w:sz w:val="24"/>
          <w:lang w:val="zh-CN"/>
        </w:rPr>
        <w:t xml:space="preserve">单   位：                                              联 系 人： </w:t>
      </w:r>
      <w:r/>
    </w:p>
    <w:p>
      <w:pPr>
        <w:ind w:firstLine="240"/>
        <w:jc w:val="left"/>
        <w:spacing w:line="440" w:lineRule="exact"/>
        <w:widowControl/>
        <w:rPr>
          <w:rFonts w:ascii="宋体" w:hAnsi="宋体" w:cs="宋体"/>
          <w:sz w:val="24"/>
          <w:lang w:val="zh-CN"/>
        </w:rPr>
      </w:pPr>
      <w:r>
        <w:rPr>
          <w:rFonts w:hint="eastAsia" w:ascii="宋体" w:hAnsi="宋体" w:cs="宋体"/>
          <w:sz w:val="24"/>
          <w:lang w:val="zh-CN"/>
        </w:rPr>
        <w:t xml:space="preserve">地   址：                                              邮政编码： </w:t>
      </w:r>
      <w:r/>
    </w:p>
    <w:p>
      <w:pPr>
        <w:ind w:firstLine="240"/>
        <w:jc w:val="left"/>
        <w:spacing w:line="440" w:lineRule="exact"/>
        <w:widowControl/>
        <w:rPr>
          <w:rFonts w:ascii="宋体" w:hAnsi="宋体" w:cs="宋体"/>
          <w:sz w:val="24"/>
          <w:lang w:val="zh-CN"/>
        </w:rPr>
      </w:pPr>
      <w:r>
        <w:rPr>
          <w:rFonts w:hint="eastAsia" w:ascii="宋体" w:hAnsi="宋体" w:cs="宋体"/>
          <w:sz w:val="24"/>
          <w:lang w:val="zh-CN"/>
        </w:rPr>
        <w:t xml:space="preserve">联系电话：                                             电子邮箱：</w:t>
      </w:r>
      <w:r/>
    </w:p>
    <w:p>
      <w:pPr>
        <w:ind w:right="840" w:firstLine="240"/>
        <w:jc w:val="center"/>
        <w:spacing w:line="440" w:lineRule="exact"/>
        <w:widowControl/>
        <w:rPr>
          <w:rFonts w:ascii="宋体" w:hAnsi="宋体" w:cs="宋体"/>
          <w:sz w:val="24"/>
          <w:lang w:val="zh-CN"/>
        </w:rPr>
      </w:pPr>
      <w:r>
        <w:rPr>
          <w:rFonts w:ascii="宋体" w:hAnsi="宋体" w:cs="宋体"/>
          <w:sz w:val="24"/>
          <w:lang w:val="zh-CN"/>
        </w:rPr>
      </w:r>
      <w:r/>
    </w:p>
    <w:p>
      <w:pPr>
        <w:ind w:right="-210"/>
        <w:jc w:val="center"/>
        <w:spacing w:line="360" w:lineRule="auto"/>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供应商名称</w:t>
      </w:r>
      <w:r>
        <w:rPr>
          <w:rFonts w:ascii="宋体" w:hAnsi="宋体"/>
          <w:sz w:val="24"/>
        </w:rPr>
        <w:t xml:space="preserve">：（公章）</w:t>
      </w:r>
      <w:r>
        <w:rPr>
          <w:rFonts w:hint="eastAsia" w:ascii="宋体" w:hAnsi="宋体" w:cs="宋体"/>
          <w:sz w:val="24"/>
          <w:lang w:val="zh-CN"/>
        </w:rPr>
        <w:t xml:space="preserve"> </w:t>
      </w:r>
      <w:r/>
    </w:p>
    <w:p>
      <w:pPr>
        <w:ind w:firstLine="240"/>
        <w:jc w:val="right"/>
        <w:spacing w:line="360" w:lineRule="auto"/>
        <w:widowControl/>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960"/>
        <w:jc w:val="right"/>
        <w:spacing w:line="400" w:lineRule="exact"/>
        <w:widowControl/>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pStyle w:val="1123"/>
        <w:spacing w:before="75" w:beforeAutospacing="0" w:after="75" w:afterAutospacing="0" w:line="495" w:lineRule="atLeast"/>
        <w:widowControl/>
        <w:rPr>
          <w:rFonts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rPr>
      </w:r>
      <w:r/>
    </w:p>
    <w:p>
      <w:pPr>
        <w:widowControl/>
        <w:rPr>
          <w:rFonts w:ascii="宋体" w:hAnsi="宋体"/>
          <w:sz w:val="24"/>
        </w:rPr>
      </w:pPr>
      <w:r>
        <w:rPr>
          <w:b/>
          <w:sz w:val="24"/>
        </w:rPr>
        <w:t xml:space="preserve">附件</w:t>
      </w:r>
      <w:r>
        <w:rPr>
          <w:rFonts w:hint="eastAsia"/>
          <w:b/>
          <w:sz w:val="24"/>
        </w:rPr>
        <w:t xml:space="preserve">8.：</w:t>
      </w:r>
      <w:r/>
    </w:p>
    <w:p>
      <w:pPr>
        <w:jc w:val="left"/>
        <w:widowControl/>
        <w:rPr>
          <w:b/>
          <w:szCs w:val="20"/>
        </w:rPr>
      </w:pPr>
      <w:r>
        <w:rPr>
          <w:b/>
          <w:szCs w:val="20"/>
        </w:rPr>
      </w:r>
      <w:r/>
    </w:p>
    <w:p>
      <w:pPr>
        <w:jc w:val="center"/>
        <w:spacing w:line="360" w:lineRule="auto"/>
        <w:rPr>
          <w:b/>
          <w:sz w:val="24"/>
        </w:rPr>
      </w:pPr>
      <w:r>
        <w:rPr>
          <w:b/>
          <w:sz w:val="24"/>
        </w:rPr>
        <w:t xml:space="preserve">技术服务要求偏离表</w:t>
      </w:r>
      <w:r/>
    </w:p>
    <w:p>
      <w:pPr>
        <w:spacing w:line="360" w:lineRule="auto"/>
        <w:rPr>
          <w:sz w:val="24"/>
        </w:rPr>
      </w:pPr>
      <w:r>
        <w:rPr>
          <w:sz w:val="24"/>
        </w:rPr>
      </w:r>
      <w:r/>
    </w:p>
    <w:tbl>
      <w:tblPr>
        <w:tblStyle w:val="917"/>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64"/>
        <w:gridCol w:w="1706"/>
        <w:gridCol w:w="1574"/>
        <w:gridCol w:w="1574"/>
        <w:gridCol w:w="1442"/>
      </w:tblGrid>
      <w:tr>
        <w:trPr>
          <w:jc w:val="center"/>
        </w:trPr>
        <w:tc>
          <w:tcPr>
            <w:tcW w:w="665" w:type="dxa"/>
            <w:vAlign w:val="center"/>
            <w:textDirection w:val="lrTb"/>
            <w:noWrap w:val="false"/>
          </w:tcPr>
          <w:p>
            <w:pPr>
              <w:jc w:val="center"/>
              <w:spacing w:before="120" w:after="120" w:line="360" w:lineRule="auto"/>
              <w:rPr>
                <w:sz w:val="24"/>
              </w:rPr>
            </w:pPr>
            <w:r>
              <w:rPr>
                <w:sz w:val="24"/>
              </w:rPr>
              <w:t xml:space="preserve">序号</w:t>
            </w:r>
            <w:r/>
          </w:p>
        </w:tc>
        <w:tc>
          <w:tcPr>
            <w:tcW w:w="1564" w:type="dxa"/>
            <w:vAlign w:val="center"/>
            <w:textDirection w:val="lrTb"/>
            <w:noWrap w:val="false"/>
          </w:tcPr>
          <w:p>
            <w:pPr>
              <w:jc w:val="center"/>
              <w:spacing w:before="120" w:after="120" w:line="360" w:lineRule="auto"/>
              <w:rPr>
                <w:sz w:val="24"/>
              </w:rPr>
            </w:pPr>
            <w:r>
              <w:rPr>
                <w:sz w:val="24"/>
              </w:rPr>
              <w:t xml:space="preserve">服务内容</w:t>
            </w:r>
            <w:r/>
          </w:p>
        </w:tc>
        <w:tc>
          <w:tcPr>
            <w:tcW w:w="1706" w:type="dxa"/>
            <w:vAlign w:val="center"/>
            <w:textDirection w:val="lrTb"/>
            <w:noWrap w:val="false"/>
          </w:tcPr>
          <w:p>
            <w:pPr>
              <w:jc w:val="center"/>
              <w:spacing w:before="120" w:after="120" w:line="360" w:lineRule="auto"/>
              <w:rPr>
                <w:sz w:val="24"/>
              </w:rPr>
            </w:pPr>
            <w:r>
              <w:rPr>
                <w:sz w:val="24"/>
              </w:rPr>
              <w:t xml:space="preserve">招标要求</w:t>
            </w:r>
            <w:r/>
          </w:p>
        </w:tc>
        <w:tc>
          <w:tcPr>
            <w:tcW w:w="1574" w:type="dxa"/>
            <w:vAlign w:val="center"/>
            <w:textDirection w:val="lrTb"/>
            <w:noWrap w:val="false"/>
          </w:tcPr>
          <w:p>
            <w:pPr>
              <w:jc w:val="center"/>
              <w:spacing w:before="120" w:after="120" w:line="360" w:lineRule="auto"/>
              <w:rPr>
                <w:sz w:val="24"/>
              </w:rPr>
            </w:pPr>
            <w:r>
              <w:rPr>
                <w:sz w:val="24"/>
              </w:rPr>
              <w:t xml:space="preserve">投标要求</w:t>
            </w:r>
            <w:r/>
          </w:p>
        </w:tc>
        <w:tc>
          <w:tcPr>
            <w:tcW w:w="1574" w:type="dxa"/>
            <w:vAlign w:val="center"/>
            <w:textDirection w:val="lrTb"/>
            <w:noWrap w:val="false"/>
          </w:tcPr>
          <w:p>
            <w:pPr>
              <w:jc w:val="center"/>
              <w:spacing w:before="120" w:after="120" w:line="360" w:lineRule="auto"/>
              <w:rPr>
                <w:sz w:val="24"/>
              </w:rPr>
            </w:pPr>
            <w:r>
              <w:rPr>
                <w:sz w:val="24"/>
              </w:rPr>
              <w:t xml:space="preserve">偏离/响应</w:t>
            </w:r>
            <w:r/>
          </w:p>
        </w:tc>
        <w:tc>
          <w:tcPr>
            <w:tcW w:w="1442" w:type="dxa"/>
            <w:vAlign w:val="center"/>
            <w:textDirection w:val="lrTb"/>
            <w:noWrap w:val="false"/>
          </w:tcPr>
          <w:p>
            <w:pPr>
              <w:jc w:val="center"/>
              <w:spacing w:before="120" w:after="120" w:line="360" w:lineRule="auto"/>
              <w:rPr>
                <w:sz w:val="24"/>
              </w:rPr>
            </w:pPr>
            <w:r>
              <w:rPr>
                <w:sz w:val="24"/>
              </w:rPr>
              <w:t xml:space="preserve">说明</w:t>
            </w:r>
            <w:r/>
          </w:p>
        </w:tc>
      </w:tr>
      <w:tr>
        <w:trPr>
          <w:jc w:val="center"/>
        </w:trPr>
        <w:tc>
          <w:tcPr>
            <w:tcW w:w="665" w:type="dxa"/>
            <w:vAlign w:val="center"/>
            <w:textDirection w:val="lrTb"/>
            <w:noWrap w:val="false"/>
          </w:tcPr>
          <w:p>
            <w:pPr>
              <w:jc w:val="center"/>
              <w:spacing w:before="120" w:after="120" w:line="360" w:lineRule="auto"/>
              <w:rPr>
                <w:sz w:val="24"/>
              </w:rPr>
            </w:pPr>
            <w:r>
              <w:rPr>
                <w:sz w:val="24"/>
              </w:rPr>
            </w:r>
            <w:r/>
          </w:p>
        </w:tc>
        <w:tc>
          <w:tcPr>
            <w:tcW w:w="1564" w:type="dxa"/>
            <w:vAlign w:val="center"/>
            <w:textDirection w:val="lrTb"/>
            <w:noWrap w:val="false"/>
          </w:tcPr>
          <w:p>
            <w:pPr>
              <w:jc w:val="center"/>
              <w:spacing w:before="120" w:after="120" w:line="360" w:lineRule="auto"/>
              <w:rPr>
                <w:sz w:val="24"/>
              </w:rPr>
            </w:pPr>
            <w:r>
              <w:rPr>
                <w:sz w:val="24"/>
              </w:rPr>
            </w:r>
            <w:r/>
          </w:p>
        </w:tc>
        <w:tc>
          <w:tcPr>
            <w:tcW w:w="1706"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442" w:type="dxa"/>
            <w:vAlign w:val="center"/>
            <w:textDirection w:val="lrTb"/>
            <w:noWrap w:val="false"/>
          </w:tcPr>
          <w:p>
            <w:pPr>
              <w:jc w:val="center"/>
              <w:spacing w:before="120" w:after="120" w:line="360" w:lineRule="auto"/>
              <w:rPr>
                <w:sz w:val="24"/>
              </w:rPr>
            </w:pPr>
            <w:r>
              <w:rPr>
                <w:sz w:val="24"/>
              </w:rPr>
            </w:r>
            <w:r/>
          </w:p>
        </w:tc>
      </w:tr>
      <w:tr>
        <w:trPr>
          <w:jc w:val="center"/>
        </w:trPr>
        <w:tc>
          <w:tcPr>
            <w:tcW w:w="665" w:type="dxa"/>
            <w:vAlign w:val="center"/>
            <w:textDirection w:val="lrTb"/>
            <w:noWrap w:val="false"/>
          </w:tcPr>
          <w:p>
            <w:pPr>
              <w:jc w:val="center"/>
              <w:spacing w:before="120" w:after="120" w:line="360" w:lineRule="auto"/>
              <w:rPr>
                <w:sz w:val="24"/>
              </w:rPr>
            </w:pPr>
            <w:r>
              <w:rPr>
                <w:sz w:val="24"/>
              </w:rPr>
            </w:r>
            <w:r/>
          </w:p>
        </w:tc>
        <w:tc>
          <w:tcPr>
            <w:tcW w:w="1564" w:type="dxa"/>
            <w:vAlign w:val="center"/>
            <w:textDirection w:val="lrTb"/>
            <w:noWrap w:val="false"/>
          </w:tcPr>
          <w:p>
            <w:pPr>
              <w:jc w:val="center"/>
              <w:spacing w:before="120" w:after="120" w:line="360" w:lineRule="auto"/>
              <w:rPr>
                <w:sz w:val="24"/>
              </w:rPr>
            </w:pPr>
            <w:r>
              <w:rPr>
                <w:sz w:val="24"/>
              </w:rPr>
            </w:r>
            <w:r/>
          </w:p>
        </w:tc>
        <w:tc>
          <w:tcPr>
            <w:tcW w:w="1706"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442" w:type="dxa"/>
            <w:vAlign w:val="center"/>
            <w:textDirection w:val="lrTb"/>
            <w:noWrap w:val="false"/>
          </w:tcPr>
          <w:p>
            <w:pPr>
              <w:jc w:val="center"/>
              <w:spacing w:before="120" w:after="120" w:line="360" w:lineRule="auto"/>
              <w:rPr>
                <w:sz w:val="24"/>
              </w:rPr>
            </w:pPr>
            <w:r>
              <w:rPr>
                <w:sz w:val="24"/>
              </w:rPr>
            </w:r>
            <w:r/>
          </w:p>
        </w:tc>
      </w:tr>
      <w:tr>
        <w:trPr>
          <w:jc w:val="center"/>
        </w:trPr>
        <w:tc>
          <w:tcPr>
            <w:tcW w:w="665" w:type="dxa"/>
            <w:vAlign w:val="center"/>
            <w:textDirection w:val="lrTb"/>
            <w:noWrap w:val="false"/>
          </w:tcPr>
          <w:p>
            <w:pPr>
              <w:jc w:val="center"/>
              <w:spacing w:before="120" w:after="120" w:line="360" w:lineRule="auto"/>
              <w:rPr>
                <w:sz w:val="24"/>
              </w:rPr>
            </w:pPr>
            <w:r>
              <w:rPr>
                <w:sz w:val="24"/>
              </w:rPr>
            </w:r>
            <w:r/>
          </w:p>
        </w:tc>
        <w:tc>
          <w:tcPr>
            <w:tcW w:w="1564" w:type="dxa"/>
            <w:vAlign w:val="center"/>
            <w:textDirection w:val="lrTb"/>
            <w:noWrap w:val="false"/>
          </w:tcPr>
          <w:p>
            <w:pPr>
              <w:jc w:val="center"/>
              <w:spacing w:before="120" w:after="120" w:line="360" w:lineRule="auto"/>
              <w:rPr>
                <w:sz w:val="24"/>
              </w:rPr>
            </w:pPr>
            <w:r>
              <w:rPr>
                <w:sz w:val="24"/>
              </w:rPr>
            </w:r>
            <w:r/>
          </w:p>
        </w:tc>
        <w:tc>
          <w:tcPr>
            <w:tcW w:w="1706"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442" w:type="dxa"/>
            <w:vAlign w:val="center"/>
            <w:textDirection w:val="lrTb"/>
            <w:noWrap w:val="false"/>
          </w:tcPr>
          <w:p>
            <w:pPr>
              <w:jc w:val="center"/>
              <w:spacing w:before="120" w:after="120" w:line="360" w:lineRule="auto"/>
              <w:rPr>
                <w:sz w:val="24"/>
              </w:rPr>
            </w:pPr>
            <w:r>
              <w:rPr>
                <w:sz w:val="24"/>
              </w:rPr>
            </w:r>
            <w:r/>
          </w:p>
        </w:tc>
      </w:tr>
      <w:tr>
        <w:trPr>
          <w:jc w:val="center"/>
        </w:trPr>
        <w:tc>
          <w:tcPr>
            <w:tcW w:w="665" w:type="dxa"/>
            <w:vAlign w:val="center"/>
            <w:textDirection w:val="lrTb"/>
            <w:noWrap w:val="false"/>
          </w:tcPr>
          <w:p>
            <w:pPr>
              <w:jc w:val="center"/>
              <w:spacing w:before="120" w:after="120" w:line="360" w:lineRule="auto"/>
              <w:rPr>
                <w:sz w:val="24"/>
              </w:rPr>
            </w:pPr>
            <w:r>
              <w:rPr>
                <w:sz w:val="24"/>
              </w:rPr>
            </w:r>
            <w:r/>
          </w:p>
        </w:tc>
        <w:tc>
          <w:tcPr>
            <w:tcW w:w="1564" w:type="dxa"/>
            <w:vAlign w:val="center"/>
            <w:textDirection w:val="lrTb"/>
            <w:noWrap w:val="false"/>
          </w:tcPr>
          <w:p>
            <w:pPr>
              <w:jc w:val="center"/>
              <w:spacing w:before="120" w:after="120" w:line="360" w:lineRule="auto"/>
              <w:rPr>
                <w:sz w:val="24"/>
              </w:rPr>
            </w:pPr>
            <w:r>
              <w:rPr>
                <w:sz w:val="24"/>
              </w:rPr>
            </w:r>
            <w:r/>
          </w:p>
        </w:tc>
        <w:tc>
          <w:tcPr>
            <w:tcW w:w="1706"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442" w:type="dxa"/>
            <w:vAlign w:val="center"/>
            <w:textDirection w:val="lrTb"/>
            <w:noWrap w:val="false"/>
          </w:tcPr>
          <w:p>
            <w:pPr>
              <w:jc w:val="center"/>
              <w:spacing w:before="120" w:after="120" w:line="360" w:lineRule="auto"/>
              <w:rPr>
                <w:sz w:val="24"/>
              </w:rPr>
            </w:pPr>
            <w:r>
              <w:rPr>
                <w:sz w:val="24"/>
              </w:rPr>
            </w:r>
            <w:r/>
          </w:p>
        </w:tc>
      </w:tr>
      <w:tr>
        <w:trPr>
          <w:jc w:val="center"/>
        </w:trPr>
        <w:tc>
          <w:tcPr>
            <w:tcW w:w="665" w:type="dxa"/>
            <w:vAlign w:val="center"/>
            <w:textDirection w:val="lrTb"/>
            <w:noWrap w:val="false"/>
          </w:tcPr>
          <w:p>
            <w:pPr>
              <w:jc w:val="center"/>
              <w:spacing w:before="120" w:after="120" w:line="360" w:lineRule="auto"/>
              <w:rPr>
                <w:sz w:val="24"/>
              </w:rPr>
            </w:pPr>
            <w:r>
              <w:rPr>
                <w:sz w:val="24"/>
              </w:rPr>
            </w:r>
            <w:r/>
          </w:p>
        </w:tc>
        <w:tc>
          <w:tcPr>
            <w:tcW w:w="1564" w:type="dxa"/>
            <w:vAlign w:val="center"/>
            <w:textDirection w:val="lrTb"/>
            <w:noWrap w:val="false"/>
          </w:tcPr>
          <w:p>
            <w:pPr>
              <w:jc w:val="center"/>
              <w:spacing w:before="120" w:after="120" w:line="360" w:lineRule="auto"/>
              <w:rPr>
                <w:sz w:val="24"/>
              </w:rPr>
            </w:pPr>
            <w:r>
              <w:rPr>
                <w:sz w:val="24"/>
              </w:rPr>
            </w:r>
            <w:r/>
          </w:p>
        </w:tc>
        <w:tc>
          <w:tcPr>
            <w:tcW w:w="1706"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442" w:type="dxa"/>
            <w:vAlign w:val="center"/>
            <w:textDirection w:val="lrTb"/>
            <w:noWrap w:val="false"/>
          </w:tcPr>
          <w:p>
            <w:pPr>
              <w:jc w:val="center"/>
              <w:spacing w:before="120" w:after="120" w:line="360" w:lineRule="auto"/>
              <w:rPr>
                <w:sz w:val="24"/>
              </w:rPr>
            </w:pPr>
            <w:r>
              <w:rPr>
                <w:sz w:val="24"/>
              </w:rPr>
            </w:r>
            <w:r/>
          </w:p>
        </w:tc>
      </w:tr>
      <w:tr>
        <w:trPr>
          <w:jc w:val="center"/>
        </w:trPr>
        <w:tc>
          <w:tcPr>
            <w:tcW w:w="665" w:type="dxa"/>
            <w:vAlign w:val="center"/>
            <w:textDirection w:val="lrTb"/>
            <w:noWrap w:val="false"/>
          </w:tcPr>
          <w:p>
            <w:pPr>
              <w:jc w:val="center"/>
              <w:spacing w:before="120" w:after="120" w:line="360" w:lineRule="auto"/>
              <w:rPr>
                <w:sz w:val="24"/>
              </w:rPr>
            </w:pPr>
            <w:r>
              <w:rPr>
                <w:sz w:val="24"/>
              </w:rPr>
            </w:r>
            <w:r/>
          </w:p>
        </w:tc>
        <w:tc>
          <w:tcPr>
            <w:tcW w:w="1564" w:type="dxa"/>
            <w:vAlign w:val="center"/>
            <w:textDirection w:val="lrTb"/>
            <w:noWrap w:val="false"/>
          </w:tcPr>
          <w:p>
            <w:pPr>
              <w:jc w:val="center"/>
              <w:spacing w:before="120" w:after="120" w:line="360" w:lineRule="auto"/>
              <w:rPr>
                <w:sz w:val="24"/>
              </w:rPr>
            </w:pPr>
            <w:r>
              <w:rPr>
                <w:sz w:val="24"/>
              </w:rPr>
            </w:r>
            <w:r/>
          </w:p>
        </w:tc>
        <w:tc>
          <w:tcPr>
            <w:tcW w:w="1706"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442" w:type="dxa"/>
            <w:vAlign w:val="center"/>
            <w:textDirection w:val="lrTb"/>
            <w:noWrap w:val="false"/>
          </w:tcPr>
          <w:p>
            <w:pPr>
              <w:jc w:val="center"/>
              <w:spacing w:before="120" w:after="120" w:line="360" w:lineRule="auto"/>
              <w:rPr>
                <w:sz w:val="24"/>
              </w:rPr>
            </w:pPr>
            <w:r>
              <w:rPr>
                <w:sz w:val="24"/>
              </w:rPr>
            </w:r>
            <w:r/>
          </w:p>
        </w:tc>
      </w:tr>
      <w:tr>
        <w:trPr>
          <w:jc w:val="center"/>
        </w:trPr>
        <w:tc>
          <w:tcPr>
            <w:tcW w:w="665" w:type="dxa"/>
            <w:vAlign w:val="center"/>
            <w:textDirection w:val="lrTb"/>
            <w:noWrap w:val="false"/>
          </w:tcPr>
          <w:p>
            <w:pPr>
              <w:jc w:val="center"/>
              <w:spacing w:before="120" w:after="120" w:line="360" w:lineRule="auto"/>
              <w:rPr>
                <w:sz w:val="24"/>
              </w:rPr>
            </w:pPr>
            <w:r>
              <w:rPr>
                <w:sz w:val="24"/>
              </w:rPr>
            </w:r>
            <w:r/>
          </w:p>
        </w:tc>
        <w:tc>
          <w:tcPr>
            <w:tcW w:w="1564" w:type="dxa"/>
            <w:vAlign w:val="center"/>
            <w:textDirection w:val="lrTb"/>
            <w:noWrap w:val="false"/>
          </w:tcPr>
          <w:p>
            <w:pPr>
              <w:jc w:val="center"/>
              <w:spacing w:before="120" w:after="120" w:line="360" w:lineRule="auto"/>
              <w:rPr>
                <w:sz w:val="24"/>
              </w:rPr>
            </w:pPr>
            <w:r>
              <w:rPr>
                <w:sz w:val="24"/>
              </w:rPr>
            </w:r>
            <w:r/>
          </w:p>
        </w:tc>
        <w:tc>
          <w:tcPr>
            <w:tcW w:w="1706"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442" w:type="dxa"/>
            <w:vAlign w:val="center"/>
            <w:textDirection w:val="lrTb"/>
            <w:noWrap w:val="false"/>
          </w:tcPr>
          <w:p>
            <w:pPr>
              <w:jc w:val="center"/>
              <w:spacing w:before="120" w:after="120" w:line="360" w:lineRule="auto"/>
              <w:rPr>
                <w:sz w:val="24"/>
              </w:rPr>
            </w:pPr>
            <w:r>
              <w:rPr>
                <w:sz w:val="24"/>
              </w:rPr>
            </w:r>
            <w:r/>
          </w:p>
        </w:tc>
      </w:tr>
      <w:tr>
        <w:trPr>
          <w:jc w:val="center"/>
        </w:trPr>
        <w:tc>
          <w:tcPr>
            <w:tcW w:w="665" w:type="dxa"/>
            <w:vAlign w:val="center"/>
            <w:textDirection w:val="lrTb"/>
            <w:noWrap w:val="false"/>
          </w:tcPr>
          <w:p>
            <w:pPr>
              <w:jc w:val="center"/>
              <w:spacing w:before="120" w:after="120" w:line="360" w:lineRule="auto"/>
              <w:rPr>
                <w:sz w:val="24"/>
              </w:rPr>
            </w:pPr>
            <w:r>
              <w:rPr>
                <w:sz w:val="24"/>
              </w:rPr>
            </w:r>
            <w:r/>
          </w:p>
        </w:tc>
        <w:tc>
          <w:tcPr>
            <w:tcW w:w="1564" w:type="dxa"/>
            <w:vAlign w:val="center"/>
            <w:textDirection w:val="lrTb"/>
            <w:noWrap w:val="false"/>
          </w:tcPr>
          <w:p>
            <w:pPr>
              <w:jc w:val="center"/>
              <w:spacing w:before="120" w:after="120" w:line="360" w:lineRule="auto"/>
              <w:rPr>
                <w:sz w:val="24"/>
              </w:rPr>
            </w:pPr>
            <w:r>
              <w:rPr>
                <w:sz w:val="24"/>
              </w:rPr>
            </w:r>
            <w:r/>
          </w:p>
        </w:tc>
        <w:tc>
          <w:tcPr>
            <w:tcW w:w="1706"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574" w:type="dxa"/>
            <w:vAlign w:val="center"/>
            <w:textDirection w:val="lrTb"/>
            <w:noWrap w:val="false"/>
          </w:tcPr>
          <w:p>
            <w:pPr>
              <w:jc w:val="center"/>
              <w:spacing w:before="120" w:after="120" w:line="360" w:lineRule="auto"/>
              <w:rPr>
                <w:sz w:val="24"/>
              </w:rPr>
            </w:pPr>
            <w:r>
              <w:rPr>
                <w:sz w:val="24"/>
              </w:rPr>
            </w:r>
            <w:r/>
          </w:p>
        </w:tc>
        <w:tc>
          <w:tcPr>
            <w:tcW w:w="1442" w:type="dxa"/>
            <w:vAlign w:val="center"/>
            <w:textDirection w:val="lrTb"/>
            <w:noWrap w:val="false"/>
          </w:tcPr>
          <w:p>
            <w:pPr>
              <w:jc w:val="center"/>
              <w:spacing w:before="120" w:after="120" w:line="360" w:lineRule="auto"/>
              <w:rPr>
                <w:sz w:val="24"/>
              </w:rPr>
            </w:pPr>
            <w:r>
              <w:rPr>
                <w:sz w:val="24"/>
              </w:rPr>
            </w:r>
            <w:r/>
          </w:p>
        </w:tc>
      </w:tr>
    </w:tbl>
    <w:p>
      <w:pPr>
        <w:ind w:firstLine="480"/>
        <w:spacing w:line="360" w:lineRule="auto"/>
        <w:rPr>
          <w:sz w:val="24"/>
        </w:rPr>
      </w:pPr>
      <w:r>
        <w:rPr>
          <w:sz w:val="24"/>
        </w:rPr>
        <w:t xml:space="preserve">注：1、</w:t>
      </w:r>
      <w:r>
        <w:rPr>
          <w:rFonts w:hint="eastAsia"/>
          <w:sz w:val="24"/>
        </w:rPr>
        <w:t xml:space="preserve">响应单位</w:t>
      </w:r>
      <w:r>
        <w:rPr>
          <w:sz w:val="24"/>
        </w:rPr>
        <w:t xml:space="preserve">应对照采购文件服务要求等要求，所投标的物与采购文件的规定有偏离的，应在此表中申明与服务要求条文的偏差和例外。</w:t>
      </w:r>
      <w:r/>
    </w:p>
    <w:p>
      <w:pPr>
        <w:ind w:firstLine="480"/>
        <w:spacing w:line="360" w:lineRule="auto"/>
        <w:rPr>
          <w:sz w:val="24"/>
        </w:rPr>
      </w:pPr>
      <w:r>
        <w:rPr>
          <w:sz w:val="24"/>
        </w:rPr>
        <w:t xml:space="preserve">2、未在上表中说明的，如在响应文件其他内容中已有文字说明的，则以已有文字说明为准，否则，将被认为完全响应采购文件的规定。但该表不作为</w:t>
      </w:r>
      <w:r>
        <w:rPr>
          <w:rFonts w:hint="eastAsia"/>
          <w:sz w:val="24"/>
        </w:rPr>
        <w:t xml:space="preserve">响应单位</w:t>
      </w:r>
      <w:r>
        <w:rPr>
          <w:sz w:val="24"/>
        </w:rPr>
        <w:t xml:space="preserve">对所投标的物关于服务要求等详细描述和说明的替代。</w:t>
      </w:r>
      <w:r/>
    </w:p>
    <w:p>
      <w:pPr>
        <w:spacing w:line="360" w:lineRule="auto"/>
        <w:rPr>
          <w:sz w:val="24"/>
        </w:rPr>
      </w:pPr>
      <w:r>
        <w:rPr>
          <w:sz w:val="24"/>
        </w:rPr>
      </w:r>
      <w:r/>
    </w:p>
    <w:p>
      <w:pPr>
        <w:ind w:firstLine="480"/>
        <w:spacing w:line="360" w:lineRule="auto"/>
        <w:rPr>
          <w:sz w:val="24"/>
        </w:rPr>
      </w:pPr>
      <w:r>
        <w:rPr>
          <w:rFonts w:hint="eastAsia"/>
          <w:sz w:val="24"/>
        </w:rPr>
        <w:t xml:space="preserve">响应单位：（签章）</w:t>
      </w:r>
      <w:r/>
    </w:p>
    <w:p>
      <w:pPr>
        <w:ind w:firstLine="480"/>
        <w:spacing w:line="360" w:lineRule="auto"/>
        <w:rPr>
          <w:sz w:val="24"/>
        </w:rPr>
      </w:pPr>
      <w:r>
        <w:rPr>
          <w:sz w:val="24"/>
        </w:rPr>
        <w:t xml:space="preserve">法定代表人或授权代理人：（签字或盖章）</w:t>
      </w:r>
      <w:r/>
    </w:p>
    <w:p>
      <w:pPr>
        <w:ind w:firstLine="480"/>
        <w:spacing w:line="360" w:lineRule="auto"/>
        <w:rPr>
          <w:sz w:val="24"/>
        </w:rPr>
      </w:pPr>
      <w:r>
        <w:rPr>
          <w:sz w:val="24"/>
        </w:rPr>
        <w:t xml:space="preserve">日期：      年    月    日</w:t>
      </w:r>
      <w:r/>
    </w:p>
    <w:p>
      <w:pPr>
        <w:spacing w:line="360" w:lineRule="auto"/>
        <w:widowControl/>
        <w:rPr>
          <w:b/>
          <w:sz w:val="24"/>
          <w:szCs w:val="20"/>
        </w:rPr>
      </w:pPr>
      <w:r>
        <w:rPr>
          <w:b/>
          <w:sz w:val="24"/>
          <w:szCs w:val="20"/>
        </w:rPr>
      </w:r>
      <w:r/>
    </w:p>
    <w:p>
      <w:pPr>
        <w:spacing w:line="360" w:lineRule="auto"/>
        <w:widowControl/>
        <w:rPr>
          <w:b/>
          <w:sz w:val="24"/>
          <w:szCs w:val="20"/>
        </w:rPr>
      </w:pPr>
      <w:r>
        <w:rPr>
          <w:b/>
          <w:sz w:val="24"/>
          <w:szCs w:val="20"/>
        </w:rPr>
      </w:r>
      <w:r/>
    </w:p>
    <w:p>
      <w:pPr>
        <w:spacing w:line="360" w:lineRule="auto"/>
        <w:widowControl/>
        <w:rPr>
          <w:b/>
          <w:sz w:val="24"/>
          <w:szCs w:val="20"/>
        </w:rPr>
      </w:pPr>
      <w:r>
        <w:rPr>
          <w:b/>
          <w:sz w:val="24"/>
          <w:szCs w:val="20"/>
        </w:rPr>
      </w:r>
      <w:r/>
    </w:p>
    <w:p>
      <w:pPr>
        <w:spacing w:line="360" w:lineRule="auto"/>
        <w:widowControl/>
        <w:rPr>
          <w:b/>
          <w:sz w:val="24"/>
          <w:szCs w:val="20"/>
        </w:rPr>
      </w:pPr>
      <w:r>
        <w:rPr>
          <w:b/>
          <w:sz w:val="24"/>
          <w:szCs w:val="20"/>
        </w:rPr>
      </w:r>
      <w:r/>
    </w:p>
    <w:p>
      <w:pPr>
        <w:spacing w:line="360" w:lineRule="auto"/>
        <w:widowControl/>
        <w:rPr>
          <w:b/>
          <w:sz w:val="24"/>
          <w:szCs w:val="20"/>
        </w:rPr>
      </w:pPr>
      <w:r>
        <w:rPr>
          <w:b/>
          <w:sz w:val="24"/>
          <w:szCs w:val="20"/>
        </w:rPr>
        <w:t xml:space="preserve">商务条款偏离表</w:t>
      </w:r>
      <w:r/>
    </w:p>
    <w:p>
      <w:pPr>
        <w:jc w:val="center"/>
        <w:spacing w:line="360" w:lineRule="auto"/>
        <w:widowControl/>
        <w:rPr>
          <w:sz w:val="24"/>
          <w:szCs w:val="20"/>
        </w:rPr>
      </w:pPr>
      <w:r>
        <w:rPr>
          <w:sz w:val="24"/>
          <w:szCs w:val="20"/>
        </w:rPr>
      </w:r>
      <w:r/>
    </w:p>
    <w:p>
      <w:pPr>
        <w:jc w:val="center"/>
        <w:spacing w:line="360" w:lineRule="auto"/>
        <w:widowControl/>
        <w:rPr>
          <w:b/>
          <w:sz w:val="24"/>
          <w:szCs w:val="20"/>
        </w:rPr>
      </w:pPr>
      <w:r>
        <w:rPr>
          <w:b/>
          <w:sz w:val="24"/>
          <w:szCs w:val="20"/>
        </w:rPr>
        <w:t xml:space="preserve">商务条款偏离表</w:t>
      </w:r>
      <w:r/>
    </w:p>
    <w:p>
      <w:pPr>
        <w:spacing w:line="360" w:lineRule="auto"/>
        <w:rPr>
          <w:sz w:val="24"/>
        </w:rPr>
      </w:pPr>
      <w:r>
        <w:rPr>
          <w:sz w:val="24"/>
        </w:rPr>
      </w:r>
      <w:r/>
    </w:p>
    <w:tbl>
      <w:tblPr>
        <w:tblStyle w:val="917"/>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68"/>
        <w:gridCol w:w="2362"/>
        <w:gridCol w:w="2379"/>
        <w:gridCol w:w="965"/>
      </w:tblGrid>
      <w:tr>
        <w:trPr>
          <w:jc w:val="center"/>
        </w:trPr>
        <w:tc>
          <w:tcPr>
            <w:tcW w:w="851" w:type="dxa"/>
            <w:vAlign w:val="center"/>
            <w:textDirection w:val="lrTb"/>
            <w:noWrap w:val="false"/>
          </w:tcPr>
          <w:p>
            <w:pPr>
              <w:jc w:val="center"/>
              <w:spacing w:before="120" w:after="120" w:line="360" w:lineRule="auto"/>
              <w:rPr>
                <w:sz w:val="24"/>
              </w:rPr>
            </w:pPr>
            <w:r>
              <w:rPr>
                <w:sz w:val="24"/>
              </w:rPr>
              <w:t xml:space="preserve">序号</w:t>
            </w:r>
            <w:r/>
          </w:p>
        </w:tc>
        <w:tc>
          <w:tcPr>
            <w:tcW w:w="1968" w:type="dxa"/>
            <w:vAlign w:val="center"/>
            <w:textDirection w:val="lrTb"/>
            <w:noWrap w:val="false"/>
          </w:tcPr>
          <w:p>
            <w:pPr>
              <w:jc w:val="center"/>
              <w:spacing w:before="120" w:after="120" w:line="360" w:lineRule="auto"/>
              <w:rPr>
                <w:sz w:val="24"/>
              </w:rPr>
            </w:pPr>
            <w:r>
              <w:rPr>
                <w:sz w:val="24"/>
              </w:rPr>
              <w:t xml:space="preserve">招标文件条目号</w:t>
            </w:r>
            <w:r/>
          </w:p>
        </w:tc>
        <w:tc>
          <w:tcPr>
            <w:tcW w:w="2362" w:type="dxa"/>
            <w:vAlign w:val="center"/>
            <w:textDirection w:val="lrTb"/>
            <w:noWrap w:val="false"/>
          </w:tcPr>
          <w:p>
            <w:pPr>
              <w:jc w:val="center"/>
              <w:spacing w:before="120" w:after="120" w:line="360" w:lineRule="auto"/>
              <w:rPr>
                <w:sz w:val="24"/>
              </w:rPr>
            </w:pPr>
            <w:r>
              <w:rPr>
                <w:sz w:val="24"/>
              </w:rPr>
              <w:t xml:space="preserve">招标文件的商务条款</w:t>
            </w:r>
            <w:r/>
          </w:p>
        </w:tc>
        <w:tc>
          <w:tcPr>
            <w:tcW w:w="2379" w:type="dxa"/>
            <w:vAlign w:val="center"/>
            <w:textDirection w:val="lrTb"/>
            <w:noWrap w:val="false"/>
          </w:tcPr>
          <w:p>
            <w:pPr>
              <w:jc w:val="center"/>
              <w:spacing w:before="120" w:after="120" w:line="360" w:lineRule="auto"/>
              <w:rPr>
                <w:sz w:val="24"/>
              </w:rPr>
            </w:pPr>
            <w:r>
              <w:rPr>
                <w:sz w:val="24"/>
              </w:rPr>
              <w:t xml:space="preserve">投标文件的商务条款</w:t>
            </w:r>
            <w:r/>
          </w:p>
        </w:tc>
        <w:tc>
          <w:tcPr>
            <w:tcW w:w="965" w:type="dxa"/>
            <w:vAlign w:val="center"/>
            <w:textDirection w:val="lrTb"/>
            <w:noWrap w:val="false"/>
          </w:tcPr>
          <w:p>
            <w:pPr>
              <w:jc w:val="center"/>
              <w:spacing w:before="120" w:after="120" w:line="360" w:lineRule="auto"/>
              <w:rPr>
                <w:sz w:val="24"/>
              </w:rPr>
            </w:pPr>
            <w:r>
              <w:rPr>
                <w:sz w:val="24"/>
              </w:rPr>
              <w:t xml:space="preserve">说明</w:t>
            </w:r>
            <w:r/>
          </w:p>
        </w:tc>
      </w:tr>
      <w:tr>
        <w:trPr>
          <w:jc w:val="center"/>
        </w:trPr>
        <w:tc>
          <w:tcPr>
            <w:tcW w:w="851" w:type="dxa"/>
            <w:vAlign w:val="center"/>
            <w:textDirection w:val="lrTb"/>
            <w:noWrap w:val="false"/>
          </w:tcPr>
          <w:p>
            <w:pPr>
              <w:jc w:val="center"/>
              <w:spacing w:before="120" w:after="120" w:line="360" w:lineRule="auto"/>
              <w:rPr>
                <w:sz w:val="24"/>
              </w:rPr>
            </w:pPr>
            <w:r>
              <w:rPr>
                <w:sz w:val="24"/>
              </w:rPr>
            </w:r>
            <w:r/>
          </w:p>
        </w:tc>
        <w:tc>
          <w:tcPr>
            <w:tcW w:w="1968" w:type="dxa"/>
            <w:vAlign w:val="center"/>
            <w:textDirection w:val="lrTb"/>
            <w:noWrap w:val="false"/>
          </w:tcPr>
          <w:p>
            <w:pPr>
              <w:jc w:val="center"/>
              <w:spacing w:before="120" w:after="120" w:line="360" w:lineRule="auto"/>
              <w:rPr>
                <w:sz w:val="24"/>
              </w:rPr>
            </w:pPr>
            <w:r>
              <w:rPr>
                <w:sz w:val="24"/>
              </w:rPr>
            </w:r>
            <w:r/>
          </w:p>
        </w:tc>
        <w:tc>
          <w:tcPr>
            <w:tcW w:w="2362" w:type="dxa"/>
            <w:vAlign w:val="center"/>
            <w:textDirection w:val="lrTb"/>
            <w:noWrap w:val="false"/>
          </w:tcPr>
          <w:p>
            <w:pPr>
              <w:jc w:val="center"/>
              <w:spacing w:before="120" w:after="120" w:line="360" w:lineRule="auto"/>
              <w:rPr>
                <w:sz w:val="24"/>
              </w:rPr>
            </w:pPr>
            <w:r>
              <w:rPr>
                <w:sz w:val="24"/>
              </w:rPr>
            </w:r>
            <w:r/>
          </w:p>
        </w:tc>
        <w:tc>
          <w:tcPr>
            <w:tcW w:w="2379" w:type="dxa"/>
            <w:vAlign w:val="center"/>
            <w:textDirection w:val="lrTb"/>
            <w:noWrap w:val="false"/>
          </w:tcPr>
          <w:p>
            <w:pPr>
              <w:jc w:val="center"/>
              <w:spacing w:before="120" w:after="120" w:line="360" w:lineRule="auto"/>
              <w:rPr>
                <w:sz w:val="24"/>
              </w:rPr>
            </w:pPr>
            <w:r>
              <w:rPr>
                <w:sz w:val="24"/>
              </w:rPr>
            </w:r>
            <w:r/>
          </w:p>
        </w:tc>
        <w:tc>
          <w:tcPr>
            <w:tcW w:w="965" w:type="dxa"/>
            <w:vAlign w:val="center"/>
            <w:textDirection w:val="lrTb"/>
            <w:noWrap w:val="false"/>
          </w:tcPr>
          <w:p>
            <w:pPr>
              <w:jc w:val="center"/>
              <w:spacing w:before="120" w:after="120" w:line="360" w:lineRule="auto"/>
              <w:rPr>
                <w:sz w:val="24"/>
              </w:rPr>
            </w:pPr>
            <w:r>
              <w:rPr>
                <w:sz w:val="24"/>
              </w:rPr>
            </w:r>
            <w:r/>
          </w:p>
        </w:tc>
      </w:tr>
      <w:tr>
        <w:trPr>
          <w:jc w:val="center"/>
        </w:trPr>
        <w:tc>
          <w:tcPr>
            <w:tcW w:w="851" w:type="dxa"/>
            <w:vAlign w:val="center"/>
            <w:textDirection w:val="lrTb"/>
            <w:noWrap w:val="false"/>
          </w:tcPr>
          <w:p>
            <w:pPr>
              <w:jc w:val="center"/>
              <w:spacing w:before="120" w:after="120" w:line="360" w:lineRule="auto"/>
              <w:rPr>
                <w:sz w:val="24"/>
              </w:rPr>
            </w:pPr>
            <w:r>
              <w:rPr>
                <w:sz w:val="24"/>
              </w:rPr>
            </w:r>
            <w:r/>
          </w:p>
        </w:tc>
        <w:tc>
          <w:tcPr>
            <w:tcW w:w="1968" w:type="dxa"/>
            <w:vAlign w:val="center"/>
            <w:textDirection w:val="lrTb"/>
            <w:noWrap w:val="false"/>
          </w:tcPr>
          <w:p>
            <w:pPr>
              <w:jc w:val="center"/>
              <w:spacing w:before="120" w:after="120" w:line="360" w:lineRule="auto"/>
              <w:rPr>
                <w:sz w:val="24"/>
              </w:rPr>
            </w:pPr>
            <w:r>
              <w:rPr>
                <w:sz w:val="24"/>
              </w:rPr>
            </w:r>
            <w:r/>
          </w:p>
        </w:tc>
        <w:tc>
          <w:tcPr>
            <w:tcW w:w="2362" w:type="dxa"/>
            <w:vAlign w:val="center"/>
            <w:textDirection w:val="lrTb"/>
            <w:noWrap w:val="false"/>
          </w:tcPr>
          <w:p>
            <w:pPr>
              <w:jc w:val="center"/>
              <w:spacing w:before="120" w:after="120" w:line="360" w:lineRule="auto"/>
              <w:rPr>
                <w:sz w:val="24"/>
              </w:rPr>
            </w:pPr>
            <w:r>
              <w:rPr>
                <w:sz w:val="24"/>
              </w:rPr>
            </w:r>
            <w:r/>
          </w:p>
        </w:tc>
        <w:tc>
          <w:tcPr>
            <w:tcW w:w="2379" w:type="dxa"/>
            <w:vAlign w:val="center"/>
            <w:textDirection w:val="lrTb"/>
            <w:noWrap w:val="false"/>
          </w:tcPr>
          <w:p>
            <w:pPr>
              <w:jc w:val="center"/>
              <w:spacing w:before="120" w:after="120" w:line="360" w:lineRule="auto"/>
              <w:rPr>
                <w:sz w:val="24"/>
              </w:rPr>
            </w:pPr>
            <w:r>
              <w:rPr>
                <w:sz w:val="24"/>
              </w:rPr>
            </w:r>
            <w:r/>
          </w:p>
        </w:tc>
        <w:tc>
          <w:tcPr>
            <w:tcW w:w="965" w:type="dxa"/>
            <w:vAlign w:val="center"/>
            <w:textDirection w:val="lrTb"/>
            <w:noWrap w:val="false"/>
          </w:tcPr>
          <w:p>
            <w:pPr>
              <w:jc w:val="center"/>
              <w:spacing w:before="120" w:after="120" w:line="360" w:lineRule="auto"/>
              <w:rPr>
                <w:sz w:val="24"/>
              </w:rPr>
            </w:pPr>
            <w:r>
              <w:rPr>
                <w:sz w:val="24"/>
              </w:rPr>
            </w:r>
            <w:r/>
          </w:p>
        </w:tc>
      </w:tr>
      <w:tr>
        <w:trPr>
          <w:jc w:val="center"/>
        </w:trPr>
        <w:tc>
          <w:tcPr>
            <w:tcW w:w="851" w:type="dxa"/>
            <w:vAlign w:val="center"/>
            <w:textDirection w:val="lrTb"/>
            <w:noWrap w:val="false"/>
          </w:tcPr>
          <w:p>
            <w:pPr>
              <w:jc w:val="center"/>
              <w:spacing w:before="120" w:after="120" w:line="360" w:lineRule="auto"/>
              <w:rPr>
                <w:sz w:val="24"/>
              </w:rPr>
            </w:pPr>
            <w:r>
              <w:rPr>
                <w:sz w:val="24"/>
              </w:rPr>
            </w:r>
            <w:r/>
          </w:p>
        </w:tc>
        <w:tc>
          <w:tcPr>
            <w:tcW w:w="1968" w:type="dxa"/>
            <w:vAlign w:val="center"/>
            <w:textDirection w:val="lrTb"/>
            <w:noWrap w:val="false"/>
          </w:tcPr>
          <w:p>
            <w:pPr>
              <w:jc w:val="center"/>
              <w:spacing w:before="120" w:after="120" w:line="360" w:lineRule="auto"/>
              <w:rPr>
                <w:sz w:val="24"/>
              </w:rPr>
            </w:pPr>
            <w:r>
              <w:rPr>
                <w:sz w:val="24"/>
              </w:rPr>
            </w:r>
            <w:r/>
          </w:p>
        </w:tc>
        <w:tc>
          <w:tcPr>
            <w:tcW w:w="2362" w:type="dxa"/>
            <w:vAlign w:val="center"/>
            <w:textDirection w:val="lrTb"/>
            <w:noWrap w:val="false"/>
          </w:tcPr>
          <w:p>
            <w:pPr>
              <w:jc w:val="center"/>
              <w:spacing w:before="120" w:after="120" w:line="360" w:lineRule="auto"/>
              <w:rPr>
                <w:sz w:val="24"/>
              </w:rPr>
            </w:pPr>
            <w:r>
              <w:rPr>
                <w:sz w:val="24"/>
              </w:rPr>
            </w:r>
            <w:r/>
          </w:p>
        </w:tc>
        <w:tc>
          <w:tcPr>
            <w:tcW w:w="2379" w:type="dxa"/>
            <w:vAlign w:val="center"/>
            <w:textDirection w:val="lrTb"/>
            <w:noWrap w:val="false"/>
          </w:tcPr>
          <w:p>
            <w:pPr>
              <w:jc w:val="center"/>
              <w:spacing w:before="120" w:after="120" w:line="360" w:lineRule="auto"/>
              <w:rPr>
                <w:sz w:val="24"/>
              </w:rPr>
            </w:pPr>
            <w:r>
              <w:rPr>
                <w:sz w:val="24"/>
              </w:rPr>
            </w:r>
            <w:r/>
          </w:p>
        </w:tc>
        <w:tc>
          <w:tcPr>
            <w:tcW w:w="965" w:type="dxa"/>
            <w:vAlign w:val="center"/>
            <w:textDirection w:val="lrTb"/>
            <w:noWrap w:val="false"/>
          </w:tcPr>
          <w:p>
            <w:pPr>
              <w:jc w:val="center"/>
              <w:spacing w:before="120" w:after="120" w:line="360" w:lineRule="auto"/>
              <w:rPr>
                <w:sz w:val="24"/>
              </w:rPr>
            </w:pPr>
            <w:r>
              <w:rPr>
                <w:sz w:val="24"/>
              </w:rPr>
            </w:r>
            <w:r/>
          </w:p>
        </w:tc>
      </w:tr>
      <w:tr>
        <w:trPr>
          <w:jc w:val="center"/>
        </w:trPr>
        <w:tc>
          <w:tcPr>
            <w:tcW w:w="851" w:type="dxa"/>
            <w:vAlign w:val="center"/>
            <w:textDirection w:val="lrTb"/>
            <w:noWrap w:val="false"/>
          </w:tcPr>
          <w:p>
            <w:pPr>
              <w:jc w:val="center"/>
              <w:spacing w:before="120" w:after="120" w:line="360" w:lineRule="auto"/>
              <w:rPr>
                <w:sz w:val="24"/>
              </w:rPr>
            </w:pPr>
            <w:r>
              <w:rPr>
                <w:sz w:val="24"/>
              </w:rPr>
            </w:r>
            <w:r/>
          </w:p>
        </w:tc>
        <w:tc>
          <w:tcPr>
            <w:tcW w:w="1968" w:type="dxa"/>
            <w:vAlign w:val="center"/>
            <w:textDirection w:val="lrTb"/>
            <w:noWrap w:val="false"/>
          </w:tcPr>
          <w:p>
            <w:pPr>
              <w:jc w:val="center"/>
              <w:spacing w:before="120" w:after="120" w:line="360" w:lineRule="auto"/>
              <w:rPr>
                <w:sz w:val="24"/>
              </w:rPr>
            </w:pPr>
            <w:r>
              <w:rPr>
                <w:sz w:val="24"/>
              </w:rPr>
            </w:r>
            <w:r/>
          </w:p>
        </w:tc>
        <w:tc>
          <w:tcPr>
            <w:tcW w:w="2362" w:type="dxa"/>
            <w:vAlign w:val="center"/>
            <w:textDirection w:val="lrTb"/>
            <w:noWrap w:val="false"/>
          </w:tcPr>
          <w:p>
            <w:pPr>
              <w:jc w:val="center"/>
              <w:spacing w:before="120" w:after="120" w:line="360" w:lineRule="auto"/>
              <w:rPr>
                <w:sz w:val="24"/>
              </w:rPr>
            </w:pPr>
            <w:r>
              <w:rPr>
                <w:sz w:val="24"/>
              </w:rPr>
            </w:r>
            <w:r/>
          </w:p>
        </w:tc>
        <w:tc>
          <w:tcPr>
            <w:tcW w:w="2379" w:type="dxa"/>
            <w:vAlign w:val="center"/>
            <w:textDirection w:val="lrTb"/>
            <w:noWrap w:val="false"/>
          </w:tcPr>
          <w:p>
            <w:pPr>
              <w:jc w:val="center"/>
              <w:spacing w:before="120" w:after="120" w:line="360" w:lineRule="auto"/>
              <w:rPr>
                <w:sz w:val="24"/>
              </w:rPr>
            </w:pPr>
            <w:r>
              <w:rPr>
                <w:sz w:val="24"/>
              </w:rPr>
            </w:r>
            <w:r/>
          </w:p>
        </w:tc>
        <w:tc>
          <w:tcPr>
            <w:tcW w:w="965" w:type="dxa"/>
            <w:vAlign w:val="center"/>
            <w:textDirection w:val="lrTb"/>
            <w:noWrap w:val="false"/>
          </w:tcPr>
          <w:p>
            <w:pPr>
              <w:jc w:val="center"/>
              <w:spacing w:before="120" w:after="120" w:line="360" w:lineRule="auto"/>
              <w:rPr>
                <w:sz w:val="24"/>
              </w:rPr>
            </w:pPr>
            <w:r>
              <w:rPr>
                <w:sz w:val="24"/>
              </w:rPr>
            </w:r>
            <w:r/>
          </w:p>
        </w:tc>
      </w:tr>
      <w:tr>
        <w:trPr>
          <w:jc w:val="center"/>
        </w:trPr>
        <w:tc>
          <w:tcPr>
            <w:tcW w:w="851" w:type="dxa"/>
            <w:vAlign w:val="center"/>
            <w:textDirection w:val="lrTb"/>
            <w:noWrap w:val="false"/>
          </w:tcPr>
          <w:p>
            <w:pPr>
              <w:jc w:val="center"/>
              <w:spacing w:before="120" w:after="120" w:line="360" w:lineRule="auto"/>
              <w:rPr>
                <w:sz w:val="24"/>
              </w:rPr>
            </w:pPr>
            <w:r>
              <w:rPr>
                <w:sz w:val="24"/>
              </w:rPr>
            </w:r>
            <w:r/>
          </w:p>
        </w:tc>
        <w:tc>
          <w:tcPr>
            <w:tcW w:w="1968" w:type="dxa"/>
            <w:vAlign w:val="center"/>
            <w:textDirection w:val="lrTb"/>
            <w:noWrap w:val="false"/>
          </w:tcPr>
          <w:p>
            <w:pPr>
              <w:jc w:val="center"/>
              <w:spacing w:before="120" w:after="120" w:line="360" w:lineRule="auto"/>
              <w:rPr>
                <w:sz w:val="24"/>
              </w:rPr>
            </w:pPr>
            <w:r>
              <w:rPr>
                <w:sz w:val="24"/>
              </w:rPr>
            </w:r>
            <w:r/>
          </w:p>
        </w:tc>
        <w:tc>
          <w:tcPr>
            <w:tcW w:w="2362" w:type="dxa"/>
            <w:vAlign w:val="center"/>
            <w:textDirection w:val="lrTb"/>
            <w:noWrap w:val="false"/>
          </w:tcPr>
          <w:p>
            <w:pPr>
              <w:jc w:val="center"/>
              <w:spacing w:before="120" w:after="120" w:line="360" w:lineRule="auto"/>
              <w:rPr>
                <w:sz w:val="24"/>
              </w:rPr>
            </w:pPr>
            <w:r>
              <w:rPr>
                <w:sz w:val="24"/>
              </w:rPr>
            </w:r>
            <w:r/>
          </w:p>
        </w:tc>
        <w:tc>
          <w:tcPr>
            <w:tcW w:w="2379" w:type="dxa"/>
            <w:vAlign w:val="center"/>
            <w:textDirection w:val="lrTb"/>
            <w:noWrap w:val="false"/>
          </w:tcPr>
          <w:p>
            <w:pPr>
              <w:jc w:val="center"/>
              <w:spacing w:before="120" w:after="120" w:line="360" w:lineRule="auto"/>
              <w:rPr>
                <w:sz w:val="24"/>
              </w:rPr>
            </w:pPr>
            <w:r>
              <w:rPr>
                <w:sz w:val="24"/>
              </w:rPr>
            </w:r>
            <w:r/>
          </w:p>
        </w:tc>
        <w:tc>
          <w:tcPr>
            <w:tcW w:w="965" w:type="dxa"/>
            <w:vAlign w:val="center"/>
            <w:textDirection w:val="lrTb"/>
            <w:noWrap w:val="false"/>
          </w:tcPr>
          <w:p>
            <w:pPr>
              <w:jc w:val="center"/>
              <w:spacing w:before="120" w:after="120" w:line="360" w:lineRule="auto"/>
              <w:rPr>
                <w:sz w:val="24"/>
              </w:rPr>
            </w:pPr>
            <w:r>
              <w:rPr>
                <w:sz w:val="24"/>
              </w:rPr>
            </w:r>
            <w:r/>
          </w:p>
        </w:tc>
      </w:tr>
      <w:tr>
        <w:trPr>
          <w:jc w:val="center"/>
        </w:trPr>
        <w:tc>
          <w:tcPr>
            <w:tcW w:w="851" w:type="dxa"/>
            <w:vAlign w:val="center"/>
            <w:textDirection w:val="lrTb"/>
            <w:noWrap w:val="false"/>
          </w:tcPr>
          <w:p>
            <w:pPr>
              <w:jc w:val="center"/>
              <w:spacing w:before="120" w:after="120" w:line="360" w:lineRule="auto"/>
              <w:rPr>
                <w:sz w:val="24"/>
              </w:rPr>
            </w:pPr>
            <w:r>
              <w:rPr>
                <w:sz w:val="24"/>
              </w:rPr>
            </w:r>
            <w:r/>
          </w:p>
        </w:tc>
        <w:tc>
          <w:tcPr>
            <w:tcW w:w="1968" w:type="dxa"/>
            <w:vAlign w:val="center"/>
            <w:textDirection w:val="lrTb"/>
            <w:noWrap w:val="false"/>
          </w:tcPr>
          <w:p>
            <w:pPr>
              <w:jc w:val="center"/>
              <w:spacing w:before="120" w:after="120" w:line="360" w:lineRule="auto"/>
              <w:rPr>
                <w:sz w:val="24"/>
              </w:rPr>
            </w:pPr>
            <w:r>
              <w:rPr>
                <w:sz w:val="24"/>
              </w:rPr>
            </w:r>
            <w:r/>
          </w:p>
        </w:tc>
        <w:tc>
          <w:tcPr>
            <w:tcW w:w="2362" w:type="dxa"/>
            <w:vAlign w:val="center"/>
            <w:textDirection w:val="lrTb"/>
            <w:noWrap w:val="false"/>
          </w:tcPr>
          <w:p>
            <w:pPr>
              <w:jc w:val="center"/>
              <w:spacing w:before="120" w:after="120" w:line="360" w:lineRule="auto"/>
              <w:rPr>
                <w:sz w:val="24"/>
              </w:rPr>
            </w:pPr>
            <w:r>
              <w:rPr>
                <w:sz w:val="24"/>
              </w:rPr>
            </w:r>
            <w:r/>
          </w:p>
        </w:tc>
        <w:tc>
          <w:tcPr>
            <w:tcW w:w="2379" w:type="dxa"/>
            <w:vAlign w:val="center"/>
            <w:textDirection w:val="lrTb"/>
            <w:noWrap w:val="false"/>
          </w:tcPr>
          <w:p>
            <w:pPr>
              <w:jc w:val="center"/>
              <w:spacing w:before="120" w:after="120" w:line="360" w:lineRule="auto"/>
              <w:rPr>
                <w:sz w:val="24"/>
              </w:rPr>
            </w:pPr>
            <w:r>
              <w:rPr>
                <w:sz w:val="24"/>
              </w:rPr>
            </w:r>
            <w:r/>
          </w:p>
        </w:tc>
        <w:tc>
          <w:tcPr>
            <w:tcW w:w="965" w:type="dxa"/>
            <w:vAlign w:val="center"/>
            <w:textDirection w:val="lrTb"/>
            <w:noWrap w:val="false"/>
          </w:tcPr>
          <w:p>
            <w:pPr>
              <w:jc w:val="center"/>
              <w:spacing w:before="120" w:after="120" w:line="360" w:lineRule="auto"/>
              <w:rPr>
                <w:sz w:val="24"/>
              </w:rPr>
            </w:pPr>
            <w:r>
              <w:rPr>
                <w:sz w:val="24"/>
              </w:rPr>
            </w:r>
            <w:r/>
          </w:p>
        </w:tc>
      </w:tr>
      <w:tr>
        <w:trPr>
          <w:jc w:val="center"/>
        </w:trPr>
        <w:tc>
          <w:tcPr>
            <w:tcW w:w="851" w:type="dxa"/>
            <w:vAlign w:val="center"/>
            <w:textDirection w:val="lrTb"/>
            <w:noWrap w:val="false"/>
          </w:tcPr>
          <w:p>
            <w:pPr>
              <w:jc w:val="center"/>
              <w:spacing w:before="120" w:after="120" w:line="360" w:lineRule="auto"/>
              <w:rPr>
                <w:sz w:val="24"/>
              </w:rPr>
            </w:pPr>
            <w:r>
              <w:rPr>
                <w:sz w:val="24"/>
              </w:rPr>
            </w:r>
            <w:r/>
          </w:p>
        </w:tc>
        <w:tc>
          <w:tcPr>
            <w:tcW w:w="1968" w:type="dxa"/>
            <w:vAlign w:val="center"/>
            <w:textDirection w:val="lrTb"/>
            <w:noWrap w:val="false"/>
          </w:tcPr>
          <w:p>
            <w:pPr>
              <w:jc w:val="center"/>
              <w:spacing w:before="120" w:after="120" w:line="360" w:lineRule="auto"/>
              <w:rPr>
                <w:sz w:val="24"/>
              </w:rPr>
            </w:pPr>
            <w:r>
              <w:rPr>
                <w:sz w:val="24"/>
              </w:rPr>
            </w:r>
            <w:r/>
          </w:p>
        </w:tc>
        <w:tc>
          <w:tcPr>
            <w:tcW w:w="2362" w:type="dxa"/>
            <w:vAlign w:val="center"/>
            <w:textDirection w:val="lrTb"/>
            <w:noWrap w:val="false"/>
          </w:tcPr>
          <w:p>
            <w:pPr>
              <w:jc w:val="center"/>
              <w:spacing w:before="120" w:after="120" w:line="360" w:lineRule="auto"/>
              <w:rPr>
                <w:sz w:val="24"/>
              </w:rPr>
            </w:pPr>
            <w:r>
              <w:rPr>
                <w:sz w:val="24"/>
              </w:rPr>
            </w:r>
            <w:r/>
          </w:p>
        </w:tc>
        <w:tc>
          <w:tcPr>
            <w:tcW w:w="2379" w:type="dxa"/>
            <w:vAlign w:val="center"/>
            <w:textDirection w:val="lrTb"/>
            <w:noWrap w:val="false"/>
          </w:tcPr>
          <w:p>
            <w:pPr>
              <w:jc w:val="center"/>
              <w:spacing w:before="120" w:after="120" w:line="360" w:lineRule="auto"/>
              <w:rPr>
                <w:sz w:val="24"/>
              </w:rPr>
            </w:pPr>
            <w:r>
              <w:rPr>
                <w:sz w:val="24"/>
              </w:rPr>
            </w:r>
            <w:r/>
          </w:p>
        </w:tc>
        <w:tc>
          <w:tcPr>
            <w:tcW w:w="965" w:type="dxa"/>
            <w:vAlign w:val="center"/>
            <w:textDirection w:val="lrTb"/>
            <w:noWrap w:val="false"/>
          </w:tcPr>
          <w:p>
            <w:pPr>
              <w:jc w:val="center"/>
              <w:spacing w:before="120" w:after="120" w:line="360" w:lineRule="auto"/>
              <w:rPr>
                <w:sz w:val="24"/>
              </w:rPr>
            </w:pPr>
            <w:r>
              <w:rPr>
                <w:sz w:val="24"/>
              </w:rPr>
            </w:r>
            <w:r/>
          </w:p>
        </w:tc>
      </w:tr>
      <w:tr>
        <w:trPr>
          <w:jc w:val="center"/>
        </w:trPr>
        <w:tc>
          <w:tcPr>
            <w:tcW w:w="851" w:type="dxa"/>
            <w:vAlign w:val="center"/>
            <w:textDirection w:val="lrTb"/>
            <w:noWrap w:val="false"/>
          </w:tcPr>
          <w:p>
            <w:pPr>
              <w:jc w:val="center"/>
              <w:spacing w:before="120" w:after="120" w:line="360" w:lineRule="auto"/>
              <w:rPr>
                <w:sz w:val="24"/>
              </w:rPr>
            </w:pPr>
            <w:r>
              <w:rPr>
                <w:sz w:val="24"/>
              </w:rPr>
            </w:r>
            <w:r/>
          </w:p>
        </w:tc>
        <w:tc>
          <w:tcPr>
            <w:tcW w:w="1968" w:type="dxa"/>
            <w:vAlign w:val="center"/>
            <w:textDirection w:val="lrTb"/>
            <w:noWrap w:val="false"/>
          </w:tcPr>
          <w:p>
            <w:pPr>
              <w:jc w:val="center"/>
              <w:spacing w:before="120" w:after="120" w:line="360" w:lineRule="auto"/>
              <w:rPr>
                <w:sz w:val="24"/>
              </w:rPr>
            </w:pPr>
            <w:r>
              <w:rPr>
                <w:sz w:val="24"/>
              </w:rPr>
            </w:r>
            <w:r/>
          </w:p>
        </w:tc>
        <w:tc>
          <w:tcPr>
            <w:tcW w:w="2362" w:type="dxa"/>
            <w:vAlign w:val="center"/>
            <w:textDirection w:val="lrTb"/>
            <w:noWrap w:val="false"/>
          </w:tcPr>
          <w:p>
            <w:pPr>
              <w:jc w:val="center"/>
              <w:spacing w:before="120" w:after="120" w:line="360" w:lineRule="auto"/>
              <w:rPr>
                <w:sz w:val="24"/>
              </w:rPr>
            </w:pPr>
            <w:r>
              <w:rPr>
                <w:sz w:val="24"/>
              </w:rPr>
            </w:r>
            <w:r/>
          </w:p>
        </w:tc>
        <w:tc>
          <w:tcPr>
            <w:tcW w:w="2379" w:type="dxa"/>
            <w:vAlign w:val="center"/>
            <w:textDirection w:val="lrTb"/>
            <w:noWrap w:val="false"/>
          </w:tcPr>
          <w:p>
            <w:pPr>
              <w:jc w:val="center"/>
              <w:spacing w:before="120" w:after="120" w:line="360" w:lineRule="auto"/>
              <w:rPr>
                <w:sz w:val="24"/>
              </w:rPr>
            </w:pPr>
            <w:r>
              <w:rPr>
                <w:sz w:val="24"/>
              </w:rPr>
            </w:r>
            <w:r/>
          </w:p>
        </w:tc>
        <w:tc>
          <w:tcPr>
            <w:tcW w:w="965" w:type="dxa"/>
            <w:vAlign w:val="center"/>
            <w:textDirection w:val="lrTb"/>
            <w:noWrap w:val="false"/>
          </w:tcPr>
          <w:p>
            <w:pPr>
              <w:jc w:val="center"/>
              <w:spacing w:before="120" w:after="120" w:line="360" w:lineRule="auto"/>
              <w:rPr>
                <w:sz w:val="24"/>
              </w:rPr>
            </w:pPr>
            <w:r>
              <w:rPr>
                <w:sz w:val="24"/>
              </w:rPr>
            </w:r>
            <w:r/>
          </w:p>
        </w:tc>
      </w:tr>
    </w:tbl>
    <w:p>
      <w:pPr>
        <w:ind w:firstLine="480"/>
        <w:spacing w:line="360" w:lineRule="auto"/>
        <w:rPr>
          <w:sz w:val="24"/>
        </w:rPr>
      </w:pPr>
      <w:r>
        <w:rPr>
          <w:sz w:val="24"/>
        </w:rPr>
        <w:t xml:space="preserve">注：</w:t>
      </w:r>
      <w:r>
        <w:rPr>
          <w:rFonts w:hint="eastAsia"/>
          <w:sz w:val="24"/>
        </w:rPr>
        <w:t xml:space="preserve">响应单位</w:t>
      </w:r>
      <w:r>
        <w:rPr>
          <w:sz w:val="24"/>
        </w:rPr>
        <w:t xml:space="preserve">的投标文件（除服务要求部分）与招标文件规定的有偏离的，应在此表中说明。未在上表中说明的，如在响应文件其他内容中已有文字说明的，则以已有文字说明为准，否则，将被认为完全响应招标文件的规定。但该表不作为</w:t>
      </w:r>
      <w:r>
        <w:rPr>
          <w:rFonts w:hint="eastAsia"/>
          <w:sz w:val="24"/>
        </w:rPr>
        <w:t xml:space="preserve">响应单位</w:t>
      </w:r>
      <w:r>
        <w:rPr>
          <w:sz w:val="24"/>
        </w:rPr>
        <w:t xml:space="preserve">对所投标的物关于商务条款等详细描述和说明的替代。</w:t>
      </w:r>
      <w:r/>
    </w:p>
    <w:p>
      <w:pPr>
        <w:ind w:firstLine="480"/>
        <w:spacing w:line="360" w:lineRule="auto"/>
        <w:rPr>
          <w:sz w:val="24"/>
        </w:rPr>
      </w:pPr>
      <w:r>
        <w:rPr>
          <w:sz w:val="24"/>
        </w:rPr>
      </w:r>
      <w:r/>
    </w:p>
    <w:p>
      <w:pPr>
        <w:ind w:firstLine="480"/>
        <w:spacing w:line="360" w:lineRule="auto"/>
        <w:rPr>
          <w:sz w:val="24"/>
        </w:rPr>
      </w:pPr>
      <w:r>
        <w:rPr>
          <w:sz w:val="24"/>
        </w:rPr>
      </w:r>
      <w:r/>
    </w:p>
    <w:p>
      <w:pPr>
        <w:spacing w:line="360" w:lineRule="auto"/>
        <w:rPr>
          <w:sz w:val="24"/>
        </w:rPr>
      </w:pPr>
      <w:r>
        <w:rPr>
          <w:rFonts w:hint="eastAsia"/>
          <w:sz w:val="24"/>
        </w:rPr>
        <w:t xml:space="preserve">    响应单位：（签章）</w:t>
      </w:r>
      <w:r/>
    </w:p>
    <w:p>
      <w:pPr>
        <w:ind w:firstLine="480"/>
        <w:spacing w:line="360" w:lineRule="auto"/>
        <w:rPr>
          <w:sz w:val="24"/>
        </w:rPr>
      </w:pPr>
      <w:r>
        <w:rPr>
          <w:sz w:val="24"/>
        </w:rPr>
        <w:t xml:space="preserve">法定代表人或授权代理人：（签字或盖章）</w:t>
      </w:r>
      <w:r/>
    </w:p>
    <w:p>
      <w:pPr>
        <w:ind w:firstLine="470"/>
        <w:spacing w:line="360" w:lineRule="auto"/>
        <w:rPr>
          <w:b/>
          <w:sz w:val="24"/>
        </w:rPr>
      </w:pPr>
      <w:r>
        <w:rPr>
          <w:sz w:val="24"/>
        </w:rPr>
        <w:t xml:space="preserve">日期：      年    月    日</w:t>
      </w:r>
      <w:r/>
    </w:p>
    <w:p>
      <w:pPr>
        <w:pStyle w:val="1123"/>
        <w:spacing w:before="75" w:beforeAutospacing="0" w:after="75" w:afterAutospacing="0" w:line="495" w:lineRule="atLeast"/>
        <w:widowControl/>
        <w:rPr>
          <w:rFonts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rPr>
      </w:r>
      <w:r/>
    </w:p>
    <w:p>
      <w:pPr>
        <w:widowControl/>
        <w:rPr>
          <w:b/>
          <w:sz w:val="24"/>
        </w:rPr>
      </w:pPr>
      <w:r>
        <w:rPr>
          <w:b/>
          <w:sz w:val="24"/>
        </w:rPr>
        <w:t xml:space="preserve">附件</w:t>
      </w:r>
      <w:r>
        <w:rPr>
          <w:rFonts w:hint="eastAsia"/>
          <w:b/>
          <w:sz w:val="24"/>
        </w:rPr>
        <w:t xml:space="preserve">10：</w:t>
      </w:r>
      <w:r/>
    </w:p>
    <w:p>
      <w:pPr>
        <w:jc w:val="center"/>
        <w:spacing w:line="360" w:lineRule="auto"/>
        <w:rPr>
          <w:b/>
          <w:bCs/>
          <w:color w:val="000000"/>
          <w:spacing w:val="20"/>
          <w:sz w:val="24"/>
        </w:rPr>
      </w:pPr>
      <w:r>
        <w:rPr>
          <w:b/>
          <w:bCs/>
          <w:color w:val="000000"/>
          <w:spacing w:val="20"/>
          <w:sz w:val="24"/>
        </w:rPr>
        <w:t xml:space="preserve">项目组人员名单及简历</w:t>
      </w:r>
      <w:r/>
    </w:p>
    <w:p>
      <w:pPr>
        <w:jc w:val="center"/>
        <w:spacing w:line="360" w:lineRule="auto"/>
        <w:rPr>
          <w:b/>
          <w:bCs/>
          <w:color w:val="000000"/>
          <w:spacing w:val="20"/>
          <w:sz w:val="24"/>
        </w:rPr>
      </w:pPr>
      <w:r>
        <w:rPr>
          <w:b/>
          <w:bCs/>
          <w:color w:val="000000"/>
          <w:spacing w:val="20"/>
          <w:sz w:val="24"/>
        </w:rPr>
      </w:r>
      <w:r/>
    </w:p>
    <w:tbl>
      <w:tblPr>
        <w:tblStyle w:val="917"/>
        <w:tblW w:w="8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825"/>
      </w:tblGrid>
      <w:tr>
        <w:trPr>
          <w:jc w:val="center"/>
          <w:trHeight w:val="760"/>
        </w:trPr>
        <w:tc>
          <w:tcPr>
            <w:tcW w:w="645" w:type="dxa"/>
            <w:vAlign w:val="center"/>
            <w:textDirection w:val="lrTb"/>
            <w:noWrap w:val="false"/>
          </w:tcPr>
          <w:p>
            <w:pPr>
              <w:jc w:val="center"/>
              <w:spacing w:line="360" w:lineRule="auto"/>
              <w:rPr>
                <w:color w:val="000000"/>
                <w:sz w:val="24"/>
              </w:rPr>
            </w:pPr>
            <w:r>
              <w:rPr>
                <w:color w:val="000000"/>
                <w:sz w:val="24"/>
              </w:rPr>
              <w:t xml:space="preserve">序号</w:t>
            </w:r>
            <w:r/>
          </w:p>
        </w:tc>
        <w:tc>
          <w:tcPr>
            <w:tcW w:w="1839" w:type="dxa"/>
            <w:vAlign w:val="center"/>
            <w:textDirection w:val="lrTb"/>
            <w:noWrap w:val="false"/>
          </w:tcPr>
          <w:p>
            <w:pPr>
              <w:jc w:val="center"/>
              <w:spacing w:line="360" w:lineRule="auto"/>
              <w:rPr>
                <w:color w:val="000000"/>
                <w:sz w:val="24"/>
              </w:rPr>
            </w:pPr>
            <w:r>
              <w:rPr>
                <w:color w:val="000000"/>
                <w:sz w:val="24"/>
              </w:rPr>
              <w:t xml:space="preserve">岗位</w:t>
            </w:r>
            <w:r/>
          </w:p>
        </w:tc>
        <w:tc>
          <w:tcPr>
            <w:tcW w:w="1332" w:type="dxa"/>
            <w:vAlign w:val="center"/>
            <w:textDirection w:val="lrTb"/>
            <w:noWrap w:val="false"/>
          </w:tcPr>
          <w:p>
            <w:pPr>
              <w:jc w:val="center"/>
              <w:spacing w:line="360" w:lineRule="auto"/>
              <w:rPr>
                <w:color w:val="000000"/>
                <w:sz w:val="24"/>
              </w:rPr>
            </w:pPr>
            <w:r>
              <w:rPr>
                <w:color w:val="000000"/>
                <w:sz w:val="24"/>
              </w:rPr>
              <w:t xml:space="preserve">姓名</w:t>
            </w:r>
            <w:r/>
          </w:p>
        </w:tc>
        <w:tc>
          <w:tcPr>
            <w:tcW w:w="980" w:type="dxa"/>
            <w:vAlign w:val="center"/>
            <w:textDirection w:val="lrTb"/>
            <w:noWrap w:val="false"/>
          </w:tcPr>
          <w:p>
            <w:pPr>
              <w:jc w:val="center"/>
              <w:spacing w:line="360" w:lineRule="auto"/>
              <w:rPr>
                <w:color w:val="000000"/>
                <w:sz w:val="24"/>
              </w:rPr>
            </w:pPr>
            <w:r>
              <w:rPr>
                <w:color w:val="000000"/>
                <w:sz w:val="24"/>
              </w:rPr>
              <w:t xml:space="preserve">性别</w:t>
            </w:r>
            <w:r/>
          </w:p>
        </w:tc>
        <w:tc>
          <w:tcPr>
            <w:tcW w:w="939" w:type="dxa"/>
            <w:vAlign w:val="center"/>
            <w:textDirection w:val="lrTb"/>
            <w:noWrap w:val="false"/>
          </w:tcPr>
          <w:p>
            <w:pPr>
              <w:jc w:val="center"/>
              <w:spacing w:line="360" w:lineRule="auto"/>
              <w:rPr>
                <w:color w:val="000000"/>
                <w:sz w:val="24"/>
              </w:rPr>
            </w:pPr>
            <w:r>
              <w:rPr>
                <w:color w:val="000000"/>
                <w:sz w:val="24"/>
              </w:rPr>
              <w:t xml:space="preserve">学历</w:t>
            </w:r>
            <w:r/>
          </w:p>
        </w:tc>
        <w:tc>
          <w:tcPr>
            <w:tcW w:w="997" w:type="dxa"/>
            <w:vAlign w:val="center"/>
            <w:textDirection w:val="lrTb"/>
            <w:noWrap w:val="false"/>
          </w:tcPr>
          <w:p>
            <w:pPr>
              <w:jc w:val="center"/>
              <w:spacing w:line="360" w:lineRule="auto"/>
              <w:rPr>
                <w:color w:val="000000"/>
                <w:sz w:val="24"/>
              </w:rPr>
            </w:pPr>
            <w:r>
              <w:rPr>
                <w:color w:val="000000"/>
                <w:sz w:val="24"/>
              </w:rPr>
              <w:t xml:space="preserve">职称</w:t>
            </w:r>
            <w:r/>
          </w:p>
        </w:tc>
        <w:tc>
          <w:tcPr>
            <w:tcW w:w="824" w:type="dxa"/>
            <w:vAlign w:val="center"/>
            <w:textDirection w:val="lrTb"/>
            <w:noWrap w:val="false"/>
          </w:tcPr>
          <w:p>
            <w:pPr>
              <w:jc w:val="center"/>
              <w:spacing w:line="360" w:lineRule="auto"/>
              <w:rPr>
                <w:color w:val="000000"/>
                <w:sz w:val="24"/>
              </w:rPr>
            </w:pPr>
            <w:r>
              <w:rPr>
                <w:color w:val="000000"/>
                <w:sz w:val="24"/>
              </w:rPr>
              <w:t xml:space="preserve">个人业绩</w:t>
            </w:r>
            <w:r/>
          </w:p>
        </w:tc>
        <w:tc>
          <w:tcPr>
            <w:tcW w:w="825" w:type="dxa"/>
            <w:vAlign w:val="center"/>
            <w:textDirection w:val="lrTb"/>
            <w:noWrap w:val="false"/>
          </w:tcPr>
          <w:p>
            <w:pPr>
              <w:jc w:val="center"/>
              <w:spacing w:line="360" w:lineRule="auto"/>
              <w:rPr>
                <w:color w:val="000000"/>
                <w:sz w:val="24"/>
              </w:rPr>
            </w:pPr>
            <w:r>
              <w:rPr>
                <w:color w:val="000000"/>
                <w:sz w:val="24"/>
              </w:rPr>
              <w:t xml:space="preserve">备注</w:t>
            </w:r>
            <w:r/>
          </w:p>
        </w:tc>
      </w:tr>
      <w:tr>
        <w:trPr>
          <w:jc w:val="center"/>
          <w:trHeight w:val="354"/>
        </w:trPr>
        <w:tc>
          <w:tcPr>
            <w:tcW w:w="645" w:type="dxa"/>
            <w:vAlign w:val="center"/>
            <w:textDirection w:val="lrTb"/>
            <w:noWrap w:val="false"/>
          </w:tcPr>
          <w:p>
            <w:pPr>
              <w:jc w:val="center"/>
              <w:spacing w:line="360" w:lineRule="auto"/>
              <w:rPr>
                <w:color w:val="000000"/>
                <w:sz w:val="24"/>
              </w:rPr>
            </w:pPr>
            <w:r>
              <w:rPr>
                <w:color w:val="000000"/>
                <w:sz w:val="24"/>
              </w:rPr>
              <w:t xml:space="preserve">1</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jc w:val="center"/>
              <w:spacing w:line="360" w:lineRule="auto"/>
              <w:rPr>
                <w:color w:val="000000"/>
                <w:sz w:val="24"/>
              </w:rPr>
            </w:pPr>
            <w:r>
              <w:rPr>
                <w:color w:val="000000"/>
                <w:sz w:val="24"/>
              </w:rPr>
            </w:r>
            <w:r/>
          </w:p>
        </w:tc>
        <w:tc>
          <w:tcPr>
            <w:tcW w:w="980" w:type="dxa"/>
            <w:vAlign w:val="center"/>
            <w:textDirection w:val="lrTb"/>
            <w:noWrap w:val="false"/>
          </w:tcPr>
          <w:p>
            <w:pPr>
              <w:jc w:val="center"/>
              <w:spacing w:line="360" w:lineRule="auto"/>
              <w:rPr>
                <w:color w:val="000000"/>
                <w:sz w:val="24"/>
              </w:rPr>
            </w:pPr>
            <w:r>
              <w:rPr>
                <w:color w:val="000000"/>
                <w:sz w:val="24"/>
              </w:rPr>
            </w:r>
            <w:r/>
          </w:p>
        </w:tc>
        <w:tc>
          <w:tcPr>
            <w:tcW w:w="939" w:type="dxa"/>
            <w:vAlign w:val="center"/>
            <w:textDirection w:val="lrTb"/>
            <w:noWrap w:val="false"/>
          </w:tcPr>
          <w:p>
            <w:pPr>
              <w:jc w:val="center"/>
              <w:spacing w:line="360" w:lineRule="auto"/>
              <w:rPr>
                <w:color w:val="000000"/>
                <w:sz w:val="24"/>
              </w:rPr>
            </w:pPr>
            <w:r>
              <w:rPr>
                <w:color w:val="000000"/>
                <w:sz w:val="24"/>
              </w:rPr>
            </w:r>
            <w:r/>
          </w:p>
        </w:tc>
        <w:tc>
          <w:tcPr>
            <w:tcW w:w="997" w:type="dxa"/>
            <w:vAlign w:val="center"/>
            <w:textDirection w:val="lrTb"/>
            <w:noWrap w:val="false"/>
          </w:tcPr>
          <w:p>
            <w:pPr>
              <w:jc w:val="cente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t xml:space="preserve">★</w:t>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2</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jc w:val="center"/>
              <w:spacing w:line="360" w:lineRule="auto"/>
              <w:rPr>
                <w:color w:val="000000"/>
                <w:sz w:val="24"/>
              </w:rPr>
            </w:pPr>
            <w:r>
              <w:rPr>
                <w:color w:val="000000"/>
                <w:sz w:val="24"/>
              </w:rPr>
            </w:r>
            <w:r/>
          </w:p>
        </w:tc>
        <w:tc>
          <w:tcPr>
            <w:tcW w:w="980" w:type="dxa"/>
            <w:vAlign w:val="center"/>
            <w:textDirection w:val="lrTb"/>
            <w:noWrap w:val="false"/>
          </w:tcPr>
          <w:p>
            <w:pPr>
              <w:jc w:val="center"/>
              <w:spacing w:line="360" w:lineRule="auto"/>
              <w:rPr>
                <w:color w:val="000000"/>
                <w:sz w:val="24"/>
              </w:rPr>
            </w:pPr>
            <w:r>
              <w:rPr>
                <w:color w:val="000000"/>
                <w:sz w:val="24"/>
              </w:rPr>
            </w:r>
            <w:r/>
          </w:p>
        </w:tc>
        <w:tc>
          <w:tcPr>
            <w:tcW w:w="939" w:type="dxa"/>
            <w:vAlign w:val="center"/>
            <w:textDirection w:val="lrTb"/>
            <w:noWrap w:val="false"/>
          </w:tcPr>
          <w:p>
            <w:pPr>
              <w:jc w:val="center"/>
              <w:spacing w:line="360" w:lineRule="auto"/>
              <w:rPr>
                <w:color w:val="000000"/>
                <w:sz w:val="24"/>
              </w:rPr>
            </w:pPr>
            <w:r>
              <w:rPr>
                <w:color w:val="000000"/>
                <w:sz w:val="24"/>
              </w:rPr>
            </w:r>
            <w:r/>
          </w:p>
        </w:tc>
        <w:tc>
          <w:tcPr>
            <w:tcW w:w="997" w:type="dxa"/>
            <w:vAlign w:val="center"/>
            <w:textDirection w:val="lrTb"/>
            <w:noWrap w:val="false"/>
          </w:tcPr>
          <w:p>
            <w:pPr>
              <w:jc w:val="cente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3</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4</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5</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6</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7</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8</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9</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10</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gridSpan w:val="8"/>
            <w:tcW w:w="8381" w:type="dxa"/>
            <w:vAlign w:val="center"/>
            <w:textDirection w:val="lrTb"/>
            <w:noWrap w:val="false"/>
          </w:tcPr>
          <w:p>
            <w:pPr>
              <w:spacing w:line="360" w:lineRule="auto"/>
              <w:rPr>
                <w:color w:val="000000"/>
                <w:sz w:val="24"/>
              </w:rPr>
            </w:pPr>
            <w:r>
              <w:rPr>
                <w:color w:val="000000"/>
                <w:sz w:val="24"/>
              </w:rPr>
              <w:t xml:space="preserve">合计：   人数</w:t>
            </w:r>
            <w:r/>
          </w:p>
        </w:tc>
      </w:tr>
    </w:tbl>
    <w:p>
      <w:pPr>
        <w:pStyle w:val="1141"/>
        <w:spacing w:line="360" w:lineRule="auto"/>
        <w:rPr>
          <w:rFonts w:ascii="Times New Roman" w:hAnsi="Times New Roman"/>
          <w:b/>
          <w:color w:val="000000"/>
          <w:sz w:val="24"/>
        </w:rPr>
      </w:pPr>
      <w:r>
        <w:rPr>
          <w:rFonts w:ascii="Times New Roman" w:hAnsi="Times New Roman"/>
          <w:b/>
          <w:color w:val="000000"/>
          <w:sz w:val="24"/>
        </w:rPr>
        <w:t xml:space="preserve">备注：人员名单中必须明确</w:t>
      </w:r>
      <w:r>
        <w:rPr>
          <w:rFonts w:hint="eastAsia" w:ascii="Times New Roman" w:hAnsi="Times New Roman"/>
          <w:b/>
          <w:bCs/>
          <w:color w:val="000000"/>
          <w:sz w:val="24"/>
        </w:rPr>
        <w:t xml:space="preserve">项目</w:t>
      </w:r>
      <w:r>
        <w:rPr>
          <w:rFonts w:ascii="Times New Roman" w:hAnsi="Times New Roman"/>
          <w:b/>
          <w:bCs/>
          <w:color w:val="000000"/>
          <w:sz w:val="24"/>
        </w:rPr>
        <w:t xml:space="preserve">负责人</w:t>
      </w:r>
      <w:r>
        <w:rPr>
          <w:rFonts w:ascii="Times New Roman" w:hAnsi="Times New Roman"/>
          <w:b/>
          <w:color w:val="000000"/>
          <w:sz w:val="24"/>
        </w:rPr>
        <w:t xml:space="preserve">并标注“★”，未标注则视为未提供项目负责人。备注：证明材料需提供项目组人员的学历证书、职称证书的证明材料。</w:t>
      </w:r>
      <w:r/>
    </w:p>
    <w:p>
      <w:pPr>
        <w:pStyle w:val="1141"/>
        <w:spacing w:line="360" w:lineRule="auto"/>
        <w:rPr>
          <w:rFonts w:ascii="Times New Roman" w:hAnsi="Times New Roman"/>
          <w:color w:val="000000"/>
          <w:sz w:val="24"/>
        </w:rPr>
      </w:pPr>
      <w:r>
        <w:rPr>
          <w:rFonts w:ascii="Times New Roman" w:hAnsi="Times New Roman"/>
          <w:color w:val="000000"/>
          <w:sz w:val="24"/>
        </w:rPr>
        <w:t xml:space="preserve">投标人：（公章）</w:t>
      </w:r>
      <w:r/>
    </w:p>
    <w:p>
      <w:pPr>
        <w:pStyle w:val="1149"/>
        <w:spacing w:before="0" w:after="0" w:line="360" w:lineRule="auto"/>
        <w:rPr>
          <w:rFonts w:ascii="Times New Roman" w:hAnsi="Times New Roman" w:cs="Times New Roman"/>
          <w:color w:val="000000"/>
        </w:rPr>
      </w:pPr>
      <w:r>
        <w:rPr>
          <w:color w:val="000000"/>
        </w:rPr>
        <w:t xml:space="preserve">法定代表人或被授权人：（签字或盖章） </w:t>
      </w:r>
      <w:r>
        <w:rPr>
          <w:rFonts w:hint="eastAsia"/>
          <w:color w:val="000000"/>
        </w:rPr>
        <w:t xml:space="preserve">   </w:t>
      </w:r>
      <w:r>
        <w:rPr>
          <w:color w:val="000000"/>
        </w:rPr>
        <w:t xml:space="preserve"> 年  月  日</w:t>
      </w:r>
      <w:r>
        <w:rPr>
          <w:b/>
          <w:color w:val="000000"/>
        </w:rPr>
        <w:br w:type="page" w:clear="all"/>
      </w:r>
      <w:r>
        <w:rPr>
          <w:rFonts w:ascii="Times New Roman" w:hAnsi="Times New Roman" w:cs="Times New Roman"/>
          <w:b/>
          <w:bCs/>
          <w:color w:val="000000"/>
        </w:rPr>
        <w:t xml:space="preserve">附件</w:t>
      </w:r>
      <w:r>
        <w:rPr>
          <w:rFonts w:hint="eastAsia" w:ascii="Times New Roman" w:hAnsi="Times New Roman" w:cs="Times New Roman"/>
          <w:b/>
          <w:bCs/>
          <w:color w:val="000000"/>
        </w:rPr>
        <w:t xml:space="preserve">11</w:t>
      </w:r>
      <w:r>
        <w:rPr>
          <w:rFonts w:ascii="Times New Roman" w:hAnsi="Times New Roman" w:cs="Times New Roman"/>
          <w:b/>
          <w:bCs/>
          <w:color w:val="000000"/>
        </w:rPr>
        <w:t xml:space="preserve">：</w:t>
      </w:r>
      <w:r/>
    </w:p>
    <w:p>
      <w:pPr>
        <w:spacing w:line="360" w:lineRule="auto"/>
        <w:rPr>
          <w:color w:val="000000"/>
          <w:sz w:val="24"/>
        </w:rPr>
      </w:pPr>
      <w:r>
        <w:rPr>
          <w:color w:val="000000"/>
          <w:sz w:val="24"/>
        </w:rPr>
      </w:r>
      <w:r/>
    </w:p>
    <w:p>
      <w:pPr>
        <w:jc w:val="center"/>
        <w:spacing w:line="360" w:lineRule="auto"/>
        <w:rPr>
          <w:b/>
          <w:bCs/>
          <w:color w:val="000000"/>
          <w:spacing w:val="20"/>
          <w:sz w:val="24"/>
        </w:rPr>
      </w:pPr>
      <w:r>
        <w:rPr>
          <w:b/>
          <w:bCs/>
          <w:color w:val="000000"/>
          <w:spacing w:val="20"/>
          <w:sz w:val="24"/>
        </w:rPr>
        <w:t xml:space="preserve">企业</w:t>
      </w:r>
      <w:r>
        <w:rPr>
          <w:rFonts w:hint="eastAsia"/>
          <w:b/>
          <w:bCs/>
          <w:color w:val="000000"/>
          <w:spacing w:val="20"/>
          <w:sz w:val="24"/>
        </w:rPr>
        <w:t xml:space="preserve">辅导评估</w:t>
      </w:r>
      <w:r>
        <w:rPr>
          <w:b/>
          <w:bCs/>
          <w:color w:val="000000"/>
          <w:spacing w:val="20"/>
          <w:sz w:val="24"/>
        </w:rPr>
        <w:t xml:space="preserve">人员名单及简历</w:t>
      </w:r>
      <w:r/>
    </w:p>
    <w:p>
      <w:pPr>
        <w:jc w:val="center"/>
        <w:spacing w:line="360" w:lineRule="auto"/>
        <w:rPr>
          <w:b/>
          <w:bCs/>
          <w:color w:val="000000"/>
          <w:spacing w:val="20"/>
          <w:sz w:val="24"/>
        </w:rPr>
      </w:pPr>
      <w:r>
        <w:rPr>
          <w:b/>
          <w:bCs/>
          <w:color w:val="000000"/>
          <w:spacing w:val="20"/>
          <w:sz w:val="24"/>
        </w:rPr>
      </w:r>
      <w:r/>
    </w:p>
    <w:tbl>
      <w:tblPr>
        <w:tblStyle w:val="917"/>
        <w:tblW w:w="8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825"/>
      </w:tblGrid>
      <w:tr>
        <w:trPr>
          <w:jc w:val="center"/>
          <w:trHeight w:val="760"/>
        </w:trPr>
        <w:tc>
          <w:tcPr>
            <w:tcW w:w="645" w:type="dxa"/>
            <w:vAlign w:val="center"/>
            <w:textDirection w:val="lrTb"/>
            <w:noWrap w:val="false"/>
          </w:tcPr>
          <w:p>
            <w:pPr>
              <w:jc w:val="center"/>
              <w:spacing w:line="360" w:lineRule="auto"/>
              <w:rPr>
                <w:color w:val="000000"/>
                <w:sz w:val="24"/>
              </w:rPr>
            </w:pPr>
            <w:r>
              <w:rPr>
                <w:color w:val="000000"/>
                <w:sz w:val="24"/>
              </w:rPr>
              <w:t xml:space="preserve">序号</w:t>
            </w:r>
            <w:r/>
          </w:p>
        </w:tc>
        <w:tc>
          <w:tcPr>
            <w:tcW w:w="1839" w:type="dxa"/>
            <w:vAlign w:val="center"/>
            <w:textDirection w:val="lrTb"/>
            <w:noWrap w:val="false"/>
          </w:tcPr>
          <w:p>
            <w:pPr>
              <w:jc w:val="center"/>
              <w:spacing w:line="360" w:lineRule="auto"/>
              <w:rPr>
                <w:color w:val="000000"/>
                <w:sz w:val="24"/>
              </w:rPr>
            </w:pPr>
            <w:r>
              <w:rPr>
                <w:color w:val="000000"/>
                <w:sz w:val="24"/>
              </w:rPr>
              <w:t xml:space="preserve">岗位</w:t>
            </w:r>
            <w:r/>
          </w:p>
        </w:tc>
        <w:tc>
          <w:tcPr>
            <w:tcW w:w="1332" w:type="dxa"/>
            <w:vAlign w:val="center"/>
            <w:textDirection w:val="lrTb"/>
            <w:noWrap w:val="false"/>
          </w:tcPr>
          <w:p>
            <w:pPr>
              <w:jc w:val="center"/>
              <w:spacing w:line="360" w:lineRule="auto"/>
              <w:rPr>
                <w:color w:val="000000"/>
                <w:sz w:val="24"/>
              </w:rPr>
            </w:pPr>
            <w:r>
              <w:rPr>
                <w:color w:val="000000"/>
                <w:sz w:val="24"/>
              </w:rPr>
              <w:t xml:space="preserve">姓名</w:t>
            </w:r>
            <w:r/>
          </w:p>
        </w:tc>
        <w:tc>
          <w:tcPr>
            <w:tcW w:w="980" w:type="dxa"/>
            <w:vAlign w:val="center"/>
            <w:textDirection w:val="lrTb"/>
            <w:noWrap w:val="false"/>
          </w:tcPr>
          <w:p>
            <w:pPr>
              <w:jc w:val="center"/>
              <w:spacing w:line="360" w:lineRule="auto"/>
              <w:rPr>
                <w:color w:val="000000"/>
                <w:sz w:val="24"/>
              </w:rPr>
            </w:pPr>
            <w:r>
              <w:rPr>
                <w:color w:val="000000"/>
                <w:sz w:val="24"/>
              </w:rPr>
              <w:t xml:space="preserve">性别</w:t>
            </w:r>
            <w:r/>
          </w:p>
        </w:tc>
        <w:tc>
          <w:tcPr>
            <w:tcW w:w="939" w:type="dxa"/>
            <w:vAlign w:val="center"/>
            <w:textDirection w:val="lrTb"/>
            <w:noWrap w:val="false"/>
          </w:tcPr>
          <w:p>
            <w:pPr>
              <w:jc w:val="center"/>
              <w:spacing w:line="360" w:lineRule="auto"/>
              <w:rPr>
                <w:color w:val="000000"/>
                <w:sz w:val="24"/>
              </w:rPr>
            </w:pPr>
            <w:r>
              <w:rPr>
                <w:color w:val="000000"/>
                <w:sz w:val="24"/>
              </w:rPr>
              <w:t xml:space="preserve">学历</w:t>
            </w:r>
            <w:r/>
          </w:p>
        </w:tc>
        <w:tc>
          <w:tcPr>
            <w:tcW w:w="997" w:type="dxa"/>
            <w:vAlign w:val="center"/>
            <w:textDirection w:val="lrTb"/>
            <w:noWrap w:val="false"/>
          </w:tcPr>
          <w:p>
            <w:pPr>
              <w:jc w:val="center"/>
              <w:spacing w:line="360" w:lineRule="auto"/>
              <w:rPr>
                <w:color w:val="000000"/>
                <w:sz w:val="24"/>
              </w:rPr>
            </w:pPr>
            <w:r>
              <w:rPr>
                <w:color w:val="000000"/>
                <w:sz w:val="24"/>
              </w:rPr>
              <w:t xml:space="preserve">职称</w:t>
            </w:r>
            <w:r/>
          </w:p>
        </w:tc>
        <w:tc>
          <w:tcPr>
            <w:tcW w:w="824" w:type="dxa"/>
            <w:vAlign w:val="center"/>
            <w:textDirection w:val="lrTb"/>
            <w:noWrap w:val="false"/>
          </w:tcPr>
          <w:p>
            <w:pPr>
              <w:jc w:val="center"/>
              <w:spacing w:line="360" w:lineRule="auto"/>
              <w:rPr>
                <w:color w:val="000000"/>
                <w:sz w:val="24"/>
              </w:rPr>
            </w:pPr>
            <w:r>
              <w:rPr>
                <w:color w:val="000000"/>
                <w:sz w:val="24"/>
              </w:rPr>
              <w:t xml:space="preserve">个人业绩</w:t>
            </w:r>
            <w:r/>
          </w:p>
        </w:tc>
        <w:tc>
          <w:tcPr>
            <w:tcW w:w="825" w:type="dxa"/>
            <w:vAlign w:val="center"/>
            <w:textDirection w:val="lrTb"/>
            <w:noWrap w:val="false"/>
          </w:tcPr>
          <w:p>
            <w:pPr>
              <w:jc w:val="center"/>
              <w:spacing w:line="360" w:lineRule="auto"/>
              <w:rPr>
                <w:color w:val="000000"/>
                <w:sz w:val="24"/>
              </w:rPr>
            </w:pPr>
            <w:r>
              <w:rPr>
                <w:color w:val="000000"/>
                <w:sz w:val="24"/>
              </w:rPr>
              <w:t xml:space="preserve">备注</w:t>
            </w:r>
            <w:r/>
          </w:p>
        </w:tc>
      </w:tr>
      <w:tr>
        <w:trPr>
          <w:jc w:val="center"/>
          <w:trHeight w:val="354"/>
        </w:trPr>
        <w:tc>
          <w:tcPr>
            <w:tcW w:w="645" w:type="dxa"/>
            <w:vAlign w:val="center"/>
            <w:textDirection w:val="lrTb"/>
            <w:noWrap w:val="false"/>
          </w:tcPr>
          <w:p>
            <w:pPr>
              <w:jc w:val="center"/>
              <w:spacing w:line="360" w:lineRule="auto"/>
              <w:rPr>
                <w:color w:val="000000"/>
                <w:sz w:val="24"/>
              </w:rPr>
            </w:pPr>
            <w:r>
              <w:rPr>
                <w:color w:val="000000"/>
                <w:sz w:val="24"/>
              </w:rPr>
              <w:t xml:space="preserve">1</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jc w:val="center"/>
              <w:spacing w:line="360" w:lineRule="auto"/>
              <w:rPr>
                <w:color w:val="000000"/>
                <w:sz w:val="24"/>
              </w:rPr>
            </w:pPr>
            <w:r>
              <w:rPr>
                <w:color w:val="000000"/>
                <w:sz w:val="24"/>
              </w:rPr>
            </w:r>
            <w:r/>
          </w:p>
        </w:tc>
        <w:tc>
          <w:tcPr>
            <w:tcW w:w="980" w:type="dxa"/>
            <w:vAlign w:val="center"/>
            <w:textDirection w:val="lrTb"/>
            <w:noWrap w:val="false"/>
          </w:tcPr>
          <w:p>
            <w:pPr>
              <w:jc w:val="center"/>
              <w:spacing w:line="360" w:lineRule="auto"/>
              <w:rPr>
                <w:color w:val="000000"/>
                <w:sz w:val="24"/>
              </w:rPr>
            </w:pPr>
            <w:r>
              <w:rPr>
                <w:color w:val="000000"/>
                <w:sz w:val="24"/>
              </w:rPr>
            </w:r>
            <w:r/>
          </w:p>
        </w:tc>
        <w:tc>
          <w:tcPr>
            <w:tcW w:w="939" w:type="dxa"/>
            <w:vAlign w:val="center"/>
            <w:textDirection w:val="lrTb"/>
            <w:noWrap w:val="false"/>
          </w:tcPr>
          <w:p>
            <w:pPr>
              <w:jc w:val="center"/>
              <w:spacing w:line="360" w:lineRule="auto"/>
              <w:rPr>
                <w:color w:val="000000"/>
                <w:sz w:val="24"/>
              </w:rPr>
            </w:pPr>
            <w:r>
              <w:rPr>
                <w:color w:val="000000"/>
                <w:sz w:val="24"/>
              </w:rPr>
            </w:r>
            <w:r/>
          </w:p>
        </w:tc>
        <w:tc>
          <w:tcPr>
            <w:tcW w:w="997" w:type="dxa"/>
            <w:vAlign w:val="center"/>
            <w:textDirection w:val="lrTb"/>
            <w:noWrap w:val="false"/>
          </w:tcPr>
          <w:p>
            <w:pPr>
              <w:jc w:val="cente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2</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jc w:val="center"/>
              <w:spacing w:line="360" w:lineRule="auto"/>
              <w:rPr>
                <w:color w:val="000000"/>
                <w:sz w:val="24"/>
              </w:rPr>
            </w:pPr>
            <w:r>
              <w:rPr>
                <w:color w:val="000000"/>
                <w:sz w:val="24"/>
              </w:rPr>
            </w:r>
            <w:r/>
          </w:p>
        </w:tc>
        <w:tc>
          <w:tcPr>
            <w:tcW w:w="980" w:type="dxa"/>
            <w:vAlign w:val="center"/>
            <w:textDirection w:val="lrTb"/>
            <w:noWrap w:val="false"/>
          </w:tcPr>
          <w:p>
            <w:pPr>
              <w:jc w:val="center"/>
              <w:spacing w:line="360" w:lineRule="auto"/>
              <w:rPr>
                <w:color w:val="000000"/>
                <w:sz w:val="24"/>
              </w:rPr>
            </w:pPr>
            <w:r>
              <w:rPr>
                <w:color w:val="000000"/>
                <w:sz w:val="24"/>
              </w:rPr>
            </w:r>
            <w:r/>
          </w:p>
        </w:tc>
        <w:tc>
          <w:tcPr>
            <w:tcW w:w="939" w:type="dxa"/>
            <w:vAlign w:val="center"/>
            <w:textDirection w:val="lrTb"/>
            <w:noWrap w:val="false"/>
          </w:tcPr>
          <w:p>
            <w:pPr>
              <w:jc w:val="center"/>
              <w:spacing w:line="360" w:lineRule="auto"/>
              <w:rPr>
                <w:color w:val="000000"/>
                <w:sz w:val="24"/>
              </w:rPr>
            </w:pPr>
            <w:r>
              <w:rPr>
                <w:color w:val="000000"/>
                <w:sz w:val="24"/>
              </w:rPr>
            </w:r>
            <w:r/>
          </w:p>
        </w:tc>
        <w:tc>
          <w:tcPr>
            <w:tcW w:w="997" w:type="dxa"/>
            <w:vAlign w:val="center"/>
            <w:textDirection w:val="lrTb"/>
            <w:noWrap w:val="false"/>
          </w:tcPr>
          <w:p>
            <w:pPr>
              <w:jc w:val="cente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3</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4</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5</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6</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7</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8</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9</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10</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t xml:space="preserve">…</w:t>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tcW w:w="645" w:type="dxa"/>
            <w:vAlign w:val="center"/>
            <w:textDirection w:val="lrTb"/>
            <w:noWrap w:val="false"/>
          </w:tcPr>
          <w:p>
            <w:pPr>
              <w:jc w:val="center"/>
              <w:spacing w:line="360" w:lineRule="auto"/>
              <w:rPr>
                <w:color w:val="000000"/>
                <w:sz w:val="24"/>
              </w:rPr>
            </w:pPr>
            <w:r>
              <w:rPr>
                <w:color w:val="000000"/>
                <w:sz w:val="24"/>
              </w:rPr>
            </w:r>
            <w:r/>
          </w:p>
        </w:tc>
        <w:tc>
          <w:tcPr>
            <w:tcW w:w="1839" w:type="dxa"/>
            <w:vAlign w:val="center"/>
            <w:textDirection w:val="lrTb"/>
            <w:noWrap w:val="false"/>
          </w:tcPr>
          <w:p>
            <w:pPr>
              <w:spacing w:line="360" w:lineRule="auto"/>
              <w:rPr>
                <w:color w:val="000000"/>
                <w:sz w:val="24"/>
              </w:rPr>
            </w:pPr>
            <w:r>
              <w:rPr>
                <w:color w:val="000000"/>
                <w:sz w:val="24"/>
              </w:rPr>
            </w:r>
            <w:r/>
          </w:p>
        </w:tc>
        <w:tc>
          <w:tcPr>
            <w:tcW w:w="1332" w:type="dxa"/>
            <w:vAlign w:val="center"/>
            <w:textDirection w:val="lrTb"/>
            <w:noWrap w:val="false"/>
          </w:tcPr>
          <w:p>
            <w:pPr>
              <w:spacing w:line="360" w:lineRule="auto"/>
              <w:rPr>
                <w:color w:val="000000"/>
                <w:sz w:val="24"/>
              </w:rPr>
            </w:pPr>
            <w:r>
              <w:rPr>
                <w:color w:val="000000"/>
                <w:sz w:val="24"/>
              </w:rPr>
            </w:r>
            <w:r/>
          </w:p>
        </w:tc>
        <w:tc>
          <w:tcPr>
            <w:tcW w:w="980" w:type="dxa"/>
            <w:vAlign w:val="center"/>
            <w:textDirection w:val="lrTb"/>
            <w:noWrap w:val="false"/>
          </w:tcPr>
          <w:p>
            <w:pPr>
              <w:spacing w:line="360" w:lineRule="auto"/>
              <w:rPr>
                <w:color w:val="000000"/>
                <w:sz w:val="24"/>
              </w:rPr>
            </w:pPr>
            <w:r>
              <w:rPr>
                <w:color w:val="000000"/>
                <w:sz w:val="24"/>
              </w:rPr>
            </w:r>
            <w:r/>
          </w:p>
        </w:tc>
        <w:tc>
          <w:tcPr>
            <w:tcW w:w="939" w:type="dxa"/>
            <w:vAlign w:val="center"/>
            <w:textDirection w:val="lrTb"/>
            <w:noWrap w:val="false"/>
          </w:tcPr>
          <w:p>
            <w:pPr>
              <w:spacing w:line="360" w:lineRule="auto"/>
              <w:rPr>
                <w:color w:val="000000"/>
                <w:sz w:val="24"/>
              </w:rPr>
            </w:pPr>
            <w:r>
              <w:rPr>
                <w:color w:val="000000"/>
                <w:sz w:val="24"/>
              </w:rPr>
            </w:r>
            <w:r/>
          </w:p>
        </w:tc>
        <w:tc>
          <w:tcPr>
            <w:tcW w:w="997" w:type="dxa"/>
            <w:vAlign w:val="center"/>
            <w:textDirection w:val="lrTb"/>
            <w:noWrap w:val="false"/>
          </w:tcPr>
          <w:p>
            <w:pPr>
              <w:spacing w:line="360" w:lineRule="auto"/>
              <w:rPr>
                <w:color w:val="000000"/>
                <w:sz w:val="24"/>
              </w:rPr>
            </w:pPr>
            <w:r>
              <w:rPr>
                <w:color w:val="000000"/>
                <w:sz w:val="24"/>
              </w:rPr>
            </w:r>
            <w:r/>
          </w:p>
        </w:tc>
        <w:tc>
          <w:tcPr>
            <w:tcW w:w="824" w:type="dxa"/>
            <w:vAlign w:val="center"/>
            <w:textDirection w:val="lrTb"/>
            <w:noWrap w:val="false"/>
          </w:tcPr>
          <w:p>
            <w:pPr>
              <w:jc w:val="center"/>
              <w:spacing w:line="360" w:lineRule="auto"/>
              <w:rPr>
                <w:color w:val="000000"/>
                <w:sz w:val="24"/>
              </w:rPr>
            </w:pPr>
            <w:r>
              <w:rPr>
                <w:color w:val="000000"/>
                <w:sz w:val="24"/>
              </w:rPr>
            </w:r>
            <w:r/>
          </w:p>
        </w:tc>
        <w:tc>
          <w:tcPr>
            <w:tcW w:w="825" w:type="dxa"/>
            <w:vAlign w:val="center"/>
            <w:textDirection w:val="lrTb"/>
            <w:noWrap w:val="false"/>
          </w:tcPr>
          <w:p>
            <w:pPr>
              <w:jc w:val="center"/>
              <w:spacing w:line="360" w:lineRule="auto"/>
              <w:rPr>
                <w:color w:val="000000"/>
                <w:sz w:val="24"/>
              </w:rPr>
            </w:pPr>
            <w:r>
              <w:rPr>
                <w:color w:val="000000"/>
                <w:sz w:val="24"/>
              </w:rPr>
            </w:r>
            <w:r/>
          </w:p>
        </w:tc>
      </w:tr>
      <w:tr>
        <w:trPr>
          <w:cantSplit/>
          <w:jc w:val="center"/>
          <w:trHeight w:val="495"/>
        </w:trPr>
        <w:tc>
          <w:tcPr>
            <w:gridSpan w:val="8"/>
            <w:tcW w:w="8381" w:type="dxa"/>
            <w:vAlign w:val="center"/>
            <w:textDirection w:val="lrTb"/>
            <w:noWrap w:val="false"/>
          </w:tcPr>
          <w:p>
            <w:pPr>
              <w:spacing w:line="360" w:lineRule="auto"/>
              <w:rPr>
                <w:color w:val="000000"/>
                <w:sz w:val="24"/>
              </w:rPr>
            </w:pPr>
            <w:r>
              <w:rPr>
                <w:color w:val="000000"/>
                <w:sz w:val="24"/>
              </w:rPr>
              <w:t xml:space="preserve">合计：   人数</w:t>
            </w:r>
            <w:r/>
          </w:p>
        </w:tc>
      </w:tr>
    </w:tbl>
    <w:p>
      <w:pPr>
        <w:pStyle w:val="1141"/>
        <w:spacing w:line="360" w:lineRule="auto"/>
        <w:rPr>
          <w:rFonts w:ascii="Times New Roman" w:hAnsi="Times New Roman"/>
          <w:b/>
          <w:color w:val="000000"/>
          <w:sz w:val="24"/>
        </w:rPr>
      </w:pPr>
      <w:r>
        <w:rPr>
          <w:rFonts w:ascii="Times New Roman" w:hAnsi="Times New Roman"/>
          <w:b/>
          <w:color w:val="000000"/>
          <w:sz w:val="24"/>
        </w:rPr>
        <w:t xml:space="preserve">备注：证明材料需提供项目组人员的学历证书、职称证书的证明材料。</w:t>
      </w:r>
      <w:r/>
    </w:p>
    <w:p>
      <w:pPr>
        <w:pStyle w:val="1141"/>
        <w:spacing w:line="360" w:lineRule="auto"/>
        <w:rPr>
          <w:rFonts w:ascii="Times New Roman" w:hAnsi="Times New Roman"/>
          <w:color w:val="000000"/>
          <w:sz w:val="24"/>
        </w:rPr>
      </w:pPr>
      <w:r>
        <w:rPr>
          <w:rFonts w:ascii="Times New Roman" w:hAnsi="Times New Roman"/>
          <w:color w:val="000000"/>
          <w:sz w:val="24"/>
        </w:rPr>
        <w:t xml:space="preserve">投标人：（公章）</w:t>
      </w:r>
      <w:r/>
    </w:p>
    <w:p>
      <w:pPr>
        <w:spacing w:line="360" w:lineRule="auto"/>
        <w:rPr>
          <w:b/>
          <w:bCs/>
          <w:color w:val="000000"/>
          <w:sz w:val="24"/>
        </w:rPr>
      </w:pPr>
      <w:r>
        <w:rPr>
          <w:color w:val="000000"/>
          <w:sz w:val="24"/>
        </w:rPr>
        <w:t xml:space="preserve">法定代表人或被授权人：（签字或盖章）                   年  月  日</w:t>
      </w:r>
      <w:r/>
    </w:p>
    <w:p>
      <w:pPr>
        <w:rPr>
          <w:b/>
          <w:color w:val="000000"/>
          <w:sz w:val="24"/>
        </w:rPr>
      </w:pPr>
      <w:r>
        <w:rPr>
          <w:b/>
          <w:color w:val="000000"/>
          <w:sz w:val="24"/>
        </w:rPr>
      </w:r>
      <w:r/>
    </w:p>
    <w:p>
      <w:pPr>
        <w:widowControl/>
        <w:rPr>
          <w:b/>
          <w:sz w:val="24"/>
        </w:rPr>
      </w:pPr>
      <w:r>
        <w:rPr>
          <w:b/>
          <w:color w:val="000000"/>
          <w:sz w:val="24"/>
        </w:rPr>
        <w:br w:type="page" w:clear="all"/>
      </w:r>
      <w:r>
        <w:rPr>
          <w:b/>
          <w:sz w:val="24"/>
        </w:rPr>
        <w:t xml:space="preserve">附件</w:t>
      </w:r>
      <w:r>
        <w:rPr>
          <w:rFonts w:hint="eastAsia"/>
          <w:b/>
          <w:sz w:val="24"/>
        </w:rPr>
        <w:t xml:space="preserve">12：</w:t>
      </w:r>
      <w:r/>
    </w:p>
    <w:p>
      <w:pPr>
        <w:jc w:val="center"/>
        <w:spacing w:line="360" w:lineRule="auto"/>
        <w:tabs>
          <w:tab w:val="left" w:pos="1320" w:leader="none"/>
        </w:tabs>
        <w:rPr>
          <w:rFonts w:ascii="宋体" w:hAnsi="宋体"/>
          <w:b/>
          <w:sz w:val="24"/>
        </w:rPr>
      </w:pPr>
      <w:r>
        <w:rPr>
          <w:rFonts w:hint="eastAsia" w:ascii="宋体" w:hAnsi="宋体"/>
          <w:b/>
          <w:sz w:val="24"/>
        </w:rPr>
        <w:t xml:space="preserve">针对本项目的技术方案及制度</w:t>
      </w:r>
      <w:r/>
    </w:p>
    <w:tbl>
      <w:tblPr>
        <w:tblStyle w:val="917"/>
        <w:tblpPr w:horzAnchor="page" w:tblpX="969" w:vertAnchor="text" w:tblpY="751" w:leftFromText="180" w:topFromText="0" w:rightFromText="180" w:bottomFromText="0"/>
        <w:tblW w:w="9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jc w:val="left"/>
              <w:rPr>
                <w:rFonts w:ascii="宋体" w:hAnsi="宋体"/>
                <w:sz w:val="24"/>
              </w:rPr>
            </w:pPr>
            <w:r>
              <w:rPr>
                <w:rFonts w:hint="eastAsia" w:ascii="宋体" w:hAnsi="宋体"/>
                <w:sz w:val="24"/>
              </w:rPr>
              <w:t xml:space="preserve">提示：</w:t>
            </w:r>
            <w:r/>
          </w:p>
          <w:p>
            <w:pPr>
              <w:jc w:val="left"/>
              <w:rPr>
                <w:rFonts w:ascii="宋体" w:hAnsi="宋体"/>
                <w:sz w:val="24"/>
              </w:rPr>
            </w:pPr>
            <w:r>
              <w:rPr>
                <w:rFonts w:hint="eastAsia" w:ascii="宋体" w:hAnsi="宋体"/>
                <w:sz w:val="24"/>
              </w:rPr>
              <w:t xml:space="preserve">1、供应商应针对本次采购项目特点编写公司成交后拟采取的管理技术方案。</w:t>
            </w:r>
            <w:r/>
          </w:p>
          <w:p>
            <w:pPr>
              <w:jc w:val="left"/>
              <w:rPr>
                <w:rFonts w:ascii="宋体" w:hAnsi="宋体"/>
                <w:b/>
                <w:sz w:val="24"/>
              </w:rPr>
            </w:pPr>
            <w:r>
              <w:rPr>
                <w:rFonts w:hint="eastAsia" w:ascii="宋体" w:hAnsi="宋体"/>
                <w:sz w:val="24"/>
              </w:rPr>
              <w:t xml:space="preserve">2、供应商可根据自身情况编写，本页不够可另加页附后。</w:t>
            </w:r>
            <w:r/>
          </w:p>
        </w:tc>
      </w:tr>
      <w:tr>
        <w:trPr>
          <w:trHeight w:val="9719"/>
        </w:trPr>
        <w:tc>
          <w:tcPr>
            <w:tcW w:w="9874" w:type="dxa"/>
            <w:textDirection w:val="lrTb"/>
            <w:noWrap w:val="false"/>
          </w:tcPr>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b/>
                <w:sz w:val="24"/>
              </w:rPr>
            </w:pPr>
            <w:r>
              <w:rPr>
                <w:rFonts w:ascii="宋体" w:hAnsi="宋体"/>
                <w:b/>
                <w:sz w:val="24"/>
              </w:rPr>
            </w:r>
            <w:r/>
          </w:p>
          <w:p>
            <w:pPr>
              <w:jc w:val="left"/>
              <w:rPr>
                <w:rFonts w:ascii="宋体" w:hAnsi="宋体"/>
                <w:sz w:val="24"/>
              </w:rPr>
            </w:pPr>
            <w:r>
              <w:rPr>
                <w:rFonts w:hint="eastAsia" w:ascii="宋体" w:hAnsi="宋体"/>
                <w:sz w:val="24"/>
              </w:rPr>
              <w:t xml:space="preserve">        </w:t>
            </w:r>
            <w:r/>
          </w:p>
        </w:tc>
      </w:tr>
    </w:tbl>
    <w:p>
      <w:pPr>
        <w:ind w:right="-210"/>
        <w:jc w:val="center"/>
        <w:spacing w:line="360" w:lineRule="auto"/>
        <w:rPr>
          <w:rFonts w:ascii="宋体" w:hAnsi="宋体" w:cs="宋体"/>
          <w:sz w:val="24"/>
          <w:lang w:val="zh-CN"/>
        </w:rPr>
      </w:pPr>
      <w:r>
        <w:rPr>
          <w:rFonts w:hint="eastAsia" w:ascii="宋体" w:hAnsi="宋体" w:cs="宋体"/>
          <w:szCs w:val="21"/>
        </w:rPr>
        <w:t xml:space="preserve"> </w:t>
      </w:r>
      <w:r>
        <w:rPr>
          <w:rFonts w:ascii="宋体" w:hAnsi="宋体" w:cs="宋体"/>
          <w:szCs w:val="21"/>
        </w:rPr>
        <w:t xml:space="preserve">                                </w:t>
      </w:r>
      <w:r>
        <w:rPr>
          <w:rFonts w:ascii="宋体" w:hAnsi="宋体" w:cs="宋体"/>
          <w:sz w:val="24"/>
        </w:rPr>
        <w:t xml:space="preserve">        </w:t>
      </w:r>
      <w:r>
        <w:rPr>
          <w:rFonts w:hint="eastAsia" w:ascii="宋体" w:hAnsi="宋体" w:cs="宋体"/>
          <w:sz w:val="24"/>
        </w:rPr>
        <w:t xml:space="preserve">  响应单位：（签章）</w:t>
      </w:r>
      <w:r>
        <w:rPr>
          <w:rFonts w:hint="eastAsia" w:ascii="宋体" w:hAnsi="宋体" w:cs="宋体"/>
          <w:sz w:val="24"/>
          <w:lang w:val="zh-CN"/>
        </w:rPr>
        <w:t xml:space="preserve"> </w:t>
      </w:r>
      <w:r/>
    </w:p>
    <w:p>
      <w:pPr>
        <w:ind w:firstLine="210"/>
        <w:jc w:val="right"/>
        <w:spacing w:line="360" w:lineRule="auto"/>
        <w:widowControl/>
        <w:rPr>
          <w:rFonts w:ascii="宋体" w:hAnsi="宋体" w:cs="宋体"/>
          <w:sz w:val="24"/>
          <w:lang w:val="zh-CN"/>
        </w:rPr>
      </w:pPr>
      <w:r>
        <w:rPr>
          <w:rFonts w:hint="eastAsia" w:ascii="宋体" w:hAnsi="宋体" w:cs="宋体"/>
          <w:szCs w:val="21"/>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960"/>
        <w:jc w:val="right"/>
        <w:spacing w:line="400" w:lineRule="exact"/>
        <w:widowControl/>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jc w:val="left"/>
        <w:widowControl/>
        <w:rPr>
          <w:rFonts w:ascii="宋体" w:hAnsi="宋体"/>
          <w:sz w:val="24"/>
        </w:rPr>
      </w:pPr>
      <w:r>
        <w:rPr>
          <w:rFonts w:hint="eastAsia" w:ascii="宋体" w:hAnsi="宋体"/>
          <w:sz w:val="24"/>
        </w:rPr>
        <w:t xml:space="preserve"> </w:t>
      </w:r>
      <w:r/>
    </w:p>
    <w:p>
      <w:pPr>
        <w:spacing w:after="120"/>
        <w:rPr>
          <w:rFonts w:ascii="Calibri" w:hAnsi="宋体"/>
          <w:szCs w:val="21"/>
        </w:rPr>
      </w:pPr>
      <w:r>
        <w:rPr>
          <w:rFonts w:ascii="Calibri" w:hAnsi="宋体"/>
          <w:szCs w:val="21"/>
        </w:rPr>
      </w:r>
      <w:r/>
    </w:p>
    <w:p>
      <w:pPr>
        <w:widowControl/>
        <w:rPr>
          <w:rFonts w:ascii="宋体" w:hAnsi="宋体"/>
          <w:b/>
          <w:sz w:val="24"/>
        </w:rPr>
      </w:pPr>
      <w:r>
        <w:rPr>
          <w:rFonts w:ascii="宋体" w:hAnsi="宋体"/>
          <w:b/>
          <w:sz w:val="24"/>
        </w:rPr>
        <w:t xml:space="preserve">附件</w:t>
      </w:r>
      <w:r>
        <w:rPr>
          <w:rFonts w:hint="eastAsia" w:ascii="宋体" w:hAnsi="宋体"/>
          <w:b/>
          <w:sz w:val="24"/>
        </w:rPr>
        <w:t xml:space="preserve">13：</w:t>
      </w:r>
      <w:r/>
    </w:p>
    <w:p>
      <w:pP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hint="eastAsia" w:ascii="宋体" w:hAnsi="宋体" w:cs="宋体"/>
          <w:b/>
          <w:bCs/>
          <w:sz w:val="24"/>
        </w:rPr>
        <w:t xml:space="preserve">相关业绩一览表</w:t>
      </w:r>
      <w:r/>
    </w:p>
    <w:p>
      <w:pPr>
        <w:jc w:val="center"/>
        <w:rPr>
          <w:rFonts w:ascii="宋体" w:hAnsi="宋体" w:cs="宋体"/>
          <w:b/>
          <w:bCs/>
          <w:sz w:val="24"/>
        </w:rPr>
      </w:pPr>
      <w:r>
        <w:rPr>
          <w:rFonts w:ascii="宋体" w:hAnsi="宋体" w:cs="宋体"/>
          <w:b/>
          <w:bCs/>
          <w:sz w:val="24"/>
        </w:rPr>
      </w:r>
      <w:r/>
    </w:p>
    <w:tbl>
      <w:tblPr>
        <w:tblStyle w:val="917"/>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序号</w:t>
            </w:r>
            <w:r/>
          </w:p>
        </w:tc>
        <w:tc>
          <w:tcPr>
            <w:tcW w:w="162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项目名称</w:t>
            </w:r>
            <w:r/>
          </w:p>
        </w:tc>
        <w:tc>
          <w:tcPr>
            <w:tcW w:w="162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合同期</w:t>
            </w:r>
            <w:r/>
          </w:p>
        </w:tc>
        <w:tc>
          <w:tcPr>
            <w:tcW w:w="193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合同金额</w:t>
            </w:r>
            <w:r/>
          </w:p>
        </w:tc>
        <w:tc>
          <w:tcPr>
            <w:tcW w:w="146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bl>
    <w:p>
      <w:pPr>
        <w:jc w:val="left"/>
        <w:spacing w:line="360" w:lineRule="auto"/>
        <w:rPr>
          <w:rFonts w:ascii="宋体" w:hAnsi="宋体" w:cs="宋体"/>
          <w:sz w:val="24"/>
        </w:rPr>
      </w:pPr>
      <w:r>
        <w:rPr>
          <w:rFonts w:hint="eastAsia" w:ascii="宋体" w:hAnsi="宋体" w:cs="宋体"/>
          <w:sz w:val="24"/>
        </w:rPr>
        <w:t xml:space="preserve">注：1.若事项较多，供应商可根据实际情况另纸说明。</w:t>
      </w:r>
      <w:r/>
    </w:p>
    <w:p>
      <w:pPr>
        <w:ind w:firstLine="480"/>
        <w:jc w:val="left"/>
        <w:spacing w:line="360" w:lineRule="auto"/>
        <w:rPr>
          <w:rFonts w:ascii="宋体" w:hAnsi="宋体" w:cs="宋体"/>
          <w:sz w:val="24"/>
        </w:rPr>
      </w:pPr>
      <w:r>
        <w:rPr>
          <w:rFonts w:hint="eastAsia" w:ascii="宋体" w:hAnsi="宋体" w:cs="宋体"/>
          <w:sz w:val="24"/>
        </w:rPr>
        <w:t xml:space="preserve">2.请将其他相关证明材料复印件加盖公章后附在本表后面。</w:t>
      </w:r>
      <w:r/>
    </w:p>
    <w:p>
      <w:pPr>
        <w:jc w:val="left"/>
        <w:spacing w:line="360" w:lineRule="auto"/>
        <w:rPr>
          <w:rFonts w:ascii="宋体" w:hAnsi="宋体" w:cs="宋体"/>
          <w:b/>
          <w:sz w:val="24"/>
        </w:rPr>
      </w:pPr>
      <w:r>
        <w:rPr>
          <w:rFonts w:ascii="宋体" w:hAnsi="宋体" w:cs="宋体"/>
          <w:b/>
          <w:sz w:val="24"/>
        </w:rPr>
      </w:r>
      <w:r/>
    </w:p>
    <w:p>
      <w:pPr>
        <w:ind w:right="-210"/>
        <w:jc w:val="center"/>
        <w:spacing w:line="360" w:lineRule="auto"/>
        <w:rPr>
          <w:rFonts w:ascii="宋体" w:hAnsi="宋体" w:cs="宋体"/>
          <w:sz w:val="24"/>
          <w:lang w:val="zh-CN"/>
        </w:rPr>
      </w:pPr>
      <w:r>
        <w:rPr>
          <w:rFonts w:hint="eastAsia" w:ascii="宋体" w:hAnsi="宋体" w:cs="宋体"/>
          <w:sz w:val="24"/>
        </w:rPr>
        <w:t xml:space="preserve">                                            响应单位：（签章）</w:t>
      </w:r>
      <w:r>
        <w:rPr>
          <w:rFonts w:hint="eastAsia" w:ascii="宋体" w:hAnsi="宋体" w:cs="宋体"/>
          <w:sz w:val="24"/>
          <w:lang w:val="zh-CN"/>
        </w:rPr>
        <w:t xml:space="preserve"> </w:t>
      </w:r>
      <w:r/>
    </w:p>
    <w:p>
      <w:pPr>
        <w:ind w:firstLine="240"/>
        <w:jc w:val="right"/>
        <w:spacing w:line="360" w:lineRule="auto"/>
        <w:widowControl/>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960"/>
        <w:jc w:val="right"/>
        <w:spacing w:line="400" w:lineRule="exact"/>
        <w:widowControl/>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ascii="宋体" w:hAnsi="宋体" w:cs="宋体"/>
          <w:b/>
          <w:sz w:val="24"/>
        </w:rPr>
      </w:r>
      <w:r/>
    </w:p>
    <w:p>
      <w:pPr>
        <w:ind w:right="-4"/>
        <w:pageBreakBefore/>
        <w:spacing w:line="360" w:lineRule="auto"/>
        <w:rPr>
          <w:bCs/>
          <w:color w:val="000000"/>
        </w:rPr>
      </w:pPr>
      <w:r>
        <w:rPr>
          <w:b/>
          <w:bCs/>
          <w:color w:val="000000"/>
          <w:sz w:val="24"/>
        </w:rPr>
        <w:t xml:space="preserve">附件1</w:t>
      </w:r>
      <w:r>
        <w:rPr>
          <w:rFonts w:hint="eastAsia"/>
          <w:b/>
          <w:bCs/>
          <w:color w:val="000000"/>
          <w:sz w:val="24"/>
        </w:rPr>
        <w:t xml:space="preserve">4</w:t>
      </w:r>
      <w:r>
        <w:rPr>
          <w:b/>
          <w:bCs/>
          <w:color w:val="000000"/>
          <w:sz w:val="24"/>
        </w:rPr>
        <w:t xml:space="preserve">：</w:t>
      </w:r>
      <w:r/>
    </w:p>
    <w:p>
      <w:pPr>
        <w:jc w:val="center"/>
        <w:spacing w:line="600" w:lineRule="atLeast"/>
        <w:widowControl/>
        <w:rPr>
          <w:color w:val="000000"/>
          <w:sz w:val="24"/>
        </w:rPr>
      </w:pPr>
      <w:r>
        <w:rPr>
          <w:color w:val="000000"/>
          <w:sz w:val="24"/>
        </w:rPr>
        <w:t xml:space="preserve">投标（响应）保证承诺书</w:t>
      </w:r>
      <w:r/>
    </w:p>
    <w:p>
      <w:pPr>
        <w:jc w:val="left"/>
        <w:spacing w:line="360" w:lineRule="auto"/>
        <w:widowControl/>
        <w:rPr>
          <w:color w:val="000000"/>
          <w:sz w:val="24"/>
        </w:rPr>
      </w:pPr>
      <w:r>
        <w:rPr>
          <w:color w:val="000000"/>
          <w:sz w:val="24"/>
        </w:rPr>
        <w:t xml:space="preserve">致：</w:t>
      </w:r>
      <w:r>
        <w:rPr>
          <w:color w:val="000000"/>
          <w:sz w:val="24"/>
          <w:u w:val="single"/>
        </w:rPr>
        <w:t xml:space="preserve">         （采购代理机构名称）</w:t>
      </w:r>
      <w:r/>
    </w:p>
    <w:p>
      <w:pPr>
        <w:ind w:firstLine="600"/>
        <w:jc w:val="left"/>
        <w:spacing w:line="360" w:lineRule="auto"/>
        <w:widowControl/>
        <w:rPr>
          <w:color w:val="000000"/>
          <w:sz w:val="24"/>
        </w:rPr>
      </w:pPr>
      <w:r>
        <w:rPr>
          <w:color w:val="000000"/>
          <w:sz w:val="24"/>
        </w:rPr>
        <w:t xml:space="preserve">我（单位/本人，以下统称我单位）自愿参加</w:t>
      </w:r>
      <w:r>
        <w:rPr>
          <w:color w:val="000000"/>
          <w:sz w:val="24"/>
          <w:u w:val="single"/>
        </w:rPr>
        <w:t xml:space="preserve">              （项目名称和采购编号）</w:t>
      </w:r>
      <w:r>
        <w:rPr>
          <w:color w:val="000000"/>
          <w:sz w:val="24"/>
        </w:rPr>
        <w:t xml:space="preserve">的投标（响应）,并做出如下承诺：</w:t>
      </w:r>
      <w:r/>
    </w:p>
    <w:p>
      <w:pPr>
        <w:ind w:firstLine="600"/>
        <w:jc w:val="left"/>
        <w:spacing w:line="360" w:lineRule="auto"/>
        <w:widowControl/>
        <w:rPr>
          <w:color w:val="000000"/>
          <w:sz w:val="24"/>
        </w:rPr>
      </w:pPr>
      <w:r>
        <w:rPr>
          <w:color w:val="000000"/>
          <w:sz w:val="24"/>
        </w:rPr>
        <w:t xml:space="preserve">一、  除不可抗力外，我单位如果发生以下行为，将在行为发生的10个工作日内，向贵方</w:t>
      </w:r>
      <w:r>
        <w:rPr>
          <w:color w:val="000000"/>
          <w:sz w:val="24"/>
          <w:u w:val="single"/>
        </w:rPr>
        <w:t xml:space="preserve">（或</w:t>
      </w:r>
      <w:r>
        <w:rPr>
          <w:rFonts w:hint="eastAsia"/>
          <w:color w:val="000000"/>
          <w:sz w:val="24"/>
          <w:u w:val="single"/>
        </w:rPr>
        <w:t xml:space="preserve">采购人</w:t>
      </w:r>
      <w:r>
        <w:rPr>
          <w:color w:val="000000"/>
          <w:sz w:val="24"/>
          <w:u w:val="single"/>
        </w:rPr>
        <w:t xml:space="preserve">）</w:t>
      </w:r>
      <w:r>
        <w:rPr>
          <w:color w:val="000000"/>
          <w:sz w:val="24"/>
        </w:rPr>
        <w:t xml:space="preserve">支付本招标文件公布的预算金额（或最高限价）的2%作为违约赔偿金（数量不确定的单价采购须约定具体金额）。</w:t>
      </w:r>
      <w:r/>
    </w:p>
    <w:p>
      <w:pPr>
        <w:ind w:firstLine="555"/>
        <w:jc w:val="left"/>
        <w:spacing w:line="360" w:lineRule="auto"/>
        <w:widowControl/>
        <w:rPr>
          <w:color w:val="000000"/>
          <w:sz w:val="24"/>
        </w:rPr>
      </w:pPr>
      <w:r>
        <w:rPr>
          <w:color w:val="000000"/>
          <w:sz w:val="24"/>
        </w:rPr>
        <w:t xml:space="preserve">1.自投标（响应）截止时间至本项目发布中标（成交）公告为止，撤销投标（响应）；</w:t>
      </w:r>
      <w:r/>
    </w:p>
    <w:p>
      <w:pPr>
        <w:ind w:firstLine="555"/>
        <w:jc w:val="left"/>
        <w:spacing w:line="360" w:lineRule="auto"/>
        <w:widowControl/>
        <w:rPr>
          <w:color w:val="000000"/>
          <w:sz w:val="24"/>
        </w:rPr>
      </w:pPr>
      <w:r>
        <w:rPr>
          <w:color w:val="000000"/>
          <w:sz w:val="24"/>
        </w:rPr>
        <w:t xml:space="preserve">2.中标（成交）后不依法与</w:t>
      </w:r>
      <w:r>
        <w:rPr>
          <w:rFonts w:hint="eastAsia"/>
          <w:color w:val="000000"/>
          <w:sz w:val="24"/>
        </w:rPr>
        <w:t xml:space="preserve">采购人</w:t>
      </w:r>
      <w:r>
        <w:rPr>
          <w:color w:val="000000"/>
          <w:sz w:val="24"/>
        </w:rPr>
        <w:t xml:space="preserve">签订合同；</w:t>
      </w:r>
      <w:r/>
    </w:p>
    <w:p>
      <w:pPr>
        <w:ind w:firstLine="555"/>
        <w:jc w:val="left"/>
        <w:spacing w:line="360" w:lineRule="auto"/>
        <w:widowControl/>
        <w:rPr>
          <w:color w:val="000000"/>
          <w:sz w:val="24"/>
        </w:rPr>
      </w:pPr>
      <w:r>
        <w:rPr>
          <w:color w:val="000000"/>
          <w:sz w:val="24"/>
        </w:rPr>
        <w:t xml:space="preserve">3.中标（成交）后不按本招标文件规定向</w:t>
      </w:r>
      <w:r>
        <w:rPr>
          <w:rFonts w:hint="eastAsia"/>
          <w:color w:val="000000"/>
          <w:sz w:val="24"/>
        </w:rPr>
        <w:t xml:space="preserve">采购人</w:t>
      </w:r>
      <w:r>
        <w:rPr>
          <w:color w:val="000000"/>
          <w:sz w:val="24"/>
        </w:rPr>
        <w:t xml:space="preserve">提交履约保证金（如有）；</w:t>
      </w:r>
      <w:r/>
    </w:p>
    <w:p>
      <w:pPr>
        <w:ind w:firstLine="555"/>
        <w:jc w:val="left"/>
        <w:spacing w:line="360" w:lineRule="auto"/>
        <w:widowControl/>
        <w:rPr>
          <w:color w:val="000000"/>
          <w:sz w:val="24"/>
        </w:rPr>
      </w:pPr>
      <w:r>
        <w:rPr>
          <w:color w:val="000000"/>
          <w:sz w:val="24"/>
        </w:rPr>
        <w:t xml:space="preserve">4.中标（成交）后不按本招标文件规定向贵方缴纳采购代理费。</w:t>
      </w:r>
      <w:r/>
    </w:p>
    <w:p>
      <w:pPr>
        <w:ind w:firstLine="600"/>
        <w:jc w:val="left"/>
        <w:spacing w:line="360" w:lineRule="auto"/>
        <w:widowControl/>
        <w:rPr>
          <w:color w:val="000000"/>
          <w:sz w:val="24"/>
        </w:rPr>
      </w:pPr>
      <w:r>
        <w:rPr>
          <w:color w:val="000000"/>
          <w:sz w:val="24"/>
        </w:rPr>
        <w:t xml:space="preserve">二、  我单位知晓上述行为的法律后果，承认本承诺书作为贵方</w:t>
      </w:r>
      <w:r>
        <w:rPr>
          <w:color w:val="000000"/>
          <w:sz w:val="24"/>
          <w:u w:val="single"/>
        </w:rPr>
        <w:t xml:space="preserve">（或</w:t>
      </w:r>
      <w:r>
        <w:rPr>
          <w:rFonts w:hint="eastAsia"/>
          <w:color w:val="000000"/>
          <w:sz w:val="24"/>
          <w:u w:val="single"/>
        </w:rPr>
        <w:t xml:space="preserve">采购人</w:t>
      </w:r>
      <w:r>
        <w:rPr>
          <w:color w:val="000000"/>
          <w:sz w:val="24"/>
          <w:u w:val="single"/>
        </w:rPr>
        <w:t xml:space="preserve">）</w:t>
      </w:r>
      <w:r>
        <w:rPr>
          <w:color w:val="000000"/>
          <w:sz w:val="24"/>
        </w:rPr>
        <w:t xml:space="preserve">要求我单位履行违约赔偿义务的依据作用。</w:t>
      </w:r>
      <w:r/>
    </w:p>
    <w:p>
      <w:pPr>
        <w:jc w:val="left"/>
        <w:spacing w:line="360" w:lineRule="auto"/>
        <w:widowControl/>
        <w:rPr>
          <w:color w:val="000000"/>
          <w:sz w:val="24"/>
        </w:rPr>
      </w:pPr>
      <w:r>
        <w:rPr>
          <w:color w:val="000000"/>
          <w:sz w:val="24"/>
        </w:rPr>
        <w:t xml:space="preserve"> </w:t>
      </w:r>
      <w:r/>
    </w:p>
    <w:p>
      <w:pPr>
        <w:jc w:val="left"/>
        <w:spacing w:line="360" w:lineRule="auto"/>
        <w:widowControl/>
        <w:rPr>
          <w:color w:val="000000"/>
          <w:sz w:val="24"/>
        </w:rPr>
      </w:pPr>
      <w:r>
        <w:rPr>
          <w:rFonts w:hint="eastAsia"/>
          <w:color w:val="000000"/>
          <w:sz w:val="24"/>
        </w:rPr>
        <w:t xml:space="preserve">供</w:t>
      </w:r>
      <w:r>
        <w:rPr>
          <w:color w:val="000000"/>
          <w:sz w:val="24"/>
        </w:rPr>
        <w:t xml:space="preserve">应商签章：</w:t>
      </w:r>
      <w:r>
        <w:rPr>
          <w:color w:val="000000"/>
          <w:sz w:val="24"/>
          <w:u w:val="single"/>
        </w:rPr>
        <w:t xml:space="preserve">                      </w:t>
      </w:r>
      <w:r/>
    </w:p>
    <w:p>
      <w:pPr>
        <w:jc w:val="left"/>
        <w:spacing w:line="360" w:lineRule="auto"/>
        <w:widowControl/>
        <w:rPr>
          <w:color w:val="000000"/>
          <w:sz w:val="24"/>
        </w:rPr>
      </w:pPr>
      <w:r>
        <w:rPr>
          <w:color w:val="000000"/>
          <w:sz w:val="24"/>
        </w:rPr>
        <w:t xml:space="preserve">地址：</w:t>
      </w:r>
      <w:r>
        <w:rPr>
          <w:color w:val="000000"/>
          <w:sz w:val="24"/>
          <w:u w:val="single"/>
        </w:rPr>
        <w:t xml:space="preserve">                  </w:t>
      </w:r>
      <w:r/>
    </w:p>
    <w:p>
      <w:pPr>
        <w:jc w:val="left"/>
        <w:spacing w:line="360" w:lineRule="auto"/>
        <w:widowControl/>
        <w:rPr>
          <w:color w:val="000000"/>
          <w:sz w:val="24"/>
        </w:rPr>
      </w:pPr>
      <w:r>
        <w:rPr>
          <w:color w:val="000000"/>
          <w:sz w:val="24"/>
        </w:rPr>
        <w:t xml:space="preserve">电话：</w:t>
      </w:r>
      <w:r>
        <w:rPr>
          <w:color w:val="000000"/>
          <w:sz w:val="24"/>
          <w:u w:val="single"/>
        </w:rPr>
        <w:t xml:space="preserve">                     </w:t>
      </w:r>
      <w:r>
        <w:rPr>
          <w:color w:val="000000"/>
          <w:sz w:val="24"/>
        </w:rPr>
        <w:t xml:space="preserve">     </w:t>
      </w:r>
      <w:r/>
    </w:p>
    <w:p>
      <w:pPr>
        <w:jc w:val="left"/>
        <w:spacing w:line="360" w:lineRule="auto"/>
        <w:widowControl/>
        <w:rPr>
          <w:color w:val="000000"/>
          <w:sz w:val="24"/>
        </w:rPr>
      </w:pPr>
      <w:r>
        <w:rPr>
          <w:color w:val="000000"/>
          <w:sz w:val="24"/>
        </w:rPr>
        <w:t xml:space="preserve">传真：</w:t>
      </w:r>
      <w:r>
        <w:rPr>
          <w:color w:val="000000"/>
          <w:sz w:val="24"/>
          <w:u w:val="single"/>
        </w:rPr>
        <w:t xml:space="preserve">                      </w:t>
      </w:r>
      <w:r/>
    </w:p>
    <w:p>
      <w:pPr>
        <w:jc w:val="left"/>
        <w:spacing w:line="360" w:lineRule="auto"/>
        <w:widowControl/>
        <w:rPr>
          <w:color w:val="000000"/>
          <w:sz w:val="24"/>
        </w:rPr>
      </w:pPr>
      <w:r>
        <w:rPr>
          <w:color w:val="000000"/>
          <w:sz w:val="24"/>
        </w:rPr>
        <w:t xml:space="preserve">电子邮件：</w:t>
      </w:r>
      <w:r>
        <w:rPr>
          <w:color w:val="000000"/>
          <w:sz w:val="24"/>
          <w:u w:val="single"/>
        </w:rPr>
        <w:t xml:space="preserve">             </w:t>
      </w:r>
      <w:r>
        <w:rPr>
          <w:color w:val="000000"/>
          <w:sz w:val="24"/>
        </w:rPr>
        <w:t xml:space="preserve">                   </w:t>
      </w:r>
      <w:r/>
    </w:p>
    <w:p>
      <w:pPr>
        <w:jc w:val="left"/>
        <w:spacing w:line="360" w:lineRule="auto"/>
        <w:widowControl/>
        <w:rPr>
          <w:color w:val="000000"/>
          <w:sz w:val="24"/>
        </w:rPr>
      </w:pPr>
      <w:r>
        <w:rPr>
          <w:color w:val="000000"/>
          <w:sz w:val="24"/>
        </w:rPr>
        <w:t xml:space="preserve">邮编：</w:t>
      </w:r>
      <w:r>
        <w:rPr>
          <w:color w:val="000000"/>
          <w:sz w:val="24"/>
          <w:u w:val="single"/>
        </w:rPr>
        <w:t xml:space="preserve">                      </w:t>
      </w:r>
      <w:r/>
    </w:p>
    <w:p>
      <w:pPr>
        <w:jc w:val="left"/>
        <w:spacing w:line="360" w:lineRule="auto"/>
        <w:widowControl/>
        <w:rPr>
          <w:color w:val="000000"/>
          <w:sz w:val="24"/>
        </w:rPr>
      </w:pPr>
      <w:r>
        <w:rPr>
          <w:rFonts w:hint="eastAsia"/>
          <w:color w:val="000000"/>
          <w:sz w:val="24"/>
        </w:rPr>
        <w:t xml:space="preserve">供应商</w:t>
      </w:r>
      <w:r>
        <w:rPr>
          <w:color w:val="000000"/>
          <w:sz w:val="24"/>
        </w:rPr>
        <w:t xml:space="preserve">法定代表人或委托代理人(签字或签章)：</w:t>
      </w:r>
      <w:r>
        <w:rPr>
          <w:color w:val="000000"/>
          <w:sz w:val="24"/>
          <w:u w:val="single"/>
        </w:rPr>
        <w:t xml:space="preserve">                     </w:t>
      </w:r>
      <w:r/>
    </w:p>
    <w:p>
      <w:pPr>
        <w:jc w:val="left"/>
        <w:spacing w:line="360" w:lineRule="auto"/>
        <w:widowControl/>
        <w:rPr>
          <w:color w:val="000000"/>
          <w:sz w:val="24"/>
        </w:rPr>
      </w:pPr>
      <w:r>
        <w:rPr>
          <w:color w:val="000000"/>
          <w:sz w:val="24"/>
        </w:rPr>
        <w:t xml:space="preserve">日期：</w:t>
      </w:r>
      <w:r>
        <w:rPr>
          <w:color w:val="000000"/>
          <w:sz w:val="24"/>
          <w:u w:val="single"/>
        </w:rPr>
        <w:t xml:space="preserve">                    </w:t>
      </w:r>
      <w:r/>
    </w:p>
    <w:p>
      <w:pPr>
        <w:spacing w:line="360" w:lineRule="auto"/>
        <w:rPr>
          <w:b/>
          <w:color w:val="000000"/>
          <w:sz w:val="24"/>
        </w:rPr>
      </w:pPr>
      <w:r>
        <w:rPr>
          <w:b/>
          <w:color w:val="000000"/>
          <w:sz w:val="24"/>
        </w:rPr>
      </w:r>
      <w:r/>
    </w:p>
    <w:p>
      <w:pPr>
        <w:spacing w:line="360" w:lineRule="auto"/>
        <w:rPr>
          <w:b/>
          <w:color w:val="000000"/>
          <w:sz w:val="24"/>
        </w:rPr>
      </w:pPr>
      <w:r>
        <w:rPr>
          <w:b/>
          <w:color w:val="000000"/>
          <w:sz w:val="24"/>
        </w:rPr>
        <w:t xml:space="preserve">附件1</w:t>
      </w:r>
      <w:r>
        <w:rPr>
          <w:rFonts w:hint="eastAsia"/>
          <w:b/>
          <w:color w:val="000000"/>
          <w:sz w:val="24"/>
        </w:rPr>
        <w:t xml:space="preserve">5</w:t>
      </w:r>
      <w:r>
        <w:rPr>
          <w:b/>
          <w:color w:val="000000"/>
          <w:sz w:val="24"/>
        </w:rPr>
        <w:t xml:space="preserve">：其他相关资料</w:t>
      </w:r>
      <w:r>
        <w:rPr>
          <w:rFonts w:hint="eastAsia"/>
          <w:b/>
          <w:color w:val="000000"/>
          <w:sz w:val="24"/>
        </w:rPr>
        <w:t xml:space="preserve">供应商</w:t>
      </w:r>
      <w:r>
        <w:rPr>
          <w:b/>
          <w:color w:val="000000"/>
          <w:sz w:val="24"/>
        </w:rPr>
        <w:t xml:space="preserve">可自行编制。</w:t>
      </w:r>
      <w:r/>
    </w:p>
    <w:p>
      <w:pPr>
        <w:jc w:val="center"/>
        <w:spacing w:line="360" w:lineRule="auto"/>
        <w:rPr>
          <w:sz w:val="24"/>
        </w:rPr>
      </w:pPr>
      <w:r>
        <w:rPr>
          <w:sz w:val="24"/>
        </w:rPr>
        <w:t xml:space="preserve">（全文完）</w:t>
      </w:r>
      <w:r/>
    </w:p>
    <w:p>
      <w:pPr>
        <w:spacing w:line="360" w:lineRule="auto"/>
      </w:pPr>
      <w:r/>
      <w:r/>
    </w:p>
    <w:sectPr>
      <w:footerReference w:type="default" r:id="rId14"/>
      <w:footerReference w:type="first" r:id="rId15"/>
      <w:footnotePr/>
      <w:endnotePr/>
      <w:type w:val="nextPage"/>
      <w:pgSz w:w="11906" w:h="16838" w:orient="portrait"/>
      <w:pgMar w:top="1440" w:right="1797"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等线">
    <w:panose1 w:val="02010600030101010101"/>
  </w:font>
  <w:font w:name="Calibri">
    <w:panose1 w:val="020F0502020204030204"/>
  </w:font>
  <w:font w:name="sans-serif">
    <w:panose1 w:val="020B0503020202020204"/>
  </w:font>
  <w:font w:name="方正仿宋简体">
    <w:panose1 w:val="020B0503020202020204"/>
  </w:font>
  <w:font w:name="黑体">
    <w:panose1 w:val="02010609060101010101"/>
  </w:font>
  <w:font w:name="仿宋_GB2312">
    <w:panose1 w:val="02010609060101010101"/>
  </w:font>
  <w:font w:name="Courier New">
    <w:panose1 w:val="020703090202050204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rPr>
        <w:lang w:val="zh-CN"/>
      </w:rPr>
      <w:t xml:space="preserve"> </w:t>
    </w:r>
    <w:r/>
  </w:p>
  <w:p>
    <w:pPr>
      <w:pStyle w:val="11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rPr>
        <w:lang w:val="zh-CN"/>
      </w:rPr>
      <w:t xml:space="preserve"> </w:t>
    </w:r>
    <w:r/>
  </w:p>
  <w:p>
    <w:pPr>
      <w:pStyle w:val="11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rPr>
        <w:lang w:val="zh-CN"/>
      </w:rPr>
      <w:t xml:space="preserve"> </w:t>
    </w:r>
    <w:r/>
  </w:p>
  <w:p>
    <w:pPr>
      <w:pStyle w:val="11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ascii="宋体" w:hAnsi="宋体"/>
          <w:color w:val="000000"/>
        </w:rPr>
        <w:outlineLvl w:val="0"/>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ind w:firstLine="630"/>
        <w:rPr>
          <w:rFonts w:ascii="宋体" w:hAnsi="宋体"/>
          <w:color w:val="000000"/>
        </w:rPr>
        <w:outlineLvl w:val="0"/>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ind w:firstLine="630"/>
        <w:rPr>
          <w:rFonts w:ascii="宋体" w:hAnsi="宋体"/>
          <w:color w:val="000000"/>
        </w:rPr>
        <w:outlineLvl w:val="0"/>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ind w:firstLine="630"/>
        <w:rPr>
          <w:rFonts w:ascii="宋体" w:hAnsi="宋体"/>
        </w:rPr>
        <w:outlineLvl w:val="0"/>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0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9">
    <w:name w:val="Heading 1 Char"/>
    <w:basedOn w:val="916"/>
    <w:link w:val="907"/>
    <w:uiPriority w:val="9"/>
    <w:rPr>
      <w:rFonts w:ascii="Arial" w:hAnsi="Arial" w:eastAsia="Arial" w:cs="Arial"/>
      <w:sz w:val="40"/>
      <w:szCs w:val="40"/>
    </w:rPr>
  </w:style>
  <w:style w:type="character" w:styleId="870">
    <w:name w:val="Heading 2 Char"/>
    <w:basedOn w:val="916"/>
    <w:link w:val="908"/>
    <w:uiPriority w:val="9"/>
    <w:rPr>
      <w:rFonts w:ascii="Arial" w:hAnsi="Arial" w:eastAsia="Arial" w:cs="Arial"/>
      <w:sz w:val="34"/>
    </w:rPr>
  </w:style>
  <w:style w:type="character" w:styleId="871">
    <w:name w:val="Heading 3 Char"/>
    <w:basedOn w:val="916"/>
    <w:link w:val="909"/>
    <w:uiPriority w:val="9"/>
    <w:rPr>
      <w:rFonts w:ascii="Arial" w:hAnsi="Arial" w:eastAsia="Arial" w:cs="Arial"/>
      <w:sz w:val="30"/>
      <w:szCs w:val="30"/>
    </w:rPr>
  </w:style>
  <w:style w:type="character" w:styleId="872">
    <w:name w:val="Heading 4 Char"/>
    <w:basedOn w:val="916"/>
    <w:link w:val="910"/>
    <w:uiPriority w:val="9"/>
    <w:rPr>
      <w:rFonts w:ascii="Arial" w:hAnsi="Arial" w:eastAsia="Arial" w:cs="Arial"/>
      <w:b/>
      <w:bCs/>
      <w:sz w:val="26"/>
      <w:szCs w:val="26"/>
    </w:rPr>
  </w:style>
  <w:style w:type="character" w:styleId="873">
    <w:name w:val="Heading 5 Char"/>
    <w:basedOn w:val="916"/>
    <w:link w:val="911"/>
    <w:uiPriority w:val="9"/>
    <w:rPr>
      <w:rFonts w:ascii="Arial" w:hAnsi="Arial" w:eastAsia="Arial" w:cs="Arial"/>
      <w:b/>
      <w:bCs/>
      <w:sz w:val="24"/>
      <w:szCs w:val="24"/>
    </w:rPr>
  </w:style>
  <w:style w:type="character" w:styleId="874">
    <w:name w:val="Heading 6 Char"/>
    <w:basedOn w:val="916"/>
    <w:link w:val="912"/>
    <w:uiPriority w:val="9"/>
    <w:rPr>
      <w:rFonts w:ascii="Arial" w:hAnsi="Arial" w:eastAsia="Arial" w:cs="Arial"/>
      <w:b/>
      <w:bCs/>
      <w:sz w:val="22"/>
      <w:szCs w:val="22"/>
    </w:rPr>
  </w:style>
  <w:style w:type="character" w:styleId="875">
    <w:name w:val="Heading 7 Char"/>
    <w:basedOn w:val="916"/>
    <w:link w:val="913"/>
    <w:uiPriority w:val="9"/>
    <w:rPr>
      <w:rFonts w:ascii="Arial" w:hAnsi="Arial" w:eastAsia="Arial" w:cs="Arial"/>
      <w:b/>
      <w:bCs/>
      <w:i/>
      <w:iCs/>
      <w:sz w:val="22"/>
      <w:szCs w:val="22"/>
    </w:rPr>
  </w:style>
  <w:style w:type="character" w:styleId="876">
    <w:name w:val="Heading 8 Char"/>
    <w:basedOn w:val="916"/>
    <w:link w:val="914"/>
    <w:uiPriority w:val="9"/>
    <w:rPr>
      <w:rFonts w:ascii="Arial" w:hAnsi="Arial" w:eastAsia="Arial" w:cs="Arial"/>
      <w:i/>
      <w:iCs/>
      <w:sz w:val="22"/>
      <w:szCs w:val="22"/>
    </w:rPr>
  </w:style>
  <w:style w:type="character" w:styleId="877">
    <w:name w:val="Heading 9 Char"/>
    <w:basedOn w:val="916"/>
    <w:link w:val="915"/>
    <w:uiPriority w:val="9"/>
    <w:rPr>
      <w:rFonts w:ascii="Arial" w:hAnsi="Arial" w:eastAsia="Arial" w:cs="Arial"/>
      <w:i/>
      <w:iCs/>
      <w:sz w:val="21"/>
      <w:szCs w:val="21"/>
    </w:rPr>
  </w:style>
  <w:style w:type="character" w:styleId="878">
    <w:name w:val="Title Char"/>
    <w:basedOn w:val="916"/>
    <w:link w:val="942"/>
    <w:uiPriority w:val="10"/>
    <w:rPr>
      <w:sz w:val="48"/>
      <w:szCs w:val="48"/>
    </w:rPr>
  </w:style>
  <w:style w:type="character" w:styleId="879">
    <w:name w:val="Subtitle Char"/>
    <w:basedOn w:val="916"/>
    <w:link w:val="935"/>
    <w:uiPriority w:val="11"/>
    <w:rPr>
      <w:sz w:val="24"/>
      <w:szCs w:val="24"/>
    </w:rPr>
  </w:style>
  <w:style w:type="character" w:styleId="880">
    <w:name w:val="Quote Char"/>
    <w:link w:val="965"/>
    <w:uiPriority w:val="29"/>
    <w:rPr>
      <w:i/>
    </w:rPr>
  </w:style>
  <w:style w:type="character" w:styleId="881">
    <w:name w:val="Intense Quote Char"/>
    <w:link w:val="967"/>
    <w:uiPriority w:val="30"/>
    <w:rPr>
      <w:i/>
    </w:rPr>
  </w:style>
  <w:style w:type="character" w:styleId="882">
    <w:name w:val="Header Char"/>
    <w:basedOn w:val="916"/>
    <w:link w:val="932"/>
    <w:uiPriority w:val="99"/>
  </w:style>
  <w:style w:type="character" w:styleId="883">
    <w:name w:val="Caption Char"/>
    <w:basedOn w:val="920"/>
    <w:link w:val="931"/>
    <w:uiPriority w:val="99"/>
  </w:style>
  <w:style w:type="table" w:styleId="88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3">
    <w:name w:val="Footnote Text Char"/>
    <w:link w:val="936"/>
    <w:uiPriority w:val="99"/>
    <w:rPr>
      <w:sz w:val="18"/>
    </w:rPr>
  </w:style>
  <w:style w:type="character" w:styleId="904">
    <w:name w:val="Endnote Text Char"/>
    <w:link w:val="929"/>
    <w:uiPriority w:val="99"/>
    <w:rPr>
      <w:sz w:val="20"/>
    </w:rPr>
  </w:style>
  <w:style w:type="paragraph" w:styleId="905">
    <w:name w:val="TOC Heading"/>
    <w:uiPriority w:val="39"/>
    <w:unhideWhenUsed/>
  </w:style>
  <w:style w:type="paragraph" w:styleId="90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7">
    <w:name w:val="Heading 1"/>
    <w:basedOn w:val="906"/>
    <w:next w:val="906"/>
    <w:link w:val="952"/>
    <w:uiPriority w:val="9"/>
    <w:qFormat/>
    <w:pPr>
      <w:keepLines/>
      <w:keepNext/>
      <w:spacing w:before="480" w:after="200"/>
      <w:outlineLvl w:val="0"/>
    </w:pPr>
    <w:rPr>
      <w:rFonts w:ascii="Arial" w:hAnsi="Arial" w:eastAsia="Arial" w:cs="Arial"/>
      <w:sz w:val="40"/>
      <w:szCs w:val="40"/>
    </w:rPr>
  </w:style>
  <w:style w:type="paragraph" w:styleId="908">
    <w:name w:val="Heading 2"/>
    <w:basedOn w:val="906"/>
    <w:next w:val="906"/>
    <w:link w:val="953"/>
    <w:uiPriority w:val="9"/>
    <w:unhideWhenUsed/>
    <w:qFormat/>
    <w:pPr>
      <w:keepLines/>
      <w:keepNext/>
      <w:spacing w:before="360" w:after="200"/>
      <w:outlineLvl w:val="1"/>
    </w:pPr>
    <w:rPr>
      <w:rFonts w:ascii="Arial" w:hAnsi="Arial" w:eastAsia="Arial" w:cs="Arial"/>
      <w:sz w:val="34"/>
    </w:rPr>
  </w:style>
  <w:style w:type="paragraph" w:styleId="909">
    <w:name w:val="Heading 3"/>
    <w:basedOn w:val="906"/>
    <w:next w:val="906"/>
    <w:link w:val="954"/>
    <w:uiPriority w:val="9"/>
    <w:unhideWhenUsed/>
    <w:qFormat/>
    <w:pPr>
      <w:keepLines/>
      <w:keepNext/>
      <w:spacing w:before="320" w:after="200"/>
      <w:outlineLvl w:val="2"/>
    </w:pPr>
    <w:rPr>
      <w:rFonts w:ascii="Arial" w:hAnsi="Arial" w:eastAsia="Arial" w:cs="Arial"/>
      <w:sz w:val="30"/>
      <w:szCs w:val="30"/>
    </w:rPr>
  </w:style>
  <w:style w:type="paragraph" w:styleId="910">
    <w:name w:val="Heading 4"/>
    <w:basedOn w:val="906"/>
    <w:next w:val="906"/>
    <w:link w:val="955"/>
    <w:uiPriority w:val="9"/>
    <w:unhideWhenUsed/>
    <w:qFormat/>
    <w:pPr>
      <w:keepLines/>
      <w:keepNext/>
      <w:spacing w:before="320" w:after="200"/>
      <w:outlineLvl w:val="3"/>
    </w:pPr>
    <w:rPr>
      <w:rFonts w:ascii="Arial" w:hAnsi="Arial" w:eastAsia="Arial" w:cs="Arial"/>
      <w:b/>
      <w:bCs/>
      <w:sz w:val="26"/>
      <w:szCs w:val="26"/>
    </w:rPr>
  </w:style>
  <w:style w:type="paragraph" w:styleId="911">
    <w:name w:val="Heading 5"/>
    <w:basedOn w:val="906"/>
    <w:next w:val="906"/>
    <w:link w:val="956"/>
    <w:uiPriority w:val="9"/>
    <w:unhideWhenUsed/>
    <w:qFormat/>
    <w:pPr>
      <w:keepLines/>
      <w:keepNext/>
      <w:spacing w:before="320" w:after="200"/>
      <w:outlineLvl w:val="4"/>
    </w:pPr>
    <w:rPr>
      <w:rFonts w:ascii="Arial" w:hAnsi="Arial" w:eastAsia="Arial" w:cs="Arial"/>
      <w:b/>
      <w:bCs/>
      <w:sz w:val="24"/>
    </w:rPr>
  </w:style>
  <w:style w:type="paragraph" w:styleId="912">
    <w:name w:val="Heading 6"/>
    <w:basedOn w:val="906"/>
    <w:next w:val="906"/>
    <w:link w:val="957"/>
    <w:uiPriority w:val="9"/>
    <w:unhideWhenUsed/>
    <w:qFormat/>
    <w:pPr>
      <w:keepLines/>
      <w:keepNext/>
      <w:spacing w:before="320" w:after="200"/>
      <w:outlineLvl w:val="5"/>
    </w:pPr>
    <w:rPr>
      <w:rFonts w:ascii="Arial" w:hAnsi="Arial" w:eastAsia="Arial" w:cs="Arial"/>
      <w:b/>
      <w:bCs/>
      <w:sz w:val="22"/>
      <w:szCs w:val="22"/>
    </w:rPr>
  </w:style>
  <w:style w:type="paragraph" w:styleId="913">
    <w:name w:val="Heading 7"/>
    <w:basedOn w:val="906"/>
    <w:next w:val="906"/>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14">
    <w:name w:val="Heading 8"/>
    <w:basedOn w:val="906"/>
    <w:next w:val="906"/>
    <w:link w:val="959"/>
    <w:uiPriority w:val="9"/>
    <w:unhideWhenUsed/>
    <w:qFormat/>
    <w:pPr>
      <w:keepLines/>
      <w:keepNext/>
      <w:spacing w:before="320" w:after="200"/>
      <w:outlineLvl w:val="7"/>
    </w:pPr>
    <w:rPr>
      <w:rFonts w:ascii="Arial" w:hAnsi="Arial" w:eastAsia="Arial" w:cs="Arial"/>
      <w:i/>
      <w:iCs/>
      <w:sz w:val="22"/>
      <w:szCs w:val="22"/>
    </w:rPr>
  </w:style>
  <w:style w:type="paragraph" w:styleId="915">
    <w:name w:val="Heading 9"/>
    <w:basedOn w:val="906"/>
    <w:next w:val="906"/>
    <w:link w:val="960"/>
    <w:uiPriority w:val="9"/>
    <w:unhideWhenUsed/>
    <w:qFormat/>
    <w:pPr>
      <w:keepLines/>
      <w:keepNext/>
      <w:spacing w:before="320" w:after="200"/>
      <w:outlineLvl w:val="8"/>
    </w:pPr>
    <w:rPr>
      <w:rFonts w:ascii="Arial" w:hAnsi="Arial" w:eastAsia="Arial" w:cs="Arial"/>
      <w:i/>
      <w:iCs/>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toc 7"/>
    <w:basedOn w:val="906"/>
    <w:next w:val="906"/>
    <w:uiPriority w:val="39"/>
    <w:unhideWhenUsed/>
    <w:qFormat/>
    <w:pPr>
      <w:ind w:left="1701"/>
      <w:spacing w:after="57"/>
    </w:pPr>
  </w:style>
  <w:style w:type="paragraph" w:styleId="919">
    <w:name w:val="Normal Indent"/>
    <w:basedOn w:val="906"/>
    <w:uiPriority w:val="0"/>
    <w:qFormat/>
    <w:pPr>
      <w:ind w:firstLine="420"/>
      <w:jc w:val="left"/>
      <w:widowControl/>
    </w:pPr>
    <w:rPr>
      <w:rFonts w:eastAsia="楷体_GB2312"/>
      <w:sz w:val="24"/>
      <w:szCs w:val="20"/>
    </w:rPr>
  </w:style>
  <w:style w:type="paragraph" w:styleId="920">
    <w:name w:val="Caption"/>
    <w:basedOn w:val="906"/>
    <w:next w:val="9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1">
    <w:name w:val="annotation text"/>
    <w:basedOn w:val="906"/>
    <w:uiPriority w:val="99"/>
    <w:semiHidden/>
    <w:unhideWhenUsed/>
    <w:qFormat/>
    <w:pPr>
      <w:jc w:val="left"/>
    </w:pPr>
  </w:style>
  <w:style w:type="paragraph" w:styleId="922">
    <w:name w:val="Body Text"/>
    <w:basedOn w:val="906"/>
    <w:uiPriority w:val="0"/>
    <w:qFormat/>
    <w:pPr>
      <w:spacing w:after="120"/>
    </w:pPr>
    <w:rPr>
      <w:szCs w:val="20"/>
    </w:rPr>
  </w:style>
  <w:style w:type="paragraph" w:styleId="923">
    <w:name w:val="Body Text Indent"/>
    <w:basedOn w:val="906"/>
    <w:next w:val="924"/>
    <w:uiPriority w:val="0"/>
    <w:qFormat/>
    <w:pPr>
      <w:ind w:firstLine="560"/>
      <w:jc w:val="left"/>
      <w:spacing w:line="300" w:lineRule="auto"/>
    </w:pPr>
    <w:rPr>
      <w:sz w:val="28"/>
    </w:rPr>
  </w:style>
  <w:style w:type="paragraph" w:styleId="924">
    <w:name w:val="envelope return"/>
    <w:basedOn w:val="906"/>
    <w:uiPriority w:val="0"/>
    <w:qFormat/>
    <w:rPr>
      <w:rFonts w:ascii="Arial" w:hAnsi="Arial"/>
    </w:rPr>
  </w:style>
  <w:style w:type="paragraph" w:styleId="925">
    <w:name w:val="toc 5"/>
    <w:basedOn w:val="906"/>
    <w:next w:val="906"/>
    <w:uiPriority w:val="39"/>
    <w:unhideWhenUsed/>
    <w:qFormat/>
    <w:pPr>
      <w:ind w:left="1134"/>
      <w:spacing w:after="57"/>
    </w:pPr>
  </w:style>
  <w:style w:type="paragraph" w:styleId="926">
    <w:name w:val="toc 3"/>
    <w:basedOn w:val="906"/>
    <w:next w:val="906"/>
    <w:uiPriority w:val="39"/>
    <w:unhideWhenUsed/>
    <w:qFormat/>
    <w:pPr>
      <w:ind w:left="567"/>
      <w:spacing w:after="57"/>
    </w:pPr>
  </w:style>
  <w:style w:type="paragraph" w:styleId="927">
    <w:name w:val="Plain Text"/>
    <w:basedOn w:val="906"/>
    <w:uiPriority w:val="0"/>
    <w:qFormat/>
    <w:rPr>
      <w:rFonts w:ascii="宋体" w:hAnsi="Courier New" w:eastAsia="楷体_GB2312"/>
      <w:sz w:val="26"/>
    </w:rPr>
  </w:style>
  <w:style w:type="paragraph" w:styleId="928">
    <w:name w:val="toc 8"/>
    <w:basedOn w:val="906"/>
    <w:next w:val="906"/>
    <w:uiPriority w:val="39"/>
    <w:unhideWhenUsed/>
    <w:qFormat/>
    <w:pPr>
      <w:ind w:left="1984"/>
      <w:spacing w:after="57"/>
    </w:pPr>
  </w:style>
  <w:style w:type="paragraph" w:styleId="929">
    <w:name w:val="endnote text"/>
    <w:basedOn w:val="906"/>
    <w:link w:val="1098"/>
    <w:uiPriority w:val="99"/>
    <w:semiHidden/>
    <w:unhideWhenUsed/>
    <w:qFormat/>
    <w:rPr>
      <w:sz w:val="20"/>
    </w:rPr>
  </w:style>
  <w:style w:type="paragraph" w:styleId="930">
    <w:name w:val="Balloon Text"/>
    <w:basedOn w:val="906"/>
    <w:link w:val="1157"/>
    <w:uiPriority w:val="99"/>
    <w:semiHidden/>
    <w:unhideWhenUsed/>
    <w:qFormat/>
    <w:rPr>
      <w:sz w:val="18"/>
      <w:szCs w:val="18"/>
    </w:rPr>
  </w:style>
  <w:style w:type="paragraph" w:styleId="931">
    <w:name w:val="Footer"/>
    <w:basedOn w:val="906"/>
    <w:link w:val="971"/>
    <w:uiPriority w:val="99"/>
    <w:unhideWhenUsed/>
    <w:qFormat/>
    <w:pPr>
      <w:tabs>
        <w:tab w:val="center" w:pos="7143" w:leader="none"/>
        <w:tab w:val="right" w:pos="14287" w:leader="none"/>
      </w:tabs>
    </w:pPr>
  </w:style>
  <w:style w:type="paragraph" w:styleId="932">
    <w:name w:val="Header"/>
    <w:basedOn w:val="906"/>
    <w:link w:val="969"/>
    <w:uiPriority w:val="99"/>
    <w:unhideWhenUsed/>
    <w:qFormat/>
    <w:pPr>
      <w:tabs>
        <w:tab w:val="center" w:pos="7143" w:leader="none"/>
        <w:tab w:val="right" w:pos="14287" w:leader="none"/>
      </w:tabs>
    </w:pPr>
  </w:style>
  <w:style w:type="paragraph" w:styleId="933">
    <w:name w:val="toc 1"/>
    <w:basedOn w:val="906"/>
    <w:next w:val="906"/>
    <w:uiPriority w:val="39"/>
    <w:unhideWhenUsed/>
    <w:qFormat/>
    <w:pPr>
      <w:spacing w:after="57"/>
    </w:pPr>
  </w:style>
  <w:style w:type="paragraph" w:styleId="934">
    <w:name w:val="toc 4"/>
    <w:basedOn w:val="906"/>
    <w:next w:val="906"/>
    <w:uiPriority w:val="39"/>
    <w:unhideWhenUsed/>
    <w:qFormat/>
    <w:pPr>
      <w:ind w:left="850"/>
      <w:spacing w:after="57"/>
    </w:pPr>
  </w:style>
  <w:style w:type="paragraph" w:styleId="935">
    <w:name w:val="Subtitle"/>
    <w:basedOn w:val="906"/>
    <w:next w:val="906"/>
    <w:link w:val="964"/>
    <w:uiPriority w:val="11"/>
    <w:qFormat/>
    <w:pPr>
      <w:spacing w:before="200" w:after="200"/>
    </w:pPr>
    <w:rPr>
      <w:sz w:val="24"/>
    </w:rPr>
  </w:style>
  <w:style w:type="paragraph" w:styleId="936">
    <w:name w:val="footnote text"/>
    <w:basedOn w:val="906"/>
    <w:link w:val="1097"/>
    <w:uiPriority w:val="99"/>
    <w:semiHidden/>
    <w:unhideWhenUsed/>
    <w:qFormat/>
    <w:pPr>
      <w:spacing w:after="40"/>
    </w:pPr>
    <w:rPr>
      <w:sz w:val="18"/>
    </w:rPr>
  </w:style>
  <w:style w:type="paragraph" w:styleId="937">
    <w:name w:val="toc 6"/>
    <w:basedOn w:val="906"/>
    <w:next w:val="906"/>
    <w:uiPriority w:val="39"/>
    <w:unhideWhenUsed/>
    <w:qFormat/>
    <w:pPr>
      <w:ind w:left="1417"/>
      <w:spacing w:after="57"/>
    </w:pPr>
  </w:style>
  <w:style w:type="paragraph" w:styleId="938">
    <w:name w:val="table of figures"/>
    <w:basedOn w:val="906"/>
    <w:next w:val="906"/>
    <w:uiPriority w:val="99"/>
    <w:unhideWhenUsed/>
    <w:qFormat/>
  </w:style>
  <w:style w:type="paragraph" w:styleId="939">
    <w:name w:val="toc 2"/>
    <w:basedOn w:val="906"/>
    <w:next w:val="906"/>
    <w:uiPriority w:val="39"/>
    <w:unhideWhenUsed/>
    <w:qFormat/>
    <w:pPr>
      <w:ind w:left="283"/>
      <w:spacing w:after="57"/>
    </w:pPr>
  </w:style>
  <w:style w:type="paragraph" w:styleId="940">
    <w:name w:val="toc 9"/>
    <w:basedOn w:val="906"/>
    <w:next w:val="906"/>
    <w:uiPriority w:val="39"/>
    <w:unhideWhenUsed/>
    <w:qFormat/>
    <w:pPr>
      <w:ind w:left="2268"/>
      <w:spacing w:after="57"/>
    </w:pPr>
  </w:style>
  <w:style w:type="paragraph" w:styleId="941">
    <w:name w:val="Normal (Web)"/>
    <w:basedOn w:val="906"/>
    <w:uiPriority w:val="0"/>
    <w:qFormat/>
    <w:pPr>
      <w:jc w:val="left"/>
      <w:spacing w:before="100" w:beforeAutospacing="1" w:after="100" w:afterAutospacing="1"/>
      <w:widowControl/>
    </w:pPr>
    <w:rPr>
      <w:rFonts w:ascii="宋体" w:hAnsi="宋体" w:cs="宋体"/>
      <w:sz w:val="24"/>
    </w:rPr>
  </w:style>
  <w:style w:type="paragraph" w:styleId="942">
    <w:name w:val="Title"/>
    <w:basedOn w:val="906"/>
    <w:next w:val="906"/>
    <w:link w:val="963"/>
    <w:uiPriority w:val="10"/>
    <w:qFormat/>
    <w:pPr>
      <w:contextualSpacing/>
      <w:spacing w:before="300" w:after="200"/>
    </w:pPr>
    <w:rPr>
      <w:sz w:val="48"/>
      <w:szCs w:val="48"/>
    </w:rPr>
  </w:style>
  <w:style w:type="paragraph" w:styleId="943">
    <w:name w:val="Body Text First Indent 2"/>
    <w:basedOn w:val="923"/>
    <w:uiPriority w:val="0"/>
    <w:qFormat/>
    <w:pPr>
      <w:ind w:left="420" w:firstLine="210"/>
      <w:jc w:val="both"/>
      <w:spacing w:after="120" w:line="240" w:lineRule="auto"/>
    </w:pPr>
    <w:rPr>
      <w:rFonts w:eastAsia="仿宋_GB2312"/>
      <w:sz w:val="30"/>
    </w:rPr>
  </w:style>
  <w:style w:type="table" w:styleId="9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basedOn w:val="916"/>
    <w:uiPriority w:val="22"/>
    <w:qFormat/>
    <w:rPr>
      <w:b/>
      <w:bCs/>
    </w:rPr>
  </w:style>
  <w:style w:type="character" w:styleId="946">
    <w:name w:val="endnote reference"/>
    <w:uiPriority w:val="99"/>
    <w:semiHidden/>
    <w:unhideWhenUsed/>
    <w:qFormat/>
    <w:rPr>
      <w:vertAlign w:val="superscript"/>
    </w:rPr>
  </w:style>
  <w:style w:type="character" w:styleId="947">
    <w:name w:val="Hyperlink"/>
    <w:uiPriority w:val="99"/>
    <w:unhideWhenUsed/>
    <w:qFormat/>
    <w:rPr>
      <w:color w:val="0000ff" w:themeColor="hyperlink"/>
      <w:u w:val="single"/>
      <w14:textFill>
        <w14:solidFill>
          <w14:schemeClr w14:val="hlink"/>
        </w14:solidFill>
      </w14:textFill>
    </w:rPr>
  </w:style>
  <w:style w:type="character" w:styleId="948">
    <w:name w:val="footnote reference"/>
    <w:uiPriority w:val="99"/>
    <w:unhideWhenUsed/>
    <w:qFormat/>
    <w:rPr>
      <w:vertAlign w:val="superscript"/>
    </w:rPr>
  </w:style>
  <w:style w:type="paragraph" w:styleId="949" w:customStyle="1">
    <w:name w:val="正文文本缩进1"/>
    <w:basedOn w:val="906"/>
    <w:next w:val="950"/>
    <w:uiPriority w:val="0"/>
    <w:qFormat/>
    <w:pPr>
      <w:ind w:left="570"/>
      <w:spacing w:line="520" w:lineRule="exact"/>
    </w:pPr>
    <w:rPr>
      <w:rFonts w:ascii="方正仿宋简体" w:hAnsi="创艺简仿宋" w:eastAsia="方正仿宋简体"/>
      <w:sz w:val="24"/>
      <w:szCs w:val="20"/>
    </w:rPr>
  </w:style>
  <w:style w:type="paragraph" w:styleId="950" w:customStyle="1">
    <w:name w:val="寄信人地址1"/>
    <w:basedOn w:val="906"/>
    <w:uiPriority w:val="0"/>
    <w:qFormat/>
    <w:rPr>
      <w:rFonts w:ascii="Arial" w:hAnsi="Arial" w:eastAsia="楷体_GB2312"/>
      <w:sz w:val="26"/>
      <w:szCs w:val="20"/>
    </w:rPr>
  </w:style>
  <w:style w:type="paragraph" w:styleId="951" w:customStyle="1">
    <w:name w:val="段"/>
    <w:basedOn w:val="906"/>
    <w:next w:val="906"/>
    <w:uiPriority w:val="0"/>
    <w:qFormat/>
    <w:pPr>
      <w:ind w:firstLine="200"/>
      <w:widowControl/>
    </w:pPr>
    <w:rPr>
      <w:rFonts w:hint="eastAsia" w:ascii="宋体"/>
      <w:szCs w:val="22"/>
    </w:rPr>
  </w:style>
  <w:style w:type="character" w:styleId="952" w:customStyle="1">
    <w:name w:val="标题 1 字符"/>
    <w:link w:val="907"/>
    <w:uiPriority w:val="9"/>
    <w:qFormat/>
    <w:rPr>
      <w:rFonts w:ascii="Arial" w:hAnsi="Arial" w:eastAsia="Arial" w:cs="Arial"/>
      <w:sz w:val="40"/>
      <w:szCs w:val="40"/>
    </w:rPr>
  </w:style>
  <w:style w:type="character" w:styleId="953" w:customStyle="1">
    <w:name w:val="标题 2 字符"/>
    <w:link w:val="908"/>
    <w:uiPriority w:val="9"/>
    <w:qFormat/>
    <w:rPr>
      <w:rFonts w:ascii="Arial" w:hAnsi="Arial" w:eastAsia="Arial" w:cs="Arial"/>
      <w:sz w:val="34"/>
    </w:rPr>
  </w:style>
  <w:style w:type="character" w:styleId="954" w:customStyle="1">
    <w:name w:val="标题 3 字符"/>
    <w:link w:val="909"/>
    <w:uiPriority w:val="9"/>
    <w:qFormat/>
    <w:rPr>
      <w:rFonts w:ascii="Arial" w:hAnsi="Arial" w:eastAsia="Arial" w:cs="Arial"/>
      <w:sz w:val="30"/>
      <w:szCs w:val="30"/>
    </w:rPr>
  </w:style>
  <w:style w:type="character" w:styleId="955" w:customStyle="1">
    <w:name w:val="标题 4 字符"/>
    <w:link w:val="910"/>
    <w:uiPriority w:val="9"/>
    <w:qFormat/>
    <w:rPr>
      <w:rFonts w:ascii="Arial" w:hAnsi="Arial" w:eastAsia="Arial" w:cs="Arial"/>
      <w:b/>
      <w:bCs/>
      <w:sz w:val="26"/>
      <w:szCs w:val="26"/>
    </w:rPr>
  </w:style>
  <w:style w:type="character" w:styleId="956" w:customStyle="1">
    <w:name w:val="标题 5 字符"/>
    <w:link w:val="911"/>
    <w:uiPriority w:val="9"/>
    <w:qFormat/>
    <w:rPr>
      <w:rFonts w:ascii="Arial" w:hAnsi="Arial" w:eastAsia="Arial" w:cs="Arial"/>
      <w:b/>
      <w:bCs/>
      <w:sz w:val="24"/>
      <w:szCs w:val="24"/>
    </w:rPr>
  </w:style>
  <w:style w:type="character" w:styleId="957" w:customStyle="1">
    <w:name w:val="标题 6 字符"/>
    <w:link w:val="912"/>
    <w:uiPriority w:val="9"/>
    <w:qFormat/>
    <w:rPr>
      <w:rFonts w:ascii="Arial" w:hAnsi="Arial" w:eastAsia="Arial" w:cs="Arial"/>
      <w:b/>
      <w:bCs/>
      <w:sz w:val="22"/>
      <w:szCs w:val="22"/>
    </w:rPr>
  </w:style>
  <w:style w:type="character" w:styleId="958" w:customStyle="1">
    <w:name w:val="标题 7 字符"/>
    <w:link w:val="913"/>
    <w:uiPriority w:val="9"/>
    <w:qFormat/>
    <w:rPr>
      <w:rFonts w:ascii="Arial" w:hAnsi="Arial" w:eastAsia="Arial" w:cs="Arial"/>
      <w:b/>
      <w:bCs/>
      <w:i/>
      <w:iCs/>
      <w:sz w:val="22"/>
      <w:szCs w:val="22"/>
    </w:rPr>
  </w:style>
  <w:style w:type="character" w:styleId="959" w:customStyle="1">
    <w:name w:val="标题 8 字符"/>
    <w:link w:val="914"/>
    <w:uiPriority w:val="9"/>
    <w:qFormat/>
    <w:rPr>
      <w:rFonts w:ascii="Arial" w:hAnsi="Arial" w:eastAsia="Arial" w:cs="Arial"/>
      <w:i/>
      <w:iCs/>
      <w:sz w:val="22"/>
      <w:szCs w:val="22"/>
    </w:rPr>
  </w:style>
  <w:style w:type="character" w:styleId="960" w:customStyle="1">
    <w:name w:val="标题 9 字符"/>
    <w:link w:val="915"/>
    <w:uiPriority w:val="9"/>
    <w:qFormat/>
    <w:rPr>
      <w:rFonts w:ascii="Arial" w:hAnsi="Arial" w:eastAsia="Arial" w:cs="Arial"/>
      <w:i/>
      <w:iCs/>
      <w:sz w:val="21"/>
      <w:szCs w:val="21"/>
    </w:rPr>
  </w:style>
  <w:style w:type="paragraph" w:styleId="961">
    <w:name w:val="List Paragraph"/>
    <w:basedOn w:val="906"/>
    <w:uiPriority w:val="34"/>
    <w:qFormat/>
    <w:pPr>
      <w:contextualSpacing/>
      <w:ind w:left="720"/>
    </w:pPr>
  </w:style>
  <w:style w:type="paragraph" w:styleId="962">
    <w:name w:val="No Spacing"/>
    <w:uiPriority w:val="1"/>
    <w:qFormat/>
    <w:rPr>
      <w:rFonts w:ascii="Times New Roman" w:hAnsi="Times New Roman" w:eastAsia="宋体" w:cs="Times New Roman"/>
      <w:lang w:val="en-US" w:eastAsia="zh-CN" w:bidi="ar-SA"/>
    </w:rPr>
  </w:style>
  <w:style w:type="character" w:styleId="963" w:customStyle="1">
    <w:name w:val="标题 字符"/>
    <w:link w:val="942"/>
    <w:uiPriority w:val="10"/>
    <w:qFormat/>
    <w:rPr>
      <w:sz w:val="48"/>
      <w:szCs w:val="48"/>
    </w:rPr>
  </w:style>
  <w:style w:type="character" w:styleId="964" w:customStyle="1">
    <w:name w:val="副标题 字符"/>
    <w:link w:val="935"/>
    <w:uiPriority w:val="11"/>
    <w:qFormat/>
    <w:rPr>
      <w:sz w:val="24"/>
      <w:szCs w:val="24"/>
    </w:rPr>
  </w:style>
  <w:style w:type="paragraph" w:styleId="965">
    <w:name w:val="Quote"/>
    <w:basedOn w:val="906"/>
    <w:next w:val="906"/>
    <w:link w:val="966"/>
    <w:uiPriority w:val="29"/>
    <w:qFormat/>
    <w:pPr>
      <w:ind w:left="720" w:right="720"/>
    </w:pPr>
    <w:rPr>
      <w:i/>
    </w:rPr>
  </w:style>
  <w:style w:type="character" w:styleId="966" w:customStyle="1">
    <w:name w:val="引用 字符"/>
    <w:link w:val="965"/>
    <w:uiPriority w:val="29"/>
    <w:qFormat/>
    <w:rPr>
      <w:i/>
    </w:rPr>
  </w:style>
  <w:style w:type="paragraph" w:styleId="967">
    <w:name w:val="Intense Quote"/>
    <w:basedOn w:val="906"/>
    <w:next w:val="906"/>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字符"/>
    <w:link w:val="967"/>
    <w:uiPriority w:val="30"/>
    <w:qFormat/>
    <w:rPr>
      <w:i/>
    </w:rPr>
  </w:style>
  <w:style w:type="character" w:styleId="969" w:customStyle="1">
    <w:name w:val="页眉 字符"/>
    <w:link w:val="932"/>
    <w:uiPriority w:val="99"/>
    <w:qFormat/>
  </w:style>
  <w:style w:type="character" w:styleId="970" w:customStyle="1">
    <w:name w:val="Footer Char"/>
    <w:uiPriority w:val="99"/>
    <w:qFormat/>
  </w:style>
  <w:style w:type="character" w:styleId="971" w:customStyle="1">
    <w:name w:val="页脚 字符"/>
    <w:link w:val="931"/>
    <w:uiPriority w:val="99"/>
    <w:qFormat/>
  </w:style>
  <w:style w:type="table" w:styleId="9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7" w:customStyle="1">
    <w:name w:val="脚注文本 字符"/>
    <w:link w:val="936"/>
    <w:uiPriority w:val="99"/>
    <w:qFormat/>
    <w:rPr>
      <w:sz w:val="18"/>
    </w:rPr>
  </w:style>
  <w:style w:type="character" w:styleId="1098" w:customStyle="1">
    <w:name w:val="尾注文本 字符"/>
    <w:link w:val="929"/>
    <w:uiPriority w:val="99"/>
    <w:qFormat/>
    <w:rPr>
      <w:sz w:val="20"/>
    </w:rPr>
  </w:style>
  <w:style w:type="paragraph" w:styleId="1099" w:customStyle="1">
    <w:name w:val="TOC 标题1"/>
    <w:uiPriority w:val="39"/>
    <w:unhideWhenUsed/>
    <w:qFormat/>
    <w:rPr>
      <w:rFonts w:ascii="Times New Roman" w:hAnsi="Times New Roman" w:eastAsia="宋体" w:cs="Times New Roman"/>
      <w:lang w:val="en-US" w:eastAsia="zh-CN" w:bidi="ar-SA"/>
    </w:rPr>
  </w:style>
  <w:style w:type="paragraph" w:styleId="1100" w:customStyle="1">
    <w:name w:val="标题 11"/>
    <w:basedOn w:val="906"/>
    <w:next w:val="906"/>
    <w:uiPriority w:val="9"/>
    <w:qFormat/>
    <w:pPr>
      <w:jc w:val="left"/>
      <w:keepLines/>
      <w:keepNext/>
      <w:outlineLvl w:val="0"/>
    </w:pPr>
    <w:rPr>
      <w:b/>
      <w:bCs/>
      <w:sz w:val="30"/>
      <w:szCs w:val="44"/>
    </w:rPr>
  </w:style>
  <w:style w:type="paragraph" w:styleId="1101" w:customStyle="1">
    <w:name w:val="标题 21"/>
    <w:basedOn w:val="906"/>
    <w:next w:val="906"/>
    <w:uiPriority w:val="0"/>
    <w:qFormat/>
    <w:pPr>
      <w:keepLines/>
      <w:keepNext/>
      <w:spacing w:before="260" w:after="260" w:line="413" w:lineRule="auto"/>
      <w:outlineLvl w:val="1"/>
    </w:pPr>
    <w:rPr>
      <w:rFonts w:ascii="Arial" w:hAnsi="Arial" w:eastAsia="黑体"/>
      <w:b/>
      <w:sz w:val="32"/>
    </w:rPr>
  </w:style>
  <w:style w:type="paragraph" w:styleId="1102" w:customStyle="1">
    <w:name w:val="标题 31"/>
    <w:basedOn w:val="906"/>
    <w:next w:val="906"/>
    <w:uiPriority w:val="9"/>
    <w:qFormat/>
    <w:pPr>
      <w:keepLines/>
      <w:keepNext/>
      <w:spacing w:before="120" w:after="120"/>
      <w:outlineLvl w:val="2"/>
    </w:pPr>
    <w:rPr>
      <w:b/>
      <w:bCs/>
      <w:sz w:val="28"/>
      <w:szCs w:val="32"/>
    </w:rPr>
  </w:style>
  <w:style w:type="paragraph" w:styleId="1103" w:customStyle="1">
    <w:name w:val="标题 41"/>
    <w:basedOn w:val="906"/>
    <w:next w:val="906"/>
    <w:uiPriority w:val="9"/>
    <w:qFormat/>
    <w:pPr>
      <w:keepLines/>
      <w:keepNext/>
      <w:spacing w:before="120" w:after="120"/>
      <w:outlineLvl w:val="3"/>
    </w:pPr>
    <w:rPr>
      <w:b/>
      <w:bCs/>
      <w:sz w:val="28"/>
      <w:szCs w:val="28"/>
    </w:rPr>
  </w:style>
  <w:style w:type="character" w:styleId="1104" w:customStyle="1">
    <w:name w:val="默认段落字体1"/>
    <w:uiPriority w:val="0"/>
    <w:semiHidden/>
    <w:qFormat/>
  </w:style>
  <w:style w:type="table" w:styleId="1105" w:customStyle="1">
    <w:name w:val="普通表格1"/>
    <w:uiPriority w:val="0"/>
    <w:semiHidden/>
    <w:qFormat/>
    <w:tblPr>
      <w:tblCellMar>
        <w:left w:w="0" w:type="dxa"/>
        <w:top w:w="0" w:type="dxa"/>
        <w:right w:w="0" w:type="dxa"/>
        <w:bottom w:w="0" w:type="dxa"/>
      </w:tblCellMar>
    </w:tblPr>
  </w:style>
  <w:style w:type="paragraph" w:styleId="1106" w:customStyle="1">
    <w:name w:val="正文缩进1"/>
    <w:basedOn w:val="906"/>
    <w:uiPriority w:val="0"/>
    <w:qFormat/>
    <w:pPr>
      <w:ind w:firstLine="420"/>
      <w:jc w:val="left"/>
    </w:pPr>
    <w:rPr>
      <w:rFonts w:eastAsia="楷体_GB2312"/>
      <w:sz w:val="24"/>
      <w:szCs w:val="20"/>
    </w:rPr>
  </w:style>
  <w:style w:type="paragraph" w:styleId="1107" w:customStyle="1">
    <w:name w:val="列表项目符号1"/>
    <w:basedOn w:val="1100"/>
    <w:next w:val="906"/>
    <w:uiPriority w:val="0"/>
    <w:qFormat/>
    <w:pPr>
      <w:numPr>
        <w:ilvl w:val="0"/>
        <w:numId w:val="1"/>
      </w:numPr>
    </w:pPr>
  </w:style>
  <w:style w:type="paragraph" w:styleId="1108" w:customStyle="1">
    <w:name w:val="文档结构图1"/>
    <w:basedOn w:val="906"/>
    <w:uiPriority w:val="0"/>
    <w:semiHidden/>
    <w:qFormat/>
    <w:pPr>
      <w:shd w:val="clear" w:color="auto" w:fill="000080"/>
    </w:pPr>
  </w:style>
  <w:style w:type="paragraph" w:styleId="1109" w:customStyle="1">
    <w:name w:val="批注文字1"/>
    <w:basedOn w:val="906"/>
    <w:next w:val="906"/>
    <w:uiPriority w:val="0"/>
    <w:qFormat/>
    <w:pPr>
      <w:jc w:val="left"/>
    </w:pPr>
  </w:style>
  <w:style w:type="paragraph" w:styleId="1110" w:customStyle="1">
    <w:name w:val="正文文本1"/>
    <w:basedOn w:val="906"/>
    <w:uiPriority w:val="0"/>
    <w:qFormat/>
    <w:pPr>
      <w:spacing w:after="120"/>
    </w:pPr>
  </w:style>
  <w:style w:type="paragraph" w:styleId="1111" w:customStyle="1">
    <w:name w:val="正文文本缩进111"/>
    <w:basedOn w:val="906"/>
    <w:next w:val="1112"/>
    <w:uiPriority w:val="0"/>
    <w:qFormat/>
    <w:pPr>
      <w:ind w:firstLine="560"/>
      <w:jc w:val="left"/>
      <w:spacing w:line="300" w:lineRule="auto"/>
    </w:pPr>
    <w:rPr>
      <w:rFonts w:eastAsia="Times New Roman"/>
      <w:sz w:val="28"/>
    </w:rPr>
  </w:style>
  <w:style w:type="paragraph" w:styleId="1112" w:customStyle="1">
    <w:name w:val="寄信人地址11"/>
    <w:basedOn w:val="906"/>
    <w:uiPriority w:val="0"/>
    <w:qFormat/>
    <w:rPr>
      <w:rFonts w:ascii="Arial" w:hAnsi="Arial"/>
    </w:rPr>
  </w:style>
  <w:style w:type="paragraph" w:styleId="1113" w:customStyle="1">
    <w:name w:val="文本块1"/>
    <w:basedOn w:val="906"/>
    <w:uiPriority w:val="0"/>
    <w:qFormat/>
    <w:pPr>
      <w:ind w:left="630" w:right="-609" w:firstLine="420"/>
      <w:spacing w:line="360" w:lineRule="auto"/>
    </w:pPr>
    <w:rPr>
      <w:rFonts w:hint="eastAsia" w:ascii="仿宋_GB2312" w:eastAsia="仿宋_GB2312"/>
      <w:szCs w:val="20"/>
    </w:rPr>
  </w:style>
  <w:style w:type="paragraph" w:styleId="1114" w:customStyle="1">
    <w:name w:val="纯文本11"/>
    <w:basedOn w:val="906"/>
    <w:uiPriority w:val="0"/>
    <w:qFormat/>
    <w:pPr>
      <w:jc w:val="left"/>
      <w:widowControl/>
    </w:pPr>
    <w:rPr>
      <w:rFonts w:ascii="宋体" w:hAnsi="Courier New" w:eastAsia="楷体_GB2312"/>
      <w:sz w:val="26"/>
    </w:rPr>
  </w:style>
  <w:style w:type="paragraph" w:styleId="1115" w:customStyle="1">
    <w:name w:val="列表项目符号 51"/>
    <w:basedOn w:val="906"/>
    <w:uiPriority w:val="0"/>
    <w:qFormat/>
    <w:pPr>
      <w:numPr>
        <w:ilvl w:val="0"/>
        <w:numId w:val="2"/>
      </w:numPr>
    </w:pPr>
  </w:style>
  <w:style w:type="paragraph" w:styleId="1116" w:customStyle="1">
    <w:name w:val="正文文本缩进 21"/>
    <w:basedOn w:val="906"/>
    <w:next w:val="1117"/>
    <w:uiPriority w:val="0"/>
    <w:qFormat/>
    <w:pPr>
      <w:ind w:firstLine="540"/>
      <w:spacing w:line="360" w:lineRule="auto"/>
    </w:pPr>
    <w:rPr>
      <w:rFonts w:ascii="宋体" w:hAnsi="宋体"/>
      <w:sz w:val="24"/>
    </w:rPr>
  </w:style>
  <w:style w:type="paragraph" w:styleId="1117" w:customStyle="1">
    <w:name w:val="索引 91"/>
    <w:basedOn w:val="906"/>
    <w:next w:val="906"/>
    <w:uiPriority w:val="0"/>
    <w:semiHidden/>
    <w:qFormat/>
    <w:pPr>
      <w:ind w:left="1600"/>
    </w:pPr>
  </w:style>
  <w:style w:type="paragraph" w:styleId="1118" w:customStyle="1">
    <w:name w:val="页脚11"/>
    <w:basedOn w:val="906"/>
    <w:uiPriority w:val="0"/>
    <w:qFormat/>
    <w:pPr>
      <w:jc w:val="left"/>
      <w:tabs>
        <w:tab w:val="center" w:pos="4153" w:leader="none"/>
        <w:tab w:val="right" w:pos="8306" w:leader="none"/>
      </w:tabs>
    </w:pPr>
    <w:rPr>
      <w:sz w:val="18"/>
      <w:szCs w:val="18"/>
    </w:rPr>
  </w:style>
  <w:style w:type="paragraph" w:styleId="1119" w:customStyle="1">
    <w:name w:val="页眉11"/>
    <w:basedOn w:val="9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120" w:customStyle="1">
    <w:name w:val="目录 11"/>
    <w:basedOn w:val="906"/>
    <w:next w:val="906"/>
    <w:uiPriority w:val="0"/>
    <w:semiHidden/>
    <w:qFormat/>
    <w:pPr>
      <w:jc w:val="left"/>
    </w:pPr>
    <w:rPr>
      <w:rFonts w:eastAsia="楷体_GB2312"/>
      <w:sz w:val="24"/>
      <w:szCs w:val="20"/>
    </w:rPr>
  </w:style>
  <w:style w:type="paragraph" w:styleId="1121" w:customStyle="1">
    <w:name w:val="正文文本缩进 31"/>
    <w:basedOn w:val="906"/>
    <w:uiPriority w:val="0"/>
    <w:qFormat/>
    <w:pPr>
      <w:ind w:firstLine="480"/>
      <w:jc w:val="left"/>
      <w:spacing w:line="440" w:lineRule="atLeast"/>
    </w:pPr>
    <w:rPr>
      <w:sz w:val="24"/>
    </w:rPr>
  </w:style>
  <w:style w:type="paragraph" w:styleId="1122" w:customStyle="1">
    <w:name w:val="正文文本 21"/>
    <w:basedOn w:val="1100"/>
    <w:next w:val="1107"/>
    <w:uiPriority w:val="0"/>
    <w:qFormat/>
    <w:pPr>
      <w:ind w:firstLine="1024"/>
      <w:spacing w:after="120" w:line="480" w:lineRule="auto"/>
    </w:pPr>
  </w:style>
  <w:style w:type="paragraph" w:styleId="1123" w:customStyle="1">
    <w:name w:val="普通(网站)11"/>
    <w:basedOn w:val="906"/>
    <w:uiPriority w:val="99"/>
    <w:qFormat/>
    <w:pPr>
      <w:jc w:val="left"/>
      <w:spacing w:beforeAutospacing="1" w:afterAutospacing="1"/>
    </w:pPr>
    <w:rPr>
      <w:sz w:val="24"/>
    </w:rPr>
  </w:style>
  <w:style w:type="paragraph" w:styleId="1124" w:customStyle="1">
    <w:name w:val="正文首行缩进1"/>
    <w:basedOn w:val="906"/>
    <w:uiPriority w:val="0"/>
    <w:qFormat/>
    <w:pPr>
      <w:ind w:firstLine="420"/>
      <w:tabs>
        <w:tab w:val="left" w:pos="5250" w:leader="none"/>
      </w:tabs>
    </w:pPr>
  </w:style>
  <w:style w:type="paragraph" w:styleId="1125" w:customStyle="1">
    <w:name w:val="正文首行缩进 211"/>
    <w:basedOn w:val="1111"/>
    <w:uiPriority w:val="0"/>
    <w:qFormat/>
    <w:pPr>
      <w:ind w:left="420" w:firstLine="420"/>
      <w:spacing w:before="100" w:beforeAutospacing="1" w:after="120" w:line="240" w:lineRule="auto"/>
    </w:pPr>
  </w:style>
  <w:style w:type="table" w:styleId="1126" w:customStyle="1">
    <w:name w:val="网格型1"/>
    <w:basedOn w:val="1105"/>
    <w:uiPriority w:val="39"/>
    <w:qFormat/>
    <w:tblPr/>
  </w:style>
  <w:style w:type="character" w:styleId="1127" w:customStyle="1">
    <w:name w:val="要点1"/>
    <w:uiPriority w:val="0"/>
    <w:qFormat/>
    <w:rPr>
      <w:rFonts w:ascii="Calibri" w:hAnsi="Calibri" w:eastAsia="宋体" w:cs="Times New Roman"/>
      <w:b/>
    </w:rPr>
  </w:style>
  <w:style w:type="character" w:styleId="1128" w:customStyle="1">
    <w:name w:val="页码11"/>
    <w:uiPriority w:val="0"/>
    <w:qFormat/>
  </w:style>
  <w:style w:type="character" w:styleId="1129" w:customStyle="1">
    <w:name w:val="已访问的超链接1"/>
    <w:uiPriority w:val="0"/>
    <w:qFormat/>
    <w:rPr>
      <w:color w:val="333333"/>
      <w:u w:val="none"/>
    </w:rPr>
  </w:style>
  <w:style w:type="character" w:styleId="1130" w:customStyle="1">
    <w:name w:val="强调1"/>
    <w:uiPriority w:val="0"/>
    <w:qFormat/>
  </w:style>
  <w:style w:type="character" w:styleId="1131" w:customStyle="1">
    <w:name w:val="超链接1"/>
    <w:uiPriority w:val="0"/>
    <w:qFormat/>
    <w:rPr>
      <w:color w:val="333333"/>
      <w:u w:val="none"/>
    </w:rPr>
  </w:style>
  <w:style w:type="character" w:styleId="1132" w:customStyle="1">
    <w:name w:val="批注引用1"/>
    <w:uiPriority w:val="0"/>
    <w:qFormat/>
    <w:rPr>
      <w:sz w:val="20"/>
    </w:rPr>
  </w:style>
  <w:style w:type="paragraph" w:styleId="1133" w:customStyle="1">
    <w:name w:val="目录 51"/>
    <w:next w:val="906"/>
    <w:uiPriority w:val="0"/>
    <w:qFormat/>
    <w:pPr>
      <w:ind w:left="1275"/>
      <w:jc w:val="both"/>
    </w:pPr>
    <w:rPr>
      <w:rFonts w:ascii="Times New Roman" w:hAnsi="Times New Roman" w:eastAsia="宋体" w:cs="Times New Roman"/>
      <w:sz w:val="21"/>
      <w:lang w:val="en-US" w:eastAsia="zh-CN" w:bidi="ar-SA"/>
    </w:rPr>
  </w:style>
  <w:style w:type="paragraph" w:styleId="1134" w:customStyle="1">
    <w:name w:val="正文首行缩进 21"/>
    <w:basedOn w:val="949"/>
    <w:uiPriority w:val="0"/>
    <w:qFormat/>
    <w:pPr>
      <w:ind w:firstLine="420"/>
    </w:pPr>
    <w:rPr>
      <w:rFonts w:eastAsia="楷体_GB2312"/>
      <w:sz w:val="28"/>
    </w:rPr>
  </w:style>
  <w:style w:type="character" w:styleId="1135" w:customStyle="1">
    <w:name w:val="NormalCharacter1"/>
    <w:uiPriority w:val="99"/>
    <w:semiHidden/>
    <w:qFormat/>
  </w:style>
  <w:style w:type="character" w:styleId="1136" w:customStyle="1">
    <w:name w:val="页码1"/>
    <w:uiPriority w:val="0"/>
    <w:qFormat/>
  </w:style>
  <w:style w:type="paragraph" w:styleId="1137" w:customStyle="1">
    <w:name w:val="列出段落1"/>
    <w:basedOn w:val="906"/>
    <w:uiPriority w:val="0"/>
    <w:qFormat/>
    <w:pPr>
      <w:ind w:firstLine="420"/>
    </w:pPr>
    <w:rPr>
      <w:rFonts w:ascii="等线" w:hAnsi="等线" w:eastAsia="等线"/>
      <w:sz w:val="24"/>
    </w:rPr>
  </w:style>
  <w:style w:type="paragraph" w:styleId="1138" w:customStyle="1">
    <w:name w:val="修订1"/>
    <w:uiPriority w:val="99"/>
    <w:unhideWhenUsed/>
    <w:qFormat/>
    <w:rPr>
      <w:rFonts w:ascii="Times New Roman" w:hAnsi="Times New Roman" w:eastAsia="宋体" w:cs="Times New Roman"/>
      <w:sz w:val="21"/>
      <w:szCs w:val="24"/>
      <w:lang w:val="en-US" w:eastAsia="zh-CN" w:bidi="ar-SA"/>
    </w:rPr>
  </w:style>
  <w:style w:type="paragraph" w:styleId="1139" w:customStyle="1">
    <w:name w:val="纯文本4"/>
    <w:basedOn w:val="906"/>
    <w:uiPriority w:val="0"/>
    <w:qFormat/>
    <w:rPr>
      <w:rFonts w:ascii="宋体" w:hAnsi="Courier New" w:eastAsia="楷体_GB2312"/>
      <w:sz w:val="26"/>
      <w:szCs w:val="20"/>
    </w:rPr>
  </w:style>
  <w:style w:type="paragraph" w:styleId="1140" w:customStyle="1">
    <w:name w:val="Andy_正文"/>
    <w:basedOn w:val="906"/>
    <w:uiPriority w:val="0"/>
    <w:qFormat/>
    <w:pPr>
      <w:ind w:firstLine="480"/>
      <w:spacing w:line="360" w:lineRule="auto"/>
    </w:pPr>
    <w:rPr>
      <w:rFonts w:ascii="Calibri" w:hAnsi="Calibri"/>
      <w:sz w:val="24"/>
    </w:rPr>
  </w:style>
  <w:style w:type="paragraph" w:styleId="1141" w:customStyle="1">
    <w:name w:val="纯文本1"/>
    <w:basedOn w:val="906"/>
    <w:uiPriority w:val="0"/>
    <w:qFormat/>
    <w:rPr>
      <w:rFonts w:ascii="宋体" w:hAnsi="Courier New"/>
    </w:rPr>
  </w:style>
  <w:style w:type="paragraph" w:styleId="1142" w:customStyle="1">
    <w:name w:val="样式 正文文本缩进 + 首行缩进:  2 字符 行距: 1.5 倍行距"/>
    <w:basedOn w:val="1111"/>
    <w:uiPriority w:val="0"/>
    <w:qFormat/>
    <w:pPr>
      <w:ind w:firstLine="482"/>
      <w:spacing w:before="156"/>
    </w:pPr>
    <w:rPr>
      <w:rFonts w:cs="宋体"/>
      <w:b/>
    </w:rPr>
  </w:style>
  <w:style w:type="paragraph" w:styleId="1143" w:customStyle="1">
    <w:name w:val="纯文本2"/>
    <w:basedOn w:val="906"/>
    <w:uiPriority w:val="0"/>
    <w:qFormat/>
    <w:rPr>
      <w:rFonts w:ascii="宋体" w:hAnsi="Courier New"/>
    </w:rPr>
  </w:style>
  <w:style w:type="paragraph" w:styleId="1144"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1145" w:customStyle="1">
    <w:name w:val="表文字"/>
    <w:basedOn w:val="906"/>
    <w:next w:val="906"/>
    <w:uiPriority w:val="0"/>
    <w:qFormat/>
    <w:rPr>
      <w:rFonts w:ascii="宋体" w:hAnsi="宋体"/>
    </w:rPr>
  </w:style>
  <w:style w:type="paragraph" w:styleId="1146" w:customStyle="1">
    <w:name w:val="列表段落1"/>
    <w:basedOn w:val="906"/>
    <w:uiPriority w:val="34"/>
    <w:qFormat/>
    <w:pPr>
      <w:ind w:firstLine="420"/>
    </w:pPr>
  </w:style>
  <w:style w:type="paragraph" w:styleId="1147" w:customStyle="1">
    <w:name w:val="xl91"/>
    <w:basedOn w:val="1100"/>
    <w:next w:val="1148"/>
    <w:uiPriority w:val="0"/>
    <w:qFormat/>
    <w:pPr>
      <w:ind w:firstLine="3584"/>
      <w:spacing w:before="280" w:after="280"/>
    </w:pPr>
  </w:style>
  <w:style w:type="paragraph" w:styleId="1148" w:customStyle="1">
    <w:name w:val="xl76"/>
    <w:basedOn w:val="1100"/>
    <w:next w:val="1122"/>
    <w:uiPriority w:val="0"/>
    <w:qFormat/>
    <w:pPr>
      <w:ind w:firstLine="3584"/>
      <w:jc w:val="center"/>
      <w:spacing w:before="280" w:after="280"/>
    </w:pPr>
  </w:style>
  <w:style w:type="paragraph" w:styleId="1149" w:customStyle="1">
    <w:name w:val="普通(网站)1"/>
    <w:basedOn w:val="906"/>
    <w:uiPriority w:val="0"/>
    <w:qFormat/>
    <w:pPr>
      <w:jc w:val="left"/>
      <w:spacing w:before="100" w:beforeAutospacing="1" w:after="100" w:afterAutospacing="1"/>
      <w:widowControl/>
    </w:pPr>
    <w:rPr>
      <w:rFonts w:ascii="宋体" w:hAnsi="宋体" w:cs="宋体"/>
      <w:sz w:val="24"/>
    </w:rPr>
  </w:style>
  <w:style w:type="paragraph" w:styleId="1150" w:customStyle="1">
    <w:name w:val="首行缩进"/>
    <w:basedOn w:val="906"/>
    <w:uiPriority w:val="0"/>
    <w:qFormat/>
    <w:pPr>
      <w:ind w:firstLine="480"/>
    </w:pPr>
    <w:rPr>
      <w:lang w:val="zh-CN"/>
    </w:rPr>
  </w:style>
  <w:style w:type="paragraph" w:styleId="1151" w:customStyle="1">
    <w:name w:val="正文文本缩进11"/>
    <w:basedOn w:val="906"/>
    <w:next w:val="1133"/>
    <w:uiPriority w:val="0"/>
    <w:qFormat/>
    <w:pPr>
      <w:ind w:left="420"/>
      <w:spacing w:after="120"/>
    </w:pPr>
    <w:rPr>
      <w:szCs w:val="21"/>
    </w:rPr>
  </w:style>
  <w:style w:type="paragraph" w:styleId="1152" w:customStyle="1">
    <w:name w:val="页眉1"/>
    <w:uiPriority w:val="0"/>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153" w:customStyle="1">
    <w:name w:val="页脚1"/>
    <w:uiPriority w:val="0"/>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154" w:customStyle="1">
    <w:name w:val="列出段落2"/>
    <w:uiPriority w:val="34"/>
    <w:qFormat/>
    <w:pPr>
      <w:ind w:firstLine="420"/>
      <w:jc w:val="both"/>
      <w:widowControl w:val="off"/>
    </w:pPr>
    <w:rPr>
      <w:rFonts w:ascii="Calibri" w:hAnsi="Calibri" w:eastAsia="宋体" w:cs="Times New Roman"/>
      <w:sz w:val="21"/>
      <w:lang w:val="en-US" w:eastAsia="zh-CN" w:bidi="ar-SA"/>
    </w:rPr>
  </w:style>
  <w:style w:type="paragraph" w:styleId="115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56" w:customStyle="1">
    <w:name w:val="纯文本3"/>
    <w:basedOn w:val="906"/>
    <w:uiPriority w:val="0"/>
    <w:qFormat/>
    <w:rPr>
      <w:rFonts w:ascii="宋体" w:hAnsi="Courier New" w:eastAsia="楷体_GB2312"/>
      <w:sz w:val="26"/>
    </w:rPr>
  </w:style>
  <w:style w:type="character" w:styleId="1157" w:customStyle="1">
    <w:name w:val="批注框文本 字符"/>
    <w:basedOn w:val="916"/>
    <w:link w:val="930"/>
    <w:uiPriority w:val="99"/>
    <w:semiHidden/>
    <w:qFormat/>
    <w:rPr>
      <w:sz w:val="18"/>
      <w:szCs w:val="18"/>
    </w:rPr>
  </w:style>
  <w:style w:type="paragraph" w:styleId="1158" w:customStyle="1">
    <w:name w:val="纯文本5"/>
    <w:basedOn w:val="906"/>
    <w:uiPriority w:val="0"/>
    <w:qFormat/>
    <w:rPr>
      <w:rFonts w:ascii="宋体" w:hAnsi="Courier New" w:eastAsia="楷体_GB2312"/>
      <w:sz w:val="26"/>
      <w:szCs w:val="26"/>
    </w:rPr>
  </w:style>
  <w:style w:type="paragraph" w:styleId="1159"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张晓雯</cp:lastModifiedBy>
  <cp:revision>4</cp:revision>
  <dcterms:created xsi:type="dcterms:W3CDTF">2026-04-18T19:32:00Z</dcterms:created>
  <dcterms:modified xsi:type="dcterms:W3CDTF">2026-04-21T01:29:00Z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eyJoZGlkIjoiMzE3YmZkYzVjYzJjMDlhNzkzZDIyNTVkZTBkOTA1NDMiLCJ1c2VySWQiOiIyNTI2ODgxNTEifQ==</vt:lpwstr>
  </property>
  <property fmtid="{D5CDD505-2E9C-101B-9397-08002B2CF9AE}" pid="3" name="KSOProductBuildVer">
    <vt:lpwstr>2052-12.1.0.25225</vt:lpwstr>
  </property>
  <property fmtid="{D5CDD505-2E9C-101B-9397-08002B2CF9AE}" pid="4" name="ICV">
    <vt:lpwstr>BB2A40568AD74630A53AD1332CAC6EF8_13</vt:lpwstr>
  </property>
</Properties>
</file>