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ind w:firstLine="0"/>
        <w:jc w:val="center"/>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r>
      <w:r/>
    </w:p>
    <w:p>
      <w:pPr>
        <w:pStyle w:val="961"/>
        <w:ind w:firstLine="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eastAsia="zh-CN"/>
        </w:rPr>
        <w:t xml:space="preserve">灌云县高新区高级中学实验室设备项目</w:t>
      </w:r>
      <w:r>
        <w:rPr>
          <w:rFonts w:hint="eastAsia" w:ascii="宋体" w:hAnsi="宋体" w:eastAsia="宋体" w:cs="宋体"/>
          <w:b/>
          <w:bCs/>
          <w:color w:val="auto"/>
          <w:sz w:val="44"/>
          <w:szCs w:val="44"/>
          <w:highlight w:val="none"/>
        </w:rPr>
        <w:t xml:space="preserve">（专门面向中小企业）</w:t>
      </w:r>
      <w:r/>
    </w:p>
    <w:p>
      <w:pPr>
        <w:pStyle w:val="961"/>
        <w:ind w:firstLine="0"/>
        <w:jc w:val="left"/>
        <w:rPr>
          <w:rFonts w:hint="eastAsia" w:ascii="宋体" w:hAnsi="宋体" w:eastAsia="宋体" w:cs="宋体"/>
          <w:b/>
          <w:bCs/>
          <w:color w:val="auto"/>
          <w:sz w:val="72"/>
          <w:szCs w:val="22"/>
          <w:highlight w:val="none"/>
        </w:rPr>
      </w:pPr>
      <w:r>
        <w:rPr>
          <w:rFonts w:hint="eastAsia" w:ascii="宋体" w:hAnsi="宋体" w:eastAsia="宋体" w:cs="宋体"/>
          <w:b/>
          <w:bCs/>
          <w:color w:val="auto"/>
          <w:sz w:val="72"/>
          <w:szCs w:val="22"/>
          <w:highlight w:val="none"/>
        </w:rPr>
      </w:r>
      <w:r/>
    </w:p>
    <w:p>
      <w:pPr>
        <w:pStyle w:val="961"/>
        <w:ind w:firstLine="0"/>
        <w:jc w:val="center"/>
        <w:rPr>
          <w:rFonts w:hint="eastAsia" w:ascii="宋体" w:hAnsi="宋体" w:eastAsia="宋体" w:cs="宋体"/>
          <w:b/>
          <w:bCs/>
          <w:color w:val="auto"/>
          <w:sz w:val="72"/>
          <w:szCs w:val="22"/>
          <w:highlight w:val="none"/>
        </w:rPr>
      </w:pPr>
      <w:r>
        <w:rPr>
          <w:rFonts w:hint="eastAsia" w:ascii="宋体" w:hAnsi="宋体" w:eastAsia="宋体" w:cs="宋体"/>
          <w:b/>
          <w:bCs/>
          <w:color w:val="auto"/>
          <w:sz w:val="72"/>
          <w:szCs w:val="22"/>
          <w:highlight w:val="none"/>
        </w:rPr>
        <w:t xml:space="preserve">招标文件</w:t>
      </w:r>
      <w:r/>
    </w:p>
    <w:p>
      <w:pPr>
        <w:pStyle w:val="961"/>
        <w:ind w:left="0" w:firstLine="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bCs/>
          <w:color w:val="auto"/>
          <w:sz w:val="32"/>
          <w:szCs w:val="32"/>
          <w:highlight w:val="none"/>
        </w:rPr>
        <w:t xml:space="preserve">项目编号：JSZC-320723-HRGJ-G2026-0011</w:t>
      </w:r>
      <w:r/>
    </w:p>
    <w:p>
      <w:pPr>
        <w:pStyle w:val="961"/>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1"/>
        <w:ind w:left="0" w:firstLine="0"/>
        <w:jc w:val="both"/>
        <w:rPr>
          <w:rFonts w:hint="eastAsia" w:ascii="宋体" w:hAnsi="宋体" w:eastAsia="宋体" w:cs="宋体"/>
          <w:b/>
          <w:bCs/>
          <w:color w:val="auto"/>
          <w:sz w:val="32"/>
          <w:highlight w:val="none"/>
        </w:rPr>
        <w:outlineLvl w:val="0"/>
      </w:pPr>
      <w:r/>
      <w:bookmarkStart w:id="0" w:name="_Toc7719"/>
      <w:r/>
      <w:bookmarkStart w:id="1" w:name="_Toc10532"/>
      <w:r/>
      <w:bookmarkStart w:id="2" w:name="_Toc13903"/>
      <w:r/>
      <w:bookmarkStart w:id="3" w:name="_Toc17408"/>
      <w:r/>
      <w:r/>
    </w:p>
    <w:p>
      <w:pPr>
        <w:pStyle w:val="961"/>
        <w:ind w:left="0" w:firstLine="1606"/>
        <w:jc w:val="both"/>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rPr>
      </w:r>
      <w:r/>
    </w:p>
    <w:p>
      <w:pPr>
        <w:pStyle w:val="961"/>
        <w:jc w:val="both"/>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rPr>
      </w:r>
      <w:r/>
    </w:p>
    <w:p>
      <w:pPr>
        <w:pStyle w:val="961"/>
        <w:ind w:left="0" w:firstLine="1285"/>
        <w:jc w:val="both"/>
        <w:rPr>
          <w:rFonts w:hint="eastAsia" w:ascii="宋体" w:hAnsi="宋体" w:eastAsia="宋体" w:cs="宋体"/>
          <w:b/>
          <w:bCs/>
          <w:color w:val="auto"/>
          <w:sz w:val="32"/>
          <w:highlight w:val="none"/>
          <w:lang w:eastAsia="zh-CN"/>
        </w:rPr>
        <w:outlineLvl w:val="0"/>
      </w:pPr>
      <w:r>
        <w:rPr>
          <w:rFonts w:hint="eastAsia" w:ascii="宋体" w:hAnsi="宋体" w:eastAsia="宋体" w:cs="宋体"/>
          <w:b/>
          <w:bCs/>
          <w:color w:val="auto"/>
          <w:sz w:val="32"/>
          <w:highlight w:val="none"/>
          <w:lang w:val="en-US" w:eastAsia="zh-CN"/>
        </w:rPr>
        <w:t xml:space="preserve">采   购   </w:t>
      </w:r>
      <w:r>
        <w:rPr>
          <w:rFonts w:hint="eastAsia" w:ascii="宋体" w:hAnsi="宋体" w:eastAsia="宋体" w:cs="宋体"/>
          <w:b/>
          <w:bCs/>
          <w:color w:val="auto"/>
          <w:sz w:val="32"/>
          <w:highlight w:val="none"/>
        </w:rPr>
        <w:t xml:space="preserve">人：</w:t>
      </w:r>
      <w:bookmarkEnd w:id="0"/>
      <w:r/>
      <w:bookmarkEnd w:id="1"/>
      <w:r/>
      <w:bookmarkEnd w:id="2"/>
      <w:r/>
      <w:bookmarkEnd w:id="3"/>
      <w:r/>
      <w:bookmarkStart w:id="4" w:name="_Toc14767"/>
      <w:r/>
      <w:bookmarkStart w:id="5" w:name="_Toc17956"/>
      <w:r/>
      <w:bookmarkStart w:id="6" w:name="_Toc31270"/>
      <w:r/>
      <w:bookmarkStart w:id="7" w:name="_Toc25504"/>
      <w:r/>
      <w:bookmarkStart w:id="8" w:name="_Toc1689"/>
      <w:r/>
      <w:bookmarkStart w:id="9" w:name="_Toc1865"/>
      <w:r/>
      <w:bookmarkStart w:id="10" w:name="_Toc2460"/>
      <w:r/>
      <w:bookmarkStart w:id="11" w:name="_Toc931"/>
      <w:r>
        <w:rPr>
          <w:rFonts w:hint="eastAsia" w:ascii="宋体" w:hAnsi="宋体" w:eastAsia="宋体" w:cs="宋体"/>
          <w:b/>
          <w:bCs/>
          <w:color w:val="auto"/>
          <w:sz w:val="32"/>
          <w:highlight w:val="none"/>
          <w:lang w:eastAsia="zh-CN"/>
        </w:rPr>
        <w:t xml:space="preserve">灌云县教育局</w:t>
      </w:r>
      <w:r/>
    </w:p>
    <w:p>
      <w:pPr>
        <w:pStyle w:val="961"/>
        <w:jc w:val="center"/>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lang w:val="en-US" w:eastAsia="zh-CN"/>
        </w:rPr>
        <w:t xml:space="preserve">   采购</w:t>
      </w:r>
      <w:r>
        <w:rPr>
          <w:rFonts w:hint="eastAsia" w:ascii="宋体" w:hAnsi="宋体" w:eastAsia="宋体" w:cs="宋体"/>
          <w:b/>
          <w:bCs/>
          <w:color w:val="auto"/>
          <w:sz w:val="32"/>
          <w:highlight w:val="none"/>
        </w:rPr>
        <w:t xml:space="preserve">代理机构：</w:t>
      </w:r>
      <w:bookmarkEnd w:id="4"/>
      <w:r/>
      <w:bookmarkEnd w:id="5"/>
      <w:r/>
      <w:bookmarkEnd w:id="6"/>
      <w:r/>
      <w:bookmarkEnd w:id="7"/>
      <w:r/>
      <w:bookmarkEnd w:id="8"/>
      <w:r/>
      <w:bookmarkEnd w:id="9"/>
      <w:r/>
      <w:bookmarkEnd w:id="10"/>
      <w:r/>
      <w:bookmarkEnd w:id="11"/>
      <w:r>
        <w:rPr>
          <w:rFonts w:hint="eastAsia" w:ascii="宋体" w:hAnsi="宋体" w:eastAsia="宋体" w:cs="宋体"/>
          <w:b/>
          <w:bCs/>
          <w:color w:val="auto"/>
          <w:sz w:val="32"/>
          <w:highlight w:val="none"/>
        </w:rPr>
        <w:t xml:space="preserve">华瑞国际工程咨询集团有限公司</w:t>
      </w:r>
      <w:r/>
    </w:p>
    <w:p>
      <w:pPr>
        <w:pStyle w:val="961"/>
        <w:ind w:firstLine="0"/>
        <w:jc w:val="center"/>
        <w:rPr>
          <w:rFonts w:hint="eastAsia" w:ascii="宋体" w:hAnsi="宋体" w:eastAsia="宋体" w:cs="宋体"/>
          <w:b w:val="0"/>
          <w:color w:val="auto"/>
          <w:highlight w:val="none"/>
        </w:rPr>
      </w:pPr>
      <w:r>
        <w:rPr>
          <w:rFonts w:hint="eastAsia" w:ascii="宋体" w:hAnsi="宋体" w:eastAsia="宋体" w:cs="宋体"/>
          <w:b/>
          <w:bCs/>
          <w:color w:val="auto"/>
          <w:sz w:val="32"/>
          <w:highlight w:val="none"/>
          <w:lang w:val="en-US" w:eastAsia="zh-CN"/>
        </w:rPr>
        <w:t xml:space="preserve">2026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lang w:val="en-US" w:eastAsia="zh-CN"/>
        </w:rPr>
        <w:t xml:space="preserve">05</w:t>
      </w:r>
      <w:r>
        <w:rPr>
          <w:rFonts w:hint="eastAsia" w:ascii="宋体" w:hAnsi="宋体" w:eastAsia="宋体" w:cs="宋体"/>
          <w:b/>
          <w:bCs/>
          <w:color w:val="auto"/>
          <w:sz w:val="32"/>
          <w:highlight w:val="none"/>
        </w:rPr>
        <w:t xml:space="preserve">月</w:t>
      </w:r>
      <w:r>
        <w:rPr>
          <w:rFonts w:hint="eastAsia" w:ascii="宋体" w:hAnsi="宋体" w:eastAsia="宋体" w:cs="宋体"/>
          <w:b/>
          <w:bCs/>
          <w:color w:val="auto"/>
          <w:sz w:val="32"/>
          <w:highlight w:val="none"/>
          <w:lang w:val="en-US" w:eastAsia="zh-CN"/>
        </w:rPr>
        <w:t xml:space="preserve">09</w:t>
      </w:r>
      <w:r>
        <w:rPr>
          <w:rFonts w:hint="eastAsia" w:ascii="宋体" w:hAnsi="宋体" w:eastAsia="宋体" w:cs="宋体"/>
          <w:b/>
          <w:bCs/>
          <w:color w:val="auto"/>
          <w:sz w:val="32"/>
          <w:highlight w:val="none"/>
        </w:rPr>
        <w:t xml:space="preserve">日</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"1-1" \u </w:instrText>
      </w:r>
      <w:r>
        <w:rPr>
          <w:rFonts w:hint="eastAsia" w:ascii="宋体" w:hAnsi="宋体" w:eastAsia="宋体" w:cs="宋体"/>
          <w:color w:val="auto"/>
          <w:highlight w:val="none"/>
        </w:rPr>
        <w:fldChar w:fldCharType="separate"/>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目  录</w:t>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第一章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投标邀请</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_Toc155796356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3</w:t>
      </w:r>
      <w:r>
        <w:rPr>
          <w:rFonts w:hint="eastAsia" w:ascii="宋体" w:hAnsi="宋体" w:eastAsia="宋体" w:cs="宋体"/>
          <w:color w:val="auto"/>
          <w:sz w:val="32"/>
          <w:highlight w:val="none"/>
        </w:rPr>
        <w:fldChar w:fldCharType="end"/>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第二章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投标人须知</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_Toc155796357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6</w:t>
      </w:r>
      <w:r>
        <w:rPr>
          <w:rFonts w:hint="eastAsia" w:ascii="宋体" w:hAnsi="宋体" w:eastAsia="宋体" w:cs="宋体"/>
          <w:color w:val="auto"/>
          <w:sz w:val="32"/>
          <w:highlight w:val="none"/>
        </w:rPr>
        <w:fldChar w:fldCharType="end"/>
      </w:r>
      <w:r/>
    </w:p>
    <w:p>
      <w:pPr>
        <w:pStyle w:val="758"/>
        <w:ind w:left="0" w:right="0"/>
        <w:pageBreakBefore w:val="0"/>
        <w:spacing w:line="490" w:lineRule="exact"/>
        <w:tabs>
          <w:tab w:val="right" w:pos="8296" w:leader="dot"/>
        </w:tabs>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rPr>
        <w:t xml:space="preserve">第三章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合同文本</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23</w:t>
      </w:r>
      <w:r/>
    </w:p>
    <w:p>
      <w:pPr>
        <w:pStyle w:val="758"/>
        <w:ind w:left="0" w:right="0"/>
        <w:pageBreakBefore w:val="0"/>
        <w:spacing w:line="490" w:lineRule="exact"/>
        <w:tabs>
          <w:tab w:val="right" w:pos="8296" w:leader="dot"/>
        </w:tabs>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rPr>
        <w:t xml:space="preserve">第四章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采购需求</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44</w:t>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第五章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评标方法与评标标准</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_Toc155796360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207</w:t>
      </w:r>
      <w:r>
        <w:rPr>
          <w:rFonts w:hint="eastAsia" w:ascii="宋体" w:hAnsi="宋体" w:eastAsia="宋体" w:cs="宋体"/>
          <w:color w:val="auto"/>
          <w:sz w:val="32"/>
          <w:highlight w:val="none"/>
        </w:rPr>
        <w:fldChar w:fldCharType="end"/>
      </w:r>
      <w:r/>
    </w:p>
    <w:p>
      <w:pPr>
        <w:pStyle w:val="758"/>
        <w:ind w:left="0" w:right="0"/>
        <w:pageBreakBefore w:val="0"/>
        <w:spacing w:line="490" w:lineRule="exact"/>
        <w:tabs>
          <w:tab w:val="right" w:pos="8296" w:leader="dot"/>
        </w:tabs>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rPr>
        <w:t xml:space="preserve">第六章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投标文件格式</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211</w:t>
      </w:r>
      <w:r/>
    </w:p>
    <w:p>
      <w:pPr>
        <w:ind w:left="0" w:right="0"/>
        <w:jc w:val="left"/>
        <w:pageBreakBefore w:val="0"/>
        <w:spacing w:line="49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rPr>
          <w:rFonts w:hint="eastAsia" w:ascii="宋体" w:hAnsi="宋体" w:eastAsia="宋体" w:cs="宋体"/>
          <w:color w:val="auto"/>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bookmarkStart w:id="41" w:name="_GoBack"/>
      <w:r/>
      <w:bookmarkEnd w:id="41"/>
      <w:r/>
      <w:bookmarkStart w:id="12" w:name="_Toc155796356"/>
      <w:r/>
      <w:r/>
    </w:p>
    <w:p>
      <w:pPr>
        <w:pStyle w:val="731"/>
        <w:ind w:left="0" w:right="0"/>
        <w:jc w:val="center"/>
        <w:pageBreakBefore w:val="0"/>
        <w:spacing w:before="0" w:after="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第一章  投标邀请</w:t>
      </w:r>
      <w:bookmarkEnd w:id="12"/>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eastAsia="zh-CN"/>
        </w:rPr>
        <w:t xml:space="preserve">灌云县教育局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华瑞国际工程咨询集团有限公司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灌云县高新区高级中学实验室设备项目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JSZC-320723-HRGJ-G2026-0011</w:t>
      </w:r>
      <w:r>
        <w:rPr>
          <w:rFonts w:hint="eastAsia" w:ascii="宋体" w:hAnsi="宋体" w:eastAsia="宋体" w:cs="宋体"/>
          <w:color w:val="auto"/>
          <w:sz w:val="24"/>
          <w:szCs w:val="24"/>
          <w:highlight w:val="none"/>
        </w:rPr>
        <w:t xml:space="preserve">）进行公开招标采购，欢迎符合条件的</w:t>
      </w:r>
      <w:r>
        <w:rPr>
          <w:rFonts w:hint="eastAsia" w:ascii="宋体" w:hAnsi="宋体" w:eastAsia="宋体" w:cs="宋体"/>
          <w:color w:val="auto"/>
          <w:sz w:val="24"/>
          <w:szCs w:val="24"/>
          <w:highlight w:val="none"/>
          <w:lang w:eastAsia="zh-CN"/>
        </w:rPr>
        <w:t xml:space="preserve">投标人参与投标</w:t>
      </w:r>
      <w:r>
        <w:rPr>
          <w:rFonts w:hint="eastAsia" w:ascii="宋体" w:hAnsi="宋体" w:eastAsia="宋体" w:cs="宋体"/>
          <w:color w:val="auto"/>
          <w:sz w:val="24"/>
          <w:szCs w:val="24"/>
          <w:highlight w:val="none"/>
        </w:rPr>
        <w:t xml:space="preserve">。</w:t>
      </w:r>
      <w:r/>
    </w:p>
    <w:tbl>
      <w:tblPr>
        <w:tblStyle w:val="772"/>
        <w:tblW w:w="9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4"/>
      </w:tblGrid>
      <w:tr>
        <w:trPr>
          <w:trHeight w:val="1564"/>
        </w:trPr>
        <w:tc>
          <w:tcPr>
            <w:tcW w:w="9174" w:type="dxa"/>
            <w:textDirection w:val="lrTb"/>
            <w:noWrap w:val="false"/>
          </w:tcPr>
          <w:p>
            <w:pPr>
              <w:ind w:left="0" w:righ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灌云县高新区高级中学实验室设备项目</w:t>
            </w:r>
            <w:r>
              <w:rPr>
                <w:rFonts w:hint="eastAsia" w:ascii="宋体" w:hAnsi="宋体" w:eastAsia="宋体" w:cs="宋体"/>
                <w:color w:val="auto"/>
                <w:sz w:val="24"/>
                <w:szCs w:val="24"/>
                <w:highlight w:val="none"/>
              </w:rPr>
              <w:t xml:space="preserve">的潜在投标人应在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06</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02</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w:t>
            </w:r>
            <w:r>
              <w:rPr>
                <w:rFonts w:hint="eastAsia" w:ascii="宋体" w:hAnsi="宋体" w:eastAsia="宋体" w:cs="宋体"/>
                <w:color w:val="auto"/>
                <w:sz w:val="24"/>
                <w:szCs w:val="24"/>
                <w:highlight w:val="none"/>
                <w:u w:val="single"/>
                <w:lang w:eastAsia="zh-CN"/>
              </w:rPr>
              <w:t xml:space="preserve">分</w:t>
            </w:r>
            <w:r>
              <w:rPr>
                <w:rFonts w:hint="eastAsia" w:ascii="宋体" w:hAnsi="宋体" w:eastAsia="宋体" w:cs="宋体"/>
                <w:color w:val="auto"/>
                <w:sz w:val="24"/>
                <w:szCs w:val="24"/>
                <w:highlight w:val="none"/>
              </w:rPr>
              <w:t xml:space="preserve">（北京时间）前递交（上传）投标文件。</w:t>
            </w:r>
            <w:r/>
          </w:p>
        </w:tc>
      </w:tr>
    </w:tbl>
    <w:p>
      <w:pPr>
        <w:pStyle w:val="732"/>
        <w:ind w:left="0" w:right="0"/>
        <w:pageBreakBefore w:val="0"/>
        <w:spacing w:before="0" w:after="0" w:line="360" w:lineRule="auto"/>
        <w:widowControl w:val="off"/>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 xml:space="preserve">一、</w:t>
      </w:r>
      <w:r>
        <w:rPr>
          <w:rFonts w:hint="eastAsia" w:ascii="宋体" w:hAnsi="宋体" w:eastAsia="宋体" w:cs="宋体"/>
          <w:b/>
          <w:bCs w:val="0"/>
          <w:color w:val="auto"/>
          <w:sz w:val="28"/>
          <w:szCs w:val="28"/>
          <w:highlight w:val="none"/>
        </w:rPr>
        <w:t xml:space="preserve">项目基本情况</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JSZC-320723-HRGJ-G2026-0011</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灌云县高新区高级中学实验室设备项目</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b w:val="0"/>
          <w:bCs w:val="0"/>
          <w:color w:val="auto"/>
          <w:sz w:val="24"/>
          <w:szCs w:val="24"/>
          <w:highlight w:val="none"/>
          <w:lang w:val="en-US" w:eastAsia="zh-CN"/>
        </w:rPr>
        <w:t xml:space="preserve">7979566.30</w:t>
      </w:r>
      <w:r>
        <w:rPr>
          <w:rFonts w:hint="eastAsia" w:ascii="宋体" w:hAnsi="宋体" w:eastAsia="宋体" w:cs="宋体"/>
          <w:color w:val="auto"/>
          <w:sz w:val="24"/>
          <w:szCs w:val="24"/>
          <w:highlight w:val="none"/>
        </w:rPr>
        <w:t xml:space="preserve">元</w:t>
      </w:r>
      <w:r/>
    </w:p>
    <w:p>
      <w:pPr>
        <w:ind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本项目设定最高限价，最高限价为7979566.30元，投标报价超过最高限价的视为无效标。</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理化生实验室、准备室、仪器室等设备器材采购及运输、安装、调试；</w:t>
      </w:r>
      <w:r>
        <w:rPr>
          <w:rFonts w:hint="eastAsia" w:ascii="宋体" w:hAnsi="宋体" w:eastAsia="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详见第四章采购需求。</w:t>
      </w:r>
      <w:r/>
    </w:p>
    <w:p>
      <w:pPr>
        <w:ind w:righ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对本项目资格要求、采购需求、评标方法与评标标准等部分的询问、质疑请与</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联系，由</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负责答复。</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日内完成供货、安装、调试、验收合格并交付使用</w:t>
      </w:r>
      <w:r>
        <w:rPr>
          <w:rFonts w:hint="eastAsia" w:ascii="宋体" w:hAnsi="宋体" w:eastAsia="宋体" w:cs="宋体"/>
          <w:color w:val="auto"/>
          <w:sz w:val="24"/>
          <w:szCs w:val="24"/>
          <w:highlight w:val="none"/>
          <w:lang w:eastAsia="zh-CN"/>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rPr>
          <w:rFonts w:hint="eastAsia" w:ascii="宋体" w:hAnsi="宋体" w:eastAsia="宋体" w:cs="宋体"/>
          <w:color w:val="auto"/>
          <w:sz w:val="24"/>
          <w:szCs w:val="24"/>
          <w:highlight w:val="none"/>
          <w:lang w:eastAsia="zh-CN"/>
        </w:rPr>
        <w:t xml:space="preserve">。</w:t>
      </w:r>
      <w:r/>
    </w:p>
    <w:p>
      <w:pPr>
        <w:pStyle w:val="732"/>
        <w:ind w:left="0" w:right="0"/>
        <w:pageBreakBefore w:val="0"/>
        <w:spacing w:before="0" w:after="0" w:line="360" w:lineRule="auto"/>
        <w:widowControl w:val="off"/>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 xml:space="preserve">二、</w:t>
      </w:r>
      <w:r>
        <w:rPr>
          <w:rFonts w:hint="eastAsia" w:ascii="宋体" w:hAnsi="宋体" w:eastAsia="宋体" w:cs="宋体"/>
          <w:b/>
          <w:bCs w:val="0"/>
          <w:color w:val="auto"/>
          <w:sz w:val="28"/>
          <w:szCs w:val="28"/>
          <w:highlight w:val="none"/>
        </w:rPr>
        <w:t xml:space="preserve">申请人的资格要求</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满足《中华人民共和国政府采购法》第二十二条规定，并提供下列材料：</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具有良好的商业信誉和健全的财务会计制度；</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3.具有</w:t>
      </w:r>
      <w:r>
        <w:rPr>
          <w:rFonts w:hint="eastAsia" w:ascii="宋体" w:hAnsi="宋体" w:eastAsia="宋体" w:cs="宋体"/>
          <w:color w:val="auto"/>
          <w:sz w:val="24"/>
          <w:szCs w:val="24"/>
          <w:highlight w:val="none"/>
        </w:rPr>
        <w:t xml:space="preserve">依法缴纳税收和社会保障资金的相关材料；</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具备履行合同所必需的设备和专业技术能力的书面声明</w:t>
      </w:r>
      <w:r>
        <w:rPr>
          <w:rFonts w:hint="eastAsia" w:ascii="宋体" w:hAnsi="宋体" w:eastAsia="宋体" w:cs="宋体"/>
          <w:i w:val="0"/>
          <w:color w:val="auto"/>
          <w:sz w:val="24"/>
          <w:szCs w:val="24"/>
          <w:highlight w:val="none"/>
          <w:u w:val="none"/>
        </w:rPr>
        <w:t xml:space="preserve">及证明材料</w:t>
      </w:r>
      <w:r>
        <w:rPr>
          <w:rFonts w:hint="eastAsia" w:ascii="宋体" w:hAnsi="宋体" w:eastAsia="宋体" w:cs="宋体"/>
          <w:color w:val="auto"/>
          <w:sz w:val="24"/>
          <w:szCs w:val="24"/>
          <w:highlight w:val="none"/>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参加政府采购活动前三年内在经营活动中没有重大违法记录的书面声明；</w:t>
      </w:r>
      <w:r/>
    </w:p>
    <w:p>
      <w:pPr>
        <w:ind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根据连财购〔2023〕4号文件精神，第</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、3项可以提供《财务状况报告及税收、社会保障资金缴纳情况承诺函》，详见</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文件格式。</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落实政府采购政策需满足的资格要求：</w:t>
      </w:r>
      <w:r/>
    </w:p>
    <w:p>
      <w:pPr>
        <w:ind w:left="0" w:right="0" w:firstLine="480"/>
        <w:jc w:val="left"/>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本项目专门面向中型企业、小型企业、微型企业、残疾人福利性单位、监狱企业采购，符合要求的投标人须提供《中小企业声明函》（详见投标文件格式）或《残疾人福利性单位声明函》（详见投标文件格式）或属于监狱企业的证明文件，否则投标无效</w:t>
      </w:r>
      <w:r>
        <w:rPr>
          <w:rFonts w:hint="eastAsia" w:ascii="宋体" w:hAnsi="宋体" w:eastAsia="宋体" w:cs="宋体"/>
          <w:b/>
          <w:bCs/>
          <w:strike w:val="0"/>
          <w:color w:val="auto"/>
          <w:sz w:val="24"/>
          <w:szCs w:val="24"/>
          <w:highlight w:val="none"/>
          <w:lang w:eastAsia="zh-CN"/>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）本项目的特定资格要求：</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在“信用中国”网站（www.creditchina.gov.cn）查询，不存在被列入失信被执行人、重大税收违法失信主体名单、政府采购严重违法失信行为记录名单及其他不符合《中华人民共和国政府采购法》第二十二条规定条件的信用记录情形。（投标文件中无需提供证明材料）</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2.单位负责人为同一人或者存在直接控股、管理关系的不同投标人，不得参加同一合同项下的政府采购活动。</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3.若投标人法定代表人参与投标，则仅需提供法定代表人身份证；若授权代理人参与投标，则需提供企业法人委托书、授权人身份证、被授权人身份证</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4.本项目不接受进口产品（进口产品是指通过中国海关报关验放进入中国境内且产自关境外的产品）投标，中标后不允许分包或转包。</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三、获取招标文件</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时间：自招标文件公告发布之日起</w:t>
      </w:r>
      <w:r>
        <w:rPr>
          <w:rFonts w:hint="eastAsia" w:ascii="宋体" w:hAnsi="宋体" w:eastAsia="宋体" w:cs="宋体"/>
          <w:color w:val="auto"/>
          <w:sz w:val="24"/>
          <w:szCs w:val="24"/>
          <w:highlight w:val="none"/>
          <w:lang w:val="en-US" w:eastAsia="zh-CN"/>
        </w:rPr>
        <w:t xml:space="preserve">5个工作日</w:t>
      </w:r>
      <w:r>
        <w:rPr>
          <w:rFonts w:hint="eastAsia" w:ascii="宋体" w:hAnsi="宋体" w:eastAsia="宋体" w:cs="宋体"/>
          <w:color w:val="auto"/>
          <w:sz w:val="24"/>
          <w:szCs w:val="24"/>
          <w:highlight w:val="none"/>
          <w:lang w:eastAsia="zh-CN"/>
        </w:rPr>
        <w:t xml:space="preserve">。</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方式：在“江苏政府采购网”自行免费下载招标文件。</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四、提交投标文件截止时间、开标时间和地点</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1.提交投标文件截止时间：</w:t>
      </w:r>
      <w:r>
        <w:rPr>
          <w:rFonts w:hint="eastAsia" w:ascii="宋体" w:hAnsi="宋体" w:eastAsia="宋体" w:cs="宋体"/>
          <w:color w:val="auto"/>
          <w:sz w:val="24"/>
          <w:szCs w:val="24"/>
          <w:highlight w:val="none"/>
          <w:u w:val="none"/>
        </w:rPr>
        <w:t xml:space="preserve">202</w:t>
      </w:r>
      <w:r>
        <w:rPr>
          <w:rFonts w:hint="eastAsia" w:ascii="宋体" w:hAnsi="宋体" w:eastAsia="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none"/>
          <w:lang w:val="en-US" w:eastAsia="zh-CN"/>
        </w:rPr>
        <w:t xml:space="preserve">06</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none"/>
          <w:lang w:val="en-US" w:eastAsia="zh-CN"/>
        </w:rPr>
        <w:t xml:space="preserve">02</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none"/>
          <w:lang w:val="en-US" w:eastAsia="zh-CN"/>
        </w:rPr>
        <w:t xml:space="preserve">10点</w:t>
      </w:r>
      <w:r>
        <w:rPr>
          <w:rFonts w:hint="eastAsia" w:ascii="宋体" w:hAnsi="宋体" w:eastAsia="宋体" w:cs="宋体"/>
          <w:color w:val="auto"/>
          <w:sz w:val="24"/>
          <w:szCs w:val="24"/>
          <w:highlight w:val="none"/>
          <w:u w:val="none"/>
        </w:rPr>
        <w:t xml:space="preserve">00</w:t>
      </w:r>
      <w:r>
        <w:rPr>
          <w:rFonts w:hint="eastAsia" w:ascii="宋体" w:hAnsi="宋体" w:eastAsia="宋体" w:cs="宋体"/>
          <w:color w:val="auto"/>
          <w:sz w:val="24"/>
          <w:szCs w:val="24"/>
          <w:highlight w:val="none"/>
          <w:u w:val="none"/>
          <w:lang w:eastAsia="zh-CN"/>
        </w:rPr>
        <w:t xml:space="preserve">分</w:t>
      </w:r>
      <w:r>
        <w:rPr>
          <w:rFonts w:hint="eastAsia" w:ascii="宋体" w:hAnsi="宋体" w:eastAsia="宋体" w:cs="宋体"/>
          <w:color w:val="auto"/>
          <w:sz w:val="24"/>
          <w:szCs w:val="24"/>
          <w:highlight w:val="none"/>
        </w:rPr>
        <w:t xml:space="preserve">（北京时间）</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2.开标时间：同</w:t>
      </w:r>
      <w:r>
        <w:rPr>
          <w:rFonts w:hint="eastAsia" w:ascii="宋体" w:hAnsi="宋体" w:eastAsia="宋体" w:cs="宋体"/>
          <w:color w:val="auto"/>
          <w:sz w:val="24"/>
          <w:szCs w:val="24"/>
          <w:highlight w:val="none"/>
          <w:u w:val="none"/>
          <w:lang w:val="en-US" w:eastAsia="zh-CN"/>
        </w:rPr>
        <w:t xml:space="preserve">提交投标文件截止时间</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开标地点：“苏采云”政府采购交易系统网上开标大厅</w:t>
      </w:r>
      <w:r>
        <w:rPr>
          <w:rFonts w:hint="eastAsia" w:ascii="宋体" w:hAnsi="宋体" w:eastAsia="宋体" w:cs="宋体"/>
          <w:color w:val="auto"/>
          <w:sz w:val="24"/>
          <w:szCs w:val="24"/>
          <w:highlight w:val="none"/>
          <w:lang w:eastAsia="zh-CN"/>
        </w:rPr>
        <w:t xml:space="preserve">。</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五、公告期限</w:t>
      </w:r>
      <w:r/>
    </w:p>
    <w:p>
      <w:pPr>
        <w:ind w:firstLine="480"/>
        <w:jc w:val="left"/>
        <w:spacing w:line="360" w:lineRule="auto"/>
        <w:rPr>
          <w:rFonts w:hint="eastAsia" w:ascii="宋体" w:hAnsi="宋体" w:eastAsia="宋体" w:cs="宋体"/>
          <w:b/>
          <w:bCs w:val="0"/>
          <w:color w:val="auto"/>
          <w:sz w:val="28"/>
          <w:szCs w:val="28"/>
          <w:highlight w:val="none"/>
        </w:rPr>
      </w:pPr>
      <w:r>
        <w:rPr>
          <w:rFonts w:hint="eastAsia" w:ascii="宋体" w:hAnsi="宋体" w:eastAsia="宋体" w:cs="宋体"/>
          <w:color w:val="auto"/>
          <w:sz w:val="24"/>
          <w:szCs w:val="24"/>
          <w:highlight w:val="none"/>
        </w:rPr>
        <w:t xml:space="preserve">自本公告发布之日起5个工作日。</w:t>
      </w:r>
      <w:r/>
    </w:p>
    <w:p>
      <w:pPr>
        <w:ind w:firstLine="0"/>
        <w:jc w:val="left"/>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六、其他补充事宜</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2.本招标文件中标注★号的部分为实质性要求和条件，由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根据实际情况设置，投标人须逐条明确作出满足实质性要求和条件的响应，否则将按无效响应处理。</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及其委托的</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七、对本次招标提出询问，请按以下方式联系</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信息</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灌云县教育局</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地址：连云港</w:t>
      </w:r>
      <w:r>
        <w:rPr>
          <w:rFonts w:hint="eastAsia" w:ascii="宋体" w:hAnsi="宋体" w:eastAsia="宋体" w:cs="宋体"/>
          <w:color w:val="auto"/>
          <w:sz w:val="24"/>
          <w:szCs w:val="24"/>
          <w:highlight w:val="none"/>
          <w:lang w:eastAsia="zh-CN"/>
        </w:rPr>
        <w:t xml:space="preserve">市灌云县</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信息</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华瑞国际工程咨询集团有限公司</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地址：连云港市海州区海连东路9号商务大厦15楼</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朱工</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联系电话：15251212583</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谷主任</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0518-88822909</w:t>
      </w:r>
      <w:r/>
    </w:p>
    <w:p>
      <w:pPr>
        <w:ind w:left="0" w:right="0"/>
        <w:jc w:val="left"/>
        <w:pageBreakBefore w:val="0"/>
        <w:spacing w:line="490" w:lineRule="exact"/>
        <w:widowControl/>
        <w:rPr>
          <w:rFonts w:hint="eastAsia" w:ascii="宋体" w:hAnsi="宋体" w:eastAsia="宋体" w:cs="宋体"/>
          <w:bCs/>
          <w:color w:val="auto"/>
          <w:sz w:val="44"/>
          <w:szCs w:val="44"/>
          <w:highlight w:val="none"/>
        </w:rPr>
      </w:pPr>
      <w:r/>
      <w:bookmarkStart w:id="13" w:name="_Toc155796357"/>
      <w:r>
        <w:rPr>
          <w:rFonts w:hint="eastAsia" w:ascii="宋体" w:hAnsi="宋体" w:eastAsia="宋体" w:cs="宋体"/>
          <w:b/>
          <w:color w:val="auto"/>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第二章  投标人须知</w:t>
      </w:r>
      <w:bookmarkEnd w:id="13"/>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一、总则</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1、采购方式</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2、合格的投标人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满足招标公告中申请人的资格要求的规定。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满足本招标文件全部实质性要求和条件的规定。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符合上述条件的投标人应承担投标及履约过程应承担的全部责任与义务。</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3、适用法律</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4、投标费用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投标人应自行承担所有与参与投标有关的费用，无论投标过程中的做法和结果如何，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华瑞国际工程咨询集团有限公司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）在任何情况下均无义务和责任承担这些费用。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本项目的招标</w:t>
      </w:r>
      <w:r>
        <w:rPr>
          <w:rFonts w:hint="eastAsia" w:ascii="宋体" w:hAnsi="宋体" w:eastAsia="宋体" w:cs="宋体"/>
          <w:color w:val="auto"/>
          <w:sz w:val="24"/>
          <w:szCs w:val="24"/>
          <w:highlight w:val="none"/>
          <w:lang w:eastAsia="zh-CN"/>
        </w:rPr>
        <w:t xml:space="preserve">代理</w:t>
      </w:r>
      <w:r>
        <w:rPr>
          <w:rFonts w:hint="eastAsia" w:ascii="宋体" w:hAnsi="宋体" w:eastAsia="宋体" w:cs="宋体"/>
          <w:color w:val="auto"/>
          <w:sz w:val="24"/>
          <w:szCs w:val="24"/>
          <w:highlight w:val="none"/>
        </w:rPr>
        <w:t xml:space="preserve">服务费按“苏招协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002《江苏省招标代理服务收费指导价》”标准</w:t>
      </w:r>
      <w:r>
        <w:rPr>
          <w:rFonts w:hint="eastAsia" w:ascii="宋体" w:hAnsi="宋体" w:eastAsia="宋体" w:cs="宋体"/>
          <w:color w:val="auto"/>
          <w:sz w:val="24"/>
          <w:szCs w:val="24"/>
          <w:highlight w:val="none"/>
          <w:lang w:val="en-US" w:eastAsia="zh-CN"/>
        </w:rPr>
        <w:t xml:space="preserve">收费的37%计取；由</w:t>
      </w:r>
      <w:r>
        <w:rPr>
          <w:rFonts w:hint="eastAsia" w:ascii="宋体" w:hAnsi="宋体" w:eastAsia="宋体" w:cs="宋体"/>
          <w:color w:val="auto"/>
          <w:sz w:val="24"/>
          <w:szCs w:val="24"/>
          <w:highlight w:val="none"/>
        </w:rPr>
        <w:t xml:space="preserve">中标人在领取中标通知书时一次性支付；投标单位须将此部分费用综合考虑在投标报价中，不得单列。</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5、招标文件的约束力</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投标人一旦参与本项目采购活动，即被认为接受了本招标文件的规定和约束。</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二、招标文件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6、招标文件的构成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7、招标文件的澄清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任何要求对招标文件进行澄清的投标人，应在投标截止时间十日前按招标公告中的通讯地址，以书面形式通知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8、招标文件的修改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可以对招标文件进行修改。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有权按照法定的要求推迟投标截止时间和开标时间。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三、投标文件编制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9、投标文件编写注意事项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对招标文件提出的实质性要求和条件作出响应是指投标人必须对招标文件中标明实质性要求和条件的技术参数等内容逐条作出满足原要求和条件的响应。</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10、投标文件的语言及度量衡单位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11、投标文件的构成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如投标文件制作工具中格式和内容与江苏政府采购网发布的招标文件不一致，请以江苏政府采购网发布的招标文件为准。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特别提醒投标人，混乱的编排导致投标文件被误读或评标委员会（以下简称评委会）查找不到有效文件是投标人的风险。</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12、证明投标人及投标标的符合招标文件规定的文件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投标人应按照招标文件要求提交证明文件，证明其及投标标的符合招标文件规定。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招标文件对证明文件无明确形式要求的，证明文件可以以文字资料、图纸和数据等形式提交。</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733"/>
        <w:ind w:left="0" w:right="0" w:firstLine="562"/>
        <w:jc w:val="left"/>
        <w:pageBreakBefore w:val="0"/>
        <w:spacing w:before="0" w:after="0" w:line="480" w:lineRule="exact"/>
        <w:widowControl w:val="off"/>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13、投标分项报价表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（1）投标的货物总价；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（2）货物的标准附件、备品备件、专用工具、运输、装卸等各种费用；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（3）必要的保险费用和各项税金；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（4）投标总价要求包含安装维保费用。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投标人应根据投标报价要求在投标分项报价表中列明各项投标单价、总价等，未全部列示的作无效响应处理。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投标文件中的单价和总价无特殊规定的采用人民币报价，以元为单位标注。招标文件中另有规定的按规定执行。</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14、技术要求响应及偏离表、商务要求响应及偏离表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15、服务承诺、培训计划、人员安排及其他</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投标人应根据招标文件要求提供培训计划、人员安排等。</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16、投标函和开标一览表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投标人应按照招标文件提供的格式完整、正确填写投标函、开标一览表。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17、投标有效期</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投标有效期为招标文件规定的开标之日后六十（60）天。投标有效期比规定短的将被视为未实质性响应招标文件而予以拒绝。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在特殊情况下，</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四、投标文件递交</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18、电子投标文件的递交</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投标人应当按照《操作手册》规定，在投标截止时间前制作并递交（上传）电子投标文件。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19、投标截止时间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20、投标文件的拒收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拒绝接收在招标文件规定的投标截止时间后递交（上传）的任何投标文件。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21、投标文件的撤回和修改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在投标截止时间至招标文件规定的投标有效期满之间的这段时间内，投标人不得撤回其投标。</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五、开标与评标</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22、开标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将在招标公告中规定的时间和地点组织公开开标。投标人应当按时参加开标活动，并在“苏采云”系统规定的时间内对其投标文件进行解密。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 投标人在开标、评标全过程中应保持通讯畅通，及时登录“苏采云”系统查阅、答复相关信息，并安排专人与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及评委会联系。</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23、评标委员会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将组织评委会进行评标。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代表和有关技术、经济等方面的评审专家组成，且人员构成符合政府采购有关规定。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规定的评审程序、评审方法和评审标准进行独立评审并确定中标候选人。</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24、评标过程的保密与公正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、评审专家、</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均不得向投标人或与评标无关的其他人员透露。</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和评委会不向未中标的投标人解释未中标原因，也不公布评标过程中的相关细节。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25、投标文件的澄清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评委会并非对每个投标人都提出澄清、说明或者补正要求。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进行澄清、说明或者补正的，评委会将通过“苏采云”系统向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发出“澄清要求函”，接到“澄清要求函”的投标人应当按照要求在“苏采云”系统中提交“澄清响应函”，并加盖CA电子公章。澄清、说明或者补正的内容作为投标文件的补充部分，具体操作方法见《操作手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接到评委会澄清、说明或者补正要求的投标人如未按要求响应，其风险由投标人自行承担。</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26、对投标文件的初审</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投标文件初审分为资格审查和符合性审查。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（1）资格审查：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依据法律法规和招标文件的规定，对投标文件中的资格证明文件进行审查。资格审查的结论，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以书面形式向评委会进行反馈。</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在进行资格审查的同时，将在信用中国网站查询投标人的信用记录，以确定投标人是否具备投标资格，查询结果留存并归档。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的身份共同参与政府采购活动的，联合体成员中任何一方存在不良信用记录的，视同联合体存在不良信用记录。</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未通过资格审查或符合性审查的投标人，将通过“苏采云”系统中告知其未通过的原因，评审结束后，将不再告知。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如果投标文件实质上没有响应招标文件的要求，评委会将予以拒绝，投标人不得通过修改或撤销不符合要求的偏离或保留而使其投标成为实质性响应的投标。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非单一产品采购项目，招标文件中将载明核心产品。多家投标人提供的核心产品品牌相同的，按前两款规定处理。</w:t>
      </w:r>
      <w:r/>
    </w:p>
    <w:p>
      <w:pPr>
        <w:ind w:left="0" w:right="-315" w:firstLine="482"/>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26.7 异常低价投标审查</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（一）政府采购评审中出现下列情形之一的，评审委员会应当启动异常低价投标审查程序：</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1.投标报价低于全部通过符合性审查供应商投标报价平均值65%的，即投标报价&lt;全部通过符合性审查供应商投标报价平均值×65%；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2.投标报价低于通过符合性审查的次低报价供应商投标报价65%的，即投标报价&lt;通过符合性审查的次低报价供应商投标报价×65%；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3.投标报价低于采购项目最高限价65%的，即投标报价&lt;采购项目最高限价×65%；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4.评审委员会基于专业判断，认为供应商报价过低，有可能影响产品质量或者不能诚信履约的其他情形。</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27、无效投标条款和废标条款</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无效投标条款：</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 投标人在苏采云系统规定的时间内未成功解密电子投标文件的。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.1.2 投标人未按照招标文件要求上传电子投标文件的。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.1.3 投标人同一采购包提交两个（含两个）以上不同的投标报价的。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.1.4投标人不具备招标文件中规定资格要求的。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.1.5投标人的报价超过了采购预算或最高限价的。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.1.6未通过符合性审查的。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.1.7不符合招标文件中规定的实质性要求的（本招标文件中斜体且有下划线部分或加★号条款为实质性要求）</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.1.8 投标人被 “信用中国”网站列入失信被执行人、重大税收违法失信主体名单、政府采购严重违法失信行为记录名单。或查询“信用中国”网站后发现投标人存在其他不符合《中华人民共和国政府采购法》第二十二条规定条件的信用记录。</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.1.9 投标文件含有</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rPr>
        <w:t xml:space="preserve">不能接受的附加条件的。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.1.10 评标委员会按照本招标文件规定对投标人进行异常低价投标审查后，认为投标人不能证明其报价合理性的。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.1.12 投标文件未按照招标文件要求加盖CA电子公章的。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.1.13 投标人所投标产品不符合招标文件中所列国家强制性标准的。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.1.14其他法律、法规及本招标文件规定的属无效投标的情形。</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废标条款：</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（1）因“苏采云”系统故障原因造成开标不成功的。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（2）评委会认定招标文件存在歧义、重大缺陷导致评标工作无法进行，或者招标文件内容违反国家有关强制性规定的。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或者对招标文件作实质响应的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不足三家的。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或者在评标期间对招标文件做出实质响应的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不足三家情况的，按照政府采购有关规定执行。</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六、定标</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28、确定中标单位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应根据评委会推荐的中标候选人确定中标人。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将在江苏政府采购网发布中标公告，公告期限为1个工作日。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若有充分证据证明，中标人存在下列情形之一的，一经查实，将被取消中标资格：</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、采购中心行贿或者提供其他不正当利益的。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（3）属于本文件规定的无效条件，但在评标过程中又未被评委会发现的。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或者其他供应商恶意串通的。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（5）采取不正当手段诋毁、排挤其他供应商的。</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29、中标通知书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中标通知书将作为政府采购合同的一个组成部分。对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和中标人均具有法律效力。中标通知书发出后，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改变中标结果的，或者中标人放弃中标项目的，应当依法承担法律责任。</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中标人应在中标后七个工作日内，向</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提供一份与电子投标文件一致的纸质打印胶装投标文件</w:t>
      </w:r>
      <w:r>
        <w:rPr>
          <w:rFonts w:hint="eastAsia" w:ascii="宋体" w:hAnsi="宋体" w:eastAsia="宋体" w:cs="宋体"/>
          <w:color w:val="auto"/>
          <w:sz w:val="24"/>
          <w:szCs w:val="24"/>
          <w:highlight w:val="none"/>
          <w:lang w:eastAsia="zh-CN"/>
        </w:rPr>
        <w:t xml:space="preserve">（一正二副）</w:t>
      </w:r>
      <w:r>
        <w:rPr>
          <w:rFonts w:hint="eastAsia" w:ascii="宋体" w:hAnsi="宋体" w:eastAsia="宋体" w:cs="宋体"/>
          <w:color w:val="auto"/>
          <w:sz w:val="24"/>
          <w:szCs w:val="24"/>
          <w:highlight w:val="none"/>
        </w:rPr>
        <w:t xml:space="preserve">，封面、骑缝需加盖公章。</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七、授予合同</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30、签订合同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中标人应当在中标通知书发出之日起三十日内，按照招标文件和中标人投标文件的规定，与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签订政府采购合同。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招标文件、中标人的投标文件及招标过程中有关澄清、承诺等文件均应作为合同附件。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应当在合同签订后2</w:t>
      </w:r>
      <w:r>
        <w:rPr>
          <w:rFonts w:hint="eastAsia" w:ascii="宋体" w:hAnsi="宋体" w:eastAsia="宋体" w:cs="宋体"/>
          <w:color w:val="auto"/>
          <w:sz w:val="24"/>
          <w:szCs w:val="24"/>
          <w:highlight w:val="none"/>
          <w:lang w:eastAsia="zh-CN"/>
        </w:rPr>
        <w:t xml:space="preserve">工作</w:t>
      </w:r>
      <w:r>
        <w:rPr>
          <w:rFonts w:hint="eastAsia" w:ascii="宋体" w:hAnsi="宋体" w:eastAsia="宋体" w:cs="宋体"/>
          <w:color w:val="auto"/>
          <w:sz w:val="24"/>
          <w:szCs w:val="24"/>
          <w:highlight w:val="none"/>
        </w:rPr>
        <w:t xml:space="preserve">日内上传合同至苏采云公示。</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31、合同标的的追加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政府采购合同履行中，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需追加与合同标的相同的货物、工程或者服务的，在不改变合同其他条款的前提下，可以按照《中华人民共和国政府采购法》第四十九条规定，与</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协商签订补充合同，但所有补充合同的采购金额不得超过原合同采购金额的百分之十。</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32、政府采购履约资金扶持政策</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中标人可凭政府采购合同办理融资贷款，详情请见江苏政府采购网“政采贷”专栏。</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八、询问与质疑</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33、询问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对政府采购活动事项有疑问的，可以提出询问，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应当在3个工作日内对投标人依法提出的询问作出答复，但答复的内容不得涉及商业秘密。</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提出的询问超出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委托授权范围的，</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应当告知其向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34、质疑提出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提出质疑的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应当是参与所质疑项目采购活动的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、采购过程、采购结果使自己的权益受到损害的，可以在知道或者应知其权益受到损害之日（获取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之日、中标公告发布之日）起七个工作日内以书面形式向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提出质疑。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应当在法定质疑期内一次性提出针对同一采购程序环节的质疑，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如在法定期限内对同一采购程序环节提出多次质疑的，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将只对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第一次质疑作出答复。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未按照采购公告要求获取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，视为未参与该项目采购活动，不具备对该</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提出质疑的法定权利。</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 提出质疑时，必须坚持“实事求是”的原则，不能臆测。属于须由法定部门调查、侦查或先行作出相关认定的事项，质疑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应当依法申请具有法定职权的部门查清、认定，并将相关结果提供给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不具有法定调查、认定权限。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34.4 质疑函的接收方式为</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书面原件提交。联系部门、联系电话和通讯地址详见招标文件第一章。质疑实行实名制，不得进行虚假、恶意质疑。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34.5 质疑函应当使用范本，详见招标文件第六章。</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提出质疑应当提交质疑函和必要的证明材料，应当包括下列内容：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的姓名或者名称、地址、邮编、联系人及联系电话；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为自然人的，应当由本人签字；</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为法人或者其他组织的，应当由法定代表人、主要负责人，或者其委托代理人签字或者盖章，并加盖单位公章。</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 xml:space="preserve">35、质疑函的受理和答复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不负责搜集必要的证明材料等工作。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 对符合法定要求的质疑，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接收并登记《质疑函登记表》。在处理过程中，发现需要质疑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进一步补充必要的证明材料的，质疑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应在法定的时间内提供，质疑答复时间相应顺延。质疑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不能按时提供必要的证明材料的，视同放弃质疑。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对不符合质疑要求的，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有权要求其补充必要的证明材料，质疑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未在法定时间内补充必要的证明材料的，视同放弃质疑。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以下情形的质疑依法不予受理：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（4）未参与采购活动或在采购活动中自身权益未受到损害的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组成联合体，联合体中任何一方或多方未按要求签字（盖章）、加盖公章的质疑。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依法受理的质疑，将按照政府采购有关规定，在法定期限内作出答复。</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36、质疑处理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未按照法定程序进行质疑投诉的，视为一般失信行为。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不配合或者采取不正当手段干扰政府采购质疑、投诉处理工作的，视为一般失信行为。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投诉受理期间，就同一事项多头举报，干扰财政部门投诉处理的，视为一般失信行为。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在全国范围12个月内三次以上质疑查无实据的，视为一般失信行为。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36.6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在全国范围12个月内三次以上投诉查无实据的，视为严重失信行为。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36.7 未尽事宜，依照有关法律、法规执行。</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九、政府采购政策功能</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37、促进中小企业发展</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37.2 参加本项目政府采购活动的供应商应当提供的材料： </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（1）投标人提供的货物全部由中型企业、小型企业、微型企业制造的，提供《中小企业声明函》（第六章 投标文件格式）。</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37.3 享受扶持政策获得政府采购合同的，小微型企业不得将合同分包给大中型企业，中型企业不得将合同分包给大型企业</w:t>
      </w:r>
      <w:r>
        <w:rPr>
          <w:rFonts w:hint="eastAsia" w:ascii="宋体" w:hAnsi="宋体" w:eastAsia="宋体" w:cs="宋体"/>
          <w:color w:val="auto"/>
          <w:sz w:val="24"/>
          <w:szCs w:val="24"/>
          <w:highlight w:val="none"/>
        </w:rPr>
        <w:t xml:space="preserve">。</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38、采购本国产品的支持政策</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人的报价签订。 </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38.3 投标人需按照招标文件的要求提供《关于符合本国产品标准的声明函》（以下简称《声明函》），如不提供将不享受本国产品价格评审优惠。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38.4 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38.6政府采购中的本国产品标准及其他未尽事宜详见《国务院办公厅关于在政府采购中实施本国产品标准及相关政策的通知》（国办发〔2025〕34号）。</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、支持绿色发展</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1.本项目执行《关于印发环境标志产品政府采购品目清单的通知》（财库〔2019〕18 号）、《关于印发节能产品政府采购品目清单的通知》（财库〔2019〕19 号）等有关规定，</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40</w:t>
      </w:r>
      <w:r>
        <w:rPr>
          <w:rFonts w:hint="eastAsia" w:ascii="宋体" w:hAnsi="宋体" w:eastAsia="宋体" w:cs="宋体"/>
          <w:color w:val="auto"/>
          <w:sz w:val="28"/>
          <w:szCs w:val="28"/>
          <w:highlight w:val="none"/>
        </w:rPr>
        <w:t xml:space="preserve">、政府采购需求标准</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.1 本项目执行《绿色数据中心政府采购</w:t>
      </w:r>
      <w:r>
        <w:rPr>
          <w:rFonts w:hint="eastAsia" w:ascii="宋体" w:hAnsi="宋体" w:eastAsia="宋体" w:cs="宋体"/>
          <w:color w:val="auto"/>
          <w:sz w:val="24"/>
          <w:szCs w:val="24"/>
          <w:highlight w:val="none"/>
        </w:rPr>
        <w:t xml:space="preserve">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41、解释权</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本招标文件是参照《中华人民共和国政府采购法》、《中华人民共和国政府采购法实施条例》、《政府采购货物和服务招标投标管理办法》及相关法律法规编制，解释权属采购人。</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构成本招标文件的各个组成文件应互为解释，互为说明；如有不明确或不一致，构成合同文件组成内容的，以合同文件约定内容为准，且以专用合同条款约定的合同文件优先顺序解释；除招标文件中有特别规定外，仅适用于政府采购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宋体" w:hAnsi="宋体" w:eastAsia="宋体" w:cs="宋体"/>
          <w:color w:val="auto"/>
          <w:sz w:val="24"/>
          <w:szCs w:val="24"/>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pPr>
      <w:r/>
      <w:bookmarkStart w:id="14" w:name="_Toc165205796"/>
      <w:r/>
      <w:bookmarkStart w:id="15" w:name="_Toc155796359"/>
      <w:r>
        <w:rPr>
          <w:rFonts w:hint="eastAsia" w:ascii="宋体" w:hAnsi="宋体" w:eastAsia="宋体" w:cs="宋体"/>
          <w:b w:val="0"/>
          <w:color w:val="auto"/>
          <w:highlight w:val="none"/>
        </w:rPr>
        <w:t xml:space="preserve">第三章  合同文本</w:t>
      </w:r>
      <w:bookmarkEnd w:id="14"/>
      <w:r/>
      <w:r/>
    </w:p>
    <w:p>
      <w:pPr>
        <w:pStyle w:val="747"/>
        <w:ind w:left="0" w:right="0"/>
        <w:jc w:val="center"/>
        <w:pageBreakBefore w:val="0"/>
        <w:spacing w:after="0" w:line="490" w:lineRule="exact"/>
        <w:rPr>
          <w:rFonts w:hint="eastAsia" w:ascii="宋体" w:hAnsi="宋体" w:eastAsia="宋体" w:cs="宋体"/>
          <w:b/>
          <w:bCs/>
          <w:color w:val="auto"/>
          <w:spacing w:val="-20"/>
          <w:sz w:val="48"/>
          <w:szCs w:val="48"/>
          <w:highlight w:val="none"/>
        </w:rPr>
      </w:pPr>
      <w:r/>
      <w:bookmarkStart w:id="16" w:name="_Toc3995"/>
      <w:r/>
      <w:r/>
    </w:p>
    <w:p>
      <w:pP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bookmarkEnd w:id="16"/>
      <w:r/>
      <w:r/>
    </w:p>
    <w:p>
      <w:pP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br w:type="page" w:clear="all"/>
      </w:r>
      <w:r/>
    </w:p>
    <w:p>
      <w:pPr>
        <w:ind w:left="0" w:right="0"/>
        <w:jc w:val="center"/>
        <w:pageBreakBefore w:val="0"/>
        <w:spacing w:after="0" w:line="490" w:lineRule="exact"/>
        <w:widowControl w:val="off"/>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t xml:space="preserve">政府采购货物合同</w:t>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项目名称：</w:t>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甲方：</w:t>
      </w:r>
      <w:r/>
    </w:p>
    <w:p>
      <w:pPr>
        <w:ind w:left="0" w:right="0"/>
        <w:pageBreakBefore w:val="0"/>
        <w:spacing w:line="490" w:lineRule="exac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乙方：</w:t>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签订时间：</w:t>
      </w:r>
      <w:r/>
    </w:p>
    <w:p>
      <w:pPr>
        <w:ind w:left="0" w:right="0"/>
        <w:jc w:val="left"/>
        <w:pageBreakBefore w:val="0"/>
        <w:spacing w:line="490" w:lineRule="exact"/>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keepLines/>
        <w:keepNext/>
        <w:spacing w:line="400" w:lineRule="exact"/>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第一节 政府采购合同协议书</w:t>
      </w:r>
      <w:r/>
    </w:p>
    <w:p>
      <w:pPr>
        <w:jc w:val="center"/>
        <w:keepLines/>
        <w:keepNext/>
        <w:spacing w:line="400" w:lineRule="exact"/>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r>
      <w:r/>
    </w:p>
    <w:p>
      <w:pPr>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甲方（全称）：</w:t>
      </w:r>
      <w:r>
        <w:rPr>
          <w:rFonts w:hint="eastAsia" w:ascii="宋体" w:hAnsi="宋体" w:eastAsia="宋体" w:cs="宋体"/>
          <w:color w:val="auto"/>
          <w:sz w:val="24"/>
          <w:szCs w:val="24"/>
          <w:highlight w:val="none"/>
          <w:u w:val="single"/>
          <w:lang w:val="en-US" w:eastAsia="zh-CN" w:bidi="ar-SA"/>
        </w:rPr>
        <w:t xml:space="preserve">                        </w:t>
      </w:r>
      <w:r/>
    </w:p>
    <w:p>
      <w:pPr>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乙方（全称）：</w:t>
      </w:r>
      <w:r>
        <w:rPr>
          <w:rFonts w:hint="eastAsia" w:ascii="宋体" w:hAnsi="宋体" w:eastAsia="宋体" w:cs="宋体"/>
          <w:color w:val="auto"/>
          <w:sz w:val="24"/>
          <w:szCs w:val="24"/>
          <w:highlight w:val="none"/>
          <w:u w:val="single"/>
          <w:lang w:val="en-US" w:eastAsia="zh-CN" w:bidi="ar-SA"/>
        </w:rPr>
        <w:t xml:space="preserve">                       </w:t>
      </w:r>
      <w:r/>
    </w:p>
    <w:p>
      <w:pPr>
        <w:ind w:lef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依据《中华人民共和国民法典》、《中华人民共和国政府采购法》等有关的法律法规，以及</w:t>
      </w:r>
      <w:r>
        <w:rPr>
          <w:rFonts w:hint="eastAsia" w:ascii="宋体" w:hAnsi="宋体" w:eastAsia="宋体" w:cs="宋体"/>
          <w:i w:val="0"/>
          <w:iCs w:val="0"/>
          <w:color w:val="auto"/>
          <w:sz w:val="24"/>
          <w:szCs w:val="24"/>
          <w:highlight w:val="none"/>
          <w:u w:val="none"/>
          <w:lang w:val="en-US" w:eastAsia="zh-CN" w:bidi="ar-SA"/>
        </w:rPr>
        <w:t xml:space="preserve">本采购项目</w:t>
      </w:r>
      <w:r>
        <w:rPr>
          <w:rFonts w:hint="eastAsia" w:ascii="宋体" w:hAnsi="宋体" w:eastAsia="宋体" w:cs="宋体"/>
          <w:color w:val="auto"/>
          <w:sz w:val="24"/>
          <w:szCs w:val="24"/>
          <w:highlight w:val="none"/>
          <w:lang w:val="en-US" w:eastAsia="zh-CN" w:bidi="ar-SA"/>
        </w:rPr>
        <w:t xml:space="preserve">的招标文件、乙方的《投标文件》及《中标通知书》，甲乙双方同意签订本合同。具体情况及要求如下：     </w:t>
      </w:r>
      <w:r/>
    </w:p>
    <w:p>
      <w:pPr>
        <w:numPr>
          <w:ilvl w:val="0"/>
          <w:numId w:val="0"/>
        </w:numPr>
        <w:ind w:left="0"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1.项目信息</w:t>
      </w:r>
      <w:r/>
    </w:p>
    <w:p>
      <w:pPr>
        <w:numPr>
          <w:ilvl w:val="0"/>
          <w:numId w:val="0"/>
        </w:numPr>
        <w:ind w:lef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（1）采购项目名称：</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jc w:val="both"/>
        <w:keepLines w:val="0"/>
        <w:keepNext w:val="0"/>
        <w:pageBreakBefore w:val="0"/>
        <w:spacing w:before="0" w:after="0" w:line="360" w:lineRule="auto"/>
        <w:widowControl w:val="off"/>
        <w:tabs>
          <w:tab w:val="left" w:pos="999" w:leader="none"/>
        </w:tabs>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 采购项目编号：</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jc w:val="both"/>
        <w:keepLines w:val="0"/>
        <w:keepNext w:val="0"/>
        <w:pageBreakBefore w:val="0"/>
        <w:spacing w:before="0" w:after="0" w:line="360" w:lineRule="auto"/>
        <w:widowControl w:val="off"/>
        <w:tabs>
          <w:tab w:val="left" w:pos="999"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（2）采购计划编号：</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（3）项目内容：</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采购标的及数量（台/套</w:t>
      </w:r>
      <w:r>
        <w:rPr>
          <w:rFonts w:hint="eastAsia" w:ascii="宋体" w:hAnsi="宋体" w:eastAsia="宋体" w:cs="宋体"/>
          <w:color w:val="auto"/>
          <w:sz w:val="24"/>
          <w:szCs w:val="24"/>
          <w:highlight w:val="none"/>
          <w:lang w:val="en" w:eastAsia="zh-CN" w:bidi="ar-SA"/>
        </w:rPr>
        <w:t xml:space="preserve">/个/架/组等</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 w:eastAsia="zh-CN" w:bidi="ar-SA"/>
        </w:rPr>
      </w:pP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lang w:val="en-US" w:eastAsia="zh-CN" w:bidi="ar-SA"/>
        </w:rPr>
        <w:t xml:space="preserve">规格型号：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采购标的的技术要求、商务要求具体见附件。</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①涉及信息类产品，请填写该产品关键部件的品牌、型号：</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标的名称：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（注：关键部件是指财政部会同有关部门发布的政府采购需求标准规定的需要通过国家有关部门指定的测评机构开展的安全可靠测评的软硬件，如CPU芯片、操作系统、数据库等。）</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②涉及车辆采购，请填写是否属于新能源汽车：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是，《政府采购品目分类目录》底级品目名称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数量：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val="0"/>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 w:eastAsia="zh-CN" w:bidi="ar-SA"/>
        </w:rPr>
        <w:t xml:space="preserve">4</w:t>
      </w:r>
      <w:r>
        <w:rPr>
          <w:rFonts w:hint="eastAsia" w:ascii="宋体" w:hAnsi="宋体" w:eastAsia="宋体" w:cs="宋体"/>
          <w:iCs w:val="0"/>
          <w:color w:val="auto"/>
          <w:sz w:val="24"/>
          <w:szCs w:val="24"/>
          <w:highlight w:val="none"/>
          <w:lang w:val="en-US" w:eastAsia="zh-CN" w:bidi="ar-SA"/>
        </w:rPr>
        <w:t xml:space="preserve">）政府采购组织形式：</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政府集中采购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部门集中采购  </w:t>
      </w:r>
      <w:r>
        <w:rPr>
          <w:rFonts w:ascii="Wingdings" w:hAnsi="Wingdings" w:eastAsia="Wingdings" w:cs="Wingdings"/>
          <w:iCs w:val="0"/>
          <w:color w:val="auto"/>
          <w:sz w:val="24"/>
          <w:szCs w:val="24"/>
          <w:highlight w:val="none"/>
          <w:lang w:val="en-US" w:eastAsia="zh-CN" w:bidi="ar-SA"/>
        </w:rPr>
        <w:t xml:space="preserve">þ</w:t>
      </w:r>
      <w:r>
        <w:rPr>
          <w:rFonts w:hint="eastAsia" w:ascii="宋体" w:hAnsi="宋体" w:eastAsia="宋体" w:cs="宋体"/>
          <w:iCs w:val="0"/>
          <w:color w:val="auto"/>
          <w:sz w:val="24"/>
          <w:szCs w:val="24"/>
          <w:highlight w:val="none"/>
          <w:lang w:val="en-US" w:eastAsia="zh-CN" w:bidi="ar-SA"/>
        </w:rPr>
        <w:t xml:space="preserve">分散采购</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 w:eastAsia="zh-CN" w:bidi="ar-SA"/>
        </w:rPr>
        <w:t xml:space="preserve">5</w:t>
      </w:r>
      <w:r>
        <w:rPr>
          <w:rFonts w:hint="eastAsia" w:ascii="宋体" w:hAnsi="宋体" w:eastAsia="宋体" w:cs="宋体"/>
          <w:iCs w:val="0"/>
          <w:color w:val="auto"/>
          <w:sz w:val="24"/>
          <w:szCs w:val="24"/>
          <w:highlight w:val="none"/>
          <w:lang w:val="en-US" w:eastAsia="zh-CN" w:bidi="ar-SA"/>
        </w:rPr>
        <w:t xml:space="preserve">）政府采购方式：</w:t>
      </w:r>
      <w:r>
        <w:rPr>
          <w:rFonts w:ascii="Wingdings" w:hAnsi="Wingdings" w:eastAsia="Wingdings" w:cs="Wingdings"/>
          <w:iCs w:val="0"/>
          <w:color w:val="auto"/>
          <w:sz w:val="24"/>
          <w:szCs w:val="24"/>
          <w:highlight w:val="none"/>
          <w:lang w:val="en-US" w:eastAsia="zh-CN" w:bidi="ar-SA"/>
        </w:rPr>
        <w:t xml:space="preserve">þ</w:t>
      </w:r>
      <w:r>
        <w:rPr>
          <w:rFonts w:hint="eastAsia" w:ascii="宋体" w:hAnsi="宋体" w:eastAsia="宋体" w:cs="宋体"/>
          <w:iCs w:val="0"/>
          <w:color w:val="auto"/>
          <w:sz w:val="24"/>
          <w:szCs w:val="24"/>
          <w:highlight w:val="none"/>
          <w:lang w:val="en-US" w:eastAsia="zh-CN" w:bidi="ar-SA"/>
        </w:rPr>
        <w:t xml:space="preserve">公开招标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邀请招标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竞争性谈判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竞争性磋商</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询价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单一来源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框架协议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其他：</w:t>
      </w:r>
      <w:r>
        <w:rPr>
          <w:rFonts w:hint="eastAsia" w:ascii="宋体" w:hAnsi="宋体" w:eastAsia="宋体" w:cs="宋体"/>
          <w:iCs w:val="0"/>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 w:eastAsia="zh-CN" w:bidi="ar-SA"/>
        </w:rPr>
        <w:t xml:space="preserve">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中标（成交）采购标的制造商是否为中小企业：</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本合同是否为专门面向中小企业的采</w:t>
      </w:r>
      <w:r>
        <w:rPr>
          <w:rFonts w:hint="eastAsia" w:ascii="宋体" w:hAnsi="宋体" w:eastAsia="宋体" w:cs="宋体"/>
          <w:color w:val="auto"/>
          <w:sz w:val="24"/>
          <w:szCs w:val="24"/>
          <w:highlight w:val="none"/>
          <w:shd w:val="clear" w:color="auto"/>
          <w:lang w:val="en-US" w:eastAsia="zh-CN" w:bidi="ar-SA"/>
        </w:rPr>
        <w:t xml:space="preserve">购合同（中小企业预留合同）</w:t>
      </w:r>
      <w:r>
        <w:rPr>
          <w:rFonts w:hint="eastAsia" w:ascii="宋体" w:hAnsi="宋体" w:eastAsia="宋体" w:cs="宋体"/>
          <w:color w:val="auto"/>
          <w:sz w:val="24"/>
          <w:szCs w:val="24"/>
          <w:highlight w:val="none"/>
          <w:shd w:val="clear" w:color="auto"/>
          <w:lang w:val="en-US" w:eastAsia="zh-CN" w:bidi="ar-SA"/>
        </w:rPr>
        <w:t xml:space="preserve">：</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若本项目不专门面向中小企业采购，是否给予小微企业评审优惠：</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中标（成交）采购标的制造商是否为残疾人福利性单位：</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中标（成交）采购标的制造商是否为监狱企业：</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 w:eastAsia="zh-CN" w:bidi="ar-SA"/>
        </w:rPr>
        <w:t xml:space="preserve">7</w:t>
      </w:r>
      <w:r>
        <w:rPr>
          <w:rFonts w:hint="eastAsia" w:ascii="宋体" w:hAnsi="宋体" w:eastAsia="宋体" w:cs="宋体"/>
          <w:color w:val="auto"/>
          <w:sz w:val="24"/>
          <w:szCs w:val="24"/>
          <w:highlight w:val="none"/>
          <w:lang w:val="en-US" w:eastAsia="zh-CN" w:bidi="ar-SA"/>
        </w:rPr>
        <w:t xml:space="preserve">）合同是否分包：</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 分包主要内容：</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分包供应商/制造商名称（如供应商和制造商不同，请分别填写）：</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分包供应商/制造商类型（如果供应商和制造商不同，只填写制造商类型）：</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none"/>
          <w:lang w:val="en-US" w:eastAsia="zh-CN" w:bidi="ar-SA"/>
        </w:rPr>
      </w:pP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大型企业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中型企业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小微型企业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残疾人福利性单位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监狱企业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其他</w:t>
      </w:r>
      <w:r/>
    </w:p>
    <w:p>
      <w:pPr>
        <w:numPr>
          <w:ilvl w:val="0"/>
          <w:numId w:val="0"/>
        </w:numPr>
        <w:ind w:left="15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（8）</w:t>
      </w:r>
      <w:r>
        <w:rPr>
          <w:rFonts w:hint="eastAsia" w:ascii="宋体" w:hAnsi="宋体" w:eastAsia="宋体" w:cs="宋体"/>
          <w:color w:val="auto"/>
          <w:sz w:val="24"/>
          <w:szCs w:val="24"/>
          <w:highlight w:val="none"/>
          <w:u w:val="none"/>
          <w:lang w:val="en-US" w:eastAsia="zh-CN" w:bidi="ar-SA"/>
        </w:rPr>
        <w:t xml:space="preserve">中标（成交）供应商是否为外商投资企业：</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0"/>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u w:val="none"/>
          <w:lang w:val="en-US" w:eastAsia="zh-CN" w:bidi="ar-SA"/>
        </w:rPr>
        <w:t xml:space="preserve">外商投资企业类型：</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全部由外国投资者投资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部分由外国投资者投资</w:t>
      </w:r>
      <w:r/>
    </w:p>
    <w:p>
      <w:pPr>
        <w:numPr>
          <w:ilvl w:val="0"/>
          <w:numId w:val="0"/>
        </w:numPr>
        <w:ind w:left="150" w:firstLine="480"/>
        <w:keepLines w:val="0"/>
        <w:keepNext w:val="0"/>
        <w:pageBreakBefore w:val="0"/>
        <w:spacing w:line="360" w:lineRule="auto"/>
        <w:tabs>
          <w:tab w:val="left" w:pos="13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w:t>
      </w:r>
      <w:r>
        <w:rPr>
          <w:rFonts w:hint="eastAsia" w:ascii="宋体" w:hAnsi="宋体" w:eastAsia="宋体" w:cs="宋体"/>
          <w:b w:val="0"/>
          <w:bCs w:val="0"/>
          <w:color w:val="auto"/>
          <w:sz w:val="24"/>
          <w:szCs w:val="24"/>
          <w:highlight w:val="none"/>
          <w:u w:val="none"/>
          <w:lang w:val="en-US" w:eastAsia="zh-CN" w:bidi="ar-SA"/>
        </w:rPr>
        <w:t xml:space="preserve">是否涉及进口产品：</w:t>
      </w:r>
      <w:r/>
    </w:p>
    <w:p>
      <w:pPr>
        <w:numPr>
          <w:ilvl w:val="0"/>
          <w:numId w:val="0"/>
        </w:numPr>
        <w:ind w:left="0" w:firstLine="720"/>
        <w:keepLines w:val="0"/>
        <w:keepNext w:val="0"/>
        <w:pageBreakBefore w:val="0"/>
        <w:spacing w:line="360" w:lineRule="auto"/>
        <w:tabs>
          <w:tab w:val="left" w:pos="1340" w:leader="none"/>
        </w:tabs>
        <w:rPr>
          <w:rFonts w:hint="eastAsia" w:ascii="宋体" w:hAnsi="宋体" w:eastAsia="宋体" w:cs="宋体"/>
          <w:iCs w:val="0"/>
          <w:color w:val="auto"/>
          <w:sz w:val="24"/>
          <w:szCs w:val="24"/>
          <w:highlight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是，《政府采购品目分类目录》底级品目名称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国别：</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规格型号：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val="0"/>
          <w:color w:val="auto"/>
          <w:sz w:val="24"/>
          <w:szCs w:val="24"/>
          <w:highlight w:val="none"/>
          <w:lang w:val="en-US" w:eastAsia="zh-CN" w:bidi="ar-SA"/>
        </w:rPr>
        <w:t xml:space="preserve">     </w:t>
      </w:r>
      <w:r/>
    </w:p>
    <w:p>
      <w:pPr>
        <w:ind w:left="0" w:firstLine="720"/>
        <w:keepLines w:val="0"/>
        <w:keepNext w:val="0"/>
        <w:pageBreakBefore w:val="0"/>
        <w:spacing w:before="0" w:line="360" w:lineRule="auto"/>
        <w:rPr>
          <w:rFonts w:hint="eastAsia" w:ascii="宋体" w:hAnsi="宋体" w:eastAsia="宋体" w:cs="宋体"/>
          <w:color w:val="auto"/>
          <w:sz w:val="24"/>
          <w:szCs w:val="24"/>
          <w:highlight w:val="none"/>
          <w:u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（1</w:t>
      </w:r>
      <w:r>
        <w:rPr>
          <w:rFonts w:hint="eastAsia" w:ascii="宋体" w:hAnsi="宋体" w:eastAsia="宋体" w:cs="宋体"/>
          <w:b w:val="0"/>
          <w:bCs w:val="0"/>
          <w:color w:val="auto"/>
          <w:sz w:val="24"/>
          <w:szCs w:val="24"/>
          <w:highlight w:val="none"/>
          <w:u w:val="none"/>
          <w:lang w:val="en" w:eastAsia="zh-CN" w:bidi="ar-SA"/>
        </w:rPr>
        <w:t xml:space="preserve">0</w:t>
      </w:r>
      <w:r>
        <w:rPr>
          <w:rFonts w:hint="eastAsia" w:ascii="宋体" w:hAnsi="宋体" w:eastAsia="宋体" w:cs="宋体"/>
          <w:b w:val="0"/>
          <w:bCs w:val="0"/>
          <w:color w:val="auto"/>
          <w:sz w:val="24"/>
          <w:szCs w:val="24"/>
          <w:highlight w:val="none"/>
          <w:u w:val="none"/>
          <w:lang w:val="en-US" w:eastAsia="zh-CN" w:bidi="ar-SA"/>
        </w:rPr>
        <w:t xml:space="preserve">）是否涉及节能产品：</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是，《节能产品政府采购品目清单》的底级品目名称：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是否涉及环境标志产品：</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是，《环境标志产品政府采购品目清单》的底级品目名称：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hint="eastAsia" w:ascii="宋体" w:hAnsi="宋体" w:eastAsia="宋体" w:cs="宋体"/>
          <w:b w:val="0"/>
          <w:bCs w:val="0"/>
          <w:color w:val="auto"/>
          <w:sz w:val="24"/>
          <w:szCs w:val="24"/>
          <w:highlight w:val="none"/>
          <w:u w:val="none"/>
          <w:lang w:val="en-US" w:eastAsia="zh-CN" w:bidi="ar-SA"/>
        </w:rPr>
        <w:t xml:space="preserve">是否涉及绿色产品：</w:t>
      </w:r>
      <w:r>
        <w:rPr>
          <w:rFonts w:hint="eastAsia" w:ascii="宋体" w:hAnsi="宋体" w:eastAsia="宋体" w:cs="宋体"/>
          <w:iCs w:val="0"/>
          <w:color w:val="auto"/>
          <w:sz w:val="24"/>
          <w:szCs w:val="24"/>
          <w:highlight w:val="none"/>
          <w:u w:val="none"/>
          <w:lang w:val="en-US" w:eastAsia="zh-CN" w:bidi="ar-SA"/>
        </w:rPr>
        <w:t xml:space="preserve"> </w:t>
      </w:r>
      <w:r/>
    </w:p>
    <w:p>
      <w:pPr>
        <w:ind w:left="0" w:firstLine="720"/>
        <w:keepLines w:val="0"/>
        <w:keepNext w:val="0"/>
        <w:pageBreakBefore w:val="0"/>
        <w:spacing w:line="360" w:lineRule="auto"/>
        <w:rPr>
          <w:rFonts w:hint="eastAsia" w:ascii="宋体" w:hAnsi="宋体" w:eastAsia="宋体" w:cs="宋体"/>
          <w:color w:val="auto"/>
          <w:sz w:val="24"/>
          <w:szCs w:val="24"/>
          <w:highlight w:val="none"/>
          <w:u w:val="single"/>
          <w:lang w:val="en-US" w:eastAsia="zh-CN" w:bidi="ar-SA"/>
        </w:rPr>
      </w:pPr>
      <w:r>
        <w:rPr>
          <w:rFonts w:ascii="Wingdings" w:hAnsi="Wingdings" w:eastAsia="Wingdings" w:cs="Wingdings"/>
          <w:iCs w:val="0"/>
          <w:color w:val="auto"/>
          <w:sz w:val="24"/>
          <w:szCs w:val="24"/>
          <w:highlight w:val="none"/>
          <w:u w:val="none"/>
          <w:lang w:val="en-US" w:eastAsia="zh-CN" w:bidi="ar-SA"/>
        </w:rPr>
        <w:t xml:space="preserve">¨</w:t>
      </w:r>
      <w:r>
        <w:rPr>
          <w:rFonts w:hint="eastAsia" w:ascii="宋体" w:hAnsi="宋体" w:eastAsia="宋体" w:cs="宋体"/>
          <w:iCs w:val="0"/>
          <w:color w:val="auto"/>
          <w:sz w:val="24"/>
          <w:szCs w:val="24"/>
          <w:highlight w:val="none"/>
          <w:u w:val="none"/>
          <w:lang w:val="en-US" w:eastAsia="zh-CN" w:bidi="ar-SA"/>
        </w:rPr>
        <w:t xml:space="preserve">是，绿色产品政府采购相关政策确定的底级品目名称：</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ind w:left="0" w:firstLine="720"/>
        <w:keepLines w:val="0"/>
        <w:keepNext w:val="0"/>
        <w:pageBreakBefore w:val="0"/>
        <w:spacing w:line="360" w:lineRule="auto"/>
        <w:rPr>
          <w:rFonts w:hint="eastAsia" w:ascii="宋体" w:hAnsi="宋体" w:eastAsia="宋体" w:cs="宋体"/>
          <w:iCs w:val="0"/>
          <w:color w:val="auto"/>
          <w:sz w:val="24"/>
          <w:szCs w:val="24"/>
          <w:highlight w:val="none"/>
          <w:u w:val="none"/>
          <w:lang w:val="en-US" w:eastAsia="zh-CN" w:bidi="ar-SA"/>
        </w:rPr>
      </w:pPr>
      <w:r>
        <w:rPr>
          <w:rFonts w:ascii="Wingdings" w:hAnsi="Wingdings" w:eastAsia="Wingdings" w:cs="Wingdings"/>
          <w:iCs w:val="0"/>
          <w:color w:val="auto"/>
          <w:sz w:val="24"/>
          <w:szCs w:val="24"/>
          <w:highlight w:val="none"/>
          <w:u w:val="none"/>
          <w:lang w:val="en-US" w:eastAsia="zh-CN" w:bidi="ar-SA"/>
        </w:rPr>
        <w:t xml:space="preserve">¨</w:t>
      </w:r>
      <w:r>
        <w:rPr>
          <w:rFonts w:hint="eastAsia" w:ascii="宋体" w:hAnsi="宋体" w:eastAsia="宋体" w:cs="宋体"/>
          <w:iCs w:val="0"/>
          <w:color w:val="auto"/>
          <w:sz w:val="24"/>
          <w:szCs w:val="24"/>
          <w:highlight w:val="none"/>
          <w:u w:val="none"/>
          <w:lang w:val="en-US" w:eastAsia="zh-CN" w:bidi="ar-SA"/>
        </w:rPr>
        <w:t xml:space="preserve">否</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 w:eastAsia="zh-CN" w:bidi="ar-SA"/>
        </w:rPr>
        <w:t xml:space="preserve">1</w:t>
      </w:r>
      <w:r>
        <w:rPr>
          <w:rFonts w:hint="eastAsia" w:ascii="宋体" w:hAnsi="宋体" w:eastAsia="宋体" w:cs="宋体"/>
          <w:color w:val="auto"/>
          <w:sz w:val="24"/>
          <w:szCs w:val="24"/>
          <w:highlight w:val="none"/>
          <w:lang w:val="en-US" w:eastAsia="zh-CN" w:bidi="ar-SA"/>
        </w:rPr>
        <w:t xml:space="preserve">）涉及商品包装和快递包装的，是否参考《商品包装政府采购需求标准（试行）》、《快递包装政府采购需求标准（试行）》明确产品及相关快递服务的具体包装要求：</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不涉及</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2.合同金额</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（1）合同金额小写：</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                 大写：</w:t>
      </w:r>
      <w:r>
        <w:rPr>
          <w:rFonts w:hint="eastAsia" w:ascii="宋体" w:hAnsi="宋体" w:eastAsia="宋体" w:cs="宋体"/>
          <w:color w:val="auto"/>
          <w:sz w:val="24"/>
          <w:szCs w:val="24"/>
          <w:highlight w:val="none"/>
          <w:u w:val="single"/>
          <w:lang w:val="en-US" w:eastAsia="zh-CN" w:bidi="ar-SA"/>
        </w:rPr>
        <w:t xml:space="preserve">                           </w:t>
      </w:r>
      <w:r/>
    </w:p>
    <w:p>
      <w:pPr>
        <w:ind w:firstLine="480"/>
        <w:keepLines w:val="0"/>
        <w:keepNext w:val="0"/>
        <w:pageBreakBefore w:val="0"/>
        <w:spacing w:before="0"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（2）合同定价方式：</w:t>
      </w:r>
      <w:r>
        <w:rPr>
          <w:rFonts w:ascii="Wingdings 2" w:hAnsi="Wingdings 2" w:eastAsia="Wingdings 2" w:cs="Wingdings 2"/>
          <w:b/>
          <w:bCs/>
          <w:iCs/>
          <w:color w:val="auto"/>
          <w:sz w:val="24"/>
          <w:szCs w:val="24"/>
          <w:highlight w:val="none"/>
          <w:u w:val="single"/>
          <w:lang w:val="en-US" w:eastAsia="zh-CN" w:bidi="ar-SA"/>
        </w:rPr>
        <w:t xml:space="preserve">£</w:t>
      </w:r>
      <w:r>
        <w:rPr>
          <w:rFonts w:hint="eastAsia" w:ascii="宋体" w:hAnsi="宋体" w:eastAsia="宋体" w:cs="宋体"/>
          <w:b/>
          <w:bCs/>
          <w:iCs/>
          <w:color w:val="auto"/>
          <w:sz w:val="24"/>
          <w:szCs w:val="24"/>
          <w:highlight w:val="none"/>
          <w:u w:val="single"/>
          <w:lang w:val="en-US" w:eastAsia="zh-CN" w:bidi="ar-SA"/>
        </w:rPr>
        <w:t xml:space="preserve">固定总价  </w:t>
      </w:r>
      <w:r>
        <w:rPr>
          <w:rFonts w:ascii="Wingdings 2" w:hAnsi="Wingdings 2" w:eastAsia="Wingdings 2" w:cs="Wingdings 2"/>
          <w:b/>
          <w:bCs/>
          <w:iCs/>
          <w:color w:val="auto"/>
          <w:sz w:val="24"/>
          <w:szCs w:val="24"/>
          <w:highlight w:val="none"/>
          <w:u w:val="single"/>
          <w:lang w:val="en-US" w:eastAsia="zh-CN" w:bidi="ar-SA"/>
        </w:rPr>
        <w:t xml:space="preserve">R</w:t>
      </w:r>
      <w:r>
        <w:rPr>
          <w:rFonts w:hint="eastAsia" w:ascii="宋体" w:hAnsi="宋体" w:eastAsia="宋体" w:cs="宋体"/>
          <w:b/>
          <w:bCs/>
          <w:iCs/>
          <w:color w:val="auto"/>
          <w:sz w:val="24"/>
          <w:szCs w:val="24"/>
          <w:highlight w:val="none"/>
          <w:u w:val="single"/>
          <w:lang w:val="en-US" w:eastAsia="zh-CN" w:bidi="ar-SA"/>
        </w:rPr>
        <w:t xml:space="preserve">固定单价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（3）付款方式：</w:t>
      </w:r>
      <w:r/>
    </w:p>
    <w:p>
      <w:pPr>
        <w:ind w:firstLine="482"/>
        <w:keepLines w:val="0"/>
        <w:keepNext w:val="0"/>
        <w:pageBreakBefore w:val="0"/>
        <w:spacing w:before="0" w:line="360" w:lineRule="auto"/>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合同签订后30日内，支付合同价款的10%作为预付款；采购货物全部送至指定地点后支付至合同价款的50%，全部安装调试完成且经验收合格后一次性付清。（无息）</w:t>
      </w:r>
      <w:r/>
    </w:p>
    <w:p>
      <w:pPr>
        <w:ind w:firstLine="482"/>
        <w:keepLines w:val="0"/>
        <w:keepNext w:val="0"/>
        <w:pageBreakBefore w:val="0"/>
        <w:spacing w:before="0" w:line="360" w:lineRule="auto"/>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付款时由乙方提供增值税发票，甲方按相关财务支付规定办理支付手续。</w:t>
      </w:r>
      <w:r/>
    </w:p>
    <w:p>
      <w:pPr>
        <w:ind w:firstLine="480"/>
        <w:keepLines w:val="0"/>
        <w:keepNext w:val="0"/>
        <w:pageBreakBefore w:val="0"/>
        <w:spacing w:before="0" w:line="360"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当采购数量与实际使用数量不一致时，乙方根据实际使用量提供产品和服务，合同的最终结算金额按实际使用量乘以中标单价进行计算。</w:t>
      </w:r>
      <w:r/>
    </w:p>
    <w:p>
      <w:pPr>
        <w:numPr>
          <w:ilvl w:val="0"/>
          <w:numId w:val="0"/>
        </w:numPr>
        <w:ind w:firstLine="482"/>
        <w:keepLines w:val="0"/>
        <w:keepNext w:val="0"/>
        <w:pageBreakBefore w:val="0"/>
        <w:spacing w:before="0" w:line="360" w:lineRule="auto"/>
        <w:rPr>
          <w:rFonts w:hint="eastAsia" w:ascii="宋体" w:hAnsi="宋体" w:eastAsia="宋体" w:cs="宋体"/>
          <w:b/>
          <w:bCs w:val="0"/>
          <w:color w:val="auto"/>
          <w:sz w:val="24"/>
          <w:szCs w:val="24"/>
          <w:highlight w:val="none"/>
          <w:u w:val="single"/>
          <w:lang w:val="en-US" w:eastAsia="zh-CN" w:bidi="ar-SA"/>
        </w:rPr>
      </w:pPr>
      <w:r>
        <w:rPr>
          <w:rFonts w:hint="eastAsia" w:ascii="宋体" w:hAnsi="宋体" w:eastAsia="宋体" w:cs="宋体"/>
          <w:b/>
          <w:bCs w:val="0"/>
          <w:color w:val="auto"/>
          <w:sz w:val="24"/>
          <w:szCs w:val="24"/>
          <w:highlight w:val="none"/>
          <w:lang w:val="en-US" w:eastAsia="zh-CN" w:bidi="ar-SA"/>
        </w:rPr>
        <w:t xml:space="preserve">3.合同履行</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（1）起始日期：</w:t>
      </w:r>
      <w:r>
        <w:rPr>
          <w:rFonts w:hint="eastAsia" w:ascii="宋体" w:hAnsi="宋体" w:eastAsia="宋体" w:cs="宋体"/>
          <w:color w:val="auto"/>
          <w:sz w:val="24"/>
          <w:szCs w:val="24"/>
          <w:highlight w:val="none"/>
          <w:u w:val="single"/>
          <w:lang w:val="en-US" w:eastAsia="zh-CN" w:bidi="ar-SA"/>
        </w:rPr>
        <w:t xml:space="preserve">2026</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日，完成日期：</w:t>
      </w:r>
      <w:r>
        <w:rPr>
          <w:rFonts w:hint="eastAsia" w:ascii="宋体" w:hAnsi="宋体" w:eastAsia="宋体" w:cs="宋体"/>
          <w:color w:val="auto"/>
          <w:sz w:val="24"/>
          <w:szCs w:val="24"/>
          <w:highlight w:val="none"/>
          <w:u w:val="single"/>
          <w:lang w:val="en-US" w:eastAsia="zh-CN" w:bidi="ar-SA"/>
        </w:rPr>
        <w:t xml:space="preserve">2026</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（2）履约地点</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灌云县高新区高级中学新校区 </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（3）履约担保：</w:t>
      </w:r>
      <w:r>
        <w:rPr>
          <w:rFonts w:hint="eastAsia" w:ascii="宋体" w:hAnsi="宋体" w:eastAsia="宋体" w:cs="宋体"/>
          <w:color w:val="auto"/>
          <w:sz w:val="24"/>
          <w:szCs w:val="24"/>
          <w:highlight w:val="none"/>
          <w:lang w:val="en-US" w:eastAsia="zh-CN" w:bidi="ar-SA"/>
        </w:rPr>
        <w:t xml:space="preserve">是否收取履约保证金：</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收取履约保证金形式：</w:t>
      </w:r>
      <w:r>
        <w:rPr>
          <w:rFonts w:hint="eastAsia" w:ascii="宋体" w:hAnsi="宋体" w:eastAsia="宋体" w:cs="宋体"/>
          <w:bCs/>
          <w:color w:val="auto"/>
          <w:sz w:val="24"/>
          <w:szCs w:val="24"/>
          <w:highlight w:val="none"/>
          <w:u w:val="single"/>
          <w:lang w:val="en-US" w:eastAsia="zh-CN" w:bidi="ar-SA"/>
        </w:rPr>
        <w:t xml:space="preserve">支票、汇票、本票或者金融机构、担保机构出具的保函等非现金形式。</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收取履约保证金金额：</w:t>
      </w:r>
      <w:r>
        <w:rPr>
          <w:rFonts w:hint="eastAsia" w:ascii="宋体" w:hAnsi="宋体" w:eastAsia="宋体" w:cs="宋体"/>
          <w:bCs/>
          <w:color w:val="auto"/>
          <w:sz w:val="24"/>
          <w:szCs w:val="24"/>
          <w:highlight w:val="none"/>
          <w:u w:val="single"/>
          <w:lang w:val="en-US" w:eastAsia="zh-CN" w:bidi="ar-SA"/>
        </w:rPr>
        <w:t xml:space="preserve">政府采购合同金额的10%</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none"/>
          <w:lang w:val="en-US" w:eastAsia="zh-CN" w:bidi="ar-SA"/>
        </w:rPr>
        <w:t xml:space="preserve">履约担保的退还：</w:t>
      </w:r>
      <w:r>
        <w:rPr>
          <w:rFonts w:hint="eastAsia" w:ascii="宋体" w:hAnsi="宋体" w:eastAsia="宋体" w:cs="宋体"/>
          <w:bCs/>
          <w:color w:val="auto"/>
          <w:sz w:val="24"/>
          <w:szCs w:val="24"/>
          <w:highlight w:val="none"/>
          <w:u w:val="single"/>
          <w:lang w:val="en-US" w:eastAsia="zh-CN"/>
        </w:rPr>
        <w:t xml:space="preserve">全部货物供货完成并经</w:t>
      </w:r>
      <w:r>
        <w:rPr>
          <w:rFonts w:hint="eastAsia" w:ascii="宋体" w:hAnsi="宋体" w:eastAsia="宋体" w:cs="宋体"/>
          <w:color w:val="auto"/>
          <w:sz w:val="24"/>
          <w:szCs w:val="24"/>
          <w:highlight w:val="none"/>
          <w:u w:val="single"/>
        </w:rPr>
        <w:t xml:space="preserve">验收合格后</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15日内退还</w:t>
      </w:r>
      <w:r>
        <w:rPr>
          <w:rFonts w:hint="eastAsia" w:ascii="宋体" w:hAnsi="宋体" w:eastAsia="宋体" w:cs="宋体"/>
          <w:bCs/>
          <w:color w:val="auto"/>
          <w:sz w:val="24"/>
          <w:szCs w:val="24"/>
          <w:highlight w:val="none"/>
          <w:u w:val="single"/>
          <w:lang w:val="en-US" w:eastAsia="zh-CN" w:bidi="ar-SA"/>
        </w:rPr>
        <w:t xml:space="preserve">。</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4.合同验收</w:t>
      </w:r>
      <w:r/>
    </w:p>
    <w:p>
      <w:pPr>
        <w:numPr>
          <w:ilvl w:val="0"/>
          <w:numId w:val="0"/>
        </w:num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（1）验收组织方式：</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自行组织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委托第三方组织</w:t>
      </w:r>
      <w:r/>
    </w:p>
    <w:p>
      <w:pPr>
        <w:numPr>
          <w:ilvl w:val="0"/>
          <w:numId w:val="0"/>
        </w:num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验收主体：</w:t>
      </w:r>
      <w:r>
        <w:rPr>
          <w:rFonts w:hint="eastAsia" w:ascii="宋体" w:hAnsi="宋体" w:eastAsia="宋体" w:cs="宋体"/>
          <w:bCs/>
          <w:color w:val="auto"/>
          <w:sz w:val="24"/>
          <w:szCs w:val="24"/>
          <w:highlight w:val="none"/>
          <w:u w:val="single"/>
          <w:lang w:val="en-US" w:eastAsia="zh-CN" w:bidi="ar-SA"/>
        </w:rPr>
        <w:t xml:space="preserve"> 灌云县教育局 </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是否邀请本项目的其他供应商参加验收：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是否邀请专家参加验收：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是否邀请服务对象参加验收：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是否邀请第三方检测机构参加验收：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是否进行抽查检测：</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是，抽查比例：</w:t>
      </w:r>
      <w:r>
        <w:rPr>
          <w:rFonts w:hint="eastAsia" w:ascii="宋体" w:hAnsi="宋体" w:eastAsia="宋体" w:cs="宋体"/>
          <w:bCs/>
          <w:color w:val="auto"/>
          <w:sz w:val="24"/>
          <w:szCs w:val="24"/>
          <w:highlight w:val="none"/>
          <w:u w:val="single"/>
          <w:lang w:val="en-US" w:eastAsia="zh-CN" w:bidi="ar-SA"/>
        </w:rPr>
        <w:t xml:space="preserve">按甲方要求</w:t>
      </w:r>
      <w:r>
        <w:rPr>
          <w:rFonts w:hint="eastAsia" w:ascii="宋体" w:hAnsi="宋体" w:eastAsia="宋体" w:cs="宋体"/>
          <w:bCs/>
          <w:color w:val="auto"/>
          <w:sz w:val="24"/>
          <w:szCs w:val="24"/>
          <w:highlight w:val="none"/>
          <w:lang w:val="en-US" w:eastAsia="zh-CN" w:bidi="ar-SA"/>
        </w:rPr>
        <w:t xml:space="preserve">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是否存在破坏性检测：</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验收组织的其他事项：</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（2）履约验收时间：</w:t>
      </w:r>
      <w:r>
        <w:rPr>
          <w:rFonts w:hint="eastAsia" w:ascii="宋体" w:hAnsi="宋体" w:eastAsia="宋体" w:cs="宋体"/>
          <w:bCs/>
          <w:color w:val="auto"/>
          <w:sz w:val="24"/>
          <w:szCs w:val="24"/>
          <w:highlight w:val="none"/>
          <w:u w:val="single"/>
          <w:lang w:val="en-US" w:eastAsia="zh-CN" w:bidi="ar-SA"/>
        </w:rPr>
        <w:t xml:space="preserve">采购人依法组织验收</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（3）履约验收方式：</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一次性验收        </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none"/>
          <w:lang w:val="en-US" w:eastAsia="zh-CN" w:bidi="ar-SA"/>
        </w:rPr>
        <w:t xml:space="preserve">（4）履约验收程序：</w:t>
      </w:r>
      <w:r>
        <w:rPr>
          <w:rFonts w:hint="eastAsia" w:ascii="宋体" w:hAnsi="宋体" w:eastAsia="宋体" w:cs="宋体"/>
          <w:bCs/>
          <w:color w:val="auto"/>
          <w:sz w:val="24"/>
          <w:szCs w:val="24"/>
          <w:highlight w:val="none"/>
          <w:u w:val="single"/>
          <w:lang w:val="en-US" w:eastAsia="zh-CN"/>
        </w:rPr>
        <w:t xml:space="preserve">详见招标文件</w:t>
      </w:r>
      <w:r>
        <w:rPr>
          <w:rFonts w:hint="eastAsia" w:ascii="宋体" w:hAnsi="宋体" w:eastAsia="宋体" w:cs="宋体"/>
          <w:bCs/>
          <w:color w:val="auto"/>
          <w:sz w:val="24"/>
          <w:szCs w:val="24"/>
          <w:highlight w:val="none"/>
          <w:u w:val="single"/>
          <w:lang w:val="en-US" w:eastAsia="zh-CN" w:bidi="ar-SA"/>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（5）履约验收标准：</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1、甲方以招标文件、乙方的投标文件、承诺、合同为依据，成立验收小组，负责对项目进行全面的验收。</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2、货物的验收包括：数量、外观、质量、性能、包装等；所有设备和附（配）件应符合其规定的性能，无瑕疵和缺陷，质量为合格产品。乙方对质量问题负责包退、包换和包修，因此发生的费用由乙方自行负责。</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4、验收时，乙方须提供所投产品中涉及3C强制性认证、节能、节水、环境标志产品的有效认证证书，证书信息须与所投产品一致。无法提供或证书无效、不符合国家强制性标准及政府采购政策要求的，视为验收不合格，甲方不予验收、不予付款。</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5、货物到达甲方指定地点并安装、调试工作完成后，通知甲方，由甲方根据相关部门规定的验收方案，严格按照有关要求及标准，对整个项目进行验收；交付使用时要同时向甲方提供详细的技术文件、调试报告、安装记录、原厂保修卡、随机资料及配件。</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6、软件系统平台验收要求：相关软件系统平台部署完成后，提供软件使用说明书并组织相关培训，软件系统平台自交付起12个月内，完成功能性、兼容性、稳定性验收，形成应收意见，验收书双方共同签署。对于不满足要求的，提出整改，于整改完成后再重新进行验收，直至符合招标文件要求。</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7、乙方按合同约定履约完成全部项目，并满足使用要求，须及时向甲方或合同签订的甲方提交验收申请。合同签订的甲方（使用者）须进行初步验收，完全达到符合采购合同约定的验收条件时，再向验收小组申请正式验收。投标人须提交规范供货承诺书、合同签订的甲方（使用者）须向验收组提交规范验货承诺书。</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（6）是否以采购活动中供应商提供的样品作为参考：</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（7）履约验收其他事项：</w:t>
      </w:r>
      <w:r>
        <w:rPr>
          <w:rFonts w:hint="eastAsia" w:ascii="宋体" w:hAnsi="宋体" w:eastAsia="宋体" w:cs="宋体"/>
          <w:bCs/>
          <w:color w:val="auto"/>
          <w:sz w:val="24"/>
          <w:szCs w:val="24"/>
          <w:highlight w:val="none"/>
          <w:u w:val="single"/>
          <w:lang w:val="en-US" w:eastAsia="zh-CN" w:bidi="ar-SA"/>
        </w:rPr>
        <w:t xml:space="preserve">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5.组成合同的文件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本协议书与下列文件一起构成合同文件，如下述文件之间有任何抵触、矛盾或歧义，应按以下顺序解释：</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（1）政府采购合同协议书及其变更、补充协议</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（2）政府采购合同专用条款</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（3）政府采购合同通用条款</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（4）中标（成交）通知书</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（5）投标（响应）文件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（6）招标文件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（7）有关技术文件，图纸</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eastAsia="宋体" w:cs="宋体"/>
          <w:bCs w:val="0"/>
          <w:color w:val="auto"/>
          <w:sz w:val="24"/>
          <w:szCs w:val="24"/>
          <w:highlight w:val="none"/>
          <w:lang w:val="en-US" w:eastAsia="zh-CN" w:bidi="ar-SA"/>
        </w:rPr>
        <w:t xml:space="preserve">国家法律、行政法规和规章制度规定或合同约定的作为合同组成部分的其他文件</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6.合同生效</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本合同自</w:t>
      </w:r>
      <w:r>
        <w:rPr>
          <w:rFonts w:hint="eastAsia" w:ascii="宋体" w:hAnsi="宋体" w:eastAsia="宋体" w:cs="宋体"/>
          <w:color w:val="auto"/>
          <w:sz w:val="24"/>
          <w:szCs w:val="24"/>
          <w:highlight w:val="none"/>
          <w:u w:val="single"/>
          <w:lang w:val="en-US" w:eastAsia="zh-CN" w:bidi="ar-SA"/>
        </w:rPr>
        <w:t xml:space="preserve"> 双方签字盖章后 </w:t>
      </w:r>
      <w:r>
        <w:rPr>
          <w:rFonts w:hint="eastAsia" w:ascii="宋体" w:hAnsi="宋体" w:eastAsia="宋体" w:cs="宋体"/>
          <w:color w:val="auto"/>
          <w:sz w:val="24"/>
          <w:szCs w:val="24"/>
          <w:highlight w:val="none"/>
          <w:lang w:val="en-US" w:eastAsia="zh-CN" w:bidi="ar-SA"/>
        </w:rPr>
        <w:t xml:space="preserve">生效。</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7.合同份数</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本合同一式</w:t>
      </w:r>
      <w:r>
        <w:rPr>
          <w:rFonts w:hint="eastAsia" w:ascii="宋体" w:hAnsi="宋体" w:eastAsia="宋体" w:cs="宋体"/>
          <w:color w:val="auto"/>
          <w:sz w:val="24"/>
          <w:szCs w:val="24"/>
          <w:highlight w:val="none"/>
          <w:u w:val="single"/>
          <w:lang w:val="en-US" w:eastAsia="zh-CN" w:bidi="ar-SA"/>
        </w:rPr>
        <w:t xml:space="preserve"> 陆 </w:t>
      </w:r>
      <w:r>
        <w:rPr>
          <w:rFonts w:hint="eastAsia" w:ascii="宋体" w:hAnsi="宋体" w:eastAsia="宋体" w:cs="宋体"/>
          <w:color w:val="auto"/>
          <w:sz w:val="24"/>
          <w:szCs w:val="24"/>
          <w:highlight w:val="none"/>
          <w:lang w:val="en-US" w:eastAsia="zh-CN" w:bidi="ar-SA"/>
        </w:rPr>
        <w:t xml:space="preserve">份，甲方执</w:t>
      </w:r>
      <w:r>
        <w:rPr>
          <w:rFonts w:hint="eastAsia" w:ascii="宋体" w:hAnsi="宋体" w:eastAsia="宋体" w:cs="宋体"/>
          <w:color w:val="auto"/>
          <w:sz w:val="24"/>
          <w:szCs w:val="24"/>
          <w:highlight w:val="none"/>
          <w:u w:val="single"/>
          <w:lang w:val="en-US" w:eastAsia="zh-CN" w:bidi="ar-SA"/>
        </w:rPr>
        <w:t xml:space="preserve">  叁 </w:t>
      </w:r>
      <w:r>
        <w:rPr>
          <w:rFonts w:hint="eastAsia" w:ascii="宋体" w:hAnsi="宋体" w:eastAsia="宋体" w:cs="宋体"/>
          <w:color w:val="auto"/>
          <w:sz w:val="24"/>
          <w:szCs w:val="24"/>
          <w:highlight w:val="none"/>
          <w:lang w:val="en-US" w:eastAsia="zh-CN" w:bidi="ar-SA"/>
        </w:rPr>
        <w:t xml:space="preserve">份，乙方执</w:t>
      </w:r>
      <w:r>
        <w:rPr>
          <w:rFonts w:hint="eastAsia" w:ascii="宋体" w:hAnsi="宋体" w:eastAsia="宋体" w:cs="宋体"/>
          <w:color w:val="auto"/>
          <w:sz w:val="24"/>
          <w:szCs w:val="24"/>
          <w:highlight w:val="none"/>
          <w:u w:val="single"/>
          <w:lang w:val="en-US" w:eastAsia="zh-CN" w:bidi="ar-SA"/>
        </w:rPr>
        <w:t xml:space="preserve"> 叁 </w:t>
      </w:r>
      <w:r>
        <w:rPr>
          <w:rFonts w:hint="eastAsia" w:ascii="宋体" w:hAnsi="宋体" w:eastAsia="宋体" w:cs="宋体"/>
          <w:color w:val="auto"/>
          <w:sz w:val="24"/>
          <w:szCs w:val="24"/>
          <w:highlight w:val="none"/>
          <w:lang w:val="en-US" w:eastAsia="zh-CN" w:bidi="ar-SA"/>
        </w:rPr>
        <w:t xml:space="preserve">份，均具有同等法律效力。</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合同订立时间：</w:t>
      </w:r>
      <w:r>
        <w:rPr>
          <w:rFonts w:hint="eastAsia" w:ascii="宋体" w:hAnsi="宋体" w:eastAsia="宋体" w:cs="宋体"/>
          <w:color w:val="auto"/>
          <w:sz w:val="24"/>
          <w:szCs w:val="24"/>
          <w:highlight w:val="none"/>
          <w:u w:val="single"/>
          <w:lang w:val="en-US" w:eastAsia="zh-CN" w:bidi="ar-SA"/>
        </w:rPr>
        <w:t xml:space="preserve"> 2026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合同订立地点：</w:t>
      </w:r>
      <w:r>
        <w:rPr>
          <w:rFonts w:hint="eastAsia" w:ascii="宋体" w:hAnsi="宋体" w:eastAsia="宋体" w:cs="宋体"/>
          <w:color w:val="auto"/>
          <w:sz w:val="24"/>
          <w:szCs w:val="24"/>
          <w:highlight w:val="none"/>
          <w:u w:val="single"/>
          <w:lang w:val="en-US" w:eastAsia="zh-CN" w:bidi="ar-SA"/>
        </w:rPr>
        <w:t xml:space="preserve">  灌云县教育局    </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附件：具体标的及其</w:t>
      </w:r>
      <w:r>
        <w:rPr>
          <w:rFonts w:hint="eastAsia" w:ascii="宋体" w:hAnsi="宋体" w:eastAsia="宋体" w:cs="宋体"/>
          <w:color w:val="auto"/>
          <w:sz w:val="24"/>
          <w:szCs w:val="24"/>
          <w:highlight w:val="none"/>
          <w:u w:val="none"/>
          <w:lang w:val="en-US" w:eastAsia="zh-CN" w:bidi="ar-SA"/>
        </w:rPr>
        <w:t xml:space="preserve">技术要求和商务要求</w:t>
      </w:r>
      <w:r>
        <w:rPr>
          <w:rFonts w:hint="eastAsia" w:ascii="宋体" w:hAnsi="宋体" w:eastAsia="宋体" w:cs="宋体"/>
          <w:color w:val="auto"/>
          <w:sz w:val="24"/>
          <w:szCs w:val="24"/>
          <w:highlight w:val="none"/>
          <w:lang w:val="en-US" w:eastAsia="zh-CN" w:bidi="ar-SA"/>
        </w:rPr>
        <w:t xml:space="preserve">等。</w:t>
      </w:r>
      <w:r>
        <w:rPr>
          <w:rFonts w:hint="eastAsia" w:ascii="宋体" w:hAnsi="宋体" w:eastAsia="宋体" w:cs="宋体"/>
          <w:color w:val="auto"/>
          <w:sz w:val="24"/>
          <w:szCs w:val="24"/>
          <w:highlight w:val="none"/>
          <w:lang w:val="en-US" w:eastAsia="zh-CN" w:bidi="ar-SA"/>
        </w:rPr>
        <w:br w:type="page" w:clear="all"/>
      </w:r>
      <w:r/>
    </w:p>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bl>
      <w:tblPr>
        <w:tblStyle w:val="741"/>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2433"/>
        <w:gridCol w:w="2146"/>
        <w:gridCol w:w="2297"/>
      </w:tblGrid>
      <w:tr>
        <w:trPr>
          <w:jc w:val="center"/>
          <w:trHeight w:val="490"/>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甲方（采购人）</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乙方（供应商）</w:t>
            </w:r>
            <w:r/>
          </w:p>
        </w:tc>
      </w:tr>
      <w:tr>
        <w:trPr>
          <w:jc w:val="center"/>
          <w:trHeight w:val="917"/>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单位名称（公章或合同章）</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单位名称（公章或合同章）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1171"/>
        </w:trPr>
        <w:tc>
          <w:tcPr>
            <w:tcBorders>
              <w:top w:val="single" w:color="auto" w:sz="2" w:space="0"/>
              <w:right w:val="single" w:color="auto" w:sz="2" w:space="0"/>
            </w:tcBorders>
            <w:tcW w:w="1225"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w:t>
            </w:r>
            <w:r/>
          </w:p>
          <w:p>
            <w:pPr>
              <w:ind w:firstLine="115"/>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或其委托代理人（签章）</w:t>
            </w:r>
            <w:r/>
          </w:p>
        </w:tc>
        <w:tc>
          <w:tcPr>
            <w:tcBorders>
              <w:top w:val="single" w:color="auto" w:sz="2" w:space="0"/>
              <w:left w:val="single" w:color="auto" w:sz="2" w:space="0"/>
              <w:right w:val="single" w:color="auto" w:sz="2" w:space="0"/>
            </w:tcBorders>
            <w:tcW w:w="1335"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w:t>
            </w:r>
            <w:r/>
          </w:p>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或其委托代理人（签章）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3"/>
        </w:trPr>
        <w:tc>
          <w:tcPr>
            <w:tcBorders>
              <w:bottom w:val="single" w:color="auto" w:sz="2" w:space="0"/>
              <w:right w:val="single" w:color="auto" w:sz="2" w:space="0"/>
            </w:tcBorders>
            <w:tcW w:w="1225"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single" w:color="auto" w:sz="2" w:space="0"/>
              <w:bottom w:val="single" w:color="auto" w:sz="2" w:space="0"/>
              <w:right w:val="single" w:color="auto" w:sz="2" w:space="0"/>
            </w:tcBorders>
            <w:tcW w:w="1335"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住  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 系 人</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邮政编码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电子邮箱</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统一社会信用代码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586"/>
        </w:trPr>
        <w:tc>
          <w:tcPr>
            <w:gridSpan w:val="4"/>
            <w:tcBorders>
              <w:top w:val="single" w:color="auto" w:sz="2" w:space="0"/>
            </w:tcBorders>
            <w:tcW w:w="5000" w:type="pct"/>
            <w:vAlign w:val="center"/>
            <w:textDirection w:val="lrTb"/>
            <w:noWrap w:val="false"/>
          </w:tcPr>
          <w:p>
            <w:pPr>
              <w:ind w:left="0"/>
              <w:jc w:val="left"/>
              <w:spacing w:before="156" w:after="0" w:line="360" w:lineRule="auto"/>
              <w:widowControl w:val="off"/>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注：涉及联合体或其他合同主体的信息应按上表格式加列。</w:t>
            </w:r>
            <w:r/>
          </w:p>
        </w:tc>
      </w:tr>
    </w:tbl>
    <w:p>
      <w:pPr>
        <w:jc w:val="center"/>
        <w:keepLines/>
        <w:keepNext/>
        <w:spacing w:before="156"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u w:val="single"/>
          <w:lang w:val="en-US" w:eastAsia="zh-CN" w:bidi="ar-SA"/>
        </w:rPr>
        <w:br w:type="page" w:clear="all"/>
      </w:r>
      <w:bookmarkStart w:id="17" w:name="_Toc27624"/>
      <w:r>
        <w:rPr>
          <w:rFonts w:hint="eastAsia" w:ascii="宋体" w:hAnsi="宋体" w:eastAsia="宋体" w:cs="宋体"/>
          <w:b w:val="0"/>
          <w:bCs w:val="0"/>
          <w:color w:val="auto"/>
          <w:sz w:val="24"/>
          <w:szCs w:val="24"/>
          <w:highlight w:val="none"/>
          <w:lang w:val="en-US" w:eastAsia="zh-CN" w:bidi="ar-SA"/>
        </w:rPr>
        <w:t xml:space="preserve">第二节 政府采购合同通用条款</w:t>
      </w:r>
      <w:bookmarkEnd w:id="17"/>
      <w:r/>
      <w:r/>
    </w:p>
    <w:p>
      <w:pPr>
        <w:ind w:firstLine="482"/>
        <w:jc w:val="left"/>
        <w:pageBreakBefore w:val="0"/>
        <w:spacing w:line="360" w:lineRule="auto"/>
        <w:tabs>
          <w:tab w:val="left" w:pos="8820" w:leader="none"/>
          <w:tab w:val="left" w:pos="9345" w:leader="none"/>
          <w:tab w:val="left" w:pos="9765"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 </w:t>
      </w:r>
      <w:r>
        <w:rPr>
          <w:rFonts w:hint="eastAsia" w:ascii="宋体" w:hAnsi="宋体" w:eastAsia="宋体" w:cs="宋体"/>
          <w:b/>
          <w:bCs/>
          <w:color w:val="auto"/>
          <w:sz w:val="24"/>
          <w:szCs w:val="24"/>
          <w:highlight w:val="none"/>
          <w:lang w:val="en-US" w:eastAsia="zh-CN" w:bidi="ar-SA"/>
        </w:rPr>
        <w:t xml:space="preserve">定义</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1.1合同当事人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（1）采购人（以下称甲方）是指使用财政性资金，通过政府采购方式向供应商购买货物及其相关服务的国家机关、事业单位、团体组织。</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（2）供应商（以下称乙方）是指参加政府采购活动并且中标（成交），向采购人提供合同约定的货物及其相关服务的法人、非法人组织或者自然人。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（3）其他合同主体是指除采购人和供应商以外，</w:t>
      </w:r>
      <w:r>
        <w:rPr>
          <w:rFonts w:hint="eastAsia" w:ascii="宋体" w:hAnsi="宋体" w:eastAsia="宋体" w:cs="宋体"/>
          <w:bCs/>
          <w:color w:val="auto"/>
          <w:sz w:val="24"/>
          <w:szCs w:val="24"/>
          <w:highlight w:val="none"/>
          <w:lang w:val="en-US" w:eastAsia="zh-CN" w:bidi="ar-SA"/>
        </w:rPr>
        <w:t xml:space="preserve">依法参与合同缔结或履行，享有权利、承担义务的合同当事人</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1.2本合同下列术语应解释为：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（1）“合同”系指</w:t>
      </w:r>
      <w:r>
        <w:rPr>
          <w:rFonts w:hint="eastAsia" w:ascii="宋体" w:hAnsi="宋体" w:eastAsia="宋体" w:cs="宋体"/>
          <w:bCs/>
          <w:color w:val="auto"/>
          <w:sz w:val="24"/>
          <w:szCs w:val="24"/>
          <w:highlight w:val="none"/>
          <w:lang w:val="en-US" w:eastAsia="zh-CN" w:bidi="ar-SA"/>
        </w:rPr>
        <w:t xml:space="preserve">合同当事人意思表示达成一致的任何协议，包括签署的</w:t>
      </w:r>
      <w:r>
        <w:rPr>
          <w:rFonts w:hint="eastAsia" w:ascii="宋体" w:hAnsi="宋体" w:eastAsia="宋体" w:cs="宋体"/>
          <w:color w:val="auto"/>
          <w:sz w:val="24"/>
          <w:szCs w:val="24"/>
          <w:highlight w:val="none"/>
          <w:lang w:val="en-US" w:eastAsia="zh-CN" w:bidi="ar-SA"/>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bCs w:val="0"/>
          <w:color w:val="auto"/>
          <w:sz w:val="24"/>
          <w:szCs w:val="24"/>
          <w:highlight w:val="none"/>
          <w:lang w:val="en-US" w:eastAsia="zh-CN" w:bidi="ar-SA"/>
        </w:rPr>
        <w:t xml:space="preserve">国家法律、行政法规和规章制度规定或合同约定的作为合同组成部分的其他文件</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（2）“合同价款”系指根据本合同规定乙方在全面履行合同义务后甲方应支付给乙方的价款。</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技术资料和材料等。</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（4）“相关服务”系指根据合同规定，乙方应提供的与货物有关的技术、管理和</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（7）其他术语解释，见【</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color w:val="auto"/>
          <w:sz w:val="24"/>
          <w:szCs w:val="24"/>
          <w:highlight w:val="none"/>
          <w:lang w:val="en-US" w:eastAsia="zh-CN" w:bidi="ar-SA"/>
        </w:rPr>
        <w:t xml:space="preserve">合同标的及金额</w:t>
      </w:r>
      <w:r/>
    </w:p>
    <w:p>
      <w:pPr>
        <w:ind w:firstLine="480"/>
        <w:jc w:val="left"/>
        <w:pageBreakBefore w:val="0"/>
        <w:spacing w:line="360" w:lineRule="auto"/>
        <w:rPr>
          <w:rFonts w:hint="eastAsia" w:ascii="宋体" w:hAnsi="宋体" w:eastAsia="宋体" w:cs="宋体"/>
          <w:b/>
          <w:bCs/>
          <w:i/>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任何费用。</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 履行合同的时间、地点和方式</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 乙方应当在约定的时间、地点，按照约定方式履行合同。</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 甲方的权利和义务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4.3 甲方有权要求乙方对缺陷部分予以修复，并按合同约定享有货物保修及其他合同约定的权利。</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 甲方应当按照合同约定及时对交付的货物进行验收，</w:t>
      </w:r>
      <w:r>
        <w:rPr>
          <w:rFonts w:hint="eastAsia" w:ascii="宋体" w:hAnsi="宋体" w:eastAsia="宋体" w:cs="宋体"/>
          <w:b w:val="0"/>
          <w:bCs w:val="0"/>
          <w:color w:val="auto"/>
          <w:sz w:val="24"/>
          <w:szCs w:val="24"/>
          <w:highlight w:val="none"/>
          <w:lang w:val="en-US" w:eastAsia="zh-CN" w:bidi="ar-SA"/>
        </w:rPr>
        <w:t xml:space="preserve">未</w:t>
      </w:r>
      <w:r>
        <w:rPr>
          <w:rFonts w:hint="eastAsia" w:ascii="宋体" w:hAnsi="宋体" w:eastAsia="宋体" w:cs="宋体"/>
          <w:color w:val="auto"/>
          <w:sz w:val="24"/>
          <w:szCs w:val="24"/>
          <w:highlight w:val="none"/>
          <w:lang w:val="en-US" w:eastAsia="zh-CN" w:bidi="ar-SA"/>
        </w:rPr>
        <w:t xml:space="preserve">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约定的期限内对乙方履约提出任何异议或者向乙方作出任何说明的，</w:t>
      </w:r>
      <w:r>
        <w:rPr>
          <w:rFonts w:hint="eastAsia" w:ascii="宋体" w:hAnsi="宋体" w:eastAsia="宋体" w:cs="宋体"/>
          <w:color w:val="auto"/>
          <w:sz w:val="24"/>
          <w:szCs w:val="24"/>
          <w:highlight w:val="none"/>
          <w:lang w:val="en-US" w:eastAsia="zh-CN" w:bidi="ar-SA"/>
        </w:rPr>
        <w:t xml:space="preserve">视为验收通过。</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4.5 甲方应当根据合同约定及时向乙方支付合同价款，不得以内部人员变更、履行内部付款流程等为由，拒绝或迟延支付。</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4.6 国家法律法规规定及</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约定应由甲方承担的其他义务和责任。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 乙方的权利和义务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 签署合同后，乙方应确定项目负责人（或项目联系人），负责与本合同有关的事务。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5.3乙方有权根据合同约定向甲方收取合同价款。</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5.4国家法律法规规定及</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约定应</w:t>
      </w:r>
      <w:r>
        <w:rPr>
          <w:rFonts w:hint="eastAsia" w:ascii="宋体" w:hAnsi="宋体" w:eastAsia="宋体" w:cs="宋体"/>
          <w:color w:val="auto"/>
          <w:sz w:val="24"/>
          <w:szCs w:val="24"/>
          <w:highlight w:val="none"/>
          <w:lang w:val="en-US" w:eastAsia="zh-CN" w:bidi="ar-SA"/>
        </w:rPr>
        <w:t xml:space="preserve">由乙方承担的其他义务和责任。</w:t>
      </w:r>
      <w:r/>
    </w:p>
    <w:p>
      <w:pPr>
        <w:numPr>
          <w:ilvl w:val="0"/>
          <w:numId w:val="1"/>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 甲乙双方应当按照</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约定顺序履行合同义务；如果没有先后顺序的，应当同时履行。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 货物包装、运输、保险和交付要求</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 本合同</w:t>
      </w:r>
      <w:r>
        <w:rPr>
          <w:rFonts w:hint="eastAsia" w:ascii="宋体" w:hAnsi="宋体" w:eastAsia="宋体" w:cs="宋体"/>
          <w:bCs/>
          <w:color w:val="auto"/>
          <w:sz w:val="24"/>
          <w:szCs w:val="24"/>
          <w:highlight w:val="none"/>
          <w:lang w:val="en-US" w:eastAsia="zh-CN" w:bidi="ar-SA"/>
        </w:rPr>
        <w:t xml:space="preserve">涉及商品包装、快递包装的，</w:t>
      </w:r>
      <w:r>
        <w:rPr>
          <w:rFonts w:hint="eastAsia" w:ascii="宋体" w:hAnsi="宋体" w:eastAsia="宋体" w:cs="宋体"/>
          <w:color w:val="auto"/>
          <w:sz w:val="24"/>
          <w:szCs w:val="24"/>
          <w:highlight w:val="none"/>
          <w:lang w:val="en-US" w:eastAsia="zh-CN" w:bidi="ar-SA"/>
        </w:rPr>
        <w:t xml:space="preserve">除</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另有约定外，</w:t>
      </w:r>
      <w:r>
        <w:rPr>
          <w:rFonts w:hint="eastAsia" w:ascii="宋体" w:hAnsi="宋体" w:eastAsia="宋体" w:cs="宋体"/>
          <w:color w:val="auto"/>
          <w:sz w:val="24"/>
          <w:szCs w:val="24"/>
          <w:highlight w:val="none"/>
          <w:lang w:val="en-US" w:eastAsia="zh-CN" w:bidi="ar-SA"/>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 w:val="0"/>
          <w:bCs/>
          <w:color w:val="auto"/>
          <w:sz w:val="24"/>
          <w:szCs w:val="24"/>
          <w:highlight w:val="none"/>
          <w:lang w:val="en-US" w:eastAsia="zh-CN" w:bidi="ar-SA"/>
        </w:rPr>
        <w:t xml:space="preserve">约定的</w:t>
      </w:r>
      <w:r>
        <w:rPr>
          <w:rFonts w:hint="eastAsia" w:ascii="宋体" w:hAnsi="宋体" w:eastAsia="宋体" w:cs="宋体"/>
          <w:color w:val="auto"/>
          <w:sz w:val="24"/>
          <w:szCs w:val="24"/>
          <w:highlight w:val="none"/>
          <w:lang w:val="en-US" w:eastAsia="zh-CN" w:bidi="ar-SA"/>
        </w:rPr>
        <w:t xml:space="preserve">指定现场。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7.2 除</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另有约定外，</w:t>
      </w:r>
      <w:r>
        <w:rPr>
          <w:rFonts w:hint="eastAsia" w:ascii="宋体" w:hAnsi="宋体" w:eastAsia="宋体" w:cs="宋体"/>
          <w:color w:val="auto"/>
          <w:sz w:val="24"/>
          <w:szCs w:val="24"/>
          <w:highlight w:val="none"/>
          <w:lang w:val="en-US" w:eastAsia="zh-CN" w:bidi="ar-SA"/>
        </w:rPr>
        <w:t xml:space="preserve">乙方负责办理将货物运抵本合同规定的交货地点，并装卸、交付至甲方的一切运输事项，相关费用应包含在合同价款中。</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7.3 货物保险要求按</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规定执行</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7.5 乙方在运输到达之前应提前通知甲方，并提示货物运输装卸的注意事项，甲方配合乙方做好货物的接收工作。</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7.6 如因包装、运输问题导致货物损毁、丢失或者品质下降，甲方有权要求降价、换货、拒收部分或整批货物，由此产生的费用和损失，均由乙方承担。</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8. 质量标准和保证</w:t>
      </w:r>
      <w:r/>
    </w:p>
    <w:p>
      <w:pPr>
        <w:ind w:firstLine="480"/>
        <w:jc w:val="left"/>
        <w:pageBreakBefore w:val="0"/>
        <w:spacing w:before="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 质量标准</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（2）采用中华人民共和国法定计量单位。</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（3）乙方所提供的货物应符合国家有关安全、环保、卫生的规定。</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 保证</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规定或乙方书面承诺（两者以较长的为准）的质量保证期内，本保证保持有效。</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（2）在质量保证期内所发现的缺陷，甲方应尽快以书面形式通知乙方。</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（3）乙方收到通知后，应在</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规定的响应时间内以合理的速度免费维修或更换有缺陷的货物或部件。</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（5）乙方在约定的时间内未能弥补缺陷，甲方可采取必要的补救措施，但其风险和费用将由乙方承担，甲方根据合同约定对乙方行使的其他权利不受影响。</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9. 权利瑕疵担保</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 乙方保证对其出售的货物享有合法的权利。</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 乙方保证在交付的货物上不存在抵押权等担保物权。</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9.3 如甲方使用上述货物构成对第三人侵权的，则由乙方承担全部责任。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10. 知识产权保护</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10.1 乙方对其所销售的货物应当享有知识产权或经权利人合法授权，保证没有侵犯任何第三人的知识产权等权利。</w:t>
      </w:r>
      <w:bookmarkStart w:id="18" w:name="_Hlk163047038"/>
      <w:r>
        <w:rPr>
          <w:rFonts w:hint="eastAsia" w:ascii="宋体" w:hAnsi="宋体" w:eastAsia="宋体" w:cs="宋体"/>
          <w:color w:val="auto"/>
          <w:sz w:val="24"/>
          <w:szCs w:val="24"/>
          <w:highlight w:val="none"/>
          <w:lang w:val="en-US" w:eastAsia="zh-CN" w:bidi="ar-SA"/>
        </w:rPr>
        <w:t xml:space="preserve">因违反前述约定对第三人构成侵权的，应当由乙方向第三人承担法律责任；甲方依法向第三人赔偿后，有权向乙方追偿。甲方有其他损失的，乙方应当赔偿</w:t>
      </w:r>
      <w:bookmarkEnd w:id="18"/>
      <w:r>
        <w:rPr>
          <w:rFonts w:hint="eastAsia" w:ascii="宋体" w:hAnsi="宋体" w:eastAsia="宋体" w:cs="宋体"/>
          <w:color w:val="auto"/>
          <w:sz w:val="24"/>
          <w:szCs w:val="24"/>
          <w:highlight w:val="none"/>
          <w:lang w:val="en-US" w:eastAsia="zh-CN" w:bidi="ar-SA"/>
        </w:rPr>
        <w:t xml:space="preserve">。</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 保密义务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中约定。</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12. 合同价款支付</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 合同价款支付按照国库集中支付制度及财政管理相关规定执行。</w:t>
      </w:r>
      <w:r/>
    </w:p>
    <w:p>
      <w:pPr>
        <w:ind w:firstLine="480"/>
        <w:jc w:val="both"/>
        <w:keepLines/>
        <w:keepNext/>
        <w:pageBreakBefore w:val="0"/>
        <w:spacing w:before="0"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12.2 对于满足合同约定支付条件的，甲方</w:t>
      </w:r>
      <w:r>
        <w:rPr>
          <w:rFonts w:hint="eastAsia" w:ascii="宋体" w:hAnsi="宋体" w:eastAsia="宋体" w:cs="宋体"/>
          <w:b w:val="0"/>
          <w:bCs w:val="0"/>
          <w:i w:val="0"/>
          <w:iCs w:val="0"/>
          <w:caps w:val="0"/>
          <w:color w:val="auto"/>
          <w:spacing w:val="0"/>
          <w:sz w:val="24"/>
          <w:szCs w:val="24"/>
          <w:highlight w:val="none"/>
          <w:shd w:val="clear" w:color="auto"/>
          <w:vertAlign w:val="baseline"/>
          <w:lang w:val="en-US" w:eastAsia="zh-CN" w:bidi="ar-SA"/>
        </w:rPr>
        <w:t xml:space="preserve">原则上应当自收到发票后10个工作日内</w:t>
      </w:r>
      <w:r>
        <w:rPr>
          <w:rFonts w:hint="eastAsia" w:ascii="宋体" w:hAnsi="宋体" w:eastAsia="宋体" w:cs="宋体"/>
          <w:b w:val="0"/>
          <w:bCs w:val="0"/>
          <w:color w:val="auto"/>
          <w:sz w:val="24"/>
          <w:szCs w:val="24"/>
          <w:highlight w:val="none"/>
          <w:lang w:val="en-US" w:eastAsia="zh-CN" w:bidi="ar-SA"/>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】中约定。</w:t>
      </w:r>
      <w:r/>
    </w:p>
    <w:p>
      <w:pPr>
        <w:ind w:firstLine="482"/>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13. 履约保证金</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 乙方应当以支票、汇票、本票或者金融机构、担保机构出具的保函等非现金形式提交。</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 如果乙方出现</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约定情形的</w:t>
      </w:r>
      <w:r>
        <w:rPr>
          <w:rFonts w:hint="eastAsia" w:ascii="宋体" w:hAnsi="宋体" w:eastAsia="宋体" w:cs="宋体"/>
          <w:color w:val="auto"/>
          <w:sz w:val="24"/>
          <w:szCs w:val="24"/>
          <w:highlight w:val="none"/>
          <w:lang w:val="en-US" w:eastAsia="zh-CN" w:bidi="ar-SA"/>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 甲方在项目通过验收后按照</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规定支付。</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14. </w:t>
      </w:r>
      <w:r>
        <w:rPr>
          <w:rFonts w:hint="eastAsia" w:ascii="宋体" w:hAnsi="宋体" w:eastAsia="宋体" w:cs="宋体"/>
          <w:b/>
          <w:color w:val="auto"/>
          <w:sz w:val="24"/>
          <w:szCs w:val="24"/>
          <w:highlight w:val="none"/>
          <w:lang w:val="en-US" w:eastAsia="zh-CN" w:bidi="ar-SA"/>
        </w:rPr>
        <w:t xml:space="preserve">售后服务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除项目不涉及或采购活动中明确约定无须承担外，乙方还应提供下列服务：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（1）货物的现场移动、安装、调试、启动监督及技术支持；</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（2）提供货物组装和维修所需的专用工具和辅助材料；</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约定的期限内对所有的货物实施运行监督、维修，但前提条件是该服务并不能免除乙方在质量保证期内所承担的义务；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（4）在制造商所在地或指定现场就货物的安装、启动、运营、维护、废弃处置等对甲方操作人员进行培训；</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（5）依照法律、行政法规的规定或者按照</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约定，货物在有效使用年限届满后应予回收的，乙方负有自行或者委托第三人对货物予以回收的义务；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规定由乙方提供的其他服务。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 乙方提供的售后服务的费用已包含在合同价款中，甲方不再另行支付。</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15. 违约责任</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15.1质量瑕疵的违约责任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乙方提供的产品不符合合同约定的质量标准或存在产品质量缺陷，甲方有权要求乙方根据</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 w:val="0"/>
          <w:bCs/>
          <w:color w:val="auto"/>
          <w:sz w:val="24"/>
          <w:szCs w:val="24"/>
          <w:highlight w:val="none"/>
          <w:lang w:val="en-US" w:eastAsia="zh-CN" w:bidi="ar-SA"/>
        </w:rPr>
        <w:t xml:space="preserve">要求</w:t>
      </w:r>
      <w:r>
        <w:rPr>
          <w:rFonts w:hint="eastAsia" w:ascii="宋体" w:hAnsi="宋体" w:eastAsia="宋体" w:cs="宋体"/>
          <w:color w:val="auto"/>
          <w:sz w:val="24"/>
          <w:szCs w:val="24"/>
          <w:highlight w:val="none"/>
          <w:lang w:val="en-US" w:eastAsia="zh-CN" w:bidi="ar-SA"/>
        </w:rPr>
        <w:t xml:space="preserve">及时修理、重作、更换，并承担由此给甲方造成的损失。</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15.2 迟延交货的违约责任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规定执行。如果涉及公共利益，且赔偿金额无法弥补公共利益损失，甲方可要求继续履行或者采取其他补救措施。</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15.3 迟延支付的违约责任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甲方存在迟延支付乙方合同款项的，应当承担</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规定的逾期付款利息。</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15.4其他违约责任根据项目实际需要按</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规定执行。</w:t>
      </w:r>
      <w:r/>
    </w:p>
    <w:p>
      <w:pPr>
        <w:numPr>
          <w:ilvl w:val="0"/>
          <w:numId w:val="2"/>
        </w:num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合同变更、中止与终止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16.1合同的变更</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政府采购合同履行中，在不改变合同其他条款的前提下，甲方可以在合同价款10%的范围内追加与合同标的相同的货物，并就此与乙方协商一致后签订补充协议。</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16.2合同的中止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（1）合同履行过程中因供应商就采购文件、采购过程或结果提起投诉的，甲方认为有必要的，可以中止合同的履行。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（4）甲方不得以行政区划调整、政府换届、机构或者职能调整以及相关责任人更替为由中止合同。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16.3合同的终止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（1）合同因有效期限届满而终止；</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（2）乙方未按合同约定履行，构成根本性违约的，甲方有权终止合同，并追究乙方的违约责任。</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16.4 </w:t>
      </w:r>
      <w:r>
        <w:rPr>
          <w:rFonts w:hint="eastAsia" w:ascii="宋体" w:hAnsi="宋体" w:eastAsia="宋体" w:cs="宋体"/>
          <w:color w:val="auto"/>
          <w:sz w:val="24"/>
          <w:szCs w:val="24"/>
          <w:highlight w:val="none"/>
          <w:lang w:val="en-US" w:eastAsia="zh-CN" w:bidi="ar-SA"/>
        </w:rPr>
        <w:t xml:space="preserve">涉及国家利益、社会公共利益的情形</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17. 合同分包</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 乙方不得将合同转包给其他供应商。涉及合同分包的，乙方应根据采购文件和投标（响应）文件规定进行合同分包。</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17.2 乙方执行政府采购政策向中小企业依法分包的，乙方应当按采购文件和投标（响应）文件签订分包意向协议，分包意向协议属于本合同组成部分。</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18. 不可抗力</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 不可抗力是指合同双方不能预见、不能避免且不能克服的客观情况。</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18.2 任何一方对由于不可抗力造成的部分或全部不能履行合同不承担违约责任。但迟延履行后发生不可抗力的，不能免除责任。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19. 解决争议的方法</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19.2 选择仲裁的，应在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中明确仲裁机构及仲裁地；通过诉讼方式解决的，可以在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中进一步约定选择与争议有实际联系的地点的人民法院管辖，但管辖法院的约定不得违反级别管辖和专属管辖的规定。</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19.3 如甲乙双方有争议的事项不影响合同其他部分的履行，在争议解决期间，合同其他部分应当继续履行。</w:t>
      </w:r>
      <w:r/>
    </w:p>
    <w:p>
      <w:pPr>
        <w:ind w:firstLine="482"/>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20. 政府采购政策</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 </w:t>
      </w:r>
      <w:r>
        <w:rPr>
          <w:rFonts w:hint="eastAsia" w:ascii="宋体" w:hAnsi="宋体" w:eastAsia="宋体" w:cs="宋体"/>
          <w:color w:val="auto"/>
          <w:sz w:val="24"/>
          <w:szCs w:val="24"/>
          <w:highlight w:val="none"/>
          <w:lang w:val="en-GB" w:eastAsia="zh-CN" w:bidi="ar-SA"/>
        </w:rPr>
        <w:t xml:space="preserve">本合同应当按照规定执行政府采购政策。</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 本合同依法执行政府采购政策的方式和内容，属于合同履约验收的范围。甲乙双方</w:t>
      </w:r>
      <w:r>
        <w:rPr>
          <w:rFonts w:hint="eastAsia" w:ascii="宋体" w:hAnsi="宋体" w:eastAsia="宋体" w:cs="宋体"/>
          <w:color w:val="auto"/>
          <w:sz w:val="24"/>
          <w:szCs w:val="24"/>
          <w:highlight w:val="none"/>
          <w:lang w:val="en-GB" w:eastAsia="zh-CN" w:bidi="ar-SA"/>
        </w:rPr>
        <w:t xml:space="preserve">未按规定要求执行政府采购政策造成损失的</w:t>
      </w:r>
      <w:r>
        <w:rPr>
          <w:rFonts w:hint="eastAsia" w:ascii="宋体" w:hAnsi="宋体" w:eastAsia="宋体" w:cs="宋体"/>
          <w:color w:val="auto"/>
          <w:sz w:val="24"/>
          <w:szCs w:val="24"/>
          <w:highlight w:val="none"/>
          <w:lang w:val="en-US" w:eastAsia="zh-CN" w:bidi="ar-SA"/>
        </w:rPr>
        <w:t xml:space="preserve">，有过错的一方应当承担赔偿责任，双方都有过错的，各自承担相应的责任。</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21. 法律适用</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 本合同的订立、生效、解释、履行及与本合同有关的争议解决，均适用法律、行政法规。</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 本合同条款与法律、行政法规的强制性规定不一致的，双方当事人应按照法律、行政法规的强制性规定修改本合同的相关条款。</w:t>
      </w:r>
      <w:r/>
    </w:p>
    <w:p>
      <w:pPr>
        <w:numPr>
          <w:ilvl w:val="-1"/>
          <w:numId w:val="0"/>
        </w:num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22. 通知</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 一方当事人变更名称、住所、联系人、联系电话或电子邮箱等信息的，应当在变更后3日内及时书面通知对方，对方实际收到变更通知前的送达仍为有效送达。</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22.3本合同一方给另一方的通知均应采用书面形式，传真或快递送到本合同中规定的对方的地址和办理签收手续。</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22.4通知以送达之日或通知书中规定的生效之日起生效，两者中以较迟之日为准。</w:t>
      </w:r>
      <w:r/>
    </w:p>
    <w:p>
      <w:pPr>
        <w:numPr>
          <w:ilvl w:val="0"/>
          <w:numId w:val="3"/>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合同未尽事项</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23.1合同未尽事项见</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23.2 合同附件与合同正文具有同等的法律效力。</w:t>
      </w:r>
      <w:bookmarkStart w:id="19" w:name="_Toc20313"/>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23.3 甲方保留对合同修改和完善的权利。</w:t>
      </w:r>
      <w:r/>
    </w:p>
    <w:p>
      <w:pPr>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br w:type="page" w:clear="all"/>
      </w:r>
      <w:r/>
    </w:p>
    <w:p>
      <w:pPr>
        <w:jc w:val="center"/>
        <w:keepLines/>
        <w:keepNext/>
        <w:spacing w:line="360" w:lineRule="auto"/>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第三节 政府采购合同专用条款</w:t>
      </w:r>
      <w:bookmarkEnd w:id="19"/>
      <w:r/>
      <w:r/>
    </w:p>
    <w:tbl>
      <w:tblPr>
        <w:tblStyle w:val="741"/>
        <w:tblW w:w="9066"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36"/>
        <w:gridCol w:w="2520"/>
        <w:gridCol w:w="4710"/>
      </w:tblGrid>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第1.2（6）项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联合体具体要求</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不接受联合体</w:t>
            </w:r>
            <w:r/>
          </w:p>
        </w:tc>
      </w:tr>
      <w:tr>
        <w:trPr>
          <w:trHeight w:val="604"/>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第1.2（7）项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其他术语解释</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第4.4款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履约验收中甲方提出异议或作出说明的期限</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如有质量异议，乙方应在接到甲方异议的3天内做出书面答复，逾期则视为乙方同意甲方提出的异议和处理意见</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第4.6款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约定甲方承担的其他义务和责任</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（1）尊重乙方的正当合法权益，按照合同约定的条件，按时支付款项；</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（2）接收货物的义务；</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（3）根据合同约定的标准和时间，验收货物的义务；</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（4）如发生验收不通过，返厂维修、退货时，有相关退货及重新验收的义务；</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第5.4款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约定乙方承担的其他义务和责任</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1、乙方应按招标文件规定的时间向甲方提供使用货物的有关技术资料。</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2、乙方交货前应对产品作出全面检查和对验收文件进行整理，并列出清单，作为甲方收货验收和使用的技术条件依据，检验的结果应随货物交甲方。</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应按招标文件规定的货物性能、技术要求、质量标准向甲方提供未经使用的全新产品。乙方需在货物定制（生产）2日前将中标项目所需供货技术参数、数量等报给甲方审核确认，如未经甲方许可进行生产，甲方有权拒绝其供货，且可以要求乙方赔偿给甲方造成的损失。</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rPr>
              <w:t xml:space="preserve">必须安排人员参与安装实施，进场安装实施人员在本项目履约期间具有人身意外伤害险；在安装实施中要严格按行业规定进行安装实施，若出现任何安全事故，责任由乙方自行承担。</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5、乙方必须把握项目进度、质量把控、产品验收、包装运输、指导安装、调试及验收等，有实验室设备安装、相关软件运行维护等经验，及时与甲方对接工作，指导项目团队成员认真完成每一项工作。</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第6.1款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履行合同义务的顺序</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按照国家法律法规要求执行</w:t>
            </w:r>
            <w:r/>
          </w:p>
        </w:tc>
      </w:tr>
      <w:tr>
        <w:trPr>
          <w:trHeight w:val="667"/>
        </w:trPr>
        <w:tc>
          <w:tcPr>
            <w:tcW w:w="1836"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包装特殊要求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绿色环保</w:t>
            </w:r>
            <w:r/>
          </w:p>
        </w:tc>
      </w:tr>
      <w:tr>
        <w:trPr>
          <w:trHeight w:val="667"/>
        </w:trPr>
        <w:tc>
          <w:tcPr>
            <w:tcW w:w="1836"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指定现场</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灌云县高新区高级中学</w:t>
            </w:r>
            <w:r/>
          </w:p>
        </w:tc>
      </w:tr>
      <w:tr>
        <w:trPr>
          <w:trHeight w:val="502"/>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运输特殊要求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1、使用说明书、质量检验证明书、随配附件和工具以及清单一并附于货物内。</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2、乙方在货物发运手续办理完毕后24小时内或货到甲方48小时前通知甲方，以准备接货。</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3、货物在交付甲方前发生的风险均由乙方负责。</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4、货物在规定的交付期限内由乙方送达甲方指定的地点视为交付，乙方同时需通知甲方货物已送达。</w:t>
            </w:r>
            <w:r/>
          </w:p>
        </w:tc>
      </w:tr>
      <w:tr>
        <w:trPr>
          <w:trHeight w:val="66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保险要求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装实施过程中发生的一切安全问题均由乙方自行承担；乙方必须安排具有相应资格人员参与安装实施，进场安装实施人员在本项目履约期间具有人身意外伤害险；在安装实施中要严格按行业规定进行安装实施，若出现任何安全事故，责任由乙方自行承担</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第8.2（1）项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质量保证期</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3年（以验收合格之日起计算）</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第8.2（3）项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货物质量缺陷响应时间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bookmarkStart w:id="20" w:name="auto_fouce_13"/>
            <w:r>
              <w:rPr>
                <w:rFonts w:hint="eastAsia" w:ascii="宋体" w:hAnsi="宋体" w:eastAsia="宋体" w:cs="宋体"/>
                <w:color w:val="auto"/>
                <w:sz w:val="24"/>
                <w:szCs w:val="24"/>
                <w:highlight w:val="none"/>
                <w:lang w:val="en-US" w:eastAsia="zh-CN" w:bidi="ar-SA"/>
              </w:rPr>
              <w:t xml:space="preserve">提供的货物在质保期内因产品本身的质量问题发生损坏，在接到甲方通知后24小时内赶到现场进行检测维修。如设备故障在七个工作日未能维修好，中标人须提供同型号的设备供甲方使用，直至设备维修好后方才取回。如不能维修，由乙方提供性能不低于故障产品的备用产品供甲方使用直至设备维修完成。在质保期内，乙方应对货物出现的质量及安全问题负责处理解决并承担一切费用。</w:t>
            </w:r>
            <w:bookmarkEnd w:id="20"/>
            <w:r>
              <w:rPr>
                <w:rFonts w:hint="eastAsia" w:ascii="宋体" w:hAnsi="宋体" w:eastAsia="宋体" w:cs="宋体"/>
                <w:color w:val="auto"/>
                <w:sz w:val="24"/>
                <w:szCs w:val="24"/>
                <w:highlight w:val="none"/>
                <w:lang w:val="en-US" w:eastAsia="zh-CN" w:bidi="ar-SA"/>
              </w:rPr>
              <w:t xml:space="preserve"> </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ind w:firstLine="0"/>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第11.1款</w:t>
            </w:r>
            <w:r/>
          </w:p>
        </w:tc>
        <w:tc>
          <w:tcPr>
            <w:tcW w:w="2520" w:type="dxa"/>
            <w:vAlign w:val="center"/>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其他应当保密的信息</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乙方应保证，甲方使用该货物或货物的任何一部分时，免受第三方提出的侵犯其专利权、商标权或其他知识产权的起诉。如发生此类纠纷，由乙方承担一切责任</w:t>
            </w:r>
            <w:r/>
          </w:p>
        </w:tc>
      </w:tr>
      <w:tr>
        <w:trPr>
          <w:trHeight w:val="69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合同价款支付时间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69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第13.2款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履约保证金不予退还的情形</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(1)违反合同义务且未承担违约责任；(2)未按时履行违约责任；(3)未能履行与甲方签订的合同，且损失超出履约保证金金额</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第13.3款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履约保证金退还时间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完成合同范围内的所有内容，并经验收合格后，退还履约保证金。</w:t>
            </w:r>
            <w:r/>
          </w:p>
        </w:tc>
      </w:tr>
      <w:tr>
        <w:trPr>
          <w:trHeight w:val="604"/>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第14.1（3）项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运行监督、维修期限</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同质保期</w:t>
            </w:r>
            <w:r/>
          </w:p>
        </w:tc>
      </w:tr>
      <w:tr>
        <w:trPr>
          <w:trHeight w:val="409"/>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第14.1（5）项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货物回收的约定</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第14.1（6）项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乙方提供的其他服务</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应甲方要求，乙方应提供下列服务，所有服务费用已包含在合同总价中。</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1.安装</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1.1乙方必须向甲方提供合同货物所需的材料及技术资料以及组装/维修所需工具。</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1.2乙方已对甲方现场进行详细考察，完全了解现场的状况及环境要求，并承诺不因上述原因对甲方索赔。</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1.3在合同规定的期限内对所提供的标的物实行使用监督、维修服务的前提条件是该服务并不能免除乙方在质量保证期内所承担的义务。</w:t>
            </w:r>
            <w:r/>
          </w:p>
        </w:tc>
      </w:tr>
      <w:tr>
        <w:trPr>
          <w:trHeight w:val="481"/>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修理、重作、更换相关具体规定</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乙方对所供货物与技术要求不符负有责任，如经检测证实不符或缺陷存在的，包括潜在的缺陷或使用不合适的材料，甲方可根据本</w:t>
            </w:r>
            <w:r>
              <w:rPr>
                <w:rFonts w:hint="eastAsia" w:ascii="宋体" w:hAnsi="宋体" w:eastAsia="宋体" w:cs="宋体"/>
                <w:color w:val="auto"/>
                <w:sz w:val="24"/>
                <w:szCs w:val="24"/>
                <w:highlight w:val="none"/>
                <w:lang w:val="en-US" w:eastAsia="zh-CN" w:bidi="ar-SA"/>
              </w:rPr>
              <w:t xml:space="preserve">合同有关质量保证或检验、安装的规定，在质量保证期内及时提出索赔，乙方同意甲方选择下述一种或多种结合的方法解决索赔事宜：1、乙方同意甲方退货，乙方承担由此发生的一切损失和费用，包括利息、银行手续费、运费、保险费、检验费、仓储费、装卸费以及为保管、维护和退回被拒收货物所发生的其他必要费用。2、用符合合同规定的规格、质量和性能要求的新零件、部件和/或设备来更换有缺陷的部分和/或修补缺陷部分，以使货物达到合同规定的规格、质量和性能，乙方承担一切费用和风险并负担甲方遭受的一切损失。同时乙方相应延长被更换货物的质保期。</w:t>
            </w:r>
            <w:bookmarkStart w:id="21" w:name="auto_fouce_16"/>
            <w:r>
              <w:rPr>
                <w:rFonts w:hint="eastAsia" w:ascii="宋体" w:hAnsi="宋体" w:eastAsia="宋体" w:cs="宋体"/>
                <w:color w:val="auto"/>
                <w:sz w:val="24"/>
                <w:szCs w:val="24"/>
                <w:highlight w:val="none"/>
                <w:lang w:val="en-US" w:eastAsia="zh-CN" w:bidi="ar-SA"/>
              </w:rPr>
              <w:t xml:space="preserve">如质保期内同一部件出现三次以上质量问题，乙方除免费更换外需额外支付相当于该部件价值200%的质量处罚金。</w:t>
            </w:r>
            <w:bookmarkEnd w:id="21"/>
            <w:r>
              <w:rPr>
                <w:rFonts w:hint="eastAsia" w:ascii="宋体" w:hAnsi="宋体" w:eastAsia="宋体" w:cs="宋体"/>
                <w:color w:val="auto"/>
                <w:sz w:val="24"/>
                <w:szCs w:val="24"/>
                <w:highlight w:val="none"/>
                <w:lang w:val="en-US" w:eastAsia="zh-CN" w:bidi="ar-SA"/>
              </w:rPr>
              <w:t xml:space="preserve">3、乙方收到索赔通知后3天内，未给甲方答复的，视为索赔已被乙方接受。乙方未能在收到索赔通知后3天内，或征得甲方同意的延长期限内，按照甲方从上列方法中选择的方案解决索赔事宜的，甲方将有权从未付货款中扣回索赔金额，同时保留进一步要求索赔的权利。甲方有权优先选择解除合同并要求乙方支付合同总金额20%的违约金，且不排除同时主张损失赔偿的权利。若质量问题涉及安全隐患，乙方需按该批次货物价值的300%承担惩罚性赔偿责任。</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第15.2（2）项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迟延交货赔偿费</w:t>
            </w:r>
            <w:r/>
          </w:p>
        </w:tc>
        <w:tc>
          <w:tcPr>
            <w:tcW w:w="4710" w:type="dxa"/>
            <w:vAlign w:val="center"/>
            <w:textDirection w:val="lrTb"/>
            <w:noWrap w:val="false"/>
          </w:tcPr>
          <w:p>
            <w:pPr>
              <w:jc w:val="left"/>
              <w:rPr>
                <w:rFonts w:hint="eastAsia" w:ascii="宋体" w:hAnsi="宋体" w:eastAsia="宋体" w:cs="宋体"/>
                <w:color w:val="auto"/>
                <w:sz w:val="24"/>
                <w:szCs w:val="24"/>
                <w:highlight w:val="none"/>
                <w:u w:val="single"/>
                <w:lang w:val="en-US" w:eastAsia="zh-CN" w:bidi="ar-SA"/>
              </w:rPr>
            </w:pPr>
            <w:r/>
            <w:bookmarkStart w:id="22" w:name="auto_fouce_17"/>
            <w:r>
              <w:rPr>
                <w:rFonts w:hint="eastAsia" w:ascii="宋体" w:hAnsi="宋体" w:eastAsia="宋体" w:cs="宋体"/>
                <w:color w:val="auto"/>
                <w:sz w:val="24"/>
                <w:szCs w:val="24"/>
                <w:highlight w:val="none"/>
                <w:u w:val="none"/>
                <w:lang w:val="en-US" w:eastAsia="zh-CN" w:bidi="ar-SA"/>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逾期违约金。违约金按迟延货物对应合同金额的每日0.3%累加计算（不低于5000元/天），最高不超过迟延部分合同金额的30%，且误期不能超出5个工作日。一旦达此限期，甲方有权解除合同。</w:t>
            </w:r>
            <w:bookmarkEnd w:id="22"/>
            <w:r/>
            <w:r/>
          </w:p>
        </w:tc>
      </w:tr>
      <w:tr>
        <w:trPr>
          <w:trHeight w:val="55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逾期付款利息</w:t>
            </w:r>
            <w:r/>
          </w:p>
        </w:tc>
        <w:tc>
          <w:tcPr>
            <w:tcW w:w="4710" w:type="dxa"/>
            <w:vAlign w:val="center"/>
            <w:textDirection w:val="lrTb"/>
            <w:noWrap w:val="false"/>
          </w:tcPr>
          <w:p>
            <w:pPr>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w:t>
            </w:r>
            <w:r/>
          </w:p>
        </w:tc>
      </w:tr>
      <w:tr>
        <w:trPr>
          <w:trHeight w:val="876"/>
        </w:trPr>
        <w:tc>
          <w:tcPr>
            <w:tcBorders>
              <w:bottom w:val="single" w:color="auto" w:sz="2" w:space="0"/>
              <w:right w:val="single" w:color="auto" w:sz="2" w:space="0"/>
            </w:tcBorders>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第15.4款</w:t>
            </w:r>
            <w:r/>
          </w:p>
        </w:tc>
        <w:tc>
          <w:tcPr>
            <w:tcBorders>
              <w:left w:val="single" w:color="auto" w:sz="2" w:space="0"/>
              <w:bottom w:val="single" w:color="auto" w:sz="2" w:space="0"/>
              <w:right w:val="single" w:color="auto" w:sz="2" w:space="0"/>
            </w:tcBorders>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其他违约责任</w:t>
            </w:r>
            <w:r/>
          </w:p>
        </w:tc>
        <w:tc>
          <w:tcPr>
            <w:tcBorders>
              <w:left w:val="single" w:color="auto" w:sz="2" w:space="0"/>
              <w:bottom w:val="single" w:color="auto" w:sz="2" w:space="0"/>
            </w:tcBorders>
            <w:tcW w:w="4710" w:type="dxa"/>
            <w:vAlign w:val="center"/>
            <w:textDirection w:val="lrTb"/>
            <w:noWrap w:val="false"/>
          </w:tcPr>
          <w:p>
            <w:pPr>
              <w:jc w:val="left"/>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1.因乙方原因造成逾期交付货物的，乙方应按逾期交货总额每日千分之三向甲方支付违约金，由甲方从待付合同款中扣除，如逾期超过约定日期3个工作日不能交货的，甲方有权扣除履约保证金并解除本合同。乙方因逾期交货或因其他违约行为导致甲方解除合同的，乙方应向甲方支付合同总值5%的违约金，如造成甲方损失超过违约金的，超出部分由乙方继续承担赔偿责任</w:t>
            </w:r>
            <w:r/>
          </w:p>
          <w:p>
            <w:pPr>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并承担由此给甲方造成的全部损失。</w:t>
            </w:r>
            <w:r/>
          </w:p>
        </w:tc>
      </w:tr>
      <w:tr>
        <w:trPr>
          <w:trHeight w:val="90"/>
        </w:trPr>
        <w:tc>
          <w:tcPr>
            <w:tcBorders>
              <w:top w:val="single" w:color="auto" w:sz="2" w:space="0"/>
              <w:right w:val="single" w:color="auto" w:sz="2" w:space="0"/>
            </w:tcBorders>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第19.2款</w:t>
            </w:r>
            <w:r/>
          </w:p>
        </w:tc>
        <w:tc>
          <w:tcPr>
            <w:tcBorders>
              <w:top w:val="single" w:color="auto" w:sz="2" w:space="0"/>
              <w:left w:val="single" w:color="auto" w:sz="2" w:space="0"/>
              <w:right w:val="single" w:color="auto" w:sz="2" w:space="0"/>
            </w:tcBorders>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解决争议的方法</w:t>
            </w:r>
            <w:r/>
          </w:p>
        </w:tc>
        <w:tc>
          <w:tcPr>
            <w:tcBorders>
              <w:top w:val="single" w:color="auto" w:sz="2" w:space="0"/>
              <w:left w:val="single" w:color="auto" w:sz="2" w:space="0"/>
            </w:tcBorders>
            <w:tcW w:w="4710" w:type="dxa"/>
            <w:vAlign w:val="center"/>
            <w:textDirection w:val="lrTb"/>
            <w:noWrap w:val="false"/>
          </w:tcPr>
          <w:p>
            <w:pPr>
              <w:jc w:val="left"/>
              <w:spacing w:line="400" w:lineRule="exact"/>
              <w:rPr>
                <w:rFonts w:hint="eastAsia" w:ascii="宋体" w:hAnsi="宋体" w:eastAsia="宋体" w:cs="宋体"/>
                <w:b w:val="0"/>
                <w:bCs w:val="0"/>
                <w:iCs/>
                <w:color w:val="auto"/>
                <w:sz w:val="24"/>
                <w:szCs w:val="24"/>
                <w:highlight w:val="non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因本合同及合同有关事项发生的争议，按下列第</w:t>
            </w:r>
            <w:r>
              <w:rPr>
                <w:rFonts w:hint="eastAsia" w:ascii="宋体" w:hAnsi="宋体" w:eastAsia="宋体" w:cs="宋体"/>
                <w:b w:val="0"/>
                <w:bCs w:val="0"/>
                <w:iCs/>
                <w:color w:val="auto"/>
                <w:sz w:val="24"/>
                <w:szCs w:val="24"/>
                <w:highlight w:val="none"/>
                <w:u w:val="single"/>
                <w:lang w:val="en-US" w:eastAsia="zh-CN" w:bidi="ar-SA"/>
              </w:rPr>
              <w:t xml:space="preserve"> 2 </w:t>
            </w:r>
            <w:r>
              <w:rPr>
                <w:rFonts w:hint="eastAsia" w:ascii="宋体" w:hAnsi="宋体" w:eastAsia="宋体" w:cs="宋体"/>
                <w:b w:val="0"/>
                <w:bCs w:val="0"/>
                <w:iCs/>
                <w:color w:val="auto"/>
                <w:sz w:val="24"/>
                <w:szCs w:val="24"/>
                <w:highlight w:val="none"/>
                <w:lang w:val="en-US" w:eastAsia="zh-CN" w:bidi="ar-SA"/>
              </w:rPr>
              <w:t xml:space="preserve">种方式解决：</w:t>
            </w:r>
            <w:r/>
          </w:p>
          <w:p>
            <w:pPr>
              <w:jc w:val="left"/>
              <w:spacing w:line="400" w:lineRule="exact"/>
              <w:rPr>
                <w:rFonts w:hint="eastAsia" w:ascii="宋体" w:hAnsi="宋体" w:eastAsia="宋体" w:cs="宋体"/>
                <w:b w:val="0"/>
                <w:bCs w:val="0"/>
                <w:iCs/>
                <w:color w:val="auto"/>
                <w:sz w:val="24"/>
                <w:szCs w:val="24"/>
                <w:highlight w:val="non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（1）向</w:t>
            </w:r>
            <w:r>
              <w:rPr>
                <w:rFonts w:hint="eastAsia" w:ascii="宋体" w:hAnsi="宋体" w:eastAsia="宋体" w:cs="宋体"/>
                <w:b w:val="0"/>
                <w:bCs w:val="0"/>
                <w:iCs/>
                <w:color w:val="auto"/>
                <w:sz w:val="24"/>
                <w:szCs w:val="24"/>
                <w:highlight w:val="none"/>
                <w:u w:val="single"/>
                <w:lang w:val="en-US" w:eastAsia="zh-CN" w:bidi="ar-SA"/>
              </w:rPr>
              <w:t xml:space="preserve">/</w:t>
            </w:r>
            <w:r>
              <w:rPr>
                <w:rFonts w:hint="eastAsia" w:ascii="宋体" w:hAnsi="宋体" w:eastAsia="宋体" w:cs="宋体"/>
                <w:b w:val="0"/>
                <w:bCs w:val="0"/>
                <w:iCs/>
                <w:color w:val="auto"/>
                <w:sz w:val="24"/>
                <w:szCs w:val="24"/>
                <w:highlight w:val="none"/>
                <w:lang w:val="en-US" w:eastAsia="zh-CN" w:bidi="ar-SA"/>
              </w:rPr>
              <w:t xml:space="preserve">仲裁委员会申请仲裁，仲裁地点为</w:t>
            </w:r>
            <w:r>
              <w:rPr>
                <w:rFonts w:hint="eastAsia" w:ascii="宋体" w:hAnsi="宋体" w:eastAsia="宋体" w:cs="宋体"/>
                <w:b w:val="0"/>
                <w:bCs w:val="0"/>
                <w:iCs/>
                <w:color w:val="auto"/>
                <w:sz w:val="24"/>
                <w:szCs w:val="24"/>
                <w:highlight w:val="none"/>
                <w:u w:val="single"/>
                <w:lang w:val="en-US" w:eastAsia="zh-CN" w:bidi="ar-SA"/>
              </w:rPr>
              <w:t xml:space="preserve">/</w:t>
            </w:r>
            <w:r>
              <w:rPr>
                <w:rFonts w:hint="eastAsia" w:ascii="宋体" w:hAnsi="宋体" w:eastAsia="宋体" w:cs="宋体"/>
                <w:b w:val="0"/>
                <w:bCs w:val="0"/>
                <w:iCs/>
                <w:color w:val="auto"/>
                <w:sz w:val="24"/>
                <w:szCs w:val="24"/>
                <w:highlight w:val="none"/>
                <w:lang w:val="en-US" w:eastAsia="zh-CN" w:bidi="ar-SA"/>
              </w:rPr>
              <w:t xml:space="preserve">；</w:t>
            </w:r>
            <w:r/>
          </w:p>
          <w:p>
            <w:pPr>
              <w:ind w:firstLine="0"/>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（2）向</w:t>
            </w:r>
            <w:r>
              <w:rPr>
                <w:rFonts w:hint="eastAsia" w:ascii="宋体" w:hAnsi="宋体" w:eastAsia="宋体" w:cs="宋体"/>
                <w:b w:val="0"/>
                <w:bCs w:val="0"/>
                <w:iCs/>
                <w:color w:val="auto"/>
                <w:sz w:val="24"/>
                <w:szCs w:val="24"/>
                <w:highlight w:val="none"/>
                <w:u w:val="single"/>
                <w:lang w:val="en-US" w:eastAsia="zh-CN" w:bidi="ar-SA"/>
              </w:rPr>
              <w:t xml:space="preserve">连云港市灌云县</w:t>
            </w:r>
            <w:r>
              <w:rPr>
                <w:rFonts w:hint="eastAsia" w:ascii="宋体" w:hAnsi="宋体" w:eastAsia="宋体" w:cs="宋体"/>
                <w:b w:val="0"/>
                <w:bCs w:val="0"/>
                <w:iCs/>
                <w:color w:val="auto"/>
                <w:sz w:val="24"/>
                <w:szCs w:val="24"/>
                <w:highlight w:val="none"/>
                <w:lang w:val="en-US" w:eastAsia="zh-CN" w:bidi="ar-SA"/>
              </w:rPr>
              <w:t xml:space="preserve">人民法院起诉。</w:t>
            </w:r>
            <w:r/>
          </w:p>
        </w:tc>
      </w:tr>
      <w:tr>
        <w:trPr>
          <w:trHeight w:val="548"/>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第23.1款</w:t>
            </w:r>
            <w:r/>
          </w:p>
        </w:tc>
        <w:tc>
          <w:tcPr>
            <w:tcW w:w="2520"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其他专用条款</w:t>
            </w:r>
            <w:r/>
          </w:p>
        </w:tc>
        <w:tc>
          <w:tcPr>
            <w:tcW w:w="4710" w:type="dxa"/>
            <w:vAlign w:val="center"/>
            <w:textDirection w:val="lrTb"/>
            <w:noWrap w:val="false"/>
          </w:tcPr>
          <w:p>
            <w:pPr>
              <w:jc w:val="both"/>
              <w:keepLines w:val="0"/>
              <w:keepNext w:val="0"/>
              <w:pageBreakBefore w:val="0"/>
              <w:spacing w:after="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pStyle w:val="751"/>
        <w:ind w:firstLine="480"/>
        <w:jc w:val="left"/>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left"/>
        <w:pageBreakBefore w:val="0"/>
        <w:spacing w:line="49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731"/>
        <w:ind w:left="0" w:right="0"/>
        <w:jc w:val="center"/>
        <w:keepLines/>
        <w:keepNext/>
        <w:pageBreakBefore w:val="0"/>
        <w:spacing w:before="0" w:after="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第四章  采购需求</w:t>
      </w:r>
      <w:bookmarkEnd w:id="15"/>
      <w:r/>
      <w:r/>
    </w:p>
    <w:p>
      <w:pPr>
        <w:ind w:firstLine="480"/>
        <w:jc w:val="left"/>
        <w:spacing w:line="500" w:lineRule="exact"/>
        <w:rPr>
          <w:rFonts w:hint="eastAsia" w:ascii="宋体" w:hAnsi="宋体" w:eastAsia="宋体" w:cs="宋体"/>
          <w:strike w:val="0"/>
          <w:color w:val="auto"/>
          <w:sz w:val="24"/>
          <w:szCs w:val="24"/>
          <w:highlight w:val="none"/>
        </w:rPr>
      </w:pPr>
      <w:r>
        <w:rPr>
          <w:rFonts w:hint="eastAsia" w:ascii="宋体" w:hAnsi="宋体" w:eastAsia="宋体" w:cs="宋体"/>
          <w:b/>
          <w:bCs/>
          <w:color w:val="auto"/>
          <w:sz w:val="24"/>
          <w:szCs w:val="24"/>
          <w:highlight w:val="none"/>
        </w:rPr>
        <w:t xml:space="preserve">说明：本项目属性为货物，</w:t>
      </w:r>
      <w:r>
        <w:rPr>
          <w:rFonts w:hint="eastAsia" w:ascii="宋体" w:hAnsi="宋体" w:eastAsia="宋体" w:cs="宋体"/>
          <w:b/>
          <w:bCs/>
          <w:strike w:val="0"/>
          <w:color w:val="auto"/>
          <w:sz w:val="24"/>
          <w:szCs w:val="24"/>
          <w:highlight w:val="none"/>
        </w:rPr>
        <w:t xml:space="preserve">采购标的对应的中小企业划分标准所属行业</w:t>
      </w:r>
      <w:r>
        <w:rPr>
          <w:rFonts w:hint="eastAsia" w:ascii="宋体" w:hAnsi="宋体" w:eastAsia="宋体" w:cs="宋体"/>
          <w:b/>
          <w:bCs/>
          <w:strike w:val="0"/>
          <w:color w:val="auto"/>
          <w:sz w:val="24"/>
          <w:szCs w:val="24"/>
          <w:highlight w:val="none"/>
          <w:lang w:val="en-US" w:eastAsia="zh-CN"/>
        </w:rPr>
        <w:t xml:space="preserve">详见</w:t>
      </w:r>
      <w:r>
        <w:rPr>
          <w:rFonts w:hint="eastAsia" w:ascii="宋体" w:hAnsi="宋体" w:eastAsia="宋体" w:cs="宋体"/>
          <w:b/>
          <w:bCs/>
          <w:color w:val="auto"/>
          <w:sz w:val="24"/>
          <w:szCs w:val="24"/>
          <w:highlight w:val="none"/>
          <w:lang w:val="en-US" w:eastAsia="zh-CN"/>
        </w:rPr>
        <w:t xml:space="preserve">货物需求清单明细表</w:t>
      </w:r>
      <w:r>
        <w:rPr>
          <w:rFonts w:hint="eastAsia" w:ascii="宋体" w:hAnsi="宋体" w:eastAsia="宋体" w:cs="宋体"/>
          <w:b/>
          <w:bCs/>
          <w:strike w:val="0"/>
          <w:color w:val="auto"/>
          <w:sz w:val="24"/>
          <w:szCs w:val="24"/>
          <w:highlight w:val="none"/>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根据《政府采购需求管理办法》等有关规定，</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确定采购需求。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2、本项目需求中标注★号的部分为实质性要求和条件（由采购人根据实际情况设置），投标人必须作出满足或者优于原要求和条件的响应，否则投标无效。</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特别提醒：为落实政府采购中实施本国产品标准及相关政策</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1.本项目对采购本国产品给予政策支持，具体内容见招标文件“第二章”。</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一、项目概况</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灌云县高新区高级中学</w:t>
      </w:r>
      <w:r>
        <w:rPr>
          <w:rFonts w:hint="eastAsia" w:ascii="宋体" w:hAnsi="宋体" w:eastAsia="宋体" w:cs="宋体"/>
          <w:color w:val="auto"/>
          <w:sz w:val="24"/>
          <w:szCs w:val="24"/>
          <w:highlight w:val="none"/>
        </w:rPr>
        <w:t xml:space="preserve">建设需要，</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eastAsia="zh-CN"/>
        </w:rPr>
        <w:t xml:space="preserve">理化生实验室、准备室、仪器室等设备器材采购及运输、安装、调试</w:t>
      </w:r>
      <w:r>
        <w:rPr>
          <w:rFonts w:hint="eastAsia" w:ascii="宋体" w:hAnsi="宋体" w:eastAsia="宋体" w:cs="宋体"/>
          <w:color w:val="auto"/>
          <w:sz w:val="24"/>
          <w:szCs w:val="24"/>
          <w:highlight w:val="none"/>
        </w:rPr>
        <w:t xml:space="preserve">。</w:t>
      </w:r>
      <w:r/>
    </w:p>
    <w:p>
      <w:pPr>
        <w:ind w:righ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en-US" w:eastAsia="zh-CN"/>
        </w:rPr>
        <w:t xml:space="preserve">项目需求</w:t>
      </w:r>
      <w:r/>
    </w:p>
    <w:p>
      <w:pPr>
        <w:ind w:left="0" w:right="0"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bookmarkStart w:id="23" w:name="_Toc139967216"/>
      <w:r/>
      <w:bookmarkStart w:id="24" w:name="_Toc139966432"/>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）货物采购清单</w:t>
      </w:r>
      <w:r>
        <w:rPr>
          <w:rFonts w:hint="eastAsia" w:ascii="宋体" w:hAnsi="宋体" w:eastAsia="宋体" w:cs="宋体"/>
          <w:b/>
          <w:bCs/>
          <w:color w:val="auto"/>
          <w:sz w:val="24"/>
          <w:szCs w:val="24"/>
          <w:highlight w:val="none"/>
          <w:lang w:val="en-US" w:eastAsia="zh-CN"/>
        </w:rPr>
        <w:t xml:space="preserve">汇总表</w:t>
      </w:r>
      <w:r/>
    </w:p>
    <w:tbl>
      <w:tblPr>
        <w:tblStyle w:val="741"/>
        <w:tblW w:w="968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2"/>
        <w:gridCol w:w="2473"/>
        <w:gridCol w:w="2796"/>
        <w:gridCol w:w="986"/>
        <w:gridCol w:w="943"/>
        <w:gridCol w:w="1050"/>
        <w:gridCol w:w="702"/>
      </w:tblGrid>
      <w:tr>
        <w:trPr>
          <w:trHeight w:val="499"/>
        </w:trPr>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d6dce4"/>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楼层</w:t>
            </w:r>
            <w:r/>
          </w:p>
        </w:tc>
        <w:tc>
          <w:tcPr>
            <w:shd w:val="clear" w:color="auto" w:fill="d6dce4"/>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d6dce4"/>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座位数</w:t>
            </w:r>
            <w:r/>
          </w:p>
        </w:tc>
        <w:tc>
          <w:tcPr>
            <w:shd w:val="clear" w:color="auto" w:fill="d6dce4"/>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d6dce4"/>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d6dce4"/>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cs="宋体"/>
                <w:b/>
                <w:bCs/>
                <w:i w:val="0"/>
                <w:iCs w:val="0"/>
                <w:color w:val="auto"/>
                <w:sz w:val="21"/>
                <w:szCs w:val="21"/>
                <w:highlight w:val="none"/>
                <w:u w:val="none"/>
                <w:lang w:val="en-US" w:eastAsia="zh-CN"/>
              </w:rPr>
              <w:t xml:space="preserve">备注</w:t>
            </w:r>
            <w:r/>
          </w:p>
        </w:tc>
      </w:tr>
      <w:tr>
        <w:trPr>
          <w:trHeight w:val="371"/>
        </w:trPr>
        <w:tc>
          <w:tcPr>
            <w:gridSpan w:val="7"/>
            <w:tcBorders>
              <w:top w:val="single" w:color="000000" w:sz="4" w:space="0"/>
              <w:left w:val="single" w:color="000000" w:sz="4" w:space="0"/>
              <w:bottom w:val="single" w:color="000000" w:sz="4" w:space="0"/>
              <w:right w:val="single" w:color="000000" w:sz="4" w:space="0"/>
            </w:tcBorders>
            <w:tcW w:w="968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2F-A01 A04 1F-A07</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2F-A02 A05 1F-A08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物理准备室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分段式智能物理吊装实验室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1F-A06 A09</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物理电学实验室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1F-A10</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物理热学实验室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2F-A03 A06</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物理力学实验室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4F-A01 A08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4F-A02 A07</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化学准备室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分段式智能化学吊装实验室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4F-A04 5F-A05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化学药品室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化学危化品室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3F-A09</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4F-A06 </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4F-A03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7"/>
            <w:tcBorders>
              <w:top w:val="single" w:color="000000" w:sz="4" w:space="0"/>
              <w:left w:val="single" w:color="000000" w:sz="4" w:space="0"/>
              <w:bottom w:val="single" w:color="000000" w:sz="4" w:space="0"/>
              <w:right w:val="single" w:color="000000" w:sz="4" w:space="0"/>
            </w:tcBorders>
            <w:tcW w:w="968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1F-B01</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1F-B02</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生物标本室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分段式智能生物吊装实验室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1F-B04 B07 2F-B02 B05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生物准备室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1F-B05 B08 2F-B03 B06</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1F-B06</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生物综合实验室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2F-B01 B04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生物解剖实验室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3F-B01 B03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生物观察实验室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3F-B02</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4F-B01 B02</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4F-B02 B04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实验员工作室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物理实验仪器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化学实验仪器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生物实验仪器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（二）货物需求清单明细</w:t>
      </w:r>
      <w:r>
        <w:rPr>
          <w:rFonts w:ascii="SimSun" w:hAnsi="SimSun" w:eastAsia="SimSun" w:cs="SimSun"/>
          <w:b/>
          <w:color w:val="000000"/>
          <w:sz w:val="24"/>
        </w:rPr>
        <w:t xml:space="preserve">（本项目货物需求清单明细表中按单间配置标准列明数量，最终按货物采购清单汇总表的总间数相乘计算总数量。）</w:t>
      </w:r>
      <w:r>
        <w:rPr>
          <w:rFonts w:hint="eastAsia" w:ascii="宋体" w:hAnsi="宋体" w:eastAsia="宋体" w:cs="宋体"/>
          <w:b/>
          <w:bCs/>
          <w:color w:val="auto"/>
          <w:sz w:val="24"/>
          <w:szCs w:val="24"/>
          <w:highlight w:val="none"/>
          <w:lang w:val="en-US" w:eastAsia="zh-CN"/>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1F 2F-A01 A04 1F-A07物理仪器室</w:t>
      </w:r>
      <w:r/>
    </w:p>
    <w:tbl>
      <w:tblPr>
        <w:tblStyle w:val="741"/>
        <w:tblW w:w="981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6"/>
        <w:gridCol w:w="862"/>
        <w:gridCol w:w="6254"/>
        <w:gridCol w:w="670"/>
        <w:gridCol w:w="710"/>
        <w:gridCol w:w="640"/>
      </w:tblGrid>
      <w:tr>
        <w:trPr>
          <w:trHeight w:val="432"/>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3588"/>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25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bl>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注：包含整室仪器柜组装调试人工费、现场清理、设备运输、安装调试费等综合考虑在投标报价中，不单列。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1F 2F-A02 A05 1F-A08物理准备室</w:t>
      </w:r>
      <w:r/>
    </w:p>
    <w:tbl>
      <w:tblPr>
        <w:tblStyle w:val="741"/>
        <w:tblW w:w="9856" w:type="dxa"/>
        <w:tblInd w:w="-14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862"/>
        <w:gridCol w:w="6255"/>
        <w:gridCol w:w="690"/>
        <w:gridCol w:w="690"/>
        <w:gridCol w:w="650"/>
      </w:tblGrid>
      <w:tr>
        <w:trPr>
          <w:trHeight w:val="54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行业</w:t>
            </w:r>
            <w:r/>
          </w:p>
        </w:tc>
      </w:tr>
      <w:tr>
        <w:trPr>
          <w:trHeight w:val="60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1.规格：3000×600×850mm（±5mm）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83"/>
        </w:trPr>
        <w:tc>
          <w:tcPr>
            <w:tcBorders>
              <w:top w:val="single" w:color="000000" w:sz="4" w:space="0"/>
              <w:left w:val="single" w:color="000000" w:sz="4" w:space="0"/>
              <w:bottom w:val="single" w:color="auto"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auto"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auto"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86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准备室电气线路</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rPr>
                <w:rFonts w:hint="eastAsia" w:ascii="宋体" w:hAnsi="宋体" w:eastAsia="宋体" w:cs="宋体"/>
                <w:b/>
                <w:bCs/>
                <w:i w:val="0"/>
                <w:iCs w:val="0"/>
                <w:color w:val="auto"/>
                <w:sz w:val="21"/>
                <w:szCs w:val="21"/>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auto" w:sz="4" w:space="0"/>
              <w:right w:val="single" w:color="000000" w:sz="4" w:space="0"/>
            </w:tcBorders>
            <w:tcW w:w="65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75"/>
                <w:rFonts w:hint="eastAsia" w:ascii="宋体" w:hAnsi="宋体" w:eastAsia="宋体" w:cs="宋体"/>
                <w:color w:val="auto"/>
                <w:sz w:val="21"/>
                <w:szCs w:val="21"/>
                <w:highlight w:val="none"/>
                <w:lang w:val="en-US" w:eastAsia="zh-CN" w:bidi="ar"/>
              </w:rPr>
              <w:t xml:space="preserve">管材为PVC(国标)管，DN25</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bottom w:val="single" w:color="000000" w:sz="4" w:space="0"/>
              <w:right w:val="single" w:color="000000" w:sz="4" w:space="0"/>
            </w:tcBorders>
            <w:tcW w:w="6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jc w:val="center"/>
        <w:keepLines w:val="0"/>
        <w:keepNext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整室边台与仪器柜组装调试人工费，现场清理，设备运费，电源线及管材铺设、安装</w:t>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调试</w:t>
      </w:r>
      <w:r>
        <w:rPr>
          <w:rFonts w:hint="eastAsia" w:ascii="宋体" w:hAnsi="宋体" w:eastAsia="宋体" w:cs="宋体"/>
          <w:b w:val="0"/>
          <w:bCs w:val="0"/>
          <w:color w:val="auto"/>
          <w:sz w:val="21"/>
          <w:szCs w:val="21"/>
          <w:highlight w:val="none"/>
          <w:lang w:val="en-US" w:eastAsia="zh-CN"/>
        </w:rPr>
        <w:t xml:space="preserve">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1F-A03分段式智能物理吊装实验室</w:t>
      </w:r>
      <w:r/>
    </w:p>
    <w:tbl>
      <w:tblPr>
        <w:tblStyle w:val="741"/>
        <w:tblW w:w="9917" w:type="dxa"/>
        <w:tblInd w:w="-15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40"/>
        <w:gridCol w:w="6255"/>
        <w:gridCol w:w="710"/>
        <w:gridCol w:w="680"/>
        <w:gridCol w:w="690"/>
      </w:tblGrid>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行业</w:t>
            </w:r>
            <w:r/>
          </w:p>
        </w:tc>
      </w:tr>
      <w:tr>
        <w:trPr>
          <w:trHeight w:val="400"/>
        </w:trPr>
        <w:tc>
          <w:tcPr>
            <w:gridSpan w:val="6"/>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一、实验室基础部分</w:t>
            </w:r>
            <w:r/>
          </w:p>
        </w:tc>
      </w:tr>
      <w:tr>
        <w:trPr>
          <w:trHeight w:val="25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组合式智慧实验演示台</w:t>
            </w:r>
            <w:r/>
          </w:p>
        </w:tc>
        <w:tc>
          <w:tcPr>
            <w:tcBorders>
              <w:top w:val="single" w:color="000000" w:sz="4" w:space="0"/>
              <w:left w:val="single" w:color="000000" w:sz="4" w:space="0"/>
              <w:bottom w:val="single" w:color="000000" w:sz="4" w:space="0"/>
              <w:right w:val="single" w:color="000000" w:sz="4" w:space="0"/>
            </w:tcBorders>
            <w:tcW w:w="6255" w:type="dxa"/>
            <w:vAlign w:val="top"/>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1.整体尺寸：2650×750×850mm（±5mm）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2.整体性能：台面操作高度≤850mm，确保站立操作时的舒适性；台面水平深度：≥500mm，确保有足够的操作空间；讲台着地平稳性≤3.0mm，防止晃动或倾斜；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（1）由多功能教学演示台、多功能数字教学平台、多功能实验水槽台组合而成，各部分紧密协作，满足多样化教学与实验演示需求；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功能教学演示台革新教学演示，为教师提供高效稳定的操作演示平台，解决学生观看难题，并支持课程建设与教学创新。集成教学/实验操作台、智能升降视频采集与电源系统，各功能有机融合，系统间高效联动，全面助力教学演示与学生观摩。配置专业实验陶瓷台面，增加包边设计增强台面边缘防护性能，有效抵御酸碱腐蚀与碰撞损伤，同时提升整个操作台面的美观度与整体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数字教学平台作为整个讲台的核心控制与资源整合部分，配置多媒体及智慧教学平台，为实验教学活动提供便捷、高效的支持。集成强大的智慧教学平台，涵盖直播教学、实验管理、设备管理、实验教学等功能模块，为实验教学活动提供全方位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实验水槽台配置有PPR三联水嘴，专门解决教师在实验教学过程中的给排水问题，为实验操作提供便捷、卫生的用水环境。水槽台面与水槽采用耐酸碱PP工程塑料整体注塑成型，非组装设计减少漏水。整体结构增强密封性、强度与稳定性。水槽内部倾斜防溅水，挡水边及溢水口设计保持操作区干燥。三联水嘴用PPR净水材料，配台式洗眼器保障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4.多功能教学演示台: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操作台面不小于1500×750mm，采用≥12mm厚一体化陶瓷台面，台面表面为耐磨、耐强腐蚀专业釉面。釉面和胚体经高温烧结而成，赋予台面耐高温（长时间耐温≥1300度）、耐刻刮、防静电、耐腐蚀、防垢易清洁、防霉等物理和化学性能。为各类实验操作提供稳定、可靠的平台支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（2）操作台面四周边缘采用耐酸碱PP工程塑料一体注塑成型进行包边，整体厚度≥35mm；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▲台面包边：</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主体材质为PP材质</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耐酸碱测试不低于1级，能够有效抵御实验过程中各类酸碱试剂的侵蚀与腐蚀。</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（5）台身内嵌安装智能升降视频采集系统：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1）升降系统支架采用ABS注塑成型，内部结构立柱采用≥134×98mm铝合金材质；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升降系统支架内置两颗工业级不低于500万像素的摄像头，拍摄速度可达2592×1944/30帧/秒，确保视频流畅无卡顿。分辨率丰富，包括1280×720、1920×1080、2048×1536、2592×1944等多种选择，可根据实际需求灵活调整。镜头角度达130度（非鱼眼），支持标准 UVC通信协议。支持正式、俯视同时拍摄；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3）升降系统支架高度可通过电动升降自由调节：使用最高高度不低于660mm，折叠臂长度不小于275mm；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4）升降系统支架采用隐藏式设计，融合于实验台身内部。当需要进行实验演示时，可通过电动升降装置将其升起；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5）视频采集系统具备强大的教学操作过程实时视频采集功能，配合多功能数字教学平台，可实现全程录制、存储，回放等功能；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（6）台身内嵌安装教师教学电源：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双屏设计，电源控制屏为不小于7寸彩色电容式触摸屏，采用图形化操作界面，教师可直观便捷地控制直流电源电压设定（步进≥0.1V，支持长按操作）、交流电源电压设定（步进≥2V，支持长按操作）。电源输出端采用的三位LED屏可实时显示电压、电流真实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交直流低压电源：直流电源部分，三位LED显示电压真实值，三位LED显示电流真实值，输出范围为0-16V/5A，可精准调节输出电压与电流，满足不同实验设备的供电需求。交流电源部分，同样具备三位LED显示设定电压与三位LED显示电流真实值功能，输出范围为0-16V/5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3）采用TCP/IP通讯协议数字化网络电源，基于网络IP协议控制方式，具备联网和过载指示功能，操作安全可靠；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4）触摸屏还具备≥40A/8S大电流控制功能，可实现≥40A大电流输出，并在屏幕上显示≥8S倒计时，同时具备故障显示与故障报警功能，有效保障实验操作过程中的用电安全；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5.多功能数字教学平台: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（2）台身上部结构不小于750×630×340mm采用ABS工程塑料一体注塑成型，具备良好的耐用性与稳定性；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（3）台身内嵌≥23.8英寸多点触控屏，触控灵敏，通过手指或电容式手写笔即可快速书写，随心批注，手写性能流畅准确；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（4）配备USB3.0高速数据传输及HDMI高清数字接口，兼容多设备，扩展教学工具。设有伸缩键盘托、储物柜等功能；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（5）采用≥30×40mm铝合金踢脚线，表面进行静电粉末喷涂处理，耐磨、耐腐蚀且美观，与整体风格协调统一，同时具有一定的防碰撞功能；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（6）配备控制系统，数据存储内存容量不低于500GB，配有键盘、鼠标；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（7）智慧教学平台集成至少四个功能模块：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1）直播教学模块：借助视频采集系统与教师示范实验课紧密配合，实现直播教学功能。学生可实时观摩学习实验过程，提升实验教学效果；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管理模块：具备课标实验和自建实验两大功能分类。教师根据需要选择，系统便能自动精准列出国家课程标准规定的实验，同时展示实验所需的器材和药品信息，学生实验还会重点提示，方便教师备课。教师选择实验场地为实验室，系统将转入预约系统，教师可随时查看自己的所有实验列表，并且能够根据教学需求自建独特的实验项目，充分发挥教师的实验教学自主性与创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3）设备管理模块：可对实验室的各类基础设备进行智能控制和高效管理；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4）实验教学模块：具备学科创新、精品课程、教具专栏和实验竞赛等功能模块；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6.多功能实验水槽台: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（1）水槽台面与水槽采用耐酸碱PP工程塑料整体模具一体注塑成型，整体规格不小于750×520×295，可有效抵御化学试剂的侵蚀。四周边缘精心设计挡水边，防止水流外溢，保持实验操作区域的干燥整洁；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（2）水槽台集成有三联水嘴、溢水口及台式洗眼器等实用功能；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（3）三联水嘴采用耐腐蚀、耐热、耐压、不结垢PPR工程塑料模具注塑成型，确保水流稳定、安全卫生，满足实验过程中的用水需求；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（4）台式洗眼器为实验人员在意外接触化学试剂时提供及时有效的眼部冲洗保护，保障实验人员的人身安全；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（6）设有检修口，方便内部设备检修与维护；</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5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p>
          <w:p>
            <w:p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实验室用陶瓷桌面板：破坏强度≥1300N；耐污染性不低于3级；吸水率平均值≤0.5%；抗釉裂性，无釉裂。</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内侧承重框架：主体材质为聚酰胺(PA)，简支梁缺口冲击强度≥150kJ/m2；</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外侧装饰防护部件：主体材质为丙烯腈-丁二烯-苯乙烯共聚物(ABS)；表面电阻≥1.0×1012Ω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bookmarkStart w:id="25" w:name="OLE_LINK12"/>
            <w:r/>
            <w:bookmarkStart w:id="26" w:name="OLE_LINK5"/>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ascii="Arial" w:hAnsi="Arial" w:cs="Arial"/>
                <w:color w:val="auto"/>
                <w:sz w:val="22"/>
                <w:szCs w:val="22"/>
                <w:highlight w:val="none"/>
                <w:shd w:val="clear" w:color="auto" w:fill="ffffff"/>
              </w:rPr>
              <w:t xml:space="preserve">技术服务业</w:t>
            </w:r>
            <w:bookmarkEnd w:id="25"/>
            <w:r/>
            <w:bookmarkEnd w:id="26"/>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rPr>
            </w:pPr>
            <w:r>
              <w:rPr>
                <w:rFonts w:ascii="Arial" w:hAnsi="Arial" w:cs="Arial"/>
                <w:color w:val="auto"/>
                <w:sz w:val="22"/>
                <w:szCs w:val="22"/>
                <w:highlight w:val="none"/>
                <w:shd w:val="clear" w:color="auto" w:fill="ffffff"/>
              </w:rPr>
              <w:t xml:space="preserve">技术服务业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rPr>
            </w:pPr>
            <w:r>
              <w:rPr>
                <w:rFonts w:ascii="Arial" w:hAnsi="Arial" w:cs="Arial"/>
                <w:color w:val="auto"/>
                <w:sz w:val="22"/>
                <w:szCs w:val="22"/>
                <w:highlight w:val="none"/>
                <w:shd w:val="clear" w:color="auto" w:fill="ffffff"/>
              </w:rPr>
              <w:t xml:space="preserve">技术服务业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none" w:color="000000" w:sz="4" w:space="0"/>
              <w:right w:val="single" w:color="000000"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上水弯头φ32-20mm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auto"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rPr>
                <w:rFonts w:hint="eastAsia" w:ascii="宋体" w:hAnsi="宋体" w:eastAsia="宋体" w:cs="宋体"/>
                <w:b/>
                <w:bCs/>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auto"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auto"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实验室网络线路</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网络线路：工程级无氧铜六类网络双绞线</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auto" w:sz="4" w:space="0"/>
              <w:bottom w:val="single" w:color="auto" w:sz="4" w:space="0"/>
              <w:right w:val="single" w:color="auto" w:sz="4" w:space="0"/>
            </w:tcBorders>
            <w:tcW w:w="69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50"/>
                <w:rFonts w:hint="eastAsia" w:ascii="宋体" w:hAnsi="宋体" w:eastAsia="宋体" w:cs="宋体"/>
                <w:color w:val="auto"/>
                <w:sz w:val="21"/>
                <w:szCs w:val="21"/>
                <w:highlight w:val="none"/>
                <w:lang w:val="en-US" w:eastAsia="zh-CN" w:bidi="ar"/>
              </w:rPr>
              <w:t xml:space="preserve">交换机</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交换容量：672Gbps/6.72Tbps</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包转发率：126Mpps</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管理端口：1个 Console 口</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固定端口：</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24*10/100/1000Base-T、以太网端口4*1000Base-XSFP光口</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流量控制：支持802.3x流控及半双工背压流控</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链路聚合：支持GE端口聚合、支持静态聚合、支持动态聚合、支持跨设备聚合</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MAC地址表：支持黑洞MAC地址、支持设置端口MAC地址学习最大个数</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gridSpan w:val="6"/>
            <w:tcBorders>
              <w:top w:val="single" w:color="auto" w:sz="4" w:space="0"/>
              <w:left w:val="single" w:color="auto" w:sz="4" w:space="0"/>
              <w:bottom w:val="single" w:color="auto" w:sz="4" w:space="0"/>
              <w:right w:val="single" w:color="auto" w:sz="4" w:space="0"/>
            </w:tcBorders>
            <w:tcW w:w="991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二、实验室吊装部分</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吊顶系统主体架构</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1、安装附件：采用固定横梁吊装方式，减少楼板承重，防止左右晃动，可进行上下、左右的平衡调节。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主要辅件有：整室115平矩形钢、三角构件、直角座、龙骨架连接件、吊装挂件、安装连接板等。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2、网络布线：工程级无氧铜六类网络双绞线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3、供电布线：供电线路：模块化设计，每组模块间采用活接式连接，方便安装、检修。采用通用铜芯电线进行系统布线。</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auto"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智能控制电气柜</w:t>
            </w:r>
            <w:r/>
          </w:p>
        </w:tc>
        <w:tc>
          <w:tcPr>
            <w:tcBorders>
              <w:top w:val="single" w:color="auto"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规格：≥500×230×800mm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智能控制电气柜内置总电源开关、电源保护器、智能中控器、分项漏电短路保护器。</w:t>
            </w:r>
            <w:r/>
          </w:p>
          <w:p>
            <w:p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 连接保护，金属外壳与保护导体端子可靠连接；供电电源的断开，永久连接式设备和多相设备满足需求，应当采用开关或断路器作为断开装置；</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一、智能中控器：采用≥10寸电容触摸屏，4核CPU，主频1.8GHz,系统Android10，分辨率：800×1280，图形化操作界面实现人机交互控制及远程控制，智能中控器内集成智慧教室管理控制平台。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二、智慧教室管理控制平台有四个页面：首页，智慧电源，智慧控制，系统设置。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1、首页：有上课、下课、通风、照明、供电、供水、学生实时求助表，全开、全关功能控制，时间，天气显示等信息。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2、智慧电源页面：控制和设定学生电源，查看学生机是否在线，对学生电源分组，全选或单选进行电压控制，对学生电源的直流和交流电源设定电压，图形数字双显示。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3、智慧控制：对教室内设备系统如通风、照明、供水、供电、摇臂、电源、网络、投影、新风、窗帘等物联网智能设备进行控制与交互。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4、系统设置：对座位分组、设备绑定和账号设置。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5、TCP/IP通讯协议数字化网络电源采用网络IP协议控制方式。</w:t>
            </w:r>
            <w:r/>
          </w:p>
        </w:tc>
        <w:tc>
          <w:tcPr>
            <w:tcBorders>
              <w:top w:val="single" w:color="auto"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单路电动摇臂升降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六、控制方式：TCP/IP通讯协议，采用网络IP协议控制方式。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双路电动摇臂升降系统，双路照明系统、双路求助故障诊断系统、双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六、控制方式：TCP/IP通讯协议，采用网络IP协议控制方式。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gridSpan w:val="6"/>
            <w:tcBorders>
              <w:top w:val="single" w:color="000000" w:sz="4" w:space="0"/>
              <w:left w:val="single" w:color="000000" w:sz="4" w:space="0"/>
              <w:bottom w:val="single" w:color="auto" w:sz="4" w:space="0"/>
              <w:right w:val="single" w:color="000000" w:sz="4" w:space="0"/>
            </w:tcBorders>
            <w:tcW w:w="991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三、施工部分</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产品安装费用与运输：包括教师演示台、学生实验桌、学生实验凳、学生实验椅等；室外通风管道安装；吊装设备安装调试：1）智能集成吊装单元安装；2）系统结构安装调试；3）系统控制安装调试；4）给排水安装调试；5）供电系统安装调试；6）照明系统安装调试；7）网络系统安装调试；8）中控系统调试培训使用；4.电源线及管材铺设等综合考虑在投标报价中，不单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1F-A06 A09物理电学实验室</w:t>
      </w:r>
      <w:r/>
    </w:p>
    <w:tbl>
      <w:tblPr>
        <w:tblStyle w:val="741"/>
        <w:tblW w:w="9713" w:type="dxa"/>
        <w:tblInd w:w="-16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40"/>
        <w:gridCol w:w="6093"/>
        <w:gridCol w:w="662"/>
        <w:gridCol w:w="670"/>
        <w:gridCol w:w="706"/>
      </w:tblGrid>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行业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p>
          <w:p>
            <w:pPr>
              <w:jc w:val="left"/>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甲醛（mg/m³）：≤0.08；苯（mg/m³）：≤0.06；甲苯（mg/m³）：≤0.15；家具中可迁移有害元素限量要求（mg/kg）：铅Pb≤90、镉Cd≤75、铬Cr≤60、汞Hg≤60、锑Sb≤60、钡Ba≤1000、硒Se≤500、砷As≤25；</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3.台面包边：台面四周边缘采用铝合金进行包边，可减少桌体间机械碰撞。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09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10.提供物理电学相关的实验，能够正确模拟任意的复杂电路和现实规律，学生能够任意设计实验、自由搭建电路、修改器材参数，提供电路图、表格、I-R图像、I-U图像等常用支持实验的插件。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p>
            <w:pPr>
              <w:jc w:val="left"/>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zh-CN" w:eastAsia="zh-CN" w:bidi="ar"/>
              </w:rPr>
              <w:t xml:space="preserve">▲电源总控台：(1)高温贮存试验：在包装状态下，温度为≥55℃，保持≥4h，室温下恢复≥2h，试验后应无开裂、变形和明显变色，产品功能应正常。(2)低温贮存试验：在包装状态下，温度为≤-25℃，保持≥4h，室温下恢复≥2h，试验后应无开裂、变形和明显变色，产品功能应正常。(3)恒定湿热贮存试验：在包装状态下温度为≥40℃，相对湿度为≥93%，保持≥48h，室温下恢复≥4h，试验后应无开裂、变形和明显变色，产品功能应正常；</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学生电源实验板</w:t>
            </w:r>
            <w:r/>
          </w:p>
        </w:tc>
        <w:tc>
          <w:tcPr>
            <w:tcBorders>
              <w:top w:val="single" w:color="000000" w:sz="4" w:space="0"/>
              <w:left w:val="single" w:color="000000" w:sz="4" w:space="0"/>
              <w:bottom w:val="single" w:color="auto"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每张台接受教师演示台的信号控制电源。电源装置安装在实验台电源面板上。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受控低压交流电源3-30V/2A（3V一档）（短路、过载自动保护、自动复位）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低压直流电源：1.25-30V/2A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电压、电流均指针表读出，接线柱输出（电源面板与实验台面之间110º角斜面）；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学生可自控电源；</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59"/>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7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2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注：包含整室教师演示台、实验椅、学生实验桌、学生实验凳、电源总控台、学生电源实验板设备组装调试人工费，现场清理，设备运输，电源线及管材铺设、安装调试费等综合考虑在投标报价中，不单列。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1F-A10演示实验室</w:t>
      </w:r>
      <w:r/>
    </w:p>
    <w:tbl>
      <w:tblPr>
        <w:tblStyle w:val="741"/>
        <w:tblW w:w="9719" w:type="dxa"/>
        <w:tblInd w:w="-16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40"/>
        <w:gridCol w:w="6038"/>
        <w:gridCol w:w="706"/>
        <w:gridCol w:w="690"/>
        <w:gridCol w:w="703"/>
      </w:tblGrid>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行业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03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auto" w:sz="4" w:space="0"/>
              <w:right w:val="single" w:color="000000"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auto"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auto" w:sz="4" w:space="0"/>
              <w:right w:val="single" w:color="000000" w:sz="4" w:space="0"/>
            </w:tcBorders>
            <w:tcW w:w="703"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0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auto" w:sz="4" w:space="0"/>
              <w:left w:val="single" w:color="auto"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bottom w:val="single" w:color="000000" w:sz="4" w:space="0"/>
              <w:right w:val="single" w:color="auto" w:sz="4" w:space="0"/>
            </w:tcBorders>
            <w:tcW w:w="70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注：包含整室教师演示台、实验椅、学生实验桌、学生实验凳、电源总控台、学生电源设备组装调试人工费，现场清理，设备运费，电源线及管材铺设、安装调试费等综合考虑在投标报价中，不单列。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2F-A08物理热学实验室</w:t>
      </w:r>
      <w:r/>
    </w:p>
    <w:tbl>
      <w:tblPr>
        <w:tblStyle w:val="741"/>
        <w:tblW w:w="9599" w:type="dxa"/>
        <w:tblInd w:w="-12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840"/>
        <w:gridCol w:w="6060"/>
        <w:gridCol w:w="688"/>
        <w:gridCol w:w="671"/>
        <w:gridCol w:w="653"/>
      </w:tblGrid>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66"/>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auto" w:sz="4" w:space="0"/>
              <w:right w:val="single" w:color="000000"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口≥2个,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auto"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auto"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33"/>
        </w:trPr>
        <w:tc>
          <w:tcPr>
            <w:tcBorders>
              <w:top w:val="single" w:color="auto" w:sz="4" w:space="0"/>
              <w:left w:val="single" w:color="auto" w:sz="4" w:space="0"/>
              <w:bottom w:val="single" w:color="auto" w:sz="4" w:space="0"/>
              <w:right w:val="single" w:color="auto"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25"/>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34"/>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7"/>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71"/>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89"/>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8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电源线为国标2.5平方铜芯多股电线，符合国家标准</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48"/>
                <w:rFonts w:hint="eastAsia" w:ascii="宋体" w:hAnsi="宋体" w:eastAsia="宋体" w:cs="宋体"/>
                <w:color w:val="auto"/>
                <w:sz w:val="21"/>
                <w:szCs w:val="21"/>
                <w:highlight w:val="none"/>
                <w:lang w:val="en-US" w:eastAsia="zh-CN" w:bidi="ar"/>
              </w:rPr>
              <w:t xml:space="preserve">管材为PVC(国标)管，DN25</w:t>
            </w:r>
            <w:r/>
          </w:p>
        </w:tc>
        <w:tc>
          <w:tcPr>
            <w:tcBorders>
              <w:top w:val="single" w:color="auto" w:sz="4" w:space="0"/>
              <w:left w:val="single" w:color="auto"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bottom w:val="single" w:color="000000"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注：包含教师演示台、实验椅、学生实验桌、学生实验凳、电源总控台、多功能水槽台设备组装调试人工费，现场清理，设备运费，电源线及管材铺设、安装调试费等综合考虑在投标报价中，不单列。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2F-A03 A06物理力学实验室</w:t>
      </w:r>
      <w:r/>
    </w:p>
    <w:tbl>
      <w:tblPr>
        <w:tblStyle w:val="741"/>
        <w:tblW w:w="9643" w:type="dxa"/>
        <w:tblInd w:w="-17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1"/>
        <w:gridCol w:w="840"/>
        <w:gridCol w:w="6113"/>
        <w:gridCol w:w="653"/>
        <w:gridCol w:w="661"/>
        <w:gridCol w:w="645"/>
      </w:tblGrid>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11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10.提供物理电学相关的实验，能够正确模拟任意的复杂电路和现实规律，学生能够任意设计实验、自由搭建电路、修改器材参数，提供电路图、表格、I-R图像、I-U图像等常用支持实验的插件。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auto"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3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4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注：包含教师演示台、实验椅、学生实验桌、学生实验凳、电源总控台、学生电源设备组装调试人工费，现场清理，设备运费，电源线及管材铺设、安装调试费等综合考虑在投标报价中，不单列。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3F 4F-A01 A08化学仪器室</w:t>
      </w:r>
      <w:r/>
    </w:p>
    <w:tbl>
      <w:tblPr>
        <w:tblStyle w:val="741"/>
        <w:tblW w:w="9692" w:type="dxa"/>
        <w:tblInd w:w="-20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862"/>
        <w:gridCol w:w="6062"/>
        <w:gridCol w:w="680"/>
        <w:gridCol w:w="661"/>
        <w:gridCol w:w="653"/>
      </w:tblGrid>
      <w:tr>
        <w:trPr>
          <w:trHeight w:val="499"/>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0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jc w:val="both"/>
        <w:keepLines w:val="0"/>
        <w:keepNext w:val="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整室仪器柜组装调试人工费，现场清理，设备运费、安装调试等综合考虑在投标报价中，不单列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3F 4F-A02 A07化学准备室</w:t>
      </w:r>
      <w:r/>
    </w:p>
    <w:tbl>
      <w:tblPr>
        <w:tblStyle w:val="741"/>
        <w:tblW w:w="9682" w:type="dxa"/>
        <w:tblInd w:w="-19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95"/>
        <w:gridCol w:w="6095"/>
        <w:gridCol w:w="644"/>
        <w:gridCol w:w="653"/>
        <w:gridCol w:w="653"/>
      </w:tblGrid>
      <w:tr>
        <w:trPr>
          <w:trHeight w:val="49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规格：3000×600×850mm（±5mm）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水槽</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化验水槽一副：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规格：≥420*320*200mm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≥5mm厚高密度黑色PP材质一体成型，具有弹性、耐酸碱、耐有机溶剂、耐热，在无外力作用下加热至150℃不变形。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三联水嘴一副：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三联化验水嘴、两低一高。</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auto"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试剂架</w:t>
            </w:r>
            <w:r/>
          </w:p>
        </w:tc>
        <w:tc>
          <w:tcPr>
            <w:tcBorders>
              <w:top w:val="single" w:color="000000" w:sz="4" w:space="0"/>
              <w:left w:val="single" w:color="000000" w:sz="4" w:space="0"/>
              <w:bottom w:val="single" w:color="auto" w:sz="4" w:space="0"/>
              <w:right w:val="single" w:color="000000" w:sz="4" w:space="0"/>
            </w:tcBorders>
            <w:tcW w:w="609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规格：≥2250×250×550mm，立柱：（规格：≥80×40）钢制结构，分两组装在准备台上以支撑试剂架。层板：单层，采用≥6mm厚玻璃，层板两侧加装不锈钢挡杆，防止器皿滑落。</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89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准备室给排水管</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上水弯头φ32-20mm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bottom w:val="single" w:color="000000"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8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准备室电气线路</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准备室整室安装调试、现场清运费用，电源线及管材铺设、安装调试费等综合考虑在投标报价中，不单列。</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3F-A03分段式智能化学吊装实验室</w:t>
      </w:r>
      <w:r/>
    </w:p>
    <w:tbl>
      <w:tblPr>
        <w:tblStyle w:val="741"/>
        <w:tblW w:w="9732" w:type="dxa"/>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808"/>
        <w:gridCol w:w="6193"/>
        <w:gridCol w:w="644"/>
        <w:gridCol w:w="653"/>
        <w:gridCol w:w="671"/>
      </w:tblGrid>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8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1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gridSpan w:val="6"/>
            <w:tcW w:w="973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一、实验室基础部分</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组合式智慧实验演示台</w:t>
            </w:r>
            <w:r/>
          </w:p>
        </w:tc>
        <w:tc>
          <w:tcPr>
            <w:tcW w:w="619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1.整体尺寸：2650×750×850mm（±5mm）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2.整体性能：台面操作高度≤850mm，确保站立操作时的舒适性；台面水平深度：≥500mm，确保有足够的操作空间；讲台着地平稳性≤3.0mm，防止晃动或倾斜；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（1）由多功能教学演示台、多功能数字教学平台、多功能实验水槽台组合而成，各部分紧密协作，满足多样化教学与实验演示需求；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功能教学演示台革新教学演示，为教师提供高效稳定的操作演示平台，解决学生观看难题，并支持课程建设与教学创新。集成教学/实验操作台、智能升降视频采集与电源系统，各功能有机融合，系统间高效联动，全面助力教学演示与学生观摩。配置专业实验陶瓷台面，增加包边设计增强台面边缘防护性能，有效抵御酸碱腐蚀与碰撞损伤，同时提升整个操作台面的美观度与整体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数字教学平台作为整个讲台的核心控制与资源整合部分，配置多媒体及智慧教学平台，为实验教学活动提供便捷、高效的支持。集成强大的智慧教学平台，涵盖直播教学、实验管理、设备管理、实验教学等功能模块，为实验教学活动提供全方位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实验水槽台配置有PPR三联水嘴，专门解决教师在实验教学过程中的给排水问题，为实验操作提供便捷、卫生的用水环境。水槽台面与水槽采用耐酸碱PP工程塑料整体注塑成型，非组装设计减少漏水。整体结构增强密封性、强度与稳定性。水槽内部倾斜防溅水，挡水边及溢水口设计保持操作区干燥。三联水嘴用PPR净水材料，配台式洗眼器保障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4.多功能教学演示台: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操作台面≥1500×750mm，采用≥12mm厚一体化陶瓷台面，台面表面为耐磨、耐强腐蚀专业釉面。釉面和胚体经高温烧结而成，赋予台面耐高温（长时间耐温≥1300度）、耐刻刮、防静电、耐腐蚀、防垢易清洁、防霉等物理和化学性能。为各类实验操作提供稳定、可靠的平台支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（2）操作台面四周边缘采用耐酸碱PP工程塑料一体注塑成型进行包边，整体厚度≥35mm；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（5）台身内嵌安装智能升降视频采集系统：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1）升降系统支架采用ABS注塑成型，内部结构立柱采用≥134×98mm铝合金材质；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升降系统支架内置两颗工业级不低于500万像素的摄像头，拍摄速度可达2592×1944/30帧/秒，确保视频流畅无卡顿。分辨率丰富，包括1280×720、1920×1080、2048×1536、2592×1944等多种选择，可根据实际需求灵活调整。镜头角度达130度（非鱼眼），支持标准 UVC通信协议。支持正式、俯视同时拍摄；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3）升降系统支架高度可通过电动升降自由调节：使用最高高度不低于660mm，折叠臂长度不小于275mm；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4）升降系统支架采用隐藏式设计，融合于实验台身内部。当需要进行实验演示时，可通过电动升降装置将其升起；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5）视频采集系统具备强大的教学操作过程实时视频采集功能，配合多功能数字教学平台，可实现全程录制、存储，回放等功能；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（6）台身内嵌安装教师教学电源：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双屏设计，电源控制屏为不小于7寸彩色电容式触摸屏，采用图形化操作界面，教师可直观便捷地控制直流电源电压设定（步进≥0.1V，支持长按操作）、交流电源电压设定（步进≥2V，支持长按操作）。电源输出端采用的三位LED屏可实时显示电压、电流真实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交直流低压电源：直流电源部分，三位LED显示电压真实值，三位LED显示电流真实值，输出范围为0-16V/5A，可精准调节输出电压与电流，满足不同实验设备的供电需求。交流电源部分，同样具备三位LED显示设定电压与三位LED显示电流真实值功能，输出范围为0-16V/5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3）采用TCP/IP通讯协议数字化网络电源，基于网络IP协议控制方式，具备联网和过载指示功能，操作安全可靠；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4）触摸屏还具备≥40A/8S大电流控制功能，可实现≥40A大电流输出，并在屏幕上显示≥8S倒计时，同时具备故障显示与故障报警功能，有效保障实验操作过程中的用电安全；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5.多功能数字教学平台: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（2）台身上部结构不小于750×630×340mm采用ABS工程塑料一体注塑成型，具备良好的耐用性与稳定性；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（3）台身内嵌≥23.8英寸多点触控屏，触控灵敏，通过手指或电容式手写笔即可快速书写，随心批注，手写性能流畅准确；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（4）配备USB3.0高速数据传输及HDMI高清数字接口，兼容多设备，扩展教学工具。设有伸缩键盘托、储物柜等功能；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（5）采用≥30×40mm铝合金踢脚线，表面进行静电粉末喷涂处理，耐磨、耐腐蚀且美观，与整体风格协调统一，同时具有一定的防碰撞功能；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（6）配备控制系统，数据存储内存容量不低于500GB，配有键盘、鼠标；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（7）智慧教学平台集成至少四个功能模块：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1）直播教学模块：借助视频采集系统与教师示范实验课紧密配合，实现直播教学功能。学生可实时观摩学习实验过程，提升实验教学效果；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管理模块：具备课标实验和自建实验两大功能分类。教师根据需要选择，系统便能自动精准列出国家课程标准规定的实验，同时展示实验所需的器材和药品信息，学生实验还会重点提示，方便教师备课。教师选择实验场地为实验室，系统将转入预约系统，教师可随时查看自己的所有实验列表，并且能够根据教学需求自建独特的实验项目，充分发挥教师的实验教学自主性与创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3）设备管理模块：可对实验室的各类基础设备进行智能控制和高效管理；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4）实验教学模块：具备学科创新、精品课程、教具专栏和实验竞赛等功能模块；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6.多功能实验水槽台: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（1）水槽台面与水槽采用耐酸碱PP工程塑料整体模具一体注塑成型，整体规格不小于750×520×295，可有效抵御化学试剂的侵蚀。四周边缘精心设计挡水边，防止水流外溢，保持实验操作区域的干燥整洁；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（2）水槽台集成有三联水嘴、溢水口及台式洗眼器等实用功能；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（3）三联水嘴采用耐腐蚀、耐热、耐压、不结垢PPR工程塑料模具注塑成型，确保水流稳定、安全卫生，满足实验过程中的用水需求；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（4）台式洗眼器为实验人员在意外接触化学试剂时提供及时有效的眼部冲洗保护，保障实验人员的人身安全；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（6）设有检修口，方便内部设备检修与维护；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（7）水槽台内部设有水位传感器及排水装置，有自动排水和手动及紧急排水功能，将废水自动排出。</w:t>
            </w:r>
            <w:r/>
          </w:p>
        </w:tc>
        <w:tc>
          <w:tcPr>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教师椅</w:t>
            </w:r>
            <w:r/>
          </w:p>
        </w:tc>
        <w:tc>
          <w:tcPr>
            <w:tcW w:w="619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W w:w="6193" w:type="dxa"/>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p>
          <w:p>
            <w:pPr>
              <w:numPr>
                <w:ilvl w:val="0"/>
                <w:numId w:val="0"/>
              </w:numPr>
              <w:jc w:val="both"/>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▲内侧承重框架：主体材质为聚酰胺(PA)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简支梁缺口冲击强度≥150kJ/m2</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▲外侧装饰防护部件：主体材质为丙烯腈-丁二烯-苯乙烯共聚物(ABS)；表面电阻≥1.0×1012Ω。</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学生实验凳：(1)邻边垂直度：面板、框架-对角线长度，长度差≤2mm； (2)底脚平稳性：≤2mm； (3)塑料件：耐冷热循环，应无裂纹、鼓泡、变色、起皱；(4)稳定性：凳子任意方向的倾翻试验，无倾翻；(5)强度和耐久性：座面冲击试验，冲击高度≥180mm，冲击次数≥10次，无损；</w:t>
            </w:r>
            <w:r/>
          </w:p>
          <w:p>
            <w:pPr>
              <w:numPr>
                <w:ilvl w:val="-1"/>
                <w:numId w:val="0"/>
              </w:num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numPr>
                <w:ilvl w:val="-1"/>
                <w:numId w:val="0"/>
              </w:numPr>
              <w:jc w:val="both"/>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▲凳面：主体材质为PP材质</w:t>
            </w:r>
            <w:r>
              <w:rPr>
                <w:rFonts w:hint="eastAsia" w:ascii="宋体" w:hAnsi="宋体" w:cs="宋体"/>
                <w:i w:val="0"/>
                <w:iCs w:val="0"/>
                <w:color w:val="auto"/>
                <w:sz w:val="21"/>
                <w:szCs w:val="21"/>
                <w:highlight w:val="none"/>
                <w:u w:val="none"/>
                <w:lang w:val="en-US" w:eastAsia="zh-CN" w:bidi="ar"/>
              </w:rPr>
              <w:t xml:space="preserve">；</w:t>
            </w:r>
            <w:r/>
          </w:p>
          <w:p>
            <w:pPr>
              <w:numPr>
                <w:ilvl w:val="-1"/>
                <w:numId w:val="0"/>
              </w:num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理化生资源教学系统</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持续提供人教版理化生实验教学的相关教学内容，包括同步实验、必做实验、虚拟实验、实验&amp;考试、仪器使用。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1.“同步实验”分学科提供同步实验的视频、实验教学设计、课件以及素材等内容；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2.“必做实验”按照课标规定的基础实验，提供实验视频、实验评分标准以及规范的实验报告；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虚拟实验”按照国家课程标准制作，包含三类视频内容——素材：包含课程标准每个知识点的素材短视频，时长在1-3分钟；教学：匹配人教版的每章节内容，时长5-10分钟，供教师上课直接使用或者选择使用。实验：包含物理化学学生动手实验，时长在3-8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4.“实验与考试”提供近3-5年的中、高考试题里与实验相关的试题分析，包括试卷分析、实验原题、实验试题解析、相关实验视频以及可拓展的相关试题；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5.“仪器使用”包括理化生学科里常用仪器的使用说明及使用视频；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整个资源系统基于云计算所提供的学科云计算应用。主要包含基础设施服务、系统管理、云存储等功能。基础设施包括云服务器、网络带宽、备份设施等；系统管理包括用户统一认证、权限管理、数据更新；云存储主要是通过分布式计算技术存储结构化数据、多媒体文件、教学课件、教学设计、试题资源等。</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ascii="Arial" w:hAnsi="Arial" w:cs="Arial"/>
                <w:color w:val="auto"/>
                <w:sz w:val="22"/>
                <w:szCs w:val="22"/>
                <w:highlight w:val="none"/>
                <w:shd w:val="clear" w:color="auto" w:fill="ffffff"/>
              </w:rPr>
              <w:t xml:space="preserve">技术服务业</w:t>
            </w:r>
            <w:r/>
          </w:p>
        </w:tc>
      </w:tr>
      <w:tr>
        <w:trPr>
          <w:trHeight w:val="282"/>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W w:w="6193"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7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6、要求视频采集支持网线“一线通”技术，摄像机的供电、控制、视频传输均可通过一根双绞线完成；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67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499"/>
        </w:trPr>
        <w:tc>
          <w:tcPr>
            <w:tcW w:w="7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330"/>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多功能移动水槽台</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1、水槽台上部为多功能安装平台采用3.8mm厚工程塑料整体模具注塑成型，多功能平台集成有给排水快速接口、信号控制接口、三联水嘴、≥8试管位滴水架。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2、水槽台身采用≥3.8mm厚工程塑料整体模具一体注塑成型，台面设有溢水口及台式洗眼器，内部集成自动水位控制系统，四周边缘设计挡水边。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3、三联水嘴采用工程塑料模具注塑成型。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4、水槽台采用双层过滤结构，水槽下水口带有过滤网，水槽台中部配备抽屉式过滤层并安装通锁，背面预留检修口。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槽内设有水位传感器及排水装置，有自动排水和手动及紧急排水功能，将废水自动排出。摇臂设有自检测功能，当水槽电缆与摇臂相连时，摇臂处于使用状态，摇臂处于锁定状态，不能升降，避免各种误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给排水快速接口与摇臂操作面板设计排水接口采用优质PVC软管（具有防酸、防碱、耐腐蚀功能）连接，接口均采用自动锁紧插拔式连接方式（拔掉时没有污水流出），用时接上，不用时可收起。（配置给排水PVC软管2根、信号控制快速航空接头及连接线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7、水槽台底部安装静音万向轮。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▲多功能移动水槽台：(1) 对触及带电部件的防护，B型试验探棒通过任何孔不应触及带电部件；(2) 发热：试验期间保护装置不应动作,密封剂不应流出，各部位温升手柄,旋钮,抓手和类似部件≤60K；(3) 工作温度下的泄漏电流和电气强度：电气强度承受≥50Hz, ≥500V,历时≥1min不应出现击穿；(4) 机械强度：固体绝缘的易触及部件，应有足够的强度防止锋利工具的刺穿。</w:t>
            </w:r>
            <w:r>
              <w:rPr>
                <w:rFonts w:hint="eastAsia" w:ascii="宋体" w:hAnsi="宋体" w:cs="宋体"/>
                <w:i w:val="0"/>
                <w:iCs w:val="0"/>
                <w:color w:val="auto"/>
                <w:sz w:val="21"/>
                <w:szCs w:val="21"/>
                <w:highlight w:val="none"/>
                <w:u w:val="none"/>
                <w:lang w:val="en-US" w:eastAsia="zh-CN" w:bidi="ar"/>
              </w:rPr>
              <w:t xml:space="preserve">（5）多</w:t>
            </w:r>
            <w:r>
              <w:rPr>
                <w:rFonts w:hint="eastAsia" w:ascii="宋体" w:hAnsi="宋体" w:eastAsia="宋体" w:cs="宋体"/>
                <w:i w:val="0"/>
                <w:iCs w:val="0"/>
                <w:color w:val="auto"/>
                <w:sz w:val="21"/>
                <w:szCs w:val="21"/>
                <w:highlight w:val="none"/>
                <w:u w:val="none"/>
                <w:lang w:val="en-US" w:eastAsia="zh-CN" w:bidi="ar"/>
              </w:rPr>
              <w:t xml:space="preserve">功能移动水槽台-台身：主体材质为PP材质。</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8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67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80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实验室网络线路</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网络线路：工程级无氧铜六类网络双绞线</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6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交换容量：672Gbps/6.72Tbps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包转发率：126Mpps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管理端口：1个 Console 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固定端口：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24*10/100/1000Base-T、以太网端口4*1000Base-XSFP光口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流量控制：支持802.3x流控及半双工背压流控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链路聚合：支持GE端口聚合、支持静态聚合、支持动态聚合、支持跨设备聚合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MAC地址表：支持黑洞MAC地址、支持设置端口MAC地址学习最大个数</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6"/>
            <w:tcW w:w="973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二、实验室吊装部分</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机：选用箱式低噪变频风机，采用数字变频调控，具有噪音低、坚固耐用、风量大等特点。可利用智能化控制系统进行风量调节（随意调节风量大小），控制通风机，联接各风道，能有效排除实验桌及室内的有害腐蚀气体。电机功率为≥5.5KW，转速700~800r/min，流量11500M3/h，全压812Pa。</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通风设备附件</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风机控制线管规格：≥Ø25mm：风机线缆4平方毫米、室外行程通风管道：根据现场实际情况选用φ315mm、φ250mm等规格防腐蚀UPVC管及弯头，管卡采用碳钢制作，表面经镀铬处理，具有耐腐蚀、防火、防锈等功能。</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吊顶系统主体架构</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通风主管道、支管道均采用防腐蚀PVC制作而成，主管道：Ø315mm；通风支管道：Ø250mm、Ø200mm、Ø160mm风道，接口采用专用接口连接。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给水主管选用Ø20-32mmPP-R给水管，模块化设计，每组模块间采用活接式连接，方便安装、检修。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排水管选用加厚Ø50-75mmPVC-U国标管（具有防酸、防碱、耐腐蚀功能），模块化设计，每组模块间采用活接式连接，方便安装、检修。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安装附件：采用固定横梁吊装方式，减少楼板承重，防止左右晃动，可进行上下、左右的平衡调节。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主要辅件有：矩形钢、三角构件、直角座、龙骨架连接件、吊装挂件、安装连接板等。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网络布线：工程级无氧铜六类网络双绞线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供电布线：每组模块间采用活接式连接，方便安装、检修。采用通用铜芯电线进行系统布线。</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智能控制电气柜</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规格：≥500×230×800mm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智能控制电气柜内置总电源开关、电源保护器、智能中控器、分项漏电短路保护器。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一、智能中控器：采用≥10寸电容触摸屏，4核CPU，主频1.8GHz,系统Android10，分辨率：≥800×1280，图形化操作界面实现人机交互控制及远程控制，智能中控器内集成智慧教室管理控制平台。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二、智慧教室管理控制平台有四个页面：首页，智慧电源，智慧控制，系统设置。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首页：有上课、下课、通风、照明、供电、供水、学生实时求助表，全开、全关功能控制，时间，天气显示等信息。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智慧电源页面：控制和设定学生电源，查看学生机是否在线，对学生电源分组，全选或单选进行电压控制，对学生电源的直流和交流电源设定电压，图形数字双显示。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智慧控制：对教室内设备系统如通风、照明、供水、供电、摇臂、电源、网络、投影、新风、窗帘等物联网智能设备进行控制与交互。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系统设置：对座位分组、设备绑定和账号设置。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TCP/IP通讯协议数字化网络电源采用网络IP协议控制方式。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三、通风控制：智能中控器智慧管理控制平台，通风控制采用滑条（进度条）无级调速，转速显示，风速大小有风叶</w:t>
            </w:r>
            <w:r>
              <w:rPr>
                <w:rFonts w:hint="eastAsia" w:ascii="宋体" w:hAnsi="宋体" w:eastAsia="宋体" w:cs="宋体"/>
                <w:i w:val="0"/>
                <w:iCs w:val="0"/>
                <w:color w:val="auto"/>
                <w:sz w:val="21"/>
                <w:szCs w:val="21"/>
                <w:highlight w:val="none"/>
                <w:u w:val="none"/>
                <w:lang w:val="en-US" w:eastAsia="zh-CN" w:bidi="ar"/>
              </w:rPr>
              <w:t xml:space="preserve">动画显示。智能中控器控制变频器来控制适量风机：应用空间电压矢量控制原理，采用模块化设计、双CPU控制，是集数字技术、计算机技术、现代自控技术于一体的高科技产品，具有精度高、噪音低、转矩大、性能可靠等特点。主要参数指标为：1.频率指示、异常指示、转速指示、状态指示等均由LED显示；2.输入额定电压：三相380V，±15%；3.输入额定频率：50/60HZ；4.控制方式：空间电压矢量控制；5.输出频率：1.00~400.0HZ；6.过载能力：150%额定电流；7.保护功能：输入缺相、输入欠压、直流过压、过载等。</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智能集成吊装单元（教师）</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670×220mm，主体框架使用≥30×30mm铝合金制作，防腐轻便坚固，外壳使用模具ABS注塑一次成型，有单路电动摇臂升降系统，单路电动升降通风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电动升降通风系统：教师打开通风控制时通风管道自动放下。通风管道为可伸缩两段式，可伸缩管道的前端带有软性的吸风罩，风管的伸缩长度500mm，方向任意可调，吸风罩数量1套。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网络系统：在智能集成吊装单元里安装有一个8口全千兆交换机，提供网络连接。</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830×220mm，主体框架使用≥30×30mm铝合金制作，防腐轻便坚固，外壳使用模具ABS注塑一次成型，有双路电动摇臂升降系统，双路电动升降通风系统、双路照明系统、双路求助故障诊断系统、双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电动摇臂升降系统：有学生电源、两路网络端口、两路五孔AC220V供电、给排水接口、水泵控制等组成，摇臂升降系统2套。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电动升降通风系统：教师打开通风控制时通风管道自动放下。通风管道为可伸缩两段式，可伸缩管道的前端带有软性的吸风罩，风管的伸缩长度≥500mm，方向任意可调，吸风罩数量≥4套。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供排水系统：在智能集成吊装单元里集成有供排水管道系统，供排水系统2套。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网络系统：在智能集成吊装单元里安装有一个8口全千兆交换机，提供网络连接。</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670×220mm，主体框架使用≥30×30mm铝合金制作，防腐轻便坚固，外壳使用模具ABS注塑一次成型，有单路电动摇臂升降系统，单路电动升降通风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电动升降通风系统：教师打开通风控制时通风管道自动放下。通风管道为可伸缩两段式，可伸缩管道的前端带有软性的吸风罩，风管的伸缩长度500mm，方向任意可调，吸风罩数量2套。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网络系统：在智能集成吊装单元里安装有一个8口全千兆交换机，提供网络连接。</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gridSpan w:val="6"/>
            <w:tcW w:w="973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三、施工部分</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产品安装调试、现场清运等费用：包括教师演示台、学生实验桌、学生实验凳、实验椅等；室外通风管道安装；吊装设备安装调试：1）智能集成吊装单元安装；2）系统结构安装调试；3）系统控制安装调试；4）通风系统安装调试；5）给排水安装调试；6）供电系统安装调试；7）照明系统安装调试；8）网络系统安装调试；9）中控系统调试培训使用；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rPr>
        <w:t xml:space="preserve">3F 4F-A04 5F-A05化学药品室</w:t>
      </w:r>
      <w:r/>
    </w:p>
    <w:tbl>
      <w:tblPr>
        <w:tblStyle w:val="741"/>
        <w:tblW w:w="96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7"/>
        <w:gridCol w:w="1297"/>
        <w:gridCol w:w="5779"/>
        <w:gridCol w:w="662"/>
        <w:gridCol w:w="563"/>
        <w:gridCol w:w="698"/>
      </w:tblGrid>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PP药品柜</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柜体：柜体框架主体壁厚采用≥4mm工程级聚丙烯材料注塑成型，具有耐腐蚀、耐酸碱、防水、耐热，耐候性能强、表面硬度、高弹性、韧性、电绝缘性等稳定物理、化学性能，背板采用≥8mm耐腐蚀PP中空板。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柜门：上下柜门采用对开门设计，柜体门框采用工程级聚丙烯材料一体化注塑成型，嵌入式设计厚度≥4mm玻璃柜门，配置数码锁，便于老师日常管理。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铰链：柜门与柜体框架选用内置式免螺丝安装方式，材质选用工程级耐腐蚀、抗磨尼龙铰链。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通风导流设计：药品柜由上下柜体组合而成，上下柜之间设有≥于Ø110mm导流孔，为保障药品柜内部风压均匀，柜体中间设计导流板，柜体两侧内部设计导流槽。柜体下方设有进气孔，顶部设有通风孔位。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药品托盘：上下层柜体共设有≥12个活动式药品托盘。药品托盘采用3mm工程级聚丙烯一体注塑成型，药品托盘设计高度≥16mm挡边防止药品滑落及液体洒下，背面设计加强筋增加药品托盘综合性能。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可调脚:采用工程塑料模具成型制作而成，具有高度可调、耐磨、 防潮、耐腐蚀等特点。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实验通风机</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规格：功率≥2.2KW，箱式通风机。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内径尺寸：≥850×950×950，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电压：380V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工作时：噪音≤50分贝,配一体化消声器材、风流量4700-6350m³/h，全压 446-435Pa，转速：950r/min,每小时教室换气次数20次以上，排毒（3-5分钟每次）达到98%。可根据室内环境调节。</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风机开关及漏电保护装置</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三相20A漏电保护开关，0.06s急速断电,主体采用PC阻燃热固性外壳。</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风机进出口接头</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φ250,PVC材质</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6#通风机弯头</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高级树脂复合材料</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通风管道及安装</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规格：室内、外分别为φ250；φ200，φ110室内主、副管，转接头及室外至楼顶管。（不含通风管道表面包装）</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风机控制线</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规格：φ25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电气布线：国标铜芯多股电线，UPVC(国标)管，耐压500V。</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i w:val="0"/>
          <w:iCs w:val="0"/>
          <w:color w:val="auto"/>
          <w:sz w:val="21"/>
          <w:szCs w:val="21"/>
          <w:highlight w:val="none"/>
          <w:u w:val="none"/>
          <w:lang w:val="en-US" w:eastAsia="zh-CN" w:bidi="ar"/>
        </w:rPr>
        <w:t xml:space="preserve">准备室整室安装调试、现场清运、室内外通风设备、安装调试等费用综合考虑在投标报价中，不单列。</w:t>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3F-A05化学危化品室</w:t>
      </w:r>
      <w:r/>
    </w:p>
    <w:tbl>
      <w:tblPr>
        <w:tblStyle w:val="741"/>
        <w:tblW w:w="97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841"/>
        <w:gridCol w:w="6329"/>
        <w:gridCol w:w="662"/>
        <w:gridCol w:w="582"/>
        <w:gridCol w:w="644"/>
      </w:tblGrid>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易燃品储存柜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1.规格900×510×1850（±5mm)。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2.易燃品储存柜外壳体全部采用≥1.5mm的冷轧钢板，柜体底座采用≥2.0mm的冷轧钢板,内外表面经酸洗磷化环氧树脂粉末喷涂，烘热固化处理。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易燃品储存柜体内胆（上，下、左、右内衬板）全部采用实芯理化板或pp（聚丙烯树脂）板；柜底部设置≥90×50×145mm进风口，进风口底部有不锈钢可调风阀；柜体的底板中部有Φ10mm漏液孔，漏液孔上面盖上60目304#不锈钢网；柜体底部设h=160mm黄沙(防倒）档板，柜体内部最下层留有可以存放≥120mm厚黄沙的填埋腔，用于埋放金属钠、黄磷（白磷）等的易燃物品；柜底装有四个Φ60mm的移动钢轮，便于易燃品储存柜移动；前轮后有≥2个手动调节罗杆，方便易燃品储存柜定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柜中部有≥3个三层阶梯式的pp聚丙烯树脂活动搁板一次成型的，每层阶梯板外延边有3mm高的积液盘；下层搁板外沿镶装有H48.5×W16.5（mm）PVC一次成型护栏, 护栏中间嵌有（警示红 ，警示蓝，警示黄）≥0.5mm厚度的pvc装饰条，可区分碱性，酸性药品和易燃品的存放；每个搁板靠背板处有一排导风口，阶梯高度50mm（包括积液盘的高度）。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柜顶部中间有Φ150mm出风口，柜顶风口内置一个AC220V、50HZ、0.18A轴流风机，最大风量326m³/h、转速2550转/min、环境温度（-10~+70）℃，控制开关设置柜体顶部的右上角，当风机开机前要把柜门下面中间的进风口推置打开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6.隔热材料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柜体应填充具有保温隔热作用的材料，（密度100㎏/m3 ,厚度:40mm）。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7.密封件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柜体门与柜体之间应安装防火膨胀密封件（柜体门与柜体之间应安装环保热膨胀密封条。当温度为150℃-180℃时密封条局部膨胀，温度达到750℃时密封条全部膨胀，膨胀比例为1:5，以保证储存药品的安全性。）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存储柜上安装的磁锁、机械密码锁等机械锁。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存储柜上安装有电子锁。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机械锁钥匙、电子密码锁密码应由两人分别保管，开启时两人应同时在场。</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毒害品储存柜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1.规格900×510×1850（±5mm)。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2.毒害品储存柜外壳体全部采用≥1.5mm的冷轧钢板，柜体底座采用≥2.0mm的冷轧钢板,内外表面经酸洗磷化环氧树脂粉末喷涂，烘热固化处理。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毒害品储存柜体内胆（上，下、左、右内衬板）全部采用实芯理化板或pp（聚丙烯树脂）板；柜底部设置≥90×50×145mm进风口，进风口底部有不锈钢可调风阀；柜体的底板中部有Φ10mm漏液孔，漏液孔上面盖上60目304#不锈钢网；柜体底部设h=160mm黄沙(防倒）档板，柜体内部最下层留有可以存放≥120mm厚黄沙的填埋腔，用于埋放金属钠、黄磷（白磷）等的易燃物品；柜底装有四个Φ60mm的移动钢轮，便于毒害品储存柜移动；前轮后有≥2个手动调节罗杆，方便毒害品储存柜定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柜中部有≥3个三层阶梯式的pp聚丙烯树脂活动搁板一次成型的，每层阶梯板外延边有3mm高的积液盘；下层搁板外沿镶装有H48.5×W16.5（mm）PVC一次成型护栏, 护栏中间嵌有（警示红 ，警示蓝，警示黄）0.5mm厚度的pvc装饰条，可区分碱性，酸性药品和易燃品的存放；每个搁板靠背板处有一排导风口，阶梯高度50mm（包括积液盘的高度）。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柜顶部中间有Φ150mm出风口，柜顶风口内置一个AC220V、50HZ、0.18A轴流风机，最大风量326m³/h、转速2550转/min、环境温度（-10~+70）℃，控制开关设置柜体顶部的右上角，当风机开机前要把柜门下面中间的进风口推置打开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6.隔热材料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柜体应填充具有保温隔热作用的材料，（密度100㎏/m3 ,厚度:40mm）。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7.密封件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柜体门与柜体之间应安装防火膨胀密封件，（柜体门与柜体之间应安装环保热膨胀密封条。当温度为150℃-180℃时密封条局部膨胀，温度达到750℃时密封条全部膨胀，膨胀比例为1:5，以保证储存药品的安全性。）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存储柜上安装的磁锁、机械密码锁等机械锁。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存储柜上安装有电子锁。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机械锁钥匙、电子密码锁密码应由两人分别保管，开启时两人应同时在场。</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1804"/>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酸碱柜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spacing w:after="18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外形尺寸：H1800×W900×D450（±5mm)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门类型：手动四开门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锁具：四把防腐挂锁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层板：≥2块（可调高度）+≥1块固定隔断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颜色：瓷白色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用途：用于存储酸碱等腐蚀性化学品、普通化学品（非易燃易爆）等。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1、整体材质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柜体：采用≥8mm瓷白色PP（聚丙烯）板制作，具有卓越的耐腐蚀性，经同色焊条无缝焊接处理，保证柜体之坚固及密封性。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柜门：采用≥15mm贴膜PP（聚丙烯）板制作，使用寿命长，质量有保证。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层板：采用瓷白色PP（聚丙烯）板制作，四周有立边。整体设计为活动式，可随意抽取放在合适的隔层，自由组合各层空间，四周立边可获得一定程度的防溢效果。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桥式把手：采用耐酸碱PP（聚丙烯）材质，耐腐蚀性能好。铰链：采用经射出成型的PP（聚丙烯）材料制成，耐腐蚀性能好，外观精美。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专用门吸：采用PP（聚丙烯）材料制成，使用寿命长，质量有保证。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警示标签：柜门贴有醒目的“腐蚀性”警示标示，提醒周围人群注意安全。   </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PP药品柜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柜体：柜体框架主体壁厚采用≥4mm工程级聚丙烯材料注塑成型，具有耐腐蚀、耐酸碱、防水、耐热，耐候性能强、表面硬度、高弹性、韧性、电绝缘性等稳定物理、化学性能，背板采用≥8mm耐腐蚀PP中空板。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柜门：上下柜门采用对开门设计，柜体门框采用工程级聚丙烯材料一体化注塑成型，嵌入式设计厚度≥4mm玻璃柜门，配置数码锁，便于老师日常管理。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铰链：柜门与柜体框架选用内置式免螺丝安装方式，材质选用工程级耐腐蚀、抗磨尼龙铰链。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通风导流设计：药品柜由上下柜体组合而成，上下柜之间设有≥于Ø110mm导流孔，为保障药品柜内部风压均匀，柜体中间设计导流板，柜体两侧内部设计导流槽。柜体下方设有进气孔，顶部设有通风孔位。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药品托盘：上下层柜体共设有≥12个活动式药品托盘。药品托盘采用3mm工程级聚丙烯一体注塑成型，药品托盘设计高度≥16mm挡边防止药品滑落及液体洒下，背面设计加强筋增加药品托盘综合性能。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可调脚:采用工程塑料模具成型制作而成，具有高度可调、耐磨、 防潮、耐腐蚀等特点。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准备室通风系统</w:t>
            </w:r>
            <w:r/>
          </w:p>
        </w:tc>
        <w:tc>
          <w:tcPr>
            <w:tcBorders>
              <w:top w:val="single" w:color="000000" w:sz="4" w:space="0"/>
              <w:left w:val="single" w:color="000000" w:sz="4" w:space="0"/>
              <w:bottom w:val="single" w:color="000000" w:sz="4" w:space="0"/>
              <w:right w:val="single" w:color="000000" w:sz="4" w:space="0"/>
            </w:tcBorders>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（1）实验通风机：规格：功率190W通风机。电压：220V，工作时：噪音≤65分贝,风流量948m³/h，全压 210Pa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（2）风机开关及漏电保护装置：漏电保护开关，0.06s急速断电,主体采用PC阻燃热固性外壳。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（3）风机进出口接头：φ200,PVC材质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（4）6#通风机弯头：高级树脂复合材料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（5）通风管道及安装：规格：采用φ200，φ110室内主、副管，转接头及室外管。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（6）风机控制线：规格：φ25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电气布线：国标铜芯多股电线，UPVC(国标)管，耐压500V。</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气体探测器</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49"/>
                <w:rFonts w:hint="eastAsia" w:ascii="宋体" w:hAnsi="宋体" w:eastAsia="宋体" w:cs="宋体"/>
                <w:color w:val="auto"/>
                <w:sz w:val="21"/>
                <w:szCs w:val="21"/>
                <w:highlight w:val="none"/>
                <w:lang w:val="en-US" w:eastAsia="zh-CN" w:bidi="ar"/>
              </w:rPr>
              <w:t xml:space="preserve">一、产品特点：</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w:t>
            </w:r>
            <w:r>
              <w:rPr>
                <w:rStyle w:val="949"/>
                <w:rFonts w:hint="eastAsia" w:ascii="宋体" w:hAnsi="宋体" w:eastAsia="宋体" w:cs="宋体"/>
                <w:color w:val="auto"/>
                <w:sz w:val="21"/>
                <w:szCs w:val="21"/>
                <w:highlight w:val="none"/>
                <w:lang w:val="en-US" w:eastAsia="zh-CN" w:bidi="ar"/>
              </w:rPr>
              <w:t xml:space="preserve">、检测精度高，量程可调</w:t>
            </w:r>
            <w:r>
              <w:rPr>
                <w:rStyle w:val="978"/>
                <w:rFonts w:hint="eastAsia" w:ascii="宋体" w:hAnsi="宋体" w:eastAsia="宋体" w:cs="宋体"/>
                <w:color w:val="auto"/>
                <w:sz w:val="21"/>
                <w:szCs w:val="21"/>
                <w:highlight w:val="none"/>
                <w:lang w:val="en-US" w:eastAsia="zh-CN" w:bidi="ar"/>
              </w:rPr>
              <w:t xml:space="preserve">                             </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2</w:t>
            </w:r>
            <w:r>
              <w:rPr>
                <w:rStyle w:val="949"/>
                <w:rFonts w:hint="eastAsia" w:ascii="宋体" w:hAnsi="宋体" w:eastAsia="宋体" w:cs="宋体"/>
                <w:color w:val="auto"/>
                <w:sz w:val="21"/>
                <w:szCs w:val="21"/>
                <w:highlight w:val="none"/>
                <w:lang w:val="en-US" w:eastAsia="zh-CN" w:bidi="ar"/>
              </w:rPr>
              <w:t xml:space="preserve">、声光报警，数码显示</w:t>
            </w:r>
            <w:r>
              <w:rPr>
                <w:rStyle w:val="978"/>
                <w:rFonts w:hint="eastAsia" w:ascii="宋体" w:hAnsi="宋体" w:eastAsia="宋体" w:cs="宋体"/>
                <w:color w:val="auto"/>
                <w:sz w:val="21"/>
                <w:szCs w:val="21"/>
                <w:highlight w:val="none"/>
                <w:lang w:val="en-US" w:eastAsia="zh-CN" w:bidi="ar"/>
              </w:rPr>
              <w:t xml:space="preserve">                                 </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3</w:t>
            </w:r>
            <w:r>
              <w:rPr>
                <w:rStyle w:val="949"/>
                <w:rFonts w:hint="eastAsia" w:ascii="宋体" w:hAnsi="宋体" w:eastAsia="宋体" w:cs="宋体"/>
                <w:color w:val="auto"/>
                <w:sz w:val="21"/>
                <w:szCs w:val="21"/>
                <w:highlight w:val="none"/>
                <w:lang w:val="en-US" w:eastAsia="zh-CN" w:bidi="ar"/>
              </w:rPr>
              <w:t xml:space="preserve">、两级浓度报警，具有继电器输出功能</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4</w:t>
            </w:r>
            <w:r>
              <w:rPr>
                <w:rStyle w:val="949"/>
                <w:rFonts w:hint="eastAsia" w:ascii="宋体" w:hAnsi="宋体" w:eastAsia="宋体" w:cs="宋体"/>
                <w:color w:val="auto"/>
                <w:sz w:val="21"/>
                <w:szCs w:val="21"/>
                <w:highlight w:val="none"/>
                <w:lang w:val="en-US" w:eastAsia="zh-CN" w:bidi="ar"/>
              </w:rPr>
              <w:t xml:space="preserve">、长寿命、高灵敏度、低漂移、工作稳定可靠</w:t>
            </w:r>
            <w:r>
              <w:rPr>
                <w:rStyle w:val="978"/>
                <w:rFonts w:hint="eastAsia" w:ascii="宋体" w:hAnsi="宋体" w:eastAsia="宋体" w:cs="宋体"/>
                <w:color w:val="auto"/>
                <w:sz w:val="21"/>
                <w:szCs w:val="21"/>
                <w:highlight w:val="none"/>
                <w:lang w:val="en-US" w:eastAsia="zh-CN" w:bidi="ar"/>
              </w:rPr>
              <w:t xml:space="preserve"> </w:t>
            </w:r>
            <w:r>
              <w:rPr>
                <w:rStyle w:val="949"/>
                <w:rFonts w:hint="eastAsia" w:ascii="宋体" w:hAnsi="宋体" w:eastAsia="宋体" w:cs="宋体"/>
                <w:color w:val="auto"/>
                <w:sz w:val="21"/>
                <w:szCs w:val="21"/>
                <w:highlight w:val="none"/>
                <w:lang w:val="en-US" w:eastAsia="zh-CN" w:bidi="ar"/>
              </w:rPr>
              <w:t xml:space="preserve">传感器故障自检，</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5</w:t>
            </w:r>
            <w:r>
              <w:rPr>
                <w:rStyle w:val="949"/>
                <w:rFonts w:hint="eastAsia" w:ascii="宋体" w:hAnsi="宋体" w:eastAsia="宋体" w:cs="宋体"/>
                <w:color w:val="auto"/>
                <w:sz w:val="21"/>
                <w:szCs w:val="21"/>
                <w:highlight w:val="none"/>
                <w:lang w:val="en-US" w:eastAsia="zh-CN" w:bidi="ar"/>
              </w:rPr>
              <w:t xml:space="preserve">、检测方式：</w:t>
            </w:r>
            <w:r>
              <w:rPr>
                <w:rStyle w:val="978"/>
                <w:rFonts w:hint="eastAsia" w:ascii="宋体" w:hAnsi="宋体" w:eastAsia="宋体" w:cs="宋体"/>
                <w:color w:val="auto"/>
                <w:sz w:val="21"/>
                <w:szCs w:val="21"/>
                <w:highlight w:val="none"/>
                <w:lang w:val="en-US" w:eastAsia="zh-CN" w:bidi="ar"/>
              </w:rPr>
              <w:t xml:space="preserve"> </w:t>
            </w:r>
            <w:r>
              <w:rPr>
                <w:rStyle w:val="949"/>
                <w:rFonts w:hint="eastAsia" w:ascii="宋体" w:hAnsi="宋体" w:eastAsia="宋体" w:cs="宋体"/>
                <w:color w:val="auto"/>
                <w:sz w:val="21"/>
                <w:szCs w:val="21"/>
                <w:highlight w:val="none"/>
                <w:lang w:val="en-US" w:eastAsia="zh-CN" w:bidi="ar"/>
              </w:rPr>
              <w:t xml:space="preserve">自然扩散</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6</w:t>
            </w:r>
            <w:r>
              <w:rPr>
                <w:rStyle w:val="949"/>
                <w:rFonts w:hint="eastAsia" w:ascii="宋体" w:hAnsi="宋体" w:eastAsia="宋体" w:cs="宋体"/>
                <w:color w:val="auto"/>
                <w:sz w:val="21"/>
                <w:szCs w:val="21"/>
                <w:highlight w:val="none"/>
                <w:lang w:val="en-US" w:eastAsia="zh-CN" w:bidi="ar"/>
              </w:rPr>
              <w:t xml:space="preserve">、防爆方式：隔爆型</w:t>
            </w:r>
            <w:r>
              <w:rPr>
                <w:rStyle w:val="978"/>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二、主要技术参数：</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w:t>
            </w:r>
            <w:r>
              <w:rPr>
                <w:rStyle w:val="949"/>
                <w:rFonts w:hint="eastAsia" w:ascii="宋体" w:hAnsi="宋体" w:eastAsia="宋体" w:cs="宋体"/>
                <w:color w:val="auto"/>
                <w:sz w:val="21"/>
                <w:szCs w:val="21"/>
                <w:highlight w:val="none"/>
                <w:lang w:val="en-US" w:eastAsia="zh-CN" w:bidi="ar"/>
              </w:rPr>
              <w:t xml:space="preserve">、检测气体：可燃，一氧化碳，硫化氢，氧气</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2</w:t>
            </w:r>
            <w:r>
              <w:rPr>
                <w:rStyle w:val="949"/>
                <w:rFonts w:hint="eastAsia" w:ascii="宋体" w:hAnsi="宋体" w:eastAsia="宋体" w:cs="宋体"/>
                <w:color w:val="auto"/>
                <w:sz w:val="21"/>
                <w:szCs w:val="21"/>
                <w:highlight w:val="none"/>
                <w:lang w:val="en-US" w:eastAsia="zh-CN" w:bidi="ar"/>
              </w:rPr>
              <w:t xml:space="preserve">、检测范围：可燃</w:t>
            </w:r>
            <w:r>
              <w:rPr>
                <w:rStyle w:val="978"/>
                <w:rFonts w:hint="eastAsia" w:ascii="宋体" w:hAnsi="宋体" w:eastAsia="宋体" w:cs="宋体"/>
                <w:color w:val="auto"/>
                <w:sz w:val="21"/>
                <w:szCs w:val="21"/>
                <w:highlight w:val="none"/>
                <w:lang w:val="en-US" w:eastAsia="zh-CN" w:bidi="ar"/>
              </w:rPr>
              <w:t xml:space="preserve">0-100%LEL  </w:t>
            </w:r>
            <w:r>
              <w:rPr>
                <w:rStyle w:val="949"/>
                <w:rFonts w:hint="eastAsia" w:ascii="宋体" w:hAnsi="宋体" w:eastAsia="宋体" w:cs="宋体"/>
                <w:color w:val="auto"/>
                <w:sz w:val="21"/>
                <w:szCs w:val="21"/>
                <w:highlight w:val="none"/>
                <w:lang w:val="en-US" w:eastAsia="zh-CN" w:bidi="ar"/>
              </w:rPr>
              <w:t xml:space="preserve">一氧化碳</w:t>
            </w:r>
            <w:r>
              <w:rPr>
                <w:rStyle w:val="978"/>
                <w:rFonts w:hint="eastAsia" w:ascii="宋体" w:hAnsi="宋体" w:eastAsia="宋体" w:cs="宋体"/>
                <w:color w:val="auto"/>
                <w:sz w:val="21"/>
                <w:szCs w:val="21"/>
                <w:highlight w:val="none"/>
                <w:lang w:val="en-US" w:eastAsia="zh-CN" w:bidi="ar"/>
              </w:rPr>
              <w:t xml:space="preserve">0-1000PPM     </w:t>
            </w:r>
            <w:r>
              <w:rPr>
                <w:rStyle w:val="949"/>
                <w:rFonts w:hint="eastAsia" w:ascii="宋体" w:hAnsi="宋体" w:eastAsia="宋体" w:cs="宋体"/>
                <w:color w:val="auto"/>
                <w:sz w:val="21"/>
                <w:szCs w:val="21"/>
                <w:highlight w:val="none"/>
                <w:lang w:val="en-US" w:eastAsia="zh-CN" w:bidi="ar"/>
              </w:rPr>
              <w:t xml:space="preserve">硫化氢</w:t>
            </w:r>
            <w:r>
              <w:rPr>
                <w:rStyle w:val="978"/>
                <w:rFonts w:hint="eastAsia" w:ascii="宋体" w:hAnsi="宋体" w:eastAsia="宋体" w:cs="宋体"/>
                <w:color w:val="auto"/>
                <w:sz w:val="21"/>
                <w:szCs w:val="21"/>
                <w:highlight w:val="none"/>
                <w:lang w:val="en-US" w:eastAsia="zh-CN" w:bidi="ar"/>
              </w:rPr>
              <w:t xml:space="preserve">0-100PPM     </w:t>
            </w:r>
            <w:r>
              <w:rPr>
                <w:rStyle w:val="949"/>
                <w:rFonts w:hint="eastAsia" w:ascii="宋体" w:hAnsi="宋体" w:eastAsia="宋体" w:cs="宋体"/>
                <w:color w:val="auto"/>
                <w:sz w:val="21"/>
                <w:szCs w:val="21"/>
                <w:highlight w:val="none"/>
                <w:lang w:val="en-US" w:eastAsia="zh-CN" w:bidi="ar"/>
              </w:rPr>
              <w:t xml:space="preserve">氧气</w:t>
            </w:r>
            <w:r>
              <w:rPr>
                <w:rStyle w:val="978"/>
                <w:rFonts w:hint="eastAsia" w:ascii="宋体" w:hAnsi="宋体" w:eastAsia="宋体" w:cs="宋体"/>
                <w:color w:val="auto"/>
                <w:sz w:val="21"/>
                <w:szCs w:val="21"/>
                <w:highlight w:val="none"/>
                <w:lang w:val="en-US" w:eastAsia="zh-CN" w:bidi="ar"/>
              </w:rPr>
              <w:t xml:space="preserve">0-30%VOL </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3</w:t>
            </w:r>
            <w:r>
              <w:rPr>
                <w:rStyle w:val="949"/>
                <w:rFonts w:hint="eastAsia" w:ascii="宋体" w:hAnsi="宋体" w:eastAsia="宋体" w:cs="宋体"/>
                <w:color w:val="auto"/>
                <w:sz w:val="21"/>
                <w:szCs w:val="21"/>
                <w:highlight w:val="none"/>
                <w:lang w:val="en-US" w:eastAsia="zh-CN" w:bidi="ar"/>
              </w:rPr>
              <w:t xml:space="preserve">、检测方式：自由扩散式；</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4</w:t>
            </w:r>
            <w:r>
              <w:rPr>
                <w:rStyle w:val="949"/>
                <w:rFonts w:hint="eastAsia" w:ascii="宋体" w:hAnsi="宋体" w:eastAsia="宋体" w:cs="宋体"/>
                <w:color w:val="auto"/>
                <w:sz w:val="21"/>
                <w:szCs w:val="21"/>
                <w:highlight w:val="none"/>
                <w:lang w:val="en-US" w:eastAsia="zh-CN" w:bidi="ar"/>
              </w:rPr>
              <w:t xml:space="preserve">、检测原理：电化学；</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5</w:t>
            </w:r>
            <w:r>
              <w:rPr>
                <w:rStyle w:val="949"/>
                <w:rFonts w:hint="eastAsia" w:ascii="宋体" w:hAnsi="宋体" w:eastAsia="宋体" w:cs="宋体"/>
                <w:color w:val="auto"/>
                <w:sz w:val="21"/>
                <w:szCs w:val="21"/>
                <w:highlight w:val="none"/>
                <w:lang w:val="en-US" w:eastAsia="zh-CN" w:bidi="ar"/>
              </w:rPr>
              <w:t xml:space="preserve">、低限报警设定值：可燃</w:t>
            </w:r>
            <w:r>
              <w:rPr>
                <w:rStyle w:val="978"/>
                <w:rFonts w:hint="eastAsia" w:ascii="宋体" w:hAnsi="宋体" w:eastAsia="宋体" w:cs="宋体"/>
                <w:color w:val="auto"/>
                <w:sz w:val="21"/>
                <w:szCs w:val="21"/>
                <w:highlight w:val="none"/>
                <w:lang w:val="en-US" w:eastAsia="zh-CN" w:bidi="ar"/>
              </w:rPr>
              <w:t xml:space="preserve">20%LEL</w:t>
            </w:r>
            <w:r>
              <w:rPr>
                <w:rStyle w:val="949"/>
                <w:rFonts w:hint="eastAsia" w:ascii="宋体" w:hAnsi="宋体" w:eastAsia="宋体" w:cs="宋体"/>
                <w:color w:val="auto"/>
                <w:sz w:val="21"/>
                <w:szCs w:val="21"/>
                <w:highlight w:val="none"/>
                <w:lang w:val="en-US" w:eastAsia="zh-CN" w:bidi="ar"/>
              </w:rPr>
              <w:t xml:space="preserve">；一氧化碳</w:t>
            </w:r>
            <w:r>
              <w:rPr>
                <w:rStyle w:val="978"/>
                <w:rFonts w:hint="eastAsia" w:ascii="宋体" w:hAnsi="宋体" w:eastAsia="宋体" w:cs="宋体"/>
                <w:color w:val="auto"/>
                <w:sz w:val="21"/>
                <w:szCs w:val="21"/>
                <w:highlight w:val="none"/>
                <w:lang w:val="en-US" w:eastAsia="zh-CN" w:bidi="ar"/>
              </w:rPr>
              <w:t xml:space="preserve">50PPM</w:t>
            </w:r>
            <w:r>
              <w:rPr>
                <w:rStyle w:val="949"/>
                <w:rFonts w:hint="eastAsia" w:ascii="宋体" w:hAnsi="宋体" w:eastAsia="宋体" w:cs="宋体"/>
                <w:color w:val="auto"/>
                <w:sz w:val="21"/>
                <w:szCs w:val="21"/>
                <w:highlight w:val="none"/>
                <w:lang w:val="en-US" w:eastAsia="zh-CN" w:bidi="ar"/>
              </w:rPr>
              <w:t xml:space="preserve">；硫化氢</w:t>
            </w:r>
            <w:r>
              <w:rPr>
                <w:rStyle w:val="978"/>
                <w:rFonts w:hint="eastAsia" w:ascii="宋体" w:hAnsi="宋体" w:eastAsia="宋体" w:cs="宋体"/>
                <w:color w:val="auto"/>
                <w:sz w:val="21"/>
                <w:szCs w:val="21"/>
                <w:highlight w:val="none"/>
                <w:lang w:val="en-US" w:eastAsia="zh-CN" w:bidi="ar"/>
              </w:rPr>
              <w:t xml:space="preserve">15PPM</w:t>
            </w:r>
            <w:r>
              <w:rPr>
                <w:rStyle w:val="949"/>
                <w:rFonts w:hint="eastAsia" w:ascii="宋体" w:hAnsi="宋体" w:eastAsia="宋体" w:cs="宋体"/>
                <w:color w:val="auto"/>
                <w:sz w:val="21"/>
                <w:szCs w:val="21"/>
                <w:highlight w:val="none"/>
                <w:lang w:val="en-US" w:eastAsia="zh-CN" w:bidi="ar"/>
              </w:rPr>
              <w:t xml:space="preserve">；氧气</w:t>
            </w:r>
            <w:r>
              <w:rPr>
                <w:rStyle w:val="978"/>
                <w:rFonts w:hint="eastAsia" w:ascii="宋体" w:hAnsi="宋体" w:eastAsia="宋体" w:cs="宋体"/>
                <w:color w:val="auto"/>
                <w:sz w:val="21"/>
                <w:szCs w:val="21"/>
                <w:highlight w:val="none"/>
                <w:lang w:val="en-US" w:eastAsia="zh-CN" w:bidi="ar"/>
              </w:rPr>
              <w:t xml:space="preserve">19.5%VOL</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6</w:t>
            </w:r>
            <w:r>
              <w:rPr>
                <w:rStyle w:val="949"/>
                <w:rFonts w:hint="eastAsia" w:ascii="宋体" w:hAnsi="宋体" w:eastAsia="宋体" w:cs="宋体"/>
                <w:color w:val="auto"/>
                <w:sz w:val="21"/>
                <w:szCs w:val="21"/>
                <w:highlight w:val="none"/>
                <w:lang w:val="en-US" w:eastAsia="zh-CN" w:bidi="ar"/>
              </w:rPr>
              <w:t xml:space="preserve">、高限报警设定值：可燃</w:t>
            </w:r>
            <w:r>
              <w:rPr>
                <w:rStyle w:val="978"/>
                <w:rFonts w:hint="eastAsia" w:ascii="宋体" w:hAnsi="宋体" w:eastAsia="宋体" w:cs="宋体"/>
                <w:color w:val="auto"/>
                <w:sz w:val="21"/>
                <w:szCs w:val="21"/>
                <w:highlight w:val="none"/>
                <w:lang w:val="en-US" w:eastAsia="zh-CN" w:bidi="ar"/>
              </w:rPr>
              <w:t xml:space="preserve">50%LEL</w:t>
            </w:r>
            <w:r>
              <w:rPr>
                <w:rStyle w:val="949"/>
                <w:rFonts w:hint="eastAsia" w:ascii="宋体" w:hAnsi="宋体" w:eastAsia="宋体" w:cs="宋体"/>
                <w:color w:val="auto"/>
                <w:sz w:val="21"/>
                <w:szCs w:val="21"/>
                <w:highlight w:val="none"/>
                <w:lang w:val="en-US" w:eastAsia="zh-CN" w:bidi="ar"/>
              </w:rPr>
              <w:t xml:space="preserve">，一氧化碳</w:t>
            </w:r>
            <w:r>
              <w:rPr>
                <w:rStyle w:val="978"/>
                <w:rFonts w:hint="eastAsia" w:ascii="宋体" w:hAnsi="宋体" w:eastAsia="宋体" w:cs="宋体"/>
                <w:color w:val="auto"/>
                <w:sz w:val="21"/>
                <w:szCs w:val="21"/>
                <w:highlight w:val="none"/>
                <w:lang w:val="en-US" w:eastAsia="zh-CN" w:bidi="ar"/>
              </w:rPr>
              <w:t xml:space="preserve">150PPM</w:t>
            </w:r>
            <w:r>
              <w:rPr>
                <w:rStyle w:val="949"/>
                <w:rFonts w:hint="eastAsia" w:ascii="宋体" w:hAnsi="宋体" w:eastAsia="宋体" w:cs="宋体"/>
                <w:color w:val="auto"/>
                <w:sz w:val="21"/>
                <w:szCs w:val="21"/>
                <w:highlight w:val="none"/>
                <w:lang w:val="en-US" w:eastAsia="zh-CN" w:bidi="ar"/>
              </w:rPr>
              <w:t xml:space="preserve">；硫化氢</w:t>
            </w:r>
            <w:r>
              <w:rPr>
                <w:rStyle w:val="978"/>
                <w:rFonts w:hint="eastAsia" w:ascii="宋体" w:hAnsi="宋体" w:eastAsia="宋体" w:cs="宋体"/>
                <w:color w:val="auto"/>
                <w:sz w:val="21"/>
                <w:szCs w:val="21"/>
                <w:highlight w:val="none"/>
                <w:lang w:val="en-US" w:eastAsia="zh-CN" w:bidi="ar"/>
              </w:rPr>
              <w:t xml:space="preserve">35PPM</w:t>
            </w:r>
            <w:r>
              <w:rPr>
                <w:rStyle w:val="949"/>
                <w:rFonts w:hint="eastAsia" w:ascii="宋体" w:hAnsi="宋体" w:eastAsia="宋体" w:cs="宋体"/>
                <w:color w:val="auto"/>
                <w:sz w:val="21"/>
                <w:szCs w:val="21"/>
                <w:highlight w:val="none"/>
                <w:lang w:val="en-US" w:eastAsia="zh-CN" w:bidi="ar"/>
              </w:rPr>
              <w:t xml:space="preserve">；氧气</w:t>
            </w:r>
            <w:r>
              <w:rPr>
                <w:rStyle w:val="978"/>
                <w:rFonts w:hint="eastAsia" w:ascii="宋体" w:hAnsi="宋体" w:eastAsia="宋体" w:cs="宋体"/>
                <w:color w:val="auto"/>
                <w:sz w:val="21"/>
                <w:szCs w:val="21"/>
                <w:highlight w:val="none"/>
                <w:lang w:val="en-US" w:eastAsia="zh-CN" w:bidi="ar"/>
              </w:rPr>
              <w:t xml:space="preserve">23.5%VOL</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7</w:t>
            </w:r>
            <w:r>
              <w:rPr>
                <w:rStyle w:val="949"/>
                <w:rFonts w:hint="eastAsia" w:ascii="宋体" w:hAnsi="宋体" w:eastAsia="宋体" w:cs="宋体"/>
                <w:color w:val="auto"/>
                <w:sz w:val="21"/>
                <w:szCs w:val="21"/>
                <w:highlight w:val="none"/>
                <w:lang w:val="en-US" w:eastAsia="zh-CN" w:bidi="ar"/>
              </w:rPr>
              <w:t xml:space="preserve">、准确度等级：</w:t>
            </w:r>
            <w:r>
              <w:rPr>
                <w:rStyle w:val="978"/>
                <w:rFonts w:hint="eastAsia" w:ascii="宋体" w:hAnsi="宋体" w:eastAsia="宋体" w:cs="宋体"/>
                <w:color w:val="auto"/>
                <w:sz w:val="21"/>
                <w:szCs w:val="21"/>
                <w:highlight w:val="none"/>
                <w:lang w:val="en-US" w:eastAsia="zh-CN" w:bidi="ar"/>
              </w:rPr>
              <w:t xml:space="preserve">±3%FS</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8</w:t>
            </w:r>
            <w:r>
              <w:rPr>
                <w:rStyle w:val="949"/>
                <w:rFonts w:hint="eastAsia" w:ascii="宋体" w:hAnsi="宋体" w:eastAsia="宋体" w:cs="宋体"/>
                <w:color w:val="auto"/>
                <w:sz w:val="21"/>
                <w:szCs w:val="21"/>
                <w:highlight w:val="none"/>
                <w:lang w:val="en-US" w:eastAsia="zh-CN" w:bidi="ar"/>
              </w:rPr>
              <w:t xml:space="preserve">、响应时间：</w:t>
            </w:r>
            <w:r>
              <w:rPr>
                <w:rStyle w:val="978"/>
                <w:rFonts w:hint="eastAsia" w:ascii="宋体" w:hAnsi="宋体" w:eastAsia="宋体" w:cs="宋体"/>
                <w:color w:val="auto"/>
                <w:sz w:val="21"/>
                <w:szCs w:val="21"/>
                <w:highlight w:val="none"/>
                <w:lang w:val="en-US" w:eastAsia="zh-CN" w:bidi="ar"/>
              </w:rPr>
              <w:t xml:space="preserve">≤30s</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9</w:t>
            </w:r>
            <w:r>
              <w:rPr>
                <w:rStyle w:val="949"/>
                <w:rFonts w:hint="eastAsia" w:ascii="宋体" w:hAnsi="宋体" w:eastAsia="宋体" w:cs="宋体"/>
                <w:color w:val="auto"/>
                <w:sz w:val="21"/>
                <w:szCs w:val="21"/>
                <w:highlight w:val="none"/>
                <w:lang w:val="en-US" w:eastAsia="zh-CN" w:bidi="ar"/>
              </w:rPr>
              <w:t xml:space="preserve">、重复性：</w:t>
            </w:r>
            <w:r>
              <w:rPr>
                <w:rStyle w:val="978"/>
                <w:rFonts w:hint="eastAsia" w:ascii="宋体" w:hAnsi="宋体" w:eastAsia="宋体" w:cs="宋体"/>
                <w:color w:val="auto"/>
                <w:sz w:val="21"/>
                <w:szCs w:val="21"/>
                <w:highlight w:val="none"/>
                <w:lang w:val="en-US" w:eastAsia="zh-CN" w:bidi="ar"/>
              </w:rPr>
              <w:t xml:space="preserve">≤2%</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10</w:t>
            </w:r>
            <w:r>
              <w:rPr>
                <w:rStyle w:val="949"/>
                <w:rFonts w:hint="eastAsia" w:ascii="宋体" w:hAnsi="宋体" w:eastAsia="宋体" w:cs="宋体"/>
                <w:color w:val="auto"/>
                <w:sz w:val="21"/>
                <w:szCs w:val="21"/>
                <w:highlight w:val="none"/>
                <w:lang w:val="en-US" w:eastAsia="zh-CN" w:bidi="ar"/>
              </w:rPr>
              <w:t xml:space="preserve">、恢复时间：</w:t>
            </w:r>
            <w:r>
              <w:rPr>
                <w:rStyle w:val="978"/>
                <w:rFonts w:hint="eastAsia" w:ascii="宋体" w:hAnsi="宋体" w:eastAsia="宋体" w:cs="宋体"/>
                <w:color w:val="auto"/>
                <w:sz w:val="21"/>
                <w:szCs w:val="21"/>
                <w:highlight w:val="none"/>
                <w:lang w:val="en-US" w:eastAsia="zh-CN" w:bidi="ar"/>
              </w:rPr>
              <w:t xml:space="preserve">≤30s</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11</w:t>
            </w:r>
            <w:r>
              <w:rPr>
                <w:rStyle w:val="949"/>
                <w:rFonts w:hint="eastAsia" w:ascii="宋体" w:hAnsi="宋体" w:eastAsia="宋体" w:cs="宋体"/>
                <w:color w:val="auto"/>
                <w:sz w:val="21"/>
                <w:szCs w:val="21"/>
                <w:highlight w:val="none"/>
                <w:lang w:val="en-US" w:eastAsia="zh-CN" w:bidi="ar"/>
              </w:rPr>
              <w:t xml:space="preserve">、环境温度：－</w:t>
            </w:r>
            <w:r>
              <w:rPr>
                <w:rStyle w:val="978"/>
                <w:rFonts w:hint="eastAsia" w:ascii="宋体" w:hAnsi="宋体" w:eastAsia="宋体" w:cs="宋体"/>
                <w:color w:val="auto"/>
                <w:sz w:val="21"/>
                <w:szCs w:val="21"/>
                <w:highlight w:val="none"/>
                <w:lang w:val="en-US" w:eastAsia="zh-CN" w:bidi="ar"/>
              </w:rPr>
              <w:t xml:space="preserve">40℃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+70℃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12</w:t>
            </w:r>
            <w:r>
              <w:rPr>
                <w:rStyle w:val="949"/>
                <w:rFonts w:hint="eastAsia" w:ascii="宋体" w:hAnsi="宋体" w:eastAsia="宋体" w:cs="宋体"/>
                <w:color w:val="auto"/>
                <w:sz w:val="21"/>
                <w:szCs w:val="21"/>
                <w:highlight w:val="none"/>
                <w:lang w:val="en-US" w:eastAsia="zh-CN" w:bidi="ar"/>
              </w:rPr>
              <w:t xml:space="preserve">、相对湿度：（</w:t>
            </w:r>
            <w:r>
              <w:rPr>
                <w:rStyle w:val="978"/>
                <w:rFonts w:hint="eastAsia" w:ascii="宋体" w:hAnsi="宋体" w:eastAsia="宋体" w:cs="宋体"/>
                <w:color w:val="auto"/>
                <w:sz w:val="21"/>
                <w:szCs w:val="21"/>
                <w:highlight w:val="none"/>
                <w:lang w:val="en-US" w:eastAsia="zh-CN" w:bidi="ar"/>
              </w:rPr>
              <w:t xml:space="preserve">20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93</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13</w:t>
            </w:r>
            <w:r>
              <w:rPr>
                <w:rStyle w:val="949"/>
                <w:rFonts w:hint="eastAsia" w:ascii="宋体" w:hAnsi="宋体" w:eastAsia="宋体" w:cs="宋体"/>
                <w:color w:val="auto"/>
                <w:sz w:val="21"/>
                <w:szCs w:val="21"/>
                <w:highlight w:val="none"/>
                <w:lang w:val="en-US" w:eastAsia="zh-CN" w:bidi="ar"/>
              </w:rPr>
              <w:t xml:space="preserve">、工作电压：</w:t>
            </w:r>
            <w:r>
              <w:rPr>
                <w:rStyle w:val="978"/>
                <w:rFonts w:hint="eastAsia" w:ascii="宋体" w:hAnsi="宋体" w:eastAsia="宋体" w:cs="宋体"/>
                <w:color w:val="auto"/>
                <w:sz w:val="21"/>
                <w:szCs w:val="21"/>
                <w:highlight w:val="none"/>
                <w:lang w:val="en-US" w:eastAsia="zh-CN" w:bidi="ar"/>
              </w:rPr>
              <w:t xml:space="preserve">AC220V</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1±15%</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14</w:t>
            </w:r>
            <w:r>
              <w:rPr>
                <w:rStyle w:val="949"/>
                <w:rFonts w:hint="eastAsia" w:ascii="宋体" w:hAnsi="宋体" w:eastAsia="宋体" w:cs="宋体"/>
                <w:color w:val="auto"/>
                <w:sz w:val="21"/>
                <w:szCs w:val="21"/>
                <w:highlight w:val="none"/>
                <w:lang w:val="en-US" w:eastAsia="zh-CN" w:bidi="ar"/>
              </w:rPr>
              <w:t xml:space="preserve">、功耗：</w:t>
            </w:r>
            <w:r>
              <w:rPr>
                <w:rStyle w:val="978"/>
                <w:rFonts w:hint="eastAsia" w:ascii="宋体" w:hAnsi="宋体" w:eastAsia="宋体" w:cs="宋体"/>
                <w:color w:val="auto"/>
                <w:sz w:val="21"/>
                <w:szCs w:val="21"/>
                <w:highlight w:val="none"/>
                <w:lang w:val="en-US" w:eastAsia="zh-CN" w:bidi="ar"/>
              </w:rPr>
              <w:t xml:space="preserve">≤5 W</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15</w:t>
            </w:r>
            <w:r>
              <w:rPr>
                <w:rStyle w:val="949"/>
                <w:rFonts w:hint="eastAsia" w:ascii="宋体" w:hAnsi="宋体" w:eastAsia="宋体" w:cs="宋体"/>
                <w:color w:val="auto"/>
                <w:sz w:val="21"/>
                <w:szCs w:val="21"/>
                <w:highlight w:val="none"/>
                <w:lang w:val="en-US" w:eastAsia="zh-CN" w:bidi="ar"/>
              </w:rPr>
              <w:t xml:space="preserve">、显示方式：液晶显示；</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16</w:t>
            </w:r>
            <w:r>
              <w:rPr>
                <w:rStyle w:val="949"/>
                <w:rFonts w:hint="eastAsia" w:ascii="宋体" w:hAnsi="宋体" w:eastAsia="宋体" w:cs="宋体"/>
                <w:color w:val="auto"/>
                <w:sz w:val="21"/>
                <w:szCs w:val="21"/>
                <w:highlight w:val="none"/>
                <w:lang w:val="en-US" w:eastAsia="zh-CN" w:bidi="ar"/>
              </w:rPr>
              <w:t xml:space="preserve">、调试方式：遥控器（显示型功能）；</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17</w:t>
            </w:r>
            <w:r>
              <w:rPr>
                <w:rStyle w:val="949"/>
                <w:rFonts w:hint="eastAsia" w:ascii="宋体" w:hAnsi="宋体" w:eastAsia="宋体" w:cs="宋体"/>
                <w:color w:val="auto"/>
                <w:sz w:val="21"/>
                <w:szCs w:val="21"/>
                <w:highlight w:val="none"/>
                <w:lang w:val="en-US" w:eastAsia="zh-CN" w:bidi="ar"/>
              </w:rPr>
              <w:t xml:space="preserve">、压力限制：</w:t>
            </w:r>
            <w:r>
              <w:rPr>
                <w:rStyle w:val="978"/>
                <w:rFonts w:hint="eastAsia" w:ascii="宋体" w:hAnsi="宋体" w:eastAsia="宋体" w:cs="宋体"/>
                <w:color w:val="auto"/>
                <w:sz w:val="21"/>
                <w:szCs w:val="21"/>
                <w:highlight w:val="none"/>
                <w:lang w:val="en-US" w:eastAsia="zh-CN" w:bidi="ar"/>
              </w:rPr>
              <w:t xml:space="preserve">86 kPa</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106 kPa</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18</w:t>
            </w:r>
            <w:r>
              <w:rPr>
                <w:rStyle w:val="949"/>
                <w:rFonts w:hint="eastAsia" w:ascii="宋体" w:hAnsi="宋体" w:eastAsia="宋体" w:cs="宋体"/>
                <w:color w:val="auto"/>
                <w:sz w:val="21"/>
                <w:szCs w:val="21"/>
                <w:highlight w:val="none"/>
                <w:lang w:val="en-US" w:eastAsia="zh-CN" w:bidi="ar"/>
              </w:rPr>
              <w:t xml:space="preserve">、产品尺寸：≥</w:t>
            </w:r>
            <w:r>
              <w:rPr>
                <w:rStyle w:val="978"/>
                <w:rFonts w:hint="eastAsia" w:ascii="宋体" w:hAnsi="宋体" w:eastAsia="宋体" w:cs="宋体"/>
                <w:color w:val="auto"/>
                <w:sz w:val="21"/>
                <w:szCs w:val="21"/>
                <w:highlight w:val="none"/>
                <w:lang w:val="en-US" w:eastAsia="zh-CN" w:bidi="ar"/>
              </w:rPr>
              <w:t xml:space="preserve">L 180 mm×W 145 mm×H 75 mm</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19</w:t>
            </w:r>
            <w:r>
              <w:rPr>
                <w:rStyle w:val="949"/>
                <w:rFonts w:hint="eastAsia" w:ascii="宋体" w:hAnsi="宋体" w:eastAsia="宋体" w:cs="宋体"/>
                <w:color w:val="auto"/>
                <w:sz w:val="21"/>
                <w:szCs w:val="21"/>
                <w:highlight w:val="none"/>
                <w:lang w:val="en-US" w:eastAsia="zh-CN" w:bidi="ar"/>
              </w:rPr>
              <w:t xml:space="preserve">、防爆标志：</w:t>
            </w:r>
            <w:r>
              <w:rPr>
                <w:rStyle w:val="978"/>
                <w:rFonts w:hint="eastAsia" w:ascii="宋体" w:hAnsi="宋体" w:eastAsia="宋体" w:cs="宋体"/>
                <w:color w:val="auto"/>
                <w:sz w:val="21"/>
                <w:szCs w:val="21"/>
                <w:highlight w:val="none"/>
                <w:lang w:val="en-US" w:eastAsia="zh-CN" w:bidi="ar"/>
              </w:rPr>
              <w:t xml:space="preserve">Ex d ⅡC T6 Gb/Ex tD A21 IP66 T80℃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20</w:t>
            </w:r>
            <w:r>
              <w:rPr>
                <w:rStyle w:val="949"/>
                <w:rFonts w:hint="eastAsia" w:ascii="宋体" w:hAnsi="宋体" w:eastAsia="宋体" w:cs="宋体"/>
                <w:color w:val="auto"/>
                <w:sz w:val="21"/>
                <w:szCs w:val="21"/>
                <w:highlight w:val="none"/>
                <w:lang w:val="en-US" w:eastAsia="zh-CN" w:bidi="ar"/>
              </w:rPr>
              <w:t xml:space="preserve">、防护等级：</w:t>
            </w:r>
            <w:r>
              <w:rPr>
                <w:rStyle w:val="978"/>
                <w:rFonts w:hint="eastAsia" w:ascii="宋体" w:hAnsi="宋体" w:eastAsia="宋体" w:cs="宋体"/>
                <w:color w:val="auto"/>
                <w:sz w:val="21"/>
                <w:szCs w:val="21"/>
                <w:highlight w:val="none"/>
                <w:lang w:val="en-US" w:eastAsia="zh-CN" w:bidi="ar"/>
              </w:rPr>
              <w:t xml:space="preserve">IP66</w:t>
            </w:r>
            <w:r>
              <w:rPr>
                <w:rStyle w:val="949"/>
                <w:rFonts w:hint="eastAsia" w:ascii="宋体" w:hAnsi="宋体" w:eastAsia="宋体" w:cs="宋体"/>
                <w:color w:val="auto"/>
                <w:sz w:val="21"/>
                <w:szCs w:val="21"/>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主机控制器</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49"/>
                <w:rFonts w:hint="eastAsia" w:ascii="宋体" w:hAnsi="宋体" w:eastAsia="宋体" w:cs="宋体"/>
                <w:color w:val="auto"/>
                <w:sz w:val="21"/>
                <w:szCs w:val="21"/>
                <w:highlight w:val="none"/>
                <w:lang w:val="en-US" w:eastAsia="zh-CN" w:bidi="ar"/>
              </w:rPr>
              <w:t xml:space="preserve">一拖8路</w:t>
            </w:r>
            <w:r>
              <w:rPr>
                <w:rStyle w:val="949"/>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一、产品特点：</w:t>
            </w:r>
            <w:r>
              <w:rPr>
                <w:rStyle w:val="949"/>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1、LCD液晶中文显示，简单明了；</w:t>
            </w:r>
            <w:r>
              <w:rPr>
                <w:rStyle w:val="949"/>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2、产品内嵌微处理器，配以丰富的软件功能，完成变送器信号采样、数据实时计算、系统故障检测、电源管理、报警显示、报警外设驱动等功能；</w:t>
            </w:r>
            <w:r>
              <w:rPr>
                <w:rStyle w:val="949"/>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3</w:t>
            </w:r>
            <w:r>
              <w:rPr>
                <w:rStyle w:val="973"/>
                <w:rFonts w:hint="eastAsia" w:ascii="宋体" w:hAnsi="宋体" w:eastAsia="宋体" w:cs="宋体"/>
                <w:color w:val="auto"/>
                <w:sz w:val="21"/>
                <w:szCs w:val="21"/>
                <w:highlight w:val="none"/>
                <w:lang w:val="en-US" w:eastAsia="zh-CN" w:bidi="ar"/>
              </w:rPr>
              <w:t xml:space="preserve">、智能化系统：方便的在线零点校正；</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4</w:t>
            </w:r>
            <w:r>
              <w:rPr>
                <w:rStyle w:val="973"/>
                <w:rFonts w:hint="eastAsia" w:ascii="宋体" w:hAnsi="宋体" w:eastAsia="宋体" w:cs="宋体"/>
                <w:color w:val="auto"/>
                <w:sz w:val="21"/>
                <w:szCs w:val="21"/>
                <w:highlight w:val="none"/>
                <w:lang w:val="en-US" w:eastAsia="zh-CN" w:bidi="ar"/>
              </w:rPr>
              <w:t xml:space="preserve">、多路无源继电器触点输出；</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5</w:t>
            </w:r>
            <w:r>
              <w:rPr>
                <w:rStyle w:val="973"/>
                <w:rFonts w:hint="eastAsia" w:ascii="宋体" w:hAnsi="宋体" w:eastAsia="宋体" w:cs="宋体"/>
                <w:color w:val="auto"/>
                <w:sz w:val="21"/>
                <w:szCs w:val="21"/>
                <w:highlight w:val="none"/>
                <w:lang w:val="en-US" w:eastAsia="zh-CN" w:bidi="ar"/>
              </w:rPr>
              <w:t xml:space="preserve">、安装简单，在墙体上固定安装支架，挂上控制器即完成安装</w:t>
            </w:r>
            <w:r>
              <w:rPr>
                <w:rStyle w:val="973"/>
                <w:rFonts w:hint="eastAsia" w:ascii="宋体" w:hAnsi="宋体" w:eastAsia="宋体" w:cs="宋体"/>
                <w:color w:val="auto"/>
                <w:sz w:val="21"/>
                <w:szCs w:val="21"/>
                <w:highlight w:val="none"/>
                <w:lang w:val="en-US" w:eastAsia="zh-CN" w:bidi="ar"/>
              </w:rPr>
              <w:br/>
            </w:r>
            <w:r>
              <w:rPr>
                <w:rStyle w:val="973"/>
                <w:rFonts w:hint="eastAsia" w:ascii="宋体" w:hAnsi="宋体" w:eastAsia="宋体" w:cs="宋体"/>
                <w:color w:val="auto"/>
                <w:sz w:val="21"/>
                <w:szCs w:val="21"/>
                <w:highlight w:val="none"/>
                <w:lang w:val="en-US" w:eastAsia="zh-CN" w:bidi="ar"/>
              </w:rPr>
              <w:t xml:space="preserve">二、主要技术参数：</w:t>
            </w:r>
            <w:r>
              <w:rPr>
                <w:rStyle w:val="973"/>
                <w:rFonts w:hint="eastAsia" w:ascii="宋体" w:hAnsi="宋体" w:eastAsia="宋体" w:cs="宋体"/>
                <w:color w:val="auto"/>
                <w:sz w:val="21"/>
                <w:szCs w:val="21"/>
                <w:highlight w:val="none"/>
                <w:lang w:val="en-US" w:eastAsia="zh-CN" w:bidi="ar"/>
              </w:rPr>
              <w:br/>
            </w:r>
            <w:r>
              <w:rPr>
                <w:rStyle w:val="973"/>
                <w:rFonts w:hint="eastAsia" w:ascii="宋体" w:hAnsi="宋体" w:eastAsia="宋体" w:cs="宋体"/>
                <w:color w:val="auto"/>
                <w:sz w:val="21"/>
                <w:szCs w:val="21"/>
                <w:highlight w:val="none"/>
                <w:lang w:val="en-US" w:eastAsia="zh-CN" w:bidi="ar"/>
              </w:rPr>
              <w:t xml:space="preserve">1、安装方式：室内型壁挂式；</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2</w:t>
            </w:r>
            <w:r>
              <w:rPr>
                <w:rStyle w:val="973"/>
                <w:rFonts w:hint="eastAsia" w:ascii="宋体" w:hAnsi="宋体" w:eastAsia="宋体" w:cs="宋体"/>
                <w:color w:val="auto"/>
                <w:sz w:val="21"/>
                <w:szCs w:val="21"/>
                <w:highlight w:val="none"/>
                <w:lang w:val="en-US" w:eastAsia="zh-CN" w:bidi="ar"/>
              </w:rPr>
              <w:t xml:space="preserve">、指示方式：液晶显示、声光报警；</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3</w:t>
            </w:r>
            <w:r>
              <w:rPr>
                <w:rStyle w:val="973"/>
                <w:rFonts w:hint="eastAsia" w:ascii="宋体" w:hAnsi="宋体" w:eastAsia="宋体" w:cs="宋体"/>
                <w:color w:val="auto"/>
                <w:sz w:val="21"/>
                <w:szCs w:val="21"/>
                <w:highlight w:val="none"/>
                <w:lang w:val="en-US" w:eastAsia="zh-CN" w:bidi="ar"/>
              </w:rPr>
              <w:t xml:space="preserve">、工作环境温度：－10℃～+50℃；；</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4</w:t>
            </w:r>
            <w:r>
              <w:rPr>
                <w:rStyle w:val="973"/>
                <w:rFonts w:hint="eastAsia" w:ascii="宋体" w:hAnsi="宋体" w:eastAsia="宋体" w:cs="宋体"/>
                <w:color w:val="auto"/>
                <w:sz w:val="21"/>
                <w:szCs w:val="21"/>
                <w:highlight w:val="none"/>
                <w:lang w:val="en-US" w:eastAsia="zh-CN" w:bidi="ar"/>
              </w:rPr>
              <w:t xml:space="preserve">、工作环境湿度：（20～93）%RH；</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5</w:t>
            </w:r>
            <w:r>
              <w:rPr>
                <w:rStyle w:val="973"/>
                <w:rFonts w:hint="eastAsia" w:ascii="宋体" w:hAnsi="宋体" w:eastAsia="宋体" w:cs="宋体"/>
                <w:color w:val="auto"/>
                <w:sz w:val="21"/>
                <w:szCs w:val="21"/>
                <w:highlight w:val="none"/>
                <w:lang w:val="en-US" w:eastAsia="zh-CN" w:bidi="ar"/>
              </w:rPr>
              <w:t xml:space="preserve">、主电电源：AC220V±15%、50Hz±1%；</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6</w:t>
            </w:r>
            <w:r>
              <w:rPr>
                <w:rStyle w:val="973"/>
                <w:rFonts w:hint="eastAsia" w:ascii="宋体" w:hAnsi="宋体" w:eastAsia="宋体" w:cs="宋体"/>
                <w:color w:val="auto"/>
                <w:sz w:val="21"/>
                <w:szCs w:val="21"/>
                <w:highlight w:val="none"/>
                <w:lang w:val="en-US" w:eastAsia="zh-CN" w:bidi="ar"/>
              </w:rPr>
              <w:t xml:space="preserve">、空载功率：≤10W；</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7</w:t>
            </w:r>
            <w:r>
              <w:rPr>
                <w:rStyle w:val="973"/>
                <w:rFonts w:hint="eastAsia" w:ascii="宋体" w:hAnsi="宋体" w:eastAsia="宋体" w:cs="宋体"/>
                <w:color w:val="auto"/>
                <w:sz w:val="21"/>
                <w:szCs w:val="21"/>
                <w:highlight w:val="none"/>
                <w:lang w:val="en-US" w:eastAsia="zh-CN" w:bidi="ar"/>
              </w:rPr>
              <w:t xml:space="preserve">、探测器供电电压：DC24V（1±15%）；</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8</w:t>
            </w:r>
            <w:r>
              <w:rPr>
                <w:rStyle w:val="973"/>
                <w:rFonts w:hint="eastAsia" w:ascii="宋体" w:hAnsi="宋体" w:eastAsia="宋体" w:cs="宋体"/>
                <w:color w:val="auto"/>
                <w:sz w:val="21"/>
                <w:szCs w:val="21"/>
                <w:highlight w:val="none"/>
                <w:lang w:val="en-US" w:eastAsia="zh-CN" w:bidi="ar"/>
              </w:rPr>
              <w:t xml:space="preserve">、备电欠压报警值：DC21V±1V；</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9</w:t>
            </w:r>
            <w:r>
              <w:rPr>
                <w:rStyle w:val="973"/>
                <w:rFonts w:hint="eastAsia" w:ascii="宋体" w:hAnsi="宋体" w:eastAsia="宋体" w:cs="宋体"/>
                <w:color w:val="auto"/>
                <w:sz w:val="21"/>
                <w:szCs w:val="21"/>
                <w:highlight w:val="none"/>
                <w:lang w:val="en-US" w:eastAsia="zh-CN" w:bidi="ar"/>
              </w:rPr>
              <w:t xml:space="preserve">、探测器与主机通讯距离：≤1000m；</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10</w:t>
            </w:r>
            <w:r>
              <w:rPr>
                <w:rStyle w:val="973"/>
                <w:rFonts w:hint="eastAsia" w:ascii="宋体" w:hAnsi="宋体" w:eastAsia="宋体" w:cs="宋体"/>
                <w:color w:val="auto"/>
                <w:sz w:val="21"/>
                <w:szCs w:val="21"/>
                <w:highlight w:val="none"/>
                <w:lang w:val="en-US" w:eastAsia="zh-CN" w:bidi="ar"/>
              </w:rPr>
              <w:t xml:space="preserve">、上传接口：一路RS485上传接口；</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11</w:t>
            </w:r>
            <w:r>
              <w:rPr>
                <w:rStyle w:val="973"/>
                <w:rFonts w:hint="eastAsia" w:ascii="宋体" w:hAnsi="宋体" w:eastAsia="宋体" w:cs="宋体"/>
                <w:color w:val="auto"/>
                <w:sz w:val="21"/>
                <w:szCs w:val="21"/>
                <w:highlight w:val="none"/>
                <w:lang w:val="en-US" w:eastAsia="zh-CN" w:bidi="ar"/>
              </w:rPr>
              <w:t xml:space="preserve">、报警记录：可存储65000条；</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12</w:t>
            </w:r>
            <w:r>
              <w:rPr>
                <w:rStyle w:val="973"/>
                <w:rFonts w:hint="eastAsia" w:ascii="宋体" w:hAnsi="宋体" w:eastAsia="宋体" w:cs="宋体"/>
                <w:color w:val="auto"/>
                <w:sz w:val="21"/>
                <w:szCs w:val="21"/>
                <w:highlight w:val="none"/>
                <w:lang w:val="en-US" w:eastAsia="zh-CN" w:bidi="ar"/>
              </w:rPr>
              <w:t xml:space="preserve">、控制输出接点：2组无源开关量；1组24V脉冲信号；1组AC220V脉冲信号；</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13</w:t>
            </w:r>
            <w:r>
              <w:rPr>
                <w:rStyle w:val="973"/>
                <w:rFonts w:hint="eastAsia" w:ascii="宋体" w:hAnsi="宋体" w:eastAsia="宋体" w:cs="宋体"/>
                <w:color w:val="auto"/>
                <w:sz w:val="21"/>
                <w:szCs w:val="21"/>
                <w:highlight w:val="none"/>
                <w:lang w:val="en-US" w:eastAsia="zh-CN" w:bidi="ar"/>
              </w:rPr>
              <w:t xml:space="preserve">、本机可接收仪器类型：输出信号为（4～20）mA、RS485、两总线信号的气体探测器；</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14</w:t>
            </w:r>
            <w:r>
              <w:rPr>
                <w:rStyle w:val="973"/>
                <w:rFonts w:hint="eastAsia" w:ascii="宋体" w:hAnsi="宋体" w:eastAsia="宋体" w:cs="宋体"/>
                <w:color w:val="auto"/>
                <w:sz w:val="21"/>
                <w:szCs w:val="21"/>
                <w:highlight w:val="none"/>
                <w:lang w:val="en-US" w:eastAsia="zh-CN" w:bidi="ar"/>
              </w:rPr>
              <w:t xml:space="preserve">、报警后，可发出声光报警信号，并保持至手动复位；</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15</w:t>
            </w:r>
            <w:r>
              <w:rPr>
                <w:rStyle w:val="973"/>
                <w:rFonts w:hint="eastAsia" w:ascii="宋体" w:hAnsi="宋体" w:eastAsia="宋体" w:cs="宋体"/>
                <w:color w:val="auto"/>
                <w:sz w:val="21"/>
                <w:szCs w:val="21"/>
                <w:highlight w:val="none"/>
                <w:lang w:val="en-US" w:eastAsia="zh-CN" w:bidi="ar"/>
              </w:rPr>
              <w:t xml:space="preserve">、报警声音信号可以手动消音；</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高清火焰识别球机</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采用全新AI火焰识别算法，可及时精准识别火苗（30x30像素或以上的即可识别），摄像机现场发出报警声，报警消息实时推送至主人手机APP。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采用全新AI烟雾识别算法，当烟雾浓度达到报警设定值时（30x30像素或以上的即可识别）, 摄像机现场发出报警声，报警消息实时推送至主人手机APP。提醒主人立即采取有效措施,避免事故发生。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最小火焰：30*30，友好火焰：60*60 最小烟雾：30*30 ，友好烟雾：60*60 及以上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采用超低照度微光芯片，高清分辨率2560*1440,H.265压缩算法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支持WiFi+网线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5寸专业型金属铝压铸外壳，全天候环境设计，耐高低温，防水等级达到IP66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6颗高亮远射暖光灯，补光距离可达30米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精密电机驱动，反应灵敏，运转平稳，精度偏差少于0.1度，在任何速度下图像无抖动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水平360°连续旋转，无监视盲区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支持多平台：IOS/Andriod/PC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支持看守位、上电动作、空闲动作、4条巡航扫描、轨迹扫描、两点扫描、360度扫描；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标配电源：DC12V-6A                                                                   </w:t>
            </w:r>
            <w:r>
              <w:rPr>
                <w:rFonts w:hint="eastAsia" w:ascii="宋体" w:hAnsi="宋体" w:eastAsia="宋体" w:cs="宋体"/>
                <w:i w:val="0"/>
                <w:iCs w:val="0"/>
                <w:color w:val="auto"/>
                <w:sz w:val="21"/>
                <w:szCs w:val="21"/>
                <w:highlight w:val="none"/>
                <w:u w:val="none"/>
                <w:lang w:val="en-US" w:eastAsia="zh-CN" w:bidi="ar"/>
              </w:rPr>
              <w:t xml:space="preserve">                                                                                                                       99倍变倍，电动变焦，自对聚焦镜头，可随意看近处和远处。                                                                                                             </w:t>
            </w:r>
            <w:r>
              <w:rPr>
                <w:rFonts w:hint="eastAsia" w:ascii="宋体" w:hAnsi="宋体" w:eastAsia="宋体" w:cs="宋体"/>
                <w:i w:val="0"/>
                <w:iCs w:val="0"/>
                <w:color w:val="auto"/>
                <w:sz w:val="21"/>
                <w:szCs w:val="21"/>
                <w:highlight w:val="none"/>
                <w:u w:val="none"/>
                <w:lang w:val="en-US" w:eastAsia="zh-CN" w:bidi="ar"/>
              </w:rPr>
              <w:t xml:space="preserve">             内置拾音器 ，内置喇叭，支持双向语音对讲                                                                                                                                                                                                                               </w:t>
            </w:r>
            <w:r>
              <w:rPr>
                <w:rFonts w:hint="eastAsia" w:ascii="宋体" w:hAnsi="宋体" w:eastAsia="宋体" w:cs="宋体"/>
                <w:i w:val="0"/>
                <w:iCs w:val="0"/>
                <w:color w:val="auto"/>
                <w:sz w:val="21"/>
                <w:szCs w:val="21"/>
                <w:highlight w:val="none"/>
                <w:u w:val="none"/>
                <w:lang w:val="en-US" w:eastAsia="zh-CN" w:bidi="ar"/>
              </w:rPr>
              <w:t xml:space="preserve">                                                                                                                                                                                                                     简便操作应用:设备根据人性化理念开发设计,操作非常简便,设备通电连网后后，下载设备的手</w:t>
            </w:r>
            <w:r>
              <w:rPr>
                <w:rFonts w:hint="eastAsia" w:ascii="宋体" w:hAnsi="宋体" w:eastAsia="宋体" w:cs="宋体"/>
                <w:i w:val="0"/>
                <w:iCs w:val="0"/>
                <w:color w:val="auto"/>
                <w:sz w:val="21"/>
                <w:szCs w:val="21"/>
                <w:highlight w:val="none"/>
                <w:u w:val="none"/>
                <w:lang w:val="en-US" w:eastAsia="zh-CN" w:bidi="ar"/>
              </w:rPr>
              <w:t xml:space="preserve">机客户端软件,打开客户端添加设备独有的ID号码,就可以远程实时观看视频，录像,录像回放,智能抓拍等功能应用。                                                                                                                                                     预置位数量: 256个，巡视组数量: 8组,支持自动巡航，巡航跟踪的话，每条巡航线上可以设置16个预置点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录像存储:支持定时录像/移动侦测报警录像/外部报警促发录像,前端TF卡存储最大256G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网络协议:支持RTSP/FTP/PPPOE/DHCP/DDNS/NTP/UPnP等网络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手机监控:手机客户端监控,手机抓拍,手机录像,前端存储卡录像远程回放( iPhone , Android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通讯协议:私有协议ONVIF协议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防雷保护:电源、网络、POE全面防雷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业务功能:支持WEB配置,支持OSD，支持实时视频传输，支持移动侦,支持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远程监控软件、P2P平台等系统应用:可提供完善的SDK开发包                                                                                                                工作温度范围：-20~50°   </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灭火毯</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尺寸规格 1.5mx1.5m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主要作用 用于灭火覆盖在着火物体表面直至火焰完全熄灭冷却</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干粉灭火器</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容量：5kg  附带压力表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使用温度-40℃-+70℃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工作压力：0.5MPa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喷射距离≥2米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灭火级别：A级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瓶体材质：碳钢</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防漏液托盘（桌面式）</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尺寸：≥33.5*33.5*6cm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静载：50公斤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渗漏量：4L（无排污口）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适合实验室危化品防渗漏，PP滚塑工艺，耐酸碱腐蚀</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防漏液托盘（单桶式）</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尺寸：≥60*60*15cm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静载：0.7吨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渗漏量：18L（无排污口）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适合实验室危化品防渗漏，PP滚塑工艺，耐酸碱腐蚀</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液体收集桶</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尺寸：≥30*23*45cm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容量：≥18L</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注：包含准备室整室易燃品储存柜、毒害品储存柜、酸碱柜、PP药品柜等设备组装调试人工费、现场清运费、安装调试费等综合考虑在投标报价中，不单列。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rPr>
        <w:t xml:space="preserve">3F-A09综合实验室</w:t>
      </w:r>
      <w:r/>
    </w:p>
    <w:tbl>
      <w:tblPr>
        <w:tblStyle w:val="741"/>
        <w:tblW w:w="9830" w:type="dxa"/>
        <w:tblInd w:w="-2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877"/>
        <w:gridCol w:w="6299"/>
        <w:gridCol w:w="671"/>
        <w:gridCol w:w="600"/>
        <w:gridCol w:w="723"/>
      </w:tblGrid>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9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9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auto"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auto" w:sz="4" w:space="0"/>
              <w:right w:val="single" w:color="000000" w:sz="4" w:space="0"/>
            </w:tcBorders>
            <w:tcW w:w="629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auto"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auto"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Borders>
              <w:top w:val="single" w:color="auto" w:sz="4" w:space="0"/>
              <w:left w:val="single" w:color="auto" w:sz="4" w:space="0"/>
              <w:bottom w:val="single" w:color="auto" w:sz="4" w:space="0"/>
              <w:right w:val="single" w:color="auto"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auto"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auto"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auto" w:sz="4" w:space="0"/>
              <w:left w:val="single" w:color="000000" w:sz="4" w:space="0"/>
              <w:bottom w:val="single" w:color="000000" w:sz="4" w:space="0"/>
              <w:right w:val="single" w:color="000000"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auto"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auto" w:sz="4" w:space="0"/>
              <w:left w:val="single" w:color="000000" w:sz="4" w:space="0"/>
              <w:bottom w:val="single" w:color="000000" w:sz="4" w:space="0"/>
              <w:right w:val="single" w:color="000000" w:sz="4" w:space="0"/>
            </w:tcBorders>
            <w:tcW w:w="72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auto" w:sz="4" w:space="0"/>
              <w:right w:val="single" w:color="000000"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7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7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7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72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jc w:val="left"/>
        <w:keepLines w:val="0"/>
        <w:keepNext w:val="0"/>
        <w:widowControl/>
        <w:rPr>
          <w:rFonts w:hint="default" w:ascii="宋体" w:hAnsi="宋体" w:eastAsia="宋体" w:cs="宋体"/>
          <w:b/>
          <w:bCs/>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注：包含整室教师演示台、实验椅、学生实验桌、学生实验凳、电源总控台、电源电源设备组装调试人工费，现场清理，设备运费，电源线及管材铺设、安装调试费等综合考虑在投标报价中，不单列。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rPr>
        <w:t xml:space="preserve">3F 4F-A06 化学上通风实验室</w:t>
      </w:r>
      <w:r/>
    </w:p>
    <w:tbl>
      <w:tblPr>
        <w:tblStyle w:val="741"/>
        <w:tblW w:w="9934" w:type="dxa"/>
        <w:tblInd w:w="-24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7"/>
        <w:gridCol w:w="857"/>
        <w:gridCol w:w="6290"/>
        <w:gridCol w:w="682"/>
        <w:gridCol w:w="678"/>
        <w:gridCol w:w="750"/>
      </w:tblGrid>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305"/>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none" w:color="000000" w:sz="4" w:space="0"/>
              <w:right w:val="single" w:color="000000" w:sz="4" w:space="0"/>
            </w:tcBorders>
            <w:tcW w:w="75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触摸键控制，薄膜面板装置在演示台内，输入电压380V，其主要技术参数指标如下：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12、通风系统：采用变频器对风机进行调速，变频器控制面板安装在教师主控面板上；变频器调整精确度高，具有延长风机使用寿命、节能、降噪音等特点。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万向式吸风罩</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1、万向节采用≥Ø75mm铝合金材质，表面经电泳、静电环氧树脂粉末喷涂处理，具有耐腐蚀、防火、防潮等功能；活动关节采用高密度PP材质，旋钮式螺纹压紧；可360度旋转调节方向，易拆卸、重组及清洗；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2、气流调节阀采用手动调节外部阀门旋钮，控制进入之气流量。</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风量分布控制器</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ABS工程注塑</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实验通风机</w:t>
            </w:r>
            <w:r/>
          </w:p>
        </w:tc>
        <w:tc>
          <w:tcPr>
            <w:tcBorders>
              <w:top w:val="single" w:color="000000" w:sz="4" w:space="0"/>
              <w:left w:val="single" w:color="000000" w:sz="4" w:space="0"/>
              <w:bottom w:val="single" w:color="auto"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1.实验通风机规格：功率≥5.5KW，箱式变频6#带自动调速机。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内径尺寸：≥1100*1200*1200mm，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电压：380V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工作时：噪音≤70分贝,配一体化消声器材、风流量10210-15600M3/h，全压946-890Pa，转速：950r/min,每小时教室换气次数20次以上，排毒（3-5分钟每次）达到98%。可根据室内环境调节。</w:t>
            </w:r>
            <w:r/>
          </w:p>
        </w:tc>
        <w:tc>
          <w:tcPr>
            <w:tcBorders>
              <w:top w:val="single" w:color="000000" w:sz="4" w:space="0"/>
              <w:left w:val="single" w:color="000000" w:sz="4" w:space="0"/>
              <w:bottom w:val="single" w:color="auto"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auto"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通风装置</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2.风机开关及变频控制系统：≥5.5KW变频器，采用高级电子集成电路，无级调速，随意控制风机风速和风量大小。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3.风机进出口接头：≥φ315mm,PVC材质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4.6#通风机弯头：高级树脂复合材料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5.风机控制线规格：≥φ25mm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6.电气线管：4平方毫米电线3根，2.5平方毫米电线1根。</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室内通风管道</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规格：PVC直管φ315*4000mm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PVC直管Φ250mm，L=4m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PVC管Φ160mm，L=4m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PVC管Φ110mm*4000mm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PVC管Φ90mm，L=4m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75"/>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配件：PVCΦ250mm直管，PVC弯头φ250mm，PVC大小头φ250-110mm，PVC大小头D=160mm*110mm，透明通风软管Φ110，L=1M，PVC堵头Φ250mm，PVC三通φ315mm-250、PVC大小头，PVC三通Φ250-160mm、PVC三通Φ160mm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室外通风管道</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规格：室外风管φ315*4000mm转接头及室外至楼顶管。</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室外弯头φ315mm，管卡φ315mm配件</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non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none" w:color="000000"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000000" w:sz="4" w:space="0"/>
              <w:right w:val="single" w:color="000000"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000000"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000000" w:sz="4" w:space="0"/>
              <w:left w:val="single" w:color="000000" w:sz="4" w:space="0"/>
              <w:bottom w:val="none" w:color="000000" w:sz="4" w:space="0"/>
              <w:right w:val="single" w:color="000000"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none" w:color="000000" w:sz="4" w:space="0"/>
              <w:right w:val="single" w:color="000000"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non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000000" w:sz="4" w:space="0"/>
              <w:left w:val="single" w:color="000000" w:sz="4" w:space="0"/>
              <w:bottom w:val="non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000000" w:sz="4" w:space="0"/>
              <w:left w:val="single" w:color="000000" w:sz="4" w:space="0"/>
              <w:bottom w:val="single" w:color="auto"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000000" w:sz="4" w:space="0"/>
              <w:bottom w:val="single" w:color="auto"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auto"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auto" w:sz="4" w:space="0"/>
              <w:right w:val="single" w:color="000000"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多功能水槽台、万向式吸风罩、吊顶、室内外通风管道等设备组装调试人工费，现场清理，设备运费，水电改造、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4F-A03化学上通风实验室 </w:t>
      </w:r>
      <w:r/>
    </w:p>
    <w:tbl>
      <w:tblPr>
        <w:tblStyle w:val="741"/>
        <w:tblW w:w="9891" w:type="dxa"/>
        <w:tblInd w:w="-2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5"/>
        <w:gridCol w:w="852"/>
        <w:gridCol w:w="6350"/>
        <w:gridCol w:w="644"/>
        <w:gridCol w:w="626"/>
        <w:gridCol w:w="724"/>
      </w:tblGrid>
      <w:tr>
        <w:trPr>
          <w:trHeight w:val="49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35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auto" w:sz="4" w:space="0"/>
              <w:right w:val="single" w:color="000000" w:sz="4" w:space="0"/>
            </w:tcBorders>
            <w:tcW w:w="63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auto"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auto"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auto" w:sz="4" w:space="0"/>
              <w:left w:val="single" w:color="000000" w:sz="4" w:space="0"/>
              <w:bottom w:val="single" w:color="000000" w:sz="4" w:space="0"/>
              <w:right w:val="single" w:color="000000" w:sz="4" w:space="0"/>
            </w:tcBorders>
            <w:tcW w:w="635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触摸键控制，薄膜面板装置在演示台内，输入电压380V，其主要技术参数指标如下：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12、通风系统：采用变频器对风机进行调速，变频器控制面板安装在教师主控面板上；变频器调整精确度高，具有延长风机使用寿命、节能、降噪音等特点。</w:t>
            </w:r>
            <w:r/>
          </w:p>
        </w:tc>
        <w:tc>
          <w:tcPr>
            <w:tcBorders>
              <w:top w:val="single" w:color="auto"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auto"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万向式吸风罩</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1、万向节采用≥Ø75mm铝合金材质，表面经电泳、静电环氧树脂粉末喷涂处理，具有耐腐蚀、防火、防潮等功能；活动关节采用高密度PP材质，旋钮式螺纹压紧；可360度旋转调节方向，易拆卸、重组及清洗；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2、气流调节阀采用手动调节外部阀门旋钮，控制进入之气流量。</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auto"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风量分布控制器</w:t>
            </w:r>
            <w:r/>
          </w:p>
        </w:tc>
        <w:tc>
          <w:tcPr>
            <w:tcBorders>
              <w:top w:val="single" w:color="000000" w:sz="4" w:space="0"/>
              <w:left w:val="single" w:color="000000" w:sz="4" w:space="0"/>
              <w:bottom w:val="single" w:color="auto"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ABS工程注塑</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auto"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auto"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实验通风机</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1.实验通风机规格：功率≥5.5KW，箱式变频6#带自动调速机。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内径尺寸：≥1100*1200*1200mm，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电压：380V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工作时：噪音≤70分贝,配一体化消声器材、风流量10210-15600M3/h，全压946-890Pa，转速：950r/min,每小时教室换气次数20次以上，排毒（3-5分钟每次）达到98%。可根据室内环境调节。</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通风装置</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2.风机开关及变频控制系统：≥5.5KW变频器，采用高级电子集成电路，无级调速，随意控制风机风速和风量大小。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3.风机进出口接头：≥φ315mm,PVC材质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4.6#通风机弯头：高级树脂复合材料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5.风机控制线规格：≥φ25mm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6.电气线管：4平方毫米电线3根，2.5平方毫米电线1根。</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室内通风管道</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规格：PVC直管φ315*4000mm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PVC直管Φ250mm，L=4m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PVC管Φ160mm，L=4m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PVC管Φ110mm*4000mm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PVC管Φ90mm，L=4m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配件：PVCΦ250mm直管，PVC弯头φ250mm，PVC大小头φ250-110mm，PVC大小头D=160mm*110mm，透明通风软管Φ110，L=1M，PVC堵头Φ250mm，PVC三通φ315mm-250、PVC大小头，PVC三通Φ250-160mm、PVC三通Φ160mm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000000" w:sz="4" w:space="0"/>
              <w:bottom w:val="none" w:color="000000" w:sz="4" w:space="0"/>
              <w:right w:val="single" w:color="000000"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auto" w:sz="4" w:space="0"/>
              <w:left w:val="single" w:color="000000" w:sz="4" w:space="0"/>
              <w:bottom w:val="none" w:color="000000" w:sz="4" w:space="0"/>
              <w:right w:val="single" w:color="000000"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室外通风管道</w:t>
            </w:r>
            <w:r/>
          </w:p>
        </w:tc>
        <w:tc>
          <w:tcPr>
            <w:tcBorders>
              <w:top w:val="single" w:color="auto"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规格：室外风管φ315*4000mm转接头及室外至楼顶管。</w:t>
            </w:r>
            <w:r/>
          </w:p>
        </w:tc>
        <w:tc>
          <w:tcPr>
            <w:tcBorders>
              <w:top w:val="single" w:color="auto"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right w:val="single" w:color="000000" w:sz="4" w:space="0"/>
            </w:tcBorders>
            <w:tcW w:w="72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室外弯头φ315mm，管卡φ315mm配件</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left w:val="single" w:color="000000" w:sz="4" w:space="0"/>
              <w:bottom w:val="single" w:color="auto" w:sz="4" w:space="0"/>
              <w:right w:val="single" w:color="000000"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ind w:firstLine="420"/>
        <w:jc w:val="left"/>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多功能水槽台、万向式吸风罩、吊顶、室内外通风管道等设备组装调试人工费，现场清理，设备运费，水电改造、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16、</w:t>
      </w:r>
      <w:r>
        <w:rPr>
          <w:rFonts w:hint="eastAsia" w:ascii="宋体" w:hAnsi="宋体" w:eastAsia="宋体" w:cs="宋体"/>
          <w:b/>
          <w:bCs/>
          <w:color w:val="auto"/>
          <w:sz w:val="21"/>
          <w:szCs w:val="21"/>
          <w:highlight w:val="none"/>
        </w:rPr>
        <w:t xml:space="preserve">1F-B01生物仪器室</w:t>
      </w:r>
      <w:r/>
    </w:p>
    <w:tbl>
      <w:tblPr>
        <w:tblStyle w:val="741"/>
        <w:tblW w:w="9908" w:type="dxa"/>
        <w:tblInd w:w="-28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28"/>
        <w:gridCol w:w="938"/>
        <w:gridCol w:w="6320"/>
        <w:gridCol w:w="656"/>
        <w:gridCol w:w="703"/>
        <w:gridCol w:w="663"/>
      </w:tblGrid>
      <w:tr>
        <w:trPr>
          <w:trHeight w:val="540"/>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619"/>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注：包含整室仪器柜组装调试人工费，现场清理，设备运费、安装调试费等综合考虑在投标报价中，不单列。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17、</w:t>
      </w:r>
      <w:r>
        <w:rPr>
          <w:rFonts w:hint="eastAsia" w:ascii="宋体" w:hAnsi="宋体" w:eastAsia="宋体" w:cs="宋体"/>
          <w:b/>
          <w:bCs/>
          <w:color w:val="auto"/>
          <w:sz w:val="21"/>
          <w:szCs w:val="21"/>
          <w:highlight w:val="none"/>
        </w:rPr>
        <w:t xml:space="preserve">1F-B02生物标本室</w:t>
      </w:r>
      <w:r/>
    </w:p>
    <w:tbl>
      <w:tblPr>
        <w:tblStyle w:val="741"/>
        <w:tblW w:w="9891" w:type="dxa"/>
        <w:tblInd w:w="-2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8"/>
        <w:gridCol w:w="891"/>
        <w:gridCol w:w="6345"/>
        <w:gridCol w:w="636"/>
        <w:gridCol w:w="635"/>
        <w:gridCol w:w="706"/>
      </w:tblGrid>
      <w:tr>
        <w:trPr>
          <w:trHeight w:val="54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单面标本柜</w:t>
            </w:r>
            <w:r/>
          </w:p>
        </w:tc>
        <w:tc>
          <w:tcPr>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规格：1000×500×2000mm（±5mm）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  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合金框架结构后面方料≥37.4×28×1.2mm,前面方料≥37.4×28×1.2mm,后立杆铝型材须双槽，配以ABS连接件组装而成；采用大型模具成型制作铝型材，配以ABS专业连接组装而成，铝型材表面经环氧树脂高温固化处理；耐酸碱、防潮；铝型材框架具有结构连接牢固、承载能力强、整体耐腐蚀、外观美观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柜身：上柜体采用四面玻璃柜体，下柜体采用三聚氰胺双贴面板，板材断面选用PVC封边，粘力强、密封性好，外观美观大方。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隔板：上柜体采用高度可调玻璃层板，下柜体采用三聚氰胺板隔板。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可调脚:采用模具成型PC＋ABS工程塑料合金注塑专用垫，有效防止桌身受潮，延长设备的使用寿命。  </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双面标本柜</w:t>
            </w:r>
            <w:r/>
          </w:p>
        </w:tc>
        <w:tc>
          <w:tcPr>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规格：1000*1000*2000mm（±5mm）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合金框架结构方料≥37.4×28×1.2mm，配以ABS连接件组装而成；采用大型模具成型制作铝型材，配以ABS专业连接组装而成，铝型材表面经环氧树脂高温固化处理；耐酸碱、防潮；铝型材框架具有结构连接牢固、承载能力强、整体耐腐蚀、外观美观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柜身：上柜体采用四面玻璃柜体，下柜体采用三聚氰胺双贴面板，板材断面选用PVC封边，粘力强、密封性好，外观美观大方。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隔板：上柜体采用高度可调玻璃层板，下柜体采用三聚氰胺板隔板。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可调脚:采用模具成型PC＋ABS工程塑料合金注塑专用垫，有效防止桌身受潮，延长设备的使用寿命。 </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b/>
          <w:bCs/>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整室单面标本柜、双面标本柜组装调试人工费，现场清理，设备运费、安装调试费等综合考虑在投标报价中，不单列。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18、</w:t>
      </w:r>
      <w:r>
        <w:rPr>
          <w:rFonts w:hint="eastAsia" w:ascii="宋体" w:hAnsi="宋体" w:eastAsia="宋体" w:cs="宋体"/>
          <w:b/>
          <w:bCs/>
          <w:color w:val="auto"/>
          <w:sz w:val="21"/>
          <w:szCs w:val="21"/>
          <w:highlight w:val="none"/>
        </w:rPr>
        <w:t xml:space="preserve">1F-B03分段式智能生物吊装实验室</w:t>
      </w:r>
      <w:r/>
    </w:p>
    <w:tbl>
      <w:tblPr>
        <w:tblStyle w:val="741"/>
        <w:tblW w:w="9956" w:type="dxa"/>
        <w:tblInd w:w="-30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5"/>
        <w:gridCol w:w="865"/>
        <w:gridCol w:w="6390"/>
        <w:gridCol w:w="666"/>
        <w:gridCol w:w="684"/>
        <w:gridCol w:w="666"/>
      </w:tblGrid>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10"/>
        </w:trPr>
        <w:tc>
          <w:tcPr>
            <w:gridSpan w:val="6"/>
            <w:tcBorders>
              <w:top w:val="single" w:color="000000" w:sz="4" w:space="0"/>
              <w:left w:val="single" w:color="000000" w:sz="4" w:space="0"/>
              <w:bottom w:val="single" w:color="000000" w:sz="4" w:space="0"/>
              <w:right w:val="single" w:color="000000" w:sz="4" w:space="0"/>
            </w:tcBorders>
            <w:tcW w:w="995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一、实验室基础部分</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组合式智慧实验演示台</w:t>
            </w:r>
            <w:r/>
          </w:p>
        </w:tc>
        <w:tc>
          <w:tcPr>
            <w:tcBorders>
              <w:top w:val="single" w:color="000000" w:sz="4" w:space="0"/>
              <w:left w:val="single" w:color="000000" w:sz="4" w:space="0"/>
              <w:bottom w:val="single" w:color="000000" w:sz="4" w:space="0"/>
              <w:right w:val="single" w:color="000000" w:sz="4" w:space="0"/>
            </w:tcBorders>
            <w:tcW w:w="63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1.整体尺寸：2650×750×850mm（±5mm）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2.整体性能：台面操作高度≤850mm，确保站立操作时的舒适性；台面水平深度：≥500mm，确保有足够的操作空间；讲台着地平稳性≤3.0mm，防止晃动或倾斜；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（1）由多功能教学演示台、多功能数字教学平台、多功能实验水槽台组合而成，各部分紧密协作，满足多样化教学与实验演示需求；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功能教学演示台革新教学演示，为教师提供高效稳定的操作演示平台，解决学生观看难题，并支持课程建设与教学创新。集成教学/实验操作台、智能升降视频采集与电源系统，各功能有机融合，系统间高效联动，全面助力教学演示与学生观摩。配置专业实验陶瓷台面，增加包边设计增强台面边缘防护性能，有效抵御酸碱腐蚀与碰撞损伤，同时提升整个操作台面的美观度与整体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数字教学平台作为整个讲台的核心控制与资源整合部分，配置多媒体及智慧教学平台，为实验教学活动提供便捷、高效的支持。集成强大的智慧教学平台，涵盖直播教学、实验管理、设备管理、实验教学等功能模块，为实验教学活动提供全方位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实验水槽台配置有PPR三联水嘴，专门解决教师在实验教学过程中的给排水问题，为实验操作提供便捷、卫生的用水环境。水槽台面与水槽采用耐酸碱PP工程塑料整体注塑成型，非组装设计减少漏水。整体结构增强密封性、强度与稳定性。水槽内部倾斜防溅水，挡水边及溢水口设计保持操作区干燥。三联水嘴用PPR净水材料，配台式洗眼器保障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4.多功能教学演示台: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操作台面不小于1500×750mm，采用≥12mm厚一体化陶瓷台面，台面表面为耐磨、耐强腐蚀专业釉面。釉面和胚体经高温烧结而成，赋予台面耐高温（长时间耐温≥1300度）、耐刻刮、防静电、耐腐蚀、防垢易清洁、防霉等物理和化学性能。为各类实验操作提供稳定、可靠的平台支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（2）操作台面四周边缘采用耐酸碱PP工程塑料一体注塑成型进行包边，整体厚度≥35mm；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（5）台身内嵌安装智能升降视频采集系统：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1）升降系统支架采用ABS注塑成型，内部结构立柱采用≥134×98mm铝合金材质；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升降系统支架内置两颗工业级不低于500万像素的摄像头，拍摄速度可达2592×1944/30帧/秒，确保视频流畅无卡顿。分辨率丰富，包括1280×720、1920×1080、2048×1536、2592×1944等多种选择，可根据实际需求灵活调整。镜头角度达130度（非鱼眼），支持标准 UVC通信协议。支持正式、俯视同时拍摄；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3）升降系统支架高度可通过电动升降自由调节：使用最高高度不低于660mm，折叠臂长度不小于275mm；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4）升降系统支架采用隐藏式设计，融合于实验台身内部。当需要进行实验演示时，可通过电动升降装置将其升起；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5）视频采集系统具备强大的教学操作过程实时视频采集功能，配合多功能数字教学平台，可实现全程录制、存储，回放等功能；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（6）台身内嵌安装教师教学电源：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双屏设计，电源控制屏为不小于7寸彩色电容式触摸屏，采用图形化操作界面，教师可直观便捷地控制直流电源电压设定（步进≥0.1V，支持长按操作）、交流电源电压设定（步进≥2V，支持长按操作）。电源输出端采用的三位LED屏可实时显示电压、电流真实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交直流低压电源：直流电源部分，三位LED显示电压真实值，三位LED显示电流真实值，输出范围为0-16V/5A，可精准调节输出电压与电流，满足不同实验设备的供电需求。交流电源部分，同样具备三位LED显示设定电压与三位LED显示电流真实值功能，输出范围为0-16V/5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3）采用TCP/IP通讯协议数字化网络电源，基于网络IP协议控制方式，具备联网和过载指示功能，操作安全可靠；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4）触摸屏还具备≥40A/8S大电流控制功能，可实现≥40A大电流输出，并在屏幕上显示≥8S倒计时，同时具备故障显示与故障报警功能，有效保障实验操作过程中的用电安全；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5.多功能数字教学平台: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（2）台身上部结构不小于750×630×340mm采用ABS工程塑料一体注塑成型，具备良好的耐用性与稳定性；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（3）台身内嵌≥23.8英寸多点触控屏，触控灵敏，通过手指或电容式手写笔即可快速书写，随心批注，手写性能流畅准确；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（4）配备USB3.0高速数据传输及HDMI高清数字接口，兼容多设备，扩展教学工具。设有伸缩键盘托、储物柜等功能；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（5）采用≥30×40mm铝合金踢脚线，表面进行静电粉末喷涂处理，耐磨、耐腐蚀且美观，与整体风格协调统一，同时具有一定的防碰撞功能；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（6）配备控制系统，数据存储内存容量不低于500GB，配有键盘、鼠标；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（7）智慧教学平台集成至少四个功能模块：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1）直播教学模块：借助视频采集系统与教师示范实验课紧密配合，实现直播教学功能。学生可实时观摩学习实验过程，提升实验教学效果；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管理模块：具备课标实验和自建实验两大功能分类。教师根据需要选择，系统便能自动精准列出国家课程标准规定的实验，同时展示实验所需的器材和药品信息，学生实验还会重点提示，方便教师备课。教师选择实验场地为实验室，系统将转入预约系统，教师可随时查看自己的所有实验列表，并且能够根据教学需求自建独特的实验项目，充分发挥教师的实验教学自主性与创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3）设备管理模块：可对实验室的各类基础设备进行智能控制和高效管理；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4）实验教学模块：具备学科创新、精品课程、教具专栏和实验竞赛等功能模块；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6.多功能实验水槽台: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（1）水槽台面与水槽采用耐酸碱PP工程塑料整体模具一体注塑成型，整体规格不小于750×520×295，可有效抵御化学试剂的侵蚀。四周边缘精心设计挡水边，防止水流外溢，保持实验操作区域的干燥整洁；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（2）水槽台集成有三联水嘴、溢水口及台式洗眼器等实用功能；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（3）三联水嘴采用耐腐蚀、耐热、耐压、不结垢PPR工程塑料模具注塑成型，确保水流稳定、安全卫生，满足实验过程中的用水需求；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（4）台式洗眼器为实验人员在意外接触化学试剂时提供及时有效的眼部冲洗保护，保障实验人员的人身安全；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（6）设有检修口，方便内部设备检修与维护；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（7）水槽台内部设有水位传感器及排水装置，有自动排水和手动及紧急排水功能，将废水自动排出。</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63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多功能移动水槽台</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1、水槽台上部为多功能安装平台采用3.8mm厚工程塑料整体模具注塑成型，多功能平台集成有给排水快速接口、信号控制接口、三联水嘴、≥8试管位滴水架。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2、水槽台身采用≥3.8mm厚工程塑料整体模具一体注塑成型，台面设有溢水口及台式洗眼器，内部集成自动水位控制系统，四周边缘设计挡水边。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3、三联水嘴采用工程塑料模具注塑成型。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4、水槽台采用双层过滤结构，水槽下水口带有过滤网，水槽台中部配备抽屉式过滤层并安装通锁，背面预留检修口。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槽内设有水位传感器及排水装置，有自动排水和手动及紧急排水功能，将废水自动排出。摇臂设有自检测功能，当水槽电缆与摇臂相连时，摇臂处于使用状态，摇臂处于锁定状态，不能升降，避免各种误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给排水快速接口与摇臂操作面板设计排水接口采用优质PVC软管（具有防酸、防碱、耐腐蚀功能）连接，接口均采用自动锁紧插拔式连接方式（拔掉时没有污水流出），用时接上，不用时可收起。（配置给排水PVC软管2根、信号控制快速航空接头及连接线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7、水槽台底部安装静音万向轮。</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6、要求视频采集支持网线“一线通”技术，摄像机的供电、控制、视频传输均可通过一根双绞线完成；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auto"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auto" w:sz="4" w:space="0"/>
              <w:right w:val="single" w:color="000000" w:sz="4" w:space="0"/>
            </w:tcBorders>
            <w:tcW w:w="8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auto"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实验室网络线路</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网络线路：工程级无氧铜六类网络双绞线</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6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交换容量：672Gbps/6.72Tbps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包转发率：126Mpps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管理端口：1个 Console 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固定端口：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24*10/100/1000Base-T、以太网端口4*1000Base-XSFP光口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流量控制：支持802.3x流控及半双工背压流控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链路聚合：支持GE端口聚合、支持静态聚合、支持动态聚合、支持跨设备聚合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MAC地址表：支持黑洞MAC地址、支持设置端口MAC地址学习最大个数</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bottom w:val="single" w:color="000000" w:sz="4" w:space="0"/>
              <w:right w:val="single" w:color="000000" w:sz="4" w:space="0"/>
            </w:tcBorders>
            <w:tcW w:w="66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10"/>
        </w:trPr>
        <w:tc>
          <w:tcPr>
            <w:gridSpan w:val="6"/>
            <w:tcBorders>
              <w:top w:val="single" w:color="auto" w:sz="4" w:space="0"/>
              <w:left w:val="single" w:color="auto" w:sz="4" w:space="0"/>
              <w:bottom w:val="single" w:color="auto" w:sz="4" w:space="0"/>
              <w:right w:val="single" w:color="auto" w:sz="4" w:space="0"/>
            </w:tcBorders>
            <w:tcW w:w="995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二、实验室吊装部分</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吊顶系统主体架构</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1、给水主管选用Ø20-32mmPP-R给水管，模块化设计，每组模块间采用活接式连接，方便安装、检修。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2、排水管选用加厚Ø50-75mmPVC-U国标管（具有防酸、防碱、耐腐蚀功能），模块化设计，每组模块间采用活接式连接，方便安装、检修。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3、安装附件：采用固定横梁吊装方式，减少楼板承重，防止左右晃动，可进行上下、左右的平衡调节。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主要辅件有：矩形钢、三角构件、直角座、龙骨架连接件、吊装挂件、安装连接板等。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4、网络布线：工程级无氧铜六类网络双绞线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5、供电布线：供电线路：模块化设计，每组模块间采用活接式连接，方便安装、检修。采用通用铜芯电线进行系统布线。</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auto"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智能控制电气柜</w:t>
            </w:r>
            <w:r/>
          </w:p>
        </w:tc>
        <w:tc>
          <w:tcPr>
            <w:tcBorders>
              <w:top w:val="single" w:color="auto"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规格：≥500×230×800mm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智能控制电气柜内置总电源开关、电源保护器、智能中控器、分项漏电短路保护器。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一、智能中控器：采用≥10寸电容触摸屏，4核CPU，主频1.8GHz,系统Android10，分辨率：800×1280，图形化操作界面实现人机交互控制及远程控制，智能中控器内集成智慧教室管理控制平台。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二、智慧教室管理控制平台有四个页面：首页，智慧电源，智慧控制，系统设置。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1、首页：有上课、下课、通风、照明、供电、供水、学生实时求助表，全开、全关功能控制，时间，天气显示等信息。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2、智慧电源页面：控制和设定学生电源，查看学生机是否在线，对学生电源分组，全选或单选进行电压控制，对学生电源的直流和交流电源设定电压，图形数字双显示。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3、智慧控制：对教室内设备系统如通风、照明、供水、供电、摇臂、电源、网络、投影、新风、窗帘等物联网智能设备进行控制与交互。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4、系统设置：对座位分组、设备绑定和账号设置。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5、TCP/IP通讯协议数字化网络电源采用网络IP协议控制方式。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单路电动摇臂升降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六、控制方式：TCP/IP通讯协议，采用网络IP协议控制方式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双路电动摇臂升降系统，双路照明系统、双路求助故障诊断系统、双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 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gridSpan w:val="6"/>
            <w:tcBorders>
              <w:top w:val="single" w:color="000000" w:sz="4" w:space="0"/>
              <w:left w:val="single" w:color="000000" w:sz="4" w:space="0"/>
              <w:bottom w:val="single" w:color="000000" w:sz="4" w:space="0"/>
              <w:right w:val="single" w:color="000000" w:sz="4" w:space="0"/>
            </w:tcBorders>
            <w:tcW w:w="995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三、施工部分</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产品安装调试、现场清运等费用：包括教师演示台、学生实验桌、学生实验凳、实验椅等；室外通风管道安装；吊装设备安装调试：1）智能集成吊装单元安装；2）系统结构安装调试；3）系统控制安装调试；4）给排水安装调试；5）供电系统安装调试；6）照明系统安装调试；7）网络系统安装调试；8）中控系统调试培训使用；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1F-B04 B07 2F-B02 B05生物准备室</w:t>
      </w:r>
      <w:r/>
    </w:p>
    <w:tbl>
      <w:tblPr>
        <w:tblStyle w:val="741"/>
        <w:tblW w:w="9917" w:type="dxa"/>
        <w:tblInd w:w="-31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8"/>
        <w:gridCol w:w="894"/>
        <w:gridCol w:w="6306"/>
        <w:gridCol w:w="705"/>
        <w:gridCol w:w="653"/>
        <w:gridCol w:w="671"/>
      </w:tblGrid>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规格：≥3000×600×850mm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rPr>
                <w:rFonts w:hint="eastAsia" w:ascii="宋体" w:hAnsi="宋体" w:eastAsia="宋体" w:cs="宋体"/>
                <w:i w:val="0"/>
                <w:iCs w:val="0"/>
                <w:color w:val="auto"/>
                <w:sz w:val="21"/>
                <w:szCs w:val="21"/>
                <w:highlight w:val="none"/>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水槽</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化验水槽一副：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规格：≥420*320*200mm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≥5mm厚高密度黑色PP材质一体成型，具有弹性、耐酸碱、耐有机溶剂、耐热，在无外力作用下加热至150℃不变形。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三联水嘴一副：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三联化验水嘴、两低一高。</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试剂架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规格：≥2250×250×550mm,立柱：（规格：≥80×40）钢制结构，分两组装在准备台上以支撑试剂架。层板：单层，采用≥6mm厚玻璃，层板两侧加装不锈钢挡杆，防止器皿滑落。</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619"/>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auto"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标本柜</w:t>
            </w:r>
            <w:r/>
          </w:p>
        </w:tc>
        <w:tc>
          <w:tcPr>
            <w:tcBorders>
              <w:top w:val="single" w:color="000000" w:sz="4" w:space="0"/>
              <w:left w:val="single" w:color="000000" w:sz="4" w:space="0"/>
              <w:bottom w:val="single" w:color="auto"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规格：1000×500×2000mm（±5mm）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  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合金框架结构后面方料≥37.4×28×1.2mm,前面方料≥37.4×28×1.2mm,后立杆铝型材须双槽，配以ABS连接件组装而成；采用大型模具成型制作铝型材，配以ABS专业连接组装而成，铝型材表面经环氧树脂高温固化处理；耐酸碱、防潮；铝型材框架具有结构连接牢固、承载能力强、整体耐腐蚀、外观美观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柜身：上柜体采用四面玻璃柜体，下柜体采用三聚氰胺双贴面板，板材断面选用PVC封边，粘力强、密封性好，外观美观大方。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隔板：上柜体采用高度可调玻璃层板，下柜体采用三聚氰胺板隔板。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可调脚:采用模具成型PC＋ABS工程塑料合金注塑专用垫，有效防止桌身受潮，延长设备的使用寿命。  </w:t>
            </w:r>
            <w:r/>
          </w:p>
        </w:tc>
        <w:tc>
          <w:tcPr>
            <w:tcBorders>
              <w:top w:val="single" w:color="000000" w:sz="4" w:space="0"/>
              <w:left w:val="single" w:color="000000" w:sz="4" w:space="0"/>
              <w:bottom w:val="single" w:color="auto"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auto"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准备室给排水管</w:t>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上水弯头φ32-20mm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000000" w:sz="4" w:space="0"/>
              <w:left w:val="single" w:color="auto"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准备室电气管线</w:t>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right w:val="single" w:color="000000" w:sz="4" w:space="0"/>
            </w:tcBorders>
            <w:tcW w:w="6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79"/>
                <w:rFonts w:hint="eastAsia" w:ascii="宋体" w:hAnsi="宋体" w:eastAsia="宋体" w:cs="宋体"/>
                <w:color w:val="auto"/>
                <w:sz w:val="21"/>
                <w:szCs w:val="21"/>
                <w:highlight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整室边台、水槽、试剂架、仪器柜、单面标本柜组装调试人工费，现场清理，设备运费，电源线及管材铺设、安装调试费等综合考虑在投标报价中，不单列。</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1F-B05 B08 2F-B03 B06生物仪器室</w:t>
      </w:r>
      <w:r/>
    </w:p>
    <w:tbl>
      <w:tblPr>
        <w:tblStyle w:val="741"/>
        <w:tblW w:w="9915" w:type="dxa"/>
        <w:tblInd w:w="-30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8"/>
        <w:gridCol w:w="872"/>
        <w:gridCol w:w="6325"/>
        <w:gridCol w:w="715"/>
        <w:gridCol w:w="644"/>
        <w:gridCol w:w="671"/>
      </w:tblGrid>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59"/>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整室仪器柜组装调试人工费，现场清理，设备运费、安装调试费等综合考虑在投标报价中，不单列。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21、</w:t>
      </w:r>
      <w:r>
        <w:rPr>
          <w:rFonts w:hint="eastAsia" w:ascii="宋体" w:hAnsi="宋体" w:eastAsia="宋体" w:cs="宋体"/>
          <w:b/>
          <w:bCs/>
          <w:color w:val="auto"/>
          <w:sz w:val="21"/>
          <w:szCs w:val="21"/>
          <w:highlight w:val="none"/>
        </w:rPr>
        <w:t xml:space="preserve">1F-B06生物综合实验室</w:t>
      </w:r>
      <w:r/>
    </w:p>
    <w:tbl>
      <w:tblPr>
        <w:tblStyle w:val="741"/>
        <w:tblW w:w="9953" w:type="dxa"/>
        <w:tblInd w:w="-32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905"/>
        <w:gridCol w:w="6288"/>
        <w:gridCol w:w="679"/>
        <w:gridCol w:w="715"/>
        <w:gridCol w:w="679"/>
      </w:tblGrid>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8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提供显微镜仿真实验，每一部件均可仿真操作，可以一键调整也可分步操作。提供显微镜下高清图像，可全屏展示，可拖动平移图像，转换倍数。显微图像配有多种颜色的画笔，支持板书功能，并设有橡皮、清除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p>
            <w:pPr>
              <w:jc w:val="left"/>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多功能水槽台：1)标志和说明：额定电压或额定电压范围(V)、电源性质的符号，标有额定频率的除外(Hz)、额定输入功率(W)或额定电流(A)；(2)对触及带电部件的防护：嵌装式器具、固定式器具和以几个分离组件形式交付的器具在就位或组装前，其带电部件至少由基本绝缘防护；</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实验光源</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桌面台式，可调节光照角度。</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none" w:color="000000" w:sz="4" w:space="0"/>
              <w:right w:val="single" w:color="000000" w:sz="4" w:space="0"/>
            </w:tcBorders>
            <w:tcW w:w="90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79"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7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注：包含整室教师演示台、实验椅、学生实验桌、学生实验凳、电源总控台、多功能水槽台设备组装调试人工费，现场清理，设备运费，电源线及管材铺设、安装调试费等综合考虑在投标报价中，不单列。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22、</w:t>
      </w:r>
      <w:r>
        <w:rPr>
          <w:rFonts w:hint="eastAsia" w:ascii="宋体" w:hAnsi="宋体" w:eastAsia="宋体" w:cs="宋体"/>
          <w:b/>
          <w:bCs/>
          <w:color w:val="auto"/>
          <w:sz w:val="21"/>
          <w:szCs w:val="21"/>
          <w:highlight w:val="none"/>
        </w:rPr>
        <w:t xml:space="preserve">2F-B01 B04生物解剖实验室</w:t>
      </w:r>
      <w:r/>
    </w:p>
    <w:tbl>
      <w:tblPr>
        <w:tblStyle w:val="741"/>
        <w:tblW w:w="9975" w:type="dxa"/>
        <w:tblInd w:w="-34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894"/>
        <w:gridCol w:w="6279"/>
        <w:gridCol w:w="679"/>
        <w:gridCol w:w="715"/>
        <w:gridCol w:w="688"/>
      </w:tblGrid>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提供显微镜仿真实验，每一部件均可仿真操作，可以一键调整也可分步操作。提供显微镜下高清图像，可全屏展示，可拖动平移图像，转换倍数。显微图像配有多种颜色的画笔，支持板书功能，并设有橡皮、清除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auto"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auto"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auto"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non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none" w:color="000000"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auto" w:sz="4" w:space="0"/>
              <w:bottom w:val="single" w:color="auto"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i w:val="0"/>
          <w:iCs w:val="0"/>
          <w:color w:val="auto"/>
          <w:sz w:val="21"/>
          <w:szCs w:val="21"/>
          <w:highlight w:val="none"/>
          <w:u w:val="none"/>
          <w:lang w:val="en-US" w:eastAsia="zh-CN" w:bidi="ar"/>
        </w:rPr>
        <w:t xml:space="preserve">整室教师演示台、实验椅、学生实验桌、学生实验凳、电源总控台、多功能水槽台设备组装调试人工费，现场清理，设备运输，电源线及管材铺设、安装调试费等综合考虑在投标报价中，不单列。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23、</w:t>
      </w:r>
      <w:r>
        <w:rPr>
          <w:rFonts w:hint="eastAsia" w:ascii="宋体" w:hAnsi="宋体" w:eastAsia="宋体" w:cs="宋体"/>
          <w:b/>
          <w:bCs/>
          <w:color w:val="auto"/>
          <w:sz w:val="21"/>
          <w:szCs w:val="21"/>
          <w:highlight w:val="none"/>
        </w:rPr>
        <w:t xml:space="preserve">3F-B01 B03生物观察实验室</w:t>
      </w:r>
      <w:r/>
    </w:p>
    <w:tbl>
      <w:tblPr>
        <w:tblStyle w:val="741"/>
        <w:tblW w:w="10008" w:type="dxa"/>
        <w:tblInd w:w="-3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3"/>
        <w:gridCol w:w="883"/>
        <w:gridCol w:w="6334"/>
        <w:gridCol w:w="644"/>
        <w:gridCol w:w="697"/>
        <w:gridCol w:w="697"/>
      </w:tblGrid>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33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交流电源：每台配备220V交流输出；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实验光源</w:t>
            </w:r>
            <w:r/>
          </w:p>
        </w:tc>
        <w:tc>
          <w:tcPr>
            <w:tcBorders>
              <w:top w:val="single" w:color="000000" w:sz="4" w:space="0"/>
              <w:left w:val="single" w:color="000000" w:sz="4" w:space="0"/>
              <w:bottom w:val="single" w:color="auto"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桌面台式，可调节光照角度。</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auto"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auto"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8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8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注：包含整室教师演示台、实验椅、学生实验桌、学生实验凳、电源总控台、学生电源、实验光源设备组装调试人工费，现场清理，设备运输，电源线及管材铺设、安装调试费等综合考虑在投标报价中，不单列</w:t>
      </w:r>
      <w:r>
        <w:rPr>
          <w:rFonts w:hint="eastAsia" w:ascii="宋体" w:hAnsi="宋体" w:cs="宋体"/>
          <w:i w:val="0"/>
          <w:iCs w:val="0"/>
          <w:color w:val="auto"/>
          <w:sz w:val="21"/>
          <w:szCs w:val="21"/>
          <w:highlight w:val="none"/>
          <w:u w:val="none"/>
          <w:lang w:val="en-US" w:eastAsia="zh-CN" w:bidi="ar"/>
        </w:rPr>
        <w:t xml:space="preserve">。</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24、</w:t>
      </w:r>
      <w:r>
        <w:rPr>
          <w:rFonts w:hint="eastAsia" w:ascii="宋体" w:hAnsi="宋体" w:eastAsia="宋体" w:cs="宋体"/>
          <w:b/>
          <w:bCs/>
          <w:color w:val="auto"/>
          <w:sz w:val="21"/>
          <w:szCs w:val="21"/>
          <w:highlight w:val="none"/>
        </w:rPr>
        <w:t xml:space="preserve">3F-B0</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生物组培实验室1</w:t>
      </w:r>
      <w:r/>
    </w:p>
    <w:tbl>
      <w:tblPr>
        <w:tblStyle w:val="741"/>
        <w:tblW w:w="10006" w:type="dxa"/>
        <w:tblInd w:w="-36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905"/>
        <w:gridCol w:w="6303"/>
        <w:gridCol w:w="644"/>
        <w:gridCol w:w="706"/>
        <w:gridCol w:w="706"/>
      </w:tblGrid>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超净工作台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1.外壳采用彩钢板一体成型，工作台面为SUS304拉丝不锈钢，耐腐蚀、易清洗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2.采用了任意定位移门系统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3.照明和杀菌系统安全互锁</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4.数显式液晶控制界面，更具人性化设计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5.垂直准闭合式台面，操作室下降流气幕的形成，可有效防止外部气体投入和操作区洁净</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6.配置有HEPA高效空气过滤器，设有初效过滤器进行初步过滤，可有效延长高效过滤器使用寿命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7.洁净等级 100级@≥0.5μM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8.菌落数 ≤0.5个/皿·时（Φ90mm培养平皿）</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9.平均风速 0.25～0.45m/s（快慢双速）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10.噪音 ≤62dB（A）</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11.振动半峰值 ≤0.5μM（x、y、z方向）</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12.照度 ≥300Lx</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13.电源 AC单相220V/50Hz</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14.最大功率 300W</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15.适用人数 单人单面</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16.高效过滤器规格及数量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695×460×38×①</w:t>
            </w:r>
            <w:r/>
          </w:p>
          <w:p>
            <w:pPr>
              <w:jc w:val="left"/>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17.荧光灯/紫外灯规格及数量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15W×①/15W×①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注：▲上述第9、10、12项，提供第三方检测机构出具的有效检测检验报告（检测检验报告上须含有“CMA”或“CNAS”标志）。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风淋室</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单人双侧风淋室，全304不锈钢，自动互锁，含紫外灯</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净化板隔断</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50MM厚岩棉彩钢板，双面贴膜，企口白灰色，表面喷塑密封，净化防尘防菌处理；洁净室专用常规铝合金型材：国标件,地槽、厚角、角包、阴圆角；洁净室专用密封件及五金材料（铝铆钉、密封胶、螺丝等）。</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净化密闭单开门（EPS夹心），800x2000mm含门框、门扇、执手锁，表面喷塑密封，净化防尘防菌处理；</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净化器具</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超薄型平板净化器具，长条形，48W；适用场所：电子厂，制药厂，食品厂，化工业，医疗企业，手术室等有无尘需求的场所</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紫外灭菌系统</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杀菌线紫外灯加延时警示灯，单独控制，独立线路，含安装</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净化通风系统</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无菌室采用高效送风过滤；包含洁净风管、风管保温板、高效风口GK-8、高效风口GK-12、新回风阻尼网板、高效送风过滤送风箱、压差表、风管调节阀等，含安装</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实验室地面</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2.0mm厚度塑胶地板，耐磨、耐腐蚀，水泥自流平打底，专用胶粘接，焊接封口，铲平，不得有气泡，含安装</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non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实验室水电</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电箱一套含电气元气件，</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right w:val="single" w:color="000000" w:sz="4" w:space="0"/>
            </w:tcBorders>
            <w:tcW w:w="7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电线管</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电线电缆，符合国家标准</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地插座和开关</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PVC50排水管</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PPR25给水管</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净化吊顶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50MM厚硅岩彩钢板，双面贴膜，企口白灰色，表面喷塑密封，净化防尘防菌处理；洁净室专用常规铝合金型材：国标件,地槽、厚角、角包、阴圆角；洁净室专用密封件及五金材料（铝铆钉、密封胶、螺丝等）</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玻璃大视窗</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5毫米玻璃，尺寸≥1200*1000mm；含四周铝合金框架</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墙面粉刷</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优质环保乳胶漆，一遍底漆三遍面漆</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净化系统集成服务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二间生物组培室设备运输、超净工作台、仪器柜、电子天平、磁力搅拌器、超纯水仪、紫外灭菌车、中央实验台、边台、实验凳等设备安装调试，卫生清洁，电源线及管材铺设</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25、</w:t>
      </w:r>
      <w:r>
        <w:rPr>
          <w:rFonts w:hint="eastAsia" w:ascii="宋体" w:hAnsi="宋体" w:eastAsia="宋体" w:cs="宋体"/>
          <w:b/>
          <w:bCs/>
          <w:color w:val="auto"/>
          <w:sz w:val="21"/>
          <w:szCs w:val="21"/>
          <w:highlight w:val="none"/>
        </w:rPr>
        <w:t xml:space="preserve">3F-B0</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生物组培实验室2</w:t>
      </w:r>
      <w:r/>
    </w:p>
    <w:tbl>
      <w:tblPr>
        <w:tblStyle w:val="741"/>
        <w:tblW w:w="10015" w:type="dxa"/>
        <w:tblInd w:w="-36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960"/>
        <w:gridCol w:w="6303"/>
        <w:gridCol w:w="653"/>
        <w:gridCol w:w="680"/>
        <w:gridCol w:w="732"/>
      </w:tblGrid>
      <w:tr>
        <w:trPr>
          <w:trHeight w:val="42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电子天平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1.流畅新颖的外形设计，体现了对现代理念的追求。新的设计，使称重的反应速度更快，定点更迅速。独特的金属底座及机械构造，确保了天平的稳定性，增加了天平的抗干扰性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2.具备多种计量单位转换，计数功能及动物称重功能，装置RS232C输出接口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3.称量范围(g)：0-300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4.可读性/精度：10mg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5.秤盘尺寸（mm）：Ф130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笔式酸度计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1.PH测量范围：0.00-14.00Ph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2.分辨率：±0.01Ph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3.校准点：3点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4.使用校准液：USA（ph4.01/7.00/10.01）或NIST（ph4.01/6.86/9.18）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5.温度补偿范围：0-50℃（32-122F）</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6.温度补偿方式：自动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7.温度显示：显示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8.数据锁定：手动锁定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9.传感器类型：E-PHSCAN-ST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10.操作温度：0-50℃（32-122F）</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11.电源类型：4*LR44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12.电源使用时间：约80小时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13.外形尺寸：≥185（长）*40（直径）mm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磁力搅拌器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1.搅拌体积：50mL-20L标准或非标准反应瓶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2.整机设计：精致小巧；30°斜面操控面板；硅胶垫工作盘面；金属外壳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3.直流无刷电机，高磁通量设计，无马达驱动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4.工作盘尺寸（mm）Φ137mm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5.转速范围：200-1600rpm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6.定时范围：0~99h59min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7.搅拌点位数量1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8.单个最大搅拌量20L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9.搅拌子最长尺寸80mm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10.输入电源：AC220V50/60Hz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11.功率：20W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12.熔断器：250V,1A,Ф5x20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13.外形尺寸：≥W.160×D.270×H.70mm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1.自重轻，操作轻便省力，手柄挂钩设计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2.数字视窗，所设置量程一目了然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3.采用陶瓷活塞，耐腐蚀效果好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4.免维护密封环，不易变形，使用更便捷</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5.采用新型材料，可整支121℃高温高压消毒，</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6.精确的分液，量程分别为： 0.5-10μL，10-100μL，20-200μL，100-1000μL，1000-5000μL，（一套）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b/>
                <w:bCs/>
                <w:i w:val="0"/>
                <w:iCs w:val="0"/>
                <w:color w:val="auto"/>
                <w:sz w:val="21"/>
                <w:szCs w:val="21"/>
                <w:highlight w:val="none"/>
                <w:u w:val="none"/>
                <w:lang w:val="en-US" w:eastAsia="zh-CN" w:bidi="ar"/>
              </w:rPr>
              <w:t xml:space="preserve">，且</w:t>
            </w:r>
            <w:r>
              <w:rPr>
                <w:rFonts w:hint="eastAsia" w:ascii="宋体" w:hAnsi="宋体" w:cs="宋体"/>
                <w:b/>
                <w:bCs/>
                <w:i w:val="0"/>
                <w:iCs w:val="0"/>
                <w:color w:val="auto"/>
                <w:sz w:val="21"/>
                <w:szCs w:val="21"/>
                <w:highlight w:val="none"/>
                <w:u w:val="none"/>
                <w:lang w:val="en-US" w:eastAsia="zh-CN" w:bidi="ar"/>
              </w:rPr>
              <w:t xml:space="preserve">检测</w:t>
            </w:r>
            <w:r>
              <w:rPr>
                <w:rFonts w:hint="eastAsia" w:ascii="宋体" w:hAnsi="宋体" w:eastAsia="宋体" w:cs="宋体"/>
                <w:b/>
                <w:bCs/>
                <w:i w:val="0"/>
                <w:iCs w:val="0"/>
                <w:color w:val="auto"/>
                <w:sz w:val="21"/>
                <w:szCs w:val="21"/>
                <w:highlight w:val="none"/>
                <w:u w:val="none"/>
                <w:lang w:val="en-US" w:eastAsia="zh-CN" w:bidi="ar"/>
              </w:rPr>
              <w:t xml:space="preserve">报告内移液器“示值允差±0.01μL”为合格</w:t>
            </w:r>
            <w:r>
              <w:rPr>
                <w:rFonts w:hint="eastAsia" w:ascii="宋体" w:hAnsi="宋体" w:cs="宋体"/>
                <w:b/>
                <w:bCs/>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移液器架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1.材质：普通pp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2.外观：Z型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3.移液器安置数量：5支位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超纯水仪</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1.应用领域：常规实验用水、高压灭菌锅用水、清洗玻璃器皿和配制和稀释溶液用水等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2.进水要求：城市自来水，总溶解性固体量TDS≤300ppm，环境温度1—45℃，水压0.1~0.5MPa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3.产品重量约：2kg-55kg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4.工作电源（功率）：AC220V/50HZ                                                                                                  1.4机身尺寸：长435mm×宽360mm×高585mm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5.L1纯水产水水质：电导率≤5μS/cm@25℃；杂质去除率98%；蒸发残渣:≤2.0；可氧化物质含量（以O计）：≤0.4（mg/L）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6.产水量：10L/H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7.水质检测显示配置：配置在线检测显示监控仪，可同步检测显示：L1纯水电导率(μs/cm)和温度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8.水箱配备：真空压力无菌储水桶，容积10升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9.全自动微电脑控制系统：全自动制水，在线水质监控，实时显示水质的变化情况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10.具有RO反渗透膜全自动冲洗功能，延长RO膜的使用寿命，保证水质稳定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11.配备超纯水专用隔膜泵，采用纯实心加粗铜丝，底座设计降震处理，运行安静，可降低运行能耗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12.具有开机自检，缺水保护，断电复位功能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13.具备自动启停机功能，水满停机，缺水自启功能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14.系统适用于更多应用场景，用户还可通过手持式无线取水遥控器在180尺内实时任意制取L1纯水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15.系统拥有压力检测装置，当检测到压力超过系统设定值时，泵浦、电控阀停止工作，待压力降至安全值时，泵浦、电控阀自动工作，避免设备继续运行导致损坏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16.系统拥有全新模块化机箱，内置16英寸深层大容量强劲预处理柱， 可有效去除水中肉眼看不见的颗粒物，设计精致小巧，不占用地方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17.拥有手持式无线取水遥控器和遥控定量取水模式，带多档定量调节的手持式取水装置，可设置不同水量和多档位调节取水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18.采用模块化快接式设计，使维护保养更方便、快捷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19.整机符合人体工程学设计，水路电路分离设计，外形精致美观，保证机体整洁</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1.仪器特点:大屏幕、数字式液晶显示、全量程温复合玻璃电极</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2.同时测量或显示pH、温度或mV、温度</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3.电器接插件低于平面，有助于防腐和安全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4.仪器级别0.01级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5.测量范围pH:(-2.00~18.00)pHmV:(-1999~0)，（0~1999)</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6.温度：(0~99.9)℃</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7.分辨率pH：±0.01；mV：±1mV；温度：0.1℃</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▲8.示值误差pH：±0.01pH；</w:t>
            </w:r>
            <w:r/>
          </w:p>
          <w:p>
            <w:pPr>
              <w:jc w:val="left"/>
              <w:keepLines w:val="0"/>
              <w:keepNext w:val="0"/>
              <w:widowControl/>
              <w:rPr>
                <w:rFonts w:hint="eastAsia"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9.输入阻抗不小于1×1012Ω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10.稳定性±0.01pH/3h</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11.温度补偿范围（0~100）℃手动或自动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12.外形尺寸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300×220×90mm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13.仪器配置pH复合电极一支，pH标准缓冲试剂2套，自动温度补偿电极1支。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分析天平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1.大屏幕：真彩TFT液晶显示器，提供丰富的称量显示信息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2.操作方式：全屏触摸，即使戴多双手套也可精确操作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3.用户界面：双Metro配色方案，环保色彩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4.用户操作：丰富的操作信息提示，帮助用户更高效的完成工作流程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5.内置程序：标配的便于使用的内置应用程序，以用于各种称量任务，自带密度测量功能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6.显示屏防护罩：提供额外的防尘和防划保护，延长天平的使用寿命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7.玻璃门运输保护锁：有效的提供天平的运输保护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8.全铝制底座设计，防止低频震动，增强称量稳定性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9.实际分度值：0.0001g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10.最大称量范围：220g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11.可重复性标准偏差：0.0001g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12.校准砝码值：200g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13.类型：外部自动校准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紫外灭菌车</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1.形式:移动式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2.适用范围：微生物科研研究单位、医疗、卫生公共场所、组培生产车间等室内环境消毒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3.采用双灯管结构，并可以单独使用，灯臂角度可以180度调节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4.安全防护分类为I类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5.灯臂长度为：920mm+2mm,灯臂调节角度为0-180℃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6.定时器可以在120min内定时控制消毒时间，定时器工作完毕会自行断路而灯管熄灭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7.输入功率为：150VA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8.环境温度：5-40℃，相对温度：80%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9.电源：220V±22V 50Hz±1Hz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10.紫外线波长：253.7A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11.电流电压220V50Hz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12.功率2×30W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13.灯臂调节角度:0-180°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14.定时范围：1-120分钟，其最大定时误差&lt;=15min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15.消毒车采用消毒灯管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16.熔断器规格：FUSES</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高压灭菌锅</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1.灭菌有效容积：≥50L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2.最高工作压力：0.22MPa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3.最高工作温度：134℃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4.热均匀度：≤±1℃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5.计时控制范围：0～99min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6.压力温度控制范围：105～134℃/0.04～0.22MPa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7.功率/电源电压：3000W/AC220V.50Hz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8.安全特能：断水过热保护、电流过载自动切断、超压自动释放</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鼓风干燥箱</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1.恒温方式：鼓风强行对流传递，热风循环，温度分布均匀</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2.结构内胆：抗腐蚀304不锈钢材料；外壳：优质钢板材料</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3.可视窗：双层钢化玻璃</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4.性能：使用温度范围50~300℃</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5.显示分辨率：0.1℃</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6.温控精度：±0.1℃</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▲7.温度波动度：±1℃(100℃)</w:t>
            </w:r>
            <w:r/>
          </w:p>
          <w:p>
            <w:pPr>
              <w:jc w:val="both"/>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8.控制器温度控制方式：PID控制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9.温度设定方式：按键设定</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10.温度显示方式：双排数码管四位显示</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11.加热方式：O型干烧加热管</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12.附加功能：偏差修正、菜单按键锁定、停电补偿、停电记忆、PID可调</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13.传感器：PT100铂电阻</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14.安全装置：超温报警、短路保护、过热保护、声光报警</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15.规格：内尺寸（mm）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450*550*550</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16.内容积：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136L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智能光照培养箱</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1.容积：≥250L；</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2.控温范围：0～50℃；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3.温度波动度：±1.0℃；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4.温度偏差：±1.5℃；</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5.温度不均匀度：≤1.5℃；</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6.温度最大可编程段数：多段，液晶显示器，光源为LED光源；</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7.光照级数：0～100级；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8.光照度：0-12000lx；</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9.升温时间：10℃升至40℃为60分钟；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10.降温时间：40℃降至10℃为60分钟；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11.工作方式：连续运行；</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12.工作环境：温度0～40℃；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13.电源：220V50Hz；</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14.内部尺寸≥500×500×1040（mm）；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15.外部尺寸≥600×670×1650（mm）；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注：▲上述第3、4项，提供第三方检测机构出具的有效检测检验报告（检测检验报告上须含有“CMA”或“CNAS”标志）</w:t>
            </w:r>
            <w:r>
              <w:rPr>
                <w:rFonts w:hint="eastAsia" w:ascii="宋体" w:hAnsi="宋体" w:eastAsia="宋体" w:cs="宋体"/>
                <w:b/>
                <w:bCs/>
                <w:i w:val="0"/>
                <w:iCs w:val="0"/>
                <w:color w:val="auto"/>
                <w:sz w:val="21"/>
                <w:szCs w:val="21"/>
                <w:highlight w:val="none"/>
                <w:u w:val="none"/>
                <w:lang w:val="zh-CN" w:eastAsia="zh-CN" w:bidi="ar"/>
              </w:rPr>
              <w:t xml:space="preserve">。</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光照培养架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1.应用范围：高中《生命科学》，有关选修课，组织培养等实验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2.产品外观：优质钢材经加工制成，分五层，每层层高40mm均分，最下层巨地面高20mm，整体结构牢固，光滑无毛刺，不氧化，无锈屑脱落，易擦洗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3.每层均配置荧光灯， 且各层独立布线控制启闭，每层灯独立开关，可视需要进行光照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4.控时器参数：即时工作指示灯；铜片结构优化设计；夏令时/冬令时功能；大屏幕液晶显示设定；最小时间间隔为1分钟,每天最多可设置20组开与关,每周可设置140组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5.光源：LED光源；照明电路：套管保护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6.外型尺寸（mm）:≥1200×400×1800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炼苗架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1.应用范围：植物炼苗生长、壮苗生长、光照影响探究等实验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2.产品外观：优质钢材经加工制成，整体结构牢固，光滑无毛刺，不氧化，无锈屑脱落，易擦洗；照明电路有套管保护，符合实验室对设备的牢固、安全、整洁美观要求。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3.外型尺寸（mm）：≥1200×400×1800，分五层、每层层高40mm均分，最下层巨地面高20mm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4.光源：植物专用生长灯光源，白红光双色或白红蓝三色，各层独立布线控制启闭，每层灯独立开关，可视需要进行光照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5.控时器参数：即时工作指示灯；铜片结构优化设计；夏令时/冬令时功能；大屏幕液晶显示设定；最小时间间隔为1min，每天最多可设置20组开与关，每周可设置140组</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生态养殖系统</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1.设施由种植盆、定植盖、水培定植杯、碳钢主骨架及供回液管路组成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2.内置市蓄水池，通过水泵把水和营养液打到种植层，内置式补光灯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3.智能定时，四层种植层，一层为育苗层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4.智能光照模式可根据光照自动调节补光强度，智能水位报警功能。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照度计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1.准确度高及反应速度快；</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2.31/2位液晶显示；</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3.测量范围:20/200/2000/20000lx；</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4.过载显示；</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5.分辨率:0.1lx；</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6.准确度:±3%rdg±0.5%f.s.(＜10,000lx)；±4%rdg±10dgts(＞10,000lx)；</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7.重复测试:±2%；</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8.温度特性:±0.1%/℃；</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9.取样率:2次/s；</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10.附件:皮盒、9V电池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1.超大屏幕液晶显示，直观方便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2.同屏显示温度、湿度、时钟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3.室内外双陆测温、单路测湿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4.温度测量范围:室内温度：-30℃~+50℃；室外温度：-50℃~+70℃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5.湿度测量范围：20%RH~90%RH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6.显示分辨率：温度：0.1℃；湿度：1%RH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7.测量精度：温度：±1℃；湿度：±5%RH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8.供电电压：1.5V（一节7号碱性电池）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9.12/24小时时钟显示，可设定定时、闹钟功能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10.最大、最小温湿度记忆功能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探究实验耗材包</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直尖剪刀30把；枪型不锈钢镊子30把；四种规格吸头：吸头5000uL-1包，吸头1000uL-1包，吸头200uL-1包，吸头10uL-1包；四种规格吸头盒各15个；不锈钢防爆酒精灯12个；两面板12个；组培瓶5箱，0.5mL离心管1包；1.5mL离心管1包；封口膜1包；一次性培养皿1箱；酒精棉球2包，手套200付</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组培苗</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含150ml专用组培瓶，烟草、菊花等教学用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试剂盒</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植物的组织培养；菊花的组织培养；烟草的组织培养；百合的组织培养；月季的组织培养；草莓的组织培养；菩提的组织培养；小丽花的组织培养；彩叶草的组织培养；矮牵牛的组织培养</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auto"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课程培训与服务</w:t>
            </w:r>
            <w:r/>
          </w:p>
        </w:tc>
        <w:tc>
          <w:tcPr>
            <w:tcBorders>
              <w:top w:val="single" w:color="000000" w:sz="4" w:space="0"/>
              <w:left w:val="single" w:color="000000" w:sz="4" w:space="0"/>
              <w:bottom w:val="single" w:color="auto"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1.全模块系统提升活动：遗传学+演化生物学+生物信息学（含生物技术）；动物学+动物生理+生态学+动物行为学；细胞+生物化学+分子生物学；植物学+植物生理学+微生物。</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640"/>
        </w:trPr>
        <w:tc>
          <w:tcPr>
            <w:tcBorders>
              <w:top w:val="single" w:color="000000" w:sz="4" w:space="0"/>
              <w:left w:val="single" w:color="000000" w:sz="4" w:space="0"/>
              <w:bottom w:val="single" w:color="000000" w:sz="4" w:space="0"/>
              <w:right w:val="single" w:color="auto"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生物实验室管理系统</w:t>
            </w:r>
            <w:r/>
          </w:p>
        </w:tc>
        <w:tc>
          <w:tcPr>
            <w:tcBorders>
              <w:top w:val="single" w:color="auto" w:sz="4" w:space="0"/>
              <w:left w:val="single" w:color="auto" w:sz="4" w:space="0"/>
              <w:bottom w:val="single" w:color="auto" w:sz="4" w:space="0"/>
              <w:right w:val="single" w:color="auto"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1、具备公司自主品牌的管理平台</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2、支持管理后台主页显示常用的系统数据曲线和场所、模块、终端数量显示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3、支持用户自行创建管理场所，包括各种实验室、智慧农场等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4、支持用户管理自有模块信息，模块可以配置到不同的场所，实现实时数据关联</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5、支持用户定义终端，通过对不同厂家设备的参数配置，实现真正意义上的自定义物联</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6、支持用户自行定义终端快捷动作，用户通过对终端指令的批量设置，可以实现方便的对设备进行多动作连续执行</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7、支持用户自行定义传感器设备，不仅限某个指定厂家，只要协议兼容，都能方便接入传感器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8、支持用户执行器定义，用户可以通过后台定义不同厂家的执行器，从而方便接入控制设备</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9、支持用户查看授权的资源信息，包括各种培训资料、教材、音视频文件、课件等分类的资料</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10、支持给上传特聘专家为平台终端用户老师提供专门的专家提问场景</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11、支持将所有的终端动作进行记录，为设备的采样、执行、状态获取等提供可追溯的数据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APP/小程序端：</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1、具备公司自主品牌的微信小程序、安卓APP、苹果H5APP</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2、主页支持显示基本信息、场所、模块、终端、配件、资源、报修、专家互动、商城推荐、服务热线、案例展示等快捷通道</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3、基本信息页面支持显示单位信息、报修、计划任务、硬件配置等重要资料</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4、支持展示用户自己的场所信息、模块信息</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5、支持展示用户自己的终端信息，终端信息列表呈现对应终端在在线状态</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6、支持用户读取传感器信息，不同终端进入后可以看到挂载的不同传感器，对传感器数据进行实时读取并显示，支持市面上各类传感器类型</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7、支持用户读取执行器状态，并控制执行器，实现不同的控制目的</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8、支持用户自定义任务计划，用户可以设置不同形式的任务计划，实现对终端的定时控制、定期循环控制等自执行操作</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10、支持用户查看平台推送的各种资源课件等资料</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11、支持用户对特聘专家进行提问，并在专家回复后查看回复</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12、支持用户自助报修，通过平台报修界面实现对不同终端设备的在线自助报修</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auto"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tcBorders>
              <w:top w:val="single" w:color="auto"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规格：3000×1200×850mm（±5mm）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auto"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规格：2100×600×850mm（±5mm）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药品柜</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柜体：柜体框架主体壁厚采用≥4mm工程级聚丙烯材料注塑成型，具有耐腐蚀、耐酸碱、防水、耐热，耐候性能强、表面硬度、高弹性、韧性、电绝缘性等稳定物理、化学性能，背板采用≥8mm耐腐蚀PP中空板。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柜门：上下柜门采用对开门设计，柜体门框采用工程级聚丙烯材料一体化注塑成型，嵌入式设计厚度≥4mm玻璃柜门，配置数码锁，便于老师日常管理。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铰链：柜门与柜体框架选用内置式免螺丝安装方式，材质选用工程级耐腐蚀、抗磨尼龙铰链。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通风导流设计：药品柜由上下柜体组合而成，上下柜之间设有≥于Ø110mm导流孔，为保障药品柜内部风压均匀，柜体中间设计导流板，柜体两侧内部设计导流槽。柜体下方设有进气孔，顶部设有通风孔位。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药品托盘：上下层柜体共设有≥12个活动式药品托盘。药品托盘采用3mm工程级聚丙烯一体注塑成型，药品托盘设计高度≥16mm挡边防止药品滑落及液体洒下，背面设计加强筋增加药品托盘综合性能。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可调脚:采用工程塑料模具成型制作而成，具有高度可调、耐磨、 防潮、耐腐蚀等特点。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生物组培室器材</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48W实验用器材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尺寸≥2000*800mm，双层5MM玻璃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隔断</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1.双层5MM钢化玻璃，内置百叶，铝合金外框，包含安装。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2.包含所需所有五金件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实验室地面</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2.0mm厚度塑胶地板，耐磨、耐腐蚀，水泥自流平打底，专用胶粘接，焊接封口，铲平，不得有气泡，含安装</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402"/>
        </w:trPr>
        <w:tc>
          <w:tcPr>
            <w:tcBorders>
              <w:top w:val="single" w:color="000000" w:sz="4" w:space="0"/>
              <w:left w:val="single" w:color="000000" w:sz="4" w:space="0"/>
              <w:bottom w:val="none" w:color="000000" w:sz="4" w:space="0"/>
              <w:right w:val="single" w:color="000000"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none" w:color="000000" w:sz="4" w:space="0"/>
              <w:right w:val="single" w:color="000000" w:sz="4" w:space="0"/>
            </w:tcBorders>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实验室水电</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电箱一套含电气元气件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right w:val="single" w:color="000000" w:sz="4" w:space="0"/>
            </w:tcBorders>
            <w:tcW w:w="7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402"/>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电线管</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79"/>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电线电缆，符合国家标准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79"/>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地插座和开关面板</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left w:val="single" w:color="000000" w:sz="4" w:space="0"/>
              <w:bottom w:val="single" w:color="000000" w:sz="4" w:space="0"/>
              <w:right w:val="single" w:color="000000" w:sz="4" w:space="0"/>
            </w:tcBorders>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常规吊顶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矿棉板吊顶（600*600mm，轻钢龙骨)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墙面粉刷</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优质环保乳胶漆，一遍底漆三遍面漆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w:t>
      </w:r>
      <w:r>
        <w:rPr>
          <w:rFonts w:hint="eastAsia" w:ascii="宋体" w:hAnsi="宋体" w:eastAsia="宋体" w:cs="宋体"/>
          <w:b/>
          <w:bCs/>
          <w:color w:val="auto"/>
          <w:sz w:val="21"/>
          <w:szCs w:val="21"/>
          <w:highlight w:val="none"/>
        </w:rPr>
        <w:t xml:space="preserve">4F-B01 B02数字化实验室</w:t>
      </w:r>
      <w:r/>
    </w:p>
    <w:tbl>
      <w:tblPr>
        <w:tblStyle w:val="741"/>
        <w:tblW w:w="9991" w:type="dxa"/>
        <w:tblInd w:w="-3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960"/>
        <w:gridCol w:w="6290"/>
        <w:gridCol w:w="653"/>
        <w:gridCol w:w="680"/>
        <w:gridCol w:w="732"/>
      </w:tblGrid>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2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3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规格：1500×1200×780mm（±5mm）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台面：一体化台面，采用≥40mm厚刨花板双面外贴防火板加工制作，四周采用ABS封边，具有防火、耐磨、耐高温、耐刮、抗渗透、容易清洁等优点；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产品结构：铝合金结构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立柱采用≥100×50mm壁厚≥1.3mm“L”型铝镁合金立柱一次挤压成型；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横梁为≥40×40×1.2mm铝合金方管；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连接转角规格为≥165×180×100mm，根据产品内部结构差异，采用铝合金压铸工艺一次成型，配模具ABS工程塑料防尘堵头；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脚垫：采用模具成型PC+ABS工程塑料合金注塑专用垫，可隐蔽固定，可避免水浸及防潮,有效延长设备寿命。</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电源功能柱</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1.规格：≥110*70*700mm；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2.材质：主体支撑材质采用1.2mm厚度铝型材一次挤压成型，铝型材表面经电泳、静电环氧树脂粉末喷涂处理，具有耐腐蚀、防火、防潮等功能，美观实用。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功能操作面板采用工程塑料材质，安装于主体支撑结构侧面；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3.功能：功能操作面板预留电源功能模块，功能模块成竖向分布，方便学生使用。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4.采用嵌入式拼插方式安装于L型桌，与L型桌配套使用。</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6、要求视频采集支持网线“一线通”技术，摄像机的供电、控制、视频传输均可通过一根双绞线完成；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3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2"/>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10.提供物理电学相关的实验，能够正确模拟任意的复杂电路和现实规律，学生能够任意设计实验、自由搭建电路、修改器材参数，提供电路图、表格、I-R图像、I-U图像等常用支持实验的插件。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提供显微镜仿真实验，每一部件均可仿真操作，可以一键调整也可分步操作。提供显微镜下高清图像，可全屏展示，可拖动平移图像，转换倍数。显微图像配有多种颜色的画笔，支持板书功能，并设有橡皮、清除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无线视频展台</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1.像素≥500万（分辨率2592*1944），帧数≥无线720P和1080P不低于25帧/秒2.拍摄镜头机械折臂270度翻转式（非软管式）：90度可拍摄文稿；180度可拍摄课堂活动，用作简易的录播系统；270度可录制微课。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3.磁吸式航空铝合金底座，底座和机身可分离。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连接方式：支持无线WIFI多点连接，无线传输频率150M/S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5.支持Windows、MAC OS系统使用，其中MAC OS运行的教学软件支持实时视频展示、图片任意角度旋转、图片缩放、图片拍照、实时音视频录制等教学功能。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6.支持图像自动纠偏、裁边、自动展平的处理功能，提供对比教学和实物展示功能，支持2、4、6画面同屏展示进行对比教学。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7.无线支持多场景微课录制，包括电脑屏幕、实物展示、PPT、分屏对比等内容一次录制成同一个MP4格式的视频文件，无须二次转换格式。</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6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电源功能柱、智慧教学录播、虚拟实验室系统等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27、</w:t>
      </w:r>
      <w:r>
        <w:rPr>
          <w:rFonts w:hint="eastAsia" w:ascii="宋体" w:hAnsi="宋体" w:eastAsia="宋体" w:cs="宋体"/>
          <w:b/>
          <w:bCs/>
          <w:color w:val="auto"/>
          <w:sz w:val="21"/>
          <w:szCs w:val="21"/>
          <w:highlight w:val="none"/>
        </w:rPr>
        <w:t xml:space="preserve">4F-B02 B04实验员工作室</w:t>
      </w:r>
      <w:r/>
    </w:p>
    <w:tbl>
      <w:tblPr>
        <w:tblStyle w:val="741"/>
        <w:tblW w:w="10000" w:type="dxa"/>
        <w:tblInd w:w="-3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905"/>
        <w:gridCol w:w="6330"/>
        <w:gridCol w:w="670"/>
        <w:gridCol w:w="653"/>
        <w:gridCol w:w="733"/>
      </w:tblGrid>
      <w:tr>
        <w:trPr>
          <w:trHeight w:val="499"/>
        </w:trPr>
        <w:tc>
          <w:tcPr>
            <w:tcW w:w="7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3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W w:w="6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实验员桌</w:t>
            </w:r>
            <w:r/>
          </w:p>
        </w:tc>
        <w:tc>
          <w:tcPr>
            <w:tcW w:w="63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规格：≥1200×600×780mm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台面：一体化台面，采用≥40mm厚刨花板双面外贴防火板加工制作，四周采用ABS封边，具有防火、耐磨、耐高温、耐刮、抗渗透、容易清洁等优点；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产品结构：铝合金结构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立柱采用≥100×50mm壁厚≥1.3mm“L”型铝镁合金立柱一次挤压成型；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横梁为≥40×40×1.2mm铝合金方管；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连接转角规格为≥165×180×100mm，根据产品内部结构差异，采用铝合金压铸工艺一次成型，配模具ABS工程塑料防尘堵头；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脚垫：采用模具成型PC+ABS工程塑料合金注塑专用垫，可隐蔽固定，可避免水浸及防潮,有效延长设备寿命。</w:t>
            </w:r>
            <w:r/>
          </w:p>
        </w:tc>
        <w:tc>
          <w:tcPr>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W w:w="63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1、产品规格：≥360×430mm，有效座位高度420-540(高度可调)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W w:w="63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整室实验员桌、实验椅、仪器柜设备组装调试人工费，现场清理，设备运费、安装调试费等综合考虑在投标报价中，不单列。</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物理实验仪器  </w:t>
      </w:r>
      <w:r/>
    </w:p>
    <w:tbl>
      <w:tblPr>
        <w:tblStyle w:val="741"/>
        <w:tblW w:w="10031" w:type="dxa"/>
        <w:tblInd w:w="-35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2"/>
        <w:gridCol w:w="933"/>
        <w:gridCol w:w="6376"/>
        <w:gridCol w:w="653"/>
        <w:gridCol w:w="697"/>
        <w:gridCol w:w="680"/>
      </w:tblGrid>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实验室取放物品时使用的仪器小车。2、仪器车规格不小于600mm×400mm×800mm,分2层，层间距不小于300mm。3、车架用直径不小于φ25mm、壁厚不小于1mm的不锈钢管制成，架高不低于800mm。4、车架脚安装有不小于φ80mm、厚20mm转动灵活的万向轮，带制动装置。5、车隔板为不薄于1mm的不锈钢板制成，四周安装有挡栏。6、整车安装好后应载重100Kg，应运行平稳，不得变形、摇晃、松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钢直尺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1、产品为钢制直尺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2、产品一面有200mm长的毫米标尺，另一面为英寸标尺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游标卡尺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1、产品由标尺和游标组成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2、产品测量长度150mm，精度值0.02mm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外径千分尺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1、产品为金属制外径千分尺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2、产品测量长度25mm，精度值0.01mm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数显游标卡尺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1、产品由卡尺、显示屏和电池组成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2、卡尺测量长度150mm，精度值0.01mm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托盘天平</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1、产品由底座、横梁、平衡螺母、标尺、游标、指针、刻度盘、托盘和砝码组成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2、产品最大称量值：500g,精度值0.5g</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金属槽码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2g×3，5g×2，10g×2，20g×2，50g×2，100g×2，200g×2，5g×1金属槽码盘和10g×1金属槽码盘</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电子停表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1、产品为双道计时电子停表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2、产品可显示时间日历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3、产品精度0.01S</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电火花计时器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多频率：0.01s、0.02s、0.05s，有同步释放功能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电磁打点计时器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本产品成套仪器应包括打点器、重锤、纸带、复写纸和弓形夹组成。1.工作电压：50Hz 9v交流电；2.连续工作时间不超过10分钟；3.打点周期稳定，周期相对误差不大于1%；4.重锤质量为300g；5.当纸带移动速度约3m/s时，点子长度不大于1.2mm，不小于0.3mm。6.纸带宽度为17.5mm。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1、产品为棒式红液温度计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2、测量范围：0℃～100℃，精度值1℃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1、产品为棒式水银温度计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2、测量范围：0℃～200℃，精度值2℃</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数字测温计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集成温度传感器，-50℃～+150℃，  分辩率0.1℃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寒暑表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产品刻度清晰,测温准确,测量范围-50℃～0℃～+50℃.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1、产品由方形弹簧盒（带刻板）、弹簧、提环、挂钩、指针等组成。零点可调。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2、产品规格：5N。 精度值0.1N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拉压测力计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1、由刻度板、弹簧、指针、拉压杆、悬挂定位装置等组成。指针可调。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2、量程0～10N,精度值：0.2N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双向测力计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1、产品由刻度板、弹簧、指针、双向挂钩等组成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演示数字测力计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量程2N，分辨率0.001N，误差≤0.2%满量程±1/2字，有调零、内置校准、记忆(能显示稳定值)功能，数字尺寸≥2.5cm×4cm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演示电流电压表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2.5级，检流</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演示微电流电阻表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微量直流检流，直流电压、电阻测量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惯性演示器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产品由底座、立柱、钢球、弹片，薄形钢片和钢球组成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摩擦计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1、产品由摩擦板和摩擦块组成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2、摩擦板尺寸：500*50*10mm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3、摩擦块尺寸：100*40*30mm，上面有2个砝码孔，顶端有挂钩</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螺旋弹簧组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0.5N，1N，2N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螺旋弹簧组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3N，5N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帕斯卡球</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产品由气筒、圆球和喷咀、活塞等组成。喷咀10个，分别在各个不同的方向。气筒直径25mm，长200mm，钢管表面烤漆。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微小形变演示器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由激光笔，反光镜等组成，利用光杠杆原理。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支杆定滑轮和桌边夹组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每套带支杆单滑轮、尼龙线、桌边夹各3件，小铁环1件，支杆高度可调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滚摆</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滚摆由摆体（摆轮和摆轴）、悬线、支柱、横梁和底座组成。摆轮直径不小于Φ125mm。摆轴直径不小于Φ8mm，长不小于160mm，轴上两个穿线孔距离140mm，穿线孔径Φ1.5mm。支柱高不小于400mm，横梁长240mm。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离心轨道</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1、由钢球、环形轨道等组成。2、小球重约70G。3、环形轨道为电镀铁制品，底座长：270mm，宽：100mm，高：12mm。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手摇离心转台</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由机座、主动轮(附摇柄)和从动轮等组成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伽利略理想斜面演示器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长度不小于1200mm，一端高度可连续升降，连接曲面光滑</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运动合成分解演示器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可做匀速-匀速、匀速-匀加速运动合成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演示轨道小车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利用电火花计时，车拖纸带式，打点有效距离不小于900mm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轨道小车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轨道打点式，打点有效距离不小于600mm                    </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演示斜面小车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1、产品由斜面板、底板、小车、支撑杆、摩擦块和滑轮等组成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2、斜面板、底板为木质，长度分别为80cm、120cm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自由落体实验仪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本仪器由铝合金主体、自由落体显示仪、电磁铁、接球网、钢球、光电门(4个)等组成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牛顿第二定律演示仪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产品由二层结构轨道、小车、刹车装置、滑轮、塑料小桶等组成。轨道为铝制，高度可调。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反冲运动演示器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产品由金属筒、橡皮塞、小车和铝杯组成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超重失重演示器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移动距离不小于1.5m，超重、失重加速度可调，灵敏测力计示数可见</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动能势能演示器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半定量实验1、大刻度板；2、定位圈及滑杆；3、小滑块；4、圆筒；5、弹簧及释放手柄；6、底座7、小刻度板；8、大滑块；9、导轨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运动频闪观测仪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频闪光源25Hz、50Hz，可实时观测运动物体图像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二维空间—时间描迹仪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同步计时打点描迹，悬浮式平抛</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向心力演示器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仪器由机座、传动轮、变速盘、旋臂、弹簧、标尺及横臂等部件构成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动量传递演示器(碰撞球)</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产品由底座、支架和5个吊线钢球组成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音叉</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叉、橡皮槌、共鸣箱，频率256Hz，音叉应为45#碳钢制成，表面镀铬，四面平直棱角应整齐，音叉总长190mm，叉枝厚5mm，厚度差不大于0.05mm，两支股内间距8mm，圆柄Φ7mm。槌头为橡胶，直径不小于20mm，长度160mm，共鸣箱应采用实木制成，空心，箱体带音叉插孔</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声速测量仪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本仪器为塑壳便携式，整机耗电不大于2.5伏安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共振音叉</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1、产品由2个相同共鸣箱、2个相同音叉、橡皮锤和变频箍组成，440Hz</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绳波演示器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横波、行波、驻波、模拟偏振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波动弹簧</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扁钢丝弹簧，外径不小于66mm，圈数不小于180，两端为90°弯折半圆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波动演示器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帘式  由纵波振子 横波振子 拨盘 偏心轮 相位盘 摇柄等组成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发波水槽</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产品由1振心轮 2振片 3软轴 4电机 5插母 6插头 7振源 8振子 9电机座 10旋钮 11水槽等组成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弹簧振子</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水平式和竖式  1.由吊绳 支杆 底座 拉簧金属振子等组成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弹簧振子振动图像描绘器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产品由铝合框体、走纸装置、描迹纸、火花描迹器、气垫式弹簧振子等组成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单摆组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5个摆球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单摆运动规律演示器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产品由1三角支脚2立柱3横杆4悬点螺钉5立柱夹6上标尺7下标尺8空心摆球9钢球10玻璃球11塑料球12摆线  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受迫振动和共振演示器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改变策动摆摆长，可分别使5个摆长不同的单摆共振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共振演示器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弹簧振子，电动机驱动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内聚力演示器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有挤压扳动器和刮削器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空气压缩引火仪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有气缸、底座、端盖、活塞等部分组成。透明外壳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双金属片</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由铜、铁组成。该产品由长度≥200mm、宽≥20mm、厚≥0.3mm铜、铁板材各1片铆合而成，铆合应牢固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气体做功内能减少演示器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用热敏电阻演示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纸盆扬声器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直径不小于200mm，8Ω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饱和水汽膨胀液化演示器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透明容器内能承受3个以上大气压，成雾明显，使用安全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917"/>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玻棒(附丝绸)</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或有机玻棒(附丝绸)，教师用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胶棒(附毛皮)</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或聚碳酸酯棒(附毛皮)，教师用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箔片验电器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产品由底座、外壳、 绝缘套筒、金属杆、集电板、箔片和刻度板组成，教师用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箔片验电器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产品由底座、外壳、 绝缘套筒、金属杆、集电板、箔片和刻度板组成，学生用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感应起电机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环境温度：5-30℃；相对湿度：小于80%；有起电盘、电梳、手摇转轮和转柄、电刷、莱顿瓶和底座等部分。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枕形导体</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1、产品有导体、绝缘立柱、底座组成2、每套2个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小灯座</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由二用灯口，底部电极，连接片，接线柱和底板组成。底座不小于75mm×35mm×10mm工作电压不大于36V,工作电流不大于2.5A</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单刀开关</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由底座，接线柱，闸刀，刀座，刀承和绝缘手柄组成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滑动变阻器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1、产品由支架、滑竿、铜线、瓷管、滑头、接线柱等组成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2、产品规格：50Ω，1.5A</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外形尺寸≥1060×150×40（mm）。2.金属导线有铜丝1根（1000mm±1mm）、铁丝1根（1000mm±1mm），镍铬丝3根（500mm±1mm1根，1000mm±1mm1根，2倍1000mm±1mm1根）。3.绕线应有带线槽绝缘小轮。要求：底板采用厚度不小于1mm的冷轧钢板制作，底板平整光洁，表面喷塑 。</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电阻定律实验器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不少于四根导线，长度、截面积、材料不同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保险丝作用演示器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工作环境条件:温度-10℃～40℃;相对湿度不大于90%RH(40℃).使用交流电源：98～242V，50Hz±0.5Hz。面板长不小于450mm，宽不小于300mm，正面有相应的实验电路图，电路图绘制应正确、清晰、不易脱落；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静电实验箱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避雷针原理、静电屏蔽、静电除尘、静电植绒、静电乒乓、静电转轮等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常用电容器示教板</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电解电容器、云母电容器、陶瓷电容器、薄膜电容器、贴片电容器、微调电容器、可变电容器等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常用电阻器示教板</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定值电阻(碳膜电阻、金属膜电阻、绕线电阻、水泥电阻等)、可变电阻(电位器等)、特殊电阻(热敏电阻、光敏电阻等)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演示可调内阻电池</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气压调节式及其改进型</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条形磁铁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1、产品为铁氧体条形磁铁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2、产品分红蓝两色，红色N级，蓝色S级铁氧体，180 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蹄形磁铁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1、产品为铁氧体蹄形磁铁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2、产品分红蓝两色，红色N级，蓝色S级铁氧体，100mm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磁感线演示器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1、产品由铁粉盒和磁铁组成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2、铁粉盒为透明塑料制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立体磁感线演示器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产品由条形磁铁、蹄形磁铁、六片矩形透明磁感应板、月牙形透明磁感应板和固定支架组成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磁感线演示板</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用条形磁铁、蹄形磁铁在透明台板的上面移动，金属针随着磁场变化，自动排列出磁感线的分布图，演示了周围磁感线的形成以及磁极在相吸或相斥不同情况下磁感线的形成。还可以演示电流磁场周围各个空间磁感线的形成。  外形尺寸为22cm*22cm*2cm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电流磁场演示器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由直线电流，环形电流和通电螺线管磁场三部分组成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菱形小磁针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1、产品由磁针座和磁针组成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2、整体高度28mm；磁针呈菱形，长28mm,分红白两色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3、每套16个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翼形磁针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底座、立柱、垂直翼形针，2个为一对。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演示原副线圈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演示原付线圈由演示原线圈、演示付线圈、软铁芯三部分组成。外形尺寸：70xl06xll3mm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原副线圈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由原线圈、付线圈、软铁蕊组成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演示电磁继电器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由电磁系统和触电系统两部分组成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左右手定则演示器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左右手定则演示器由底座、撑杆、接线板（棒）、方形线圈组成。线圈额定电流不超过2A。</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手摇交直流发电机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磁性转子，手摇轮盘，小灯泡发亮显示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阴极射线管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1、产品由底座和磁效应管组成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2、磁效应管由挡板和荧光板组成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楞次定律演示器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塑料圆形底座，立杆 金属横杆上有开口环、闭口环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单匝线圈电机原理演示器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使用高磁能积磁体</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变压器原理说明器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1、产品由线圈2件、U型铁芯1件、条形铁轭1件、极掌2件、压板螺钉2件、强阻尼摆1件、弱阻尼摆1件、摆架1件、示教板1件、感应线圈1件、铝环1件、小灯泡5只等组成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2、产品主要部件为金属制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日光灯原理演示器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电感式镇流器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门电路和传感器应用实验箱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与门、或门、非门电路、干簧管、温度传感器、热敏电阻、光敏电阻、感温铁氧体、霍尔元件等应用实验。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电学元件黑箱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三个接点，两个元件(电池、电阻、二极管均可更换)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电谐振演示器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发送：放电距离0.2mm～2mm可调，来顿瓶电容≥500pF；接收：来顿瓶电容≥500pF，可变电容350pF～850pF。</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电磁振荡演示仪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阻尼振荡,等幅振荡,振荡频率与振荡电路的电容 、电感关系</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光具盘</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磁吸附式  正三棱镜*2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潜望镜梯形玻璃砖等腰直角棱镜90°平面反射镜平面反射镜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小双凸透镜小双凹透镜凹凸透镜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大凹凸透镜凹凸透镜f=100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凹面镜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1、产品有凹面镜、支架及底座组成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2、凸透镜直径10cm,底座直径7.5cm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3、产品高20cm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凸面镜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1、产品有凸面镜、支架及底座组成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2、凸透镜直径10cm,底座直径7.5cm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3、产品高20cm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三棱镜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有三棱镜体、托架、支柱、底座各部分。带有底座</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白光的色散与合成演示器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有实验箱体、等边三棱镜、三棱镜架及光屏等部分。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透镜及其应用实验器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有凸透镜、凹透镜、支架、底座组成。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微型物理光学观察器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半导体激光器，光的干涉、多种衍射(单缝、多缝、圆孔、异形孔、单丝、圆屏、刀口等)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光的偏振观察器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起偏片、检偏片 直径6cm，高3.5cm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紫外线作用演示器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由紫外线光灯，日光灯，滤光片等组成，说明紫外线的一些特性及在各个领域中的应用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红外线作用演示器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本仪器分红外线发现实验器、红外线性质说明器和红外线控制器三只仪器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手持直视分光镜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灯长约10cm，直接2.5cm 利用他可对各种发光体的光谱进行分析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光电效应演示器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由面板控制器、指示器的作用D:光源 K:光电管 RP:电压调节旋钮V:电压表uA:电流表等组成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液压机模型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分带压力表和不带表两种类型</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汽油机模型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由1火花塞2进气口3排气口4活塞5气缸6手摇飞轮7连杆8齿轮、凸轮总成9曲轴10接线柱等组成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柴油机模型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由1进气管2排气管3活塞4气缸5飞轮6齿轮总成7底座等组成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磁分子模型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外形为全透明塑料制的长方体，下底中总共安插24枚钢针，排列成4行，每行六枚。钢针上方安放24枚小磁针片，每一枚小磁针片都可以绕着钢针自由转动。 </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离心机械模型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节速器、干燥器、分离器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晶体空间点阵模型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食盐，金刚石，石墨，明矾，石英</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吹动式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蒸汽轮机模型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蒸汽轮机模型演示冲动式蒸汽轮机工作原理及工作过程。利用气源（0.2bar-1bar）(此处可用嘴吹)通过蒸汽轮机模型任意一端吹入，冲击汽轮机的叶片，带动机轴一起转动。也可用手动。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燃气轮机模型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轮机模型演示燃气轮机工作原理及工作过程。利用气源（0.2bar-1bar）(此处可用嘴吹)通过喷口吹入，冲击燃气轮机的叶轮片，带动叶轮转动或者手动演示。通过对叶轮片和透平作不同颜色处理，更便于对燃气轮机的理解。</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高压输变电模拟演示器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发电厂、升压变压器、高压输电线、降压变压器、用户</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机械机构模型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曲柄摇杆机构、双曲柄机构、双摇杆机构、曲柄滑块机构、凸轮机构</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机械传动模型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含齿轮传动、皮带传动、链传动、蜗轮蜗杆传动、摩擦轮传动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一般材料</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性橡胶片、乒乓球、大头针、回形针、橡胶泥、胶帽、泡沫塑料、透明胶带、小蜡烛、灯芯、火柴、塑料板、木板、玻璃板、毛巾、棉布、橡皮筋、气球、塑料袋、塑料薄膜、纸板、坐标纸、图钉、高泡洗衣粉、钢炭(木炭)粉或痱子粉﹑松香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彩色透光片</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由红、绿、蓝三种颜色透光片组成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电珠(小灯泡)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2.5V或3.8V</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晶体和非晶体样品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石英晶体，食盐晶体，云母片，明矾晶体，硫酸铜晶体；玻璃，松香，蜂蜡，沥青，橡胶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滚珠盒</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自行车小滚珠200粒</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演示实验器材</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云母片、电解电容器(25V，470µF～1000µF)、三极管、驻极体话筒、光声控延时开关、100kΩ可变电阻、1kΩ电阻、74LS00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温度报警实验器材套件</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热敏电阻、74LS14、1kΩ可变电阻、蜂鸣器(YMD或HMB)</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防盗报警电路器材套件</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小永磁体、干簧管、74LS14、2.2kΩ电阻、蜂鸣器(YMD或HMB)</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光控开关实验器材套件</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光敏电阻、74LS14、51kΩ可变电阻、发光二极管、330Ω电阻</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测电笔</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氖泡式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一字螺丝刀</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φ3mm或φ6mm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十字螺丝刀</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φ3mm或φ6mm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尖嘴钳</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水平尺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三水泡型，水平面工作长度160mm～250mm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白大褂，纯棉，耐酸碱</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护目镜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防强光，上部衰减10倍～20倍，下部透射比≥75％</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运动与力实验箱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实验器材：铁架台底座(X型组合底座，增加底座的稳定性)、立杆(Φ10*400mm，不锈钢内螺纹)、十字夹(带2个手拧螺丝M8*25mm)、通用夹(夹持调节范围2～75mm、夹持器在平面可调节角度大于180°，夹持部</w:t>
            </w:r>
            <w:r>
              <w:rPr>
                <w:rFonts w:hint="eastAsia" w:ascii="宋体" w:hAnsi="宋体" w:eastAsia="宋体" w:cs="宋体"/>
                <w:i w:val="0"/>
                <w:iCs w:val="0"/>
                <w:color w:val="auto"/>
                <w:sz w:val="21"/>
                <w:szCs w:val="21"/>
                <w:highlight w:val="none"/>
                <w:u w:val="none"/>
                <w:lang w:val="en-US" w:eastAsia="zh-CN" w:bidi="ar"/>
              </w:rPr>
              <w:t xml:space="preserve">位有软木防滑防压内衬，配合十字夹可多角度调节被夹持物)、电火花打点计时器(交流电220±22V，50±2.5Hz；含铅锤、台夹、纸带、复写纸)、牛顿摆(塑料底座，塑料支架+鱼线+实心铁球)、挡风板(厚度2mm)、刻度尺(量程30cm，分度值1mm)、支杆(Φ6*300mm)、钢球(实心不锈钢、直径13mm)、钢球(实心不锈钢、直径20mm)、螺丝刀(十字，带磁性，Φ5*75mm)、滑动件固定螺丝(M4，高度15mm)、M4蝶形螺母、M4螺母、M6螺母、固定块(孔径6.2mm)、固定块短(孔径4.2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练习使用打点计时器；2、用打点计时器测量运动物体的平均速度；3、探究小车速度随时间变化的规律；4、探究加速度与力、质量的关系；5、研究自由下落物体的机械能；6、惯性现象：用运动小车探究惯性下落运动；7、牛顿摆实验；8、研究斜槽末端小球碰撞时的动量守恒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多功能运动学轨道</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导轨(长度1500mm)、运动小车(1辆)、运动小车(蓝色、1辆)、双脚水平调节仪(铝合金)、单脚水平调节仪(铝合金)、光电门固定支架(铝合金、滑轮固定支架(铝合金)、滑轮(轮径67mm)、高头滚花调节脚钉(M6*30)、脚垫(D8*16mm)、紧固螺丝(M6*12mm)、方形螺母(M6)、水平调节仪、大滑动件(</w:t>
            </w:r>
            <w:r>
              <w:rPr>
                <w:rStyle w:val="980"/>
                <w:rFonts w:hint="eastAsia" w:ascii="宋体" w:hAnsi="宋体" w:eastAsia="宋体" w:cs="宋体"/>
                <w:color w:val="auto"/>
                <w:sz w:val="21"/>
                <w:szCs w:val="21"/>
                <w:highlight w:val="none"/>
                <w:lang w:val="en-US" w:eastAsia="zh-CN" w:bidi="ar"/>
              </w:rPr>
              <w:t xml:space="preserve">Φ</w:t>
            </w:r>
            <w:r>
              <w:rPr>
                <w:rStyle w:val="981"/>
                <w:rFonts w:hint="eastAsia" w:ascii="宋体" w:hAnsi="宋体" w:eastAsia="宋体" w:cs="宋体"/>
                <w:color w:val="auto"/>
                <w:sz w:val="21"/>
                <w:szCs w:val="21"/>
                <w:highlight w:val="none"/>
                <w:lang w:val="en-US" w:eastAsia="zh-CN" w:bidi="ar"/>
              </w:rPr>
              <w:t xml:space="preserve">9*50mm)、U型挡光片(间距20mm)、I型挡光片-1(挡光宽度20mm)、I型挡光片-2(挡光宽度40mm)、I型挡光片-3(挡光宽度60mm)、I型挡光片-4(挡光宽度80mm)、挡光片固定底座、5g钩码、5g增码、配重块、细线、木块、纸带固定装置、蝶形螺母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相互作用•力实验箱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不规则薄板（2种）、规则薄板(环形薄板、半圆形薄板、正三角形薄板、三角形薄板、梯形薄板、正方形薄板、长方形薄板、圆形薄板)、小球爬坡装置、圆锥体(Φ50mm，轴长55mm)、铝合金底座(长度200mm)、标尺杆、左标尺、右标尺、圆筒测力计(量程1N、分度值0.02N)、圆筒测力计(量程2.5N、分度值0.05N)、圆筒测力计(量程5N、分度</w:t>
            </w:r>
            <w:r>
              <w:rPr>
                <w:rFonts w:hint="eastAsia" w:ascii="宋体" w:hAnsi="宋体" w:eastAsia="宋体" w:cs="宋体"/>
                <w:i w:val="0"/>
                <w:iCs w:val="0"/>
                <w:color w:val="auto"/>
                <w:sz w:val="21"/>
                <w:szCs w:val="21"/>
                <w:highlight w:val="none"/>
                <w:u w:val="none"/>
                <w:lang w:val="en-US" w:eastAsia="zh-CN" w:bidi="ar"/>
              </w:rPr>
              <w:t xml:space="preserve">值0.1N)、摩擦力滑槽、摩擦板、摩擦块(带挂钩)、滑轮支架(带滑轮及螺丝)、测力计挂杆、钩码(50g*10)、螺旋弹簧组(0.5N/1N/2N/3N/5N)、激光器万向支架(84*95mm，内孔径16mm)、激光笔、槽码(50g)、力的合成分解实验板(一面为430光面金属板、一面为木板)、弹簧(Φ30mm，长度90mm)、立杆、立杆、重锤、测力计挂杆(、弹簧挂杆、平面镜、尺套件(15cm直尺、45度三角尺、60度三角尺、量角器)、配重定位杆、手柄卡件、橡皮筋、金属环(直径5mm)、柱卡扣(直径8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通过平面镜观察桌面的微小形变；2、探究弹簧弹力与形变量的关系；3、静摩擦力的大小随拉力的变化；4、用弹簧测力计探究作用力与反作用力的关系；5、探究互成角度的力的合成规律；6、探究薄板的重心；7、探究共点力的平衡条件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曲线运动实验箱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400mm，不锈钢内螺纹)、立杆(Φ10*412mm，不锈钢外螺纹)、液晶手写板(16寸)、不锈钢球(实心，直径25mm)、弧形轨道(30°圆弧，可连续拼接)、圆周运动速度方向演示器(外径230mm，高度57mm)、参照盘(直径180mm，柄直径10m</w:t>
            </w:r>
            <w:r>
              <w:rPr>
                <w:rFonts w:hint="eastAsia" w:ascii="宋体" w:hAnsi="宋体" w:eastAsia="宋体" w:cs="宋体"/>
                <w:i w:val="0"/>
                <w:iCs w:val="0"/>
                <w:color w:val="auto"/>
                <w:sz w:val="21"/>
                <w:szCs w:val="21"/>
                <w:highlight w:val="none"/>
                <w:u w:val="none"/>
                <w:lang w:val="en-US" w:eastAsia="zh-CN" w:bidi="ar"/>
              </w:rPr>
              <w:t xml:space="preserve">m高度40mm)、转轮(直径52mm，高度55mm)、平抛竖落仪(；含带孔钢球2个、重锤1个)、手摇离心转台、液体离心运动盘(直径120mm，厚度16mm，柄Φ4*56mm)、离心盘(直径160mm)、火箭发射台、注射器(30mL)、注射器(5mL)、条形磁铁(不低于100mT)、释放装置(底座130*40mm,高度85mm)、不锈钢球(空心，Φ24mm)、不锈钢球(空心，Φ20mm)、不锈钢球(实心，Φ15mm)、铁球(实心，Φ15mm)、不锈钢球(实心，Φ10mm)、PP球(实心，Φ10mm)、S钩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可做实验：1、观察做曲线运动物体的速度方向；2、观察钢球的运动轨迹；3、探究平抛运动竖直分运动的特点；4、探究离心运动：液面等。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静电场及其能量实验箱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静电底板、电子起电机(带开关、调谐旋钮、电表指示)、放电手柄、直杆、金属挂杆、电子风轮底座、电子风轮、枕形导体、枕形导体底座、点电荷、平行板、电容器充放电实验器(电容2200uF、50V)、橡胶棒(直径12mm，长度200mm)、玻璃棒(直径12mm，长度200mm)、毛皮、丝绸(真丝)、旋转主体(高度60mm)、旋转支架底座(直径70mm/高度58mm)、K4mm转K4mm香蕉插头导线、鳄鱼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可做实验：1、观察静电感应现象；2、模拟电场线；3、观察尖端放电现象；4、观察电容器的充、放电现象；5、摩擦起电等。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电路及其应用实验箱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实验器材：1号电池盒(可以串联和并联)、电压表(量程0-3V/15V)、电流表(模量程0-0.6A/3A)、单刀单掷开关(闸刀式)、单刀双掷开关(闸刀式)、灯泡座L(纯铜螺口E10)、灯泡座L1(纯铜螺口E10)、灯泡座L2(纯铜螺口E10)、电</w:t>
            </w:r>
            <w:r>
              <w:rPr>
                <w:rFonts w:hint="eastAsia" w:ascii="宋体" w:hAnsi="宋体" w:eastAsia="宋体" w:cs="宋体"/>
                <w:i w:val="0"/>
                <w:iCs w:val="0"/>
                <w:color w:val="auto"/>
                <w:sz w:val="21"/>
                <w:szCs w:val="21"/>
                <w:highlight w:val="none"/>
                <w:u w:val="none"/>
                <w:lang w:val="en-US" w:eastAsia="zh-CN" w:bidi="ar"/>
              </w:rPr>
              <w:t xml:space="preserve">阻R(金属膜电阻，5Ω/10Ω/15Ω，精度1%)、电阻Rx(金属膜电阻，Rx1=20Ω/Rx2=12Ω/Rx3=50Ω，精度1%)、二极管(稳压二极管Si)、直流电机(额定电压：DC5V)、电位器(0-47Ω)、滑动变阻器(20Ω、2A)、电学黑盒(含电阻、二极管、7号电池)、指针式多用电表(含红黑表笔)、简式电阻箱(0～9999Ω)、一字螺丝刀(Φ3*75mm)、钢卷尺(量程200cm、分度值1mm)、螺旋测微器(量程25mm、分度值0.01mm)、灯泡(1.5V0.3A)、灯泡(2.5V0.3A)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研究导体电阻与长度、横截面积及材料的定量关系；2、导体的伏安特性曲线；3、小灯泡的伏安特性曲线；4、长度的测量及测量工具的选用；5、金属丝电阻率的测量；6、练习使用多用电表；7、探究串联电路和并联电路中的电流；8、伏安法测电阻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电磁场•电磁波实验箱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直导线模型、环形线圈、螺线管(含7个圆形线圈)、电池盒(0-6V，带开关；线长20cm)、灵敏电流计(量程±30)、电流磁效应实验器(带换向开关)、单刀单掷开关(闸刀式)、滑动变阻器(20Ω、2A)、司南指南杓、司南方位盘(铁屑(50mL瓶装)、条形磁铁；不低于30mT)、方形线圈、条形磁铁(不低于100mT)、蹄形磁铁(宽55mm*高64mm；不低于60mT)、音叉槌、一字螺丝刀(Φ3*75mm)、毛刷、磁力小车、磁铁(Φ10mm，长度30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可做实验：1、司南与指南针；2、磁铁的相互作用；3、电流的磁效应(奥斯特实验)；4、探究通电直导线周围磁场的分布等。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机械振动•机械波实验箱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w:t>
            </w:r>
            <w:r>
              <w:rPr>
                <w:rFonts w:hint="eastAsia" w:ascii="宋体" w:hAnsi="宋体" w:eastAsia="宋体" w:cs="宋体"/>
                <w:i w:val="0"/>
                <w:iCs w:val="0"/>
                <w:color w:val="auto"/>
                <w:sz w:val="21"/>
                <w:szCs w:val="21"/>
                <w:highlight w:val="none"/>
                <w:u w:val="none"/>
                <w:lang w:val="en-US" w:eastAsia="zh-CN" w:bidi="ar"/>
              </w:rPr>
              <w:t xml:space="preserve">Φ10*412mm，不锈钢外螺纹)、立杆(Φ10*400mm，不锈钢内螺纹)、十字夹(发黑，带2个手拧螺丝M8*25mm)、通用夹(夹持调节范围2～75mm、夹持器在平面可调节角度大于180°，夹持部位有软木防滑防压内衬，配合十字夹可多角度调节被夹持物)、钢卷尺(量程200cm、分度值1mm)、游标卡尺(量程15cm、分度值0.02mm)、电子秒表(金属，最长计时24h，计时精度0.01s，)、单摆组(大钢球1个；小钢球2个；大塑球1个；小塑球1个)、线绳(尼龙，直径6mm，长度10米)、摆的共振演示器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可做实验：1、测量小球振动的周期；2、观察两个小球的振动情况；3、影响单摆周期的因素；4、观察弹簧形成的波；5、演示共振现象等。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光及其应用实验箱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实验器材：光学平面板底座(金属底板</w:t>
            </w:r>
            <w:r>
              <w:rPr>
                <w:rFonts w:hint="eastAsia" w:ascii="宋体" w:hAnsi="宋体" w:eastAsia="宋体" w:cs="宋体"/>
                <w:i w:val="0"/>
                <w:iCs w:val="0"/>
                <w:color w:val="auto"/>
                <w:sz w:val="21"/>
                <w:szCs w:val="21"/>
                <w:highlight w:val="none"/>
                <w:u w:val="none"/>
                <w:lang w:val="en-US" w:eastAsia="zh-CN" w:bidi="ar"/>
              </w:rPr>
              <w:t xml:space="preserve">带磁铁)、光学平面板(金属、可折叠)、凹凸柱面镜(磁吸式)、平面镜(磁吸式)、线光源(红光)、线光源(绿光)、三线激光光源(红光，磁吸式)、电池盒(7号，磁吸式)、方形水盒(磁吸式)、磁吸式固定座、矩形玻璃砖(一面磨砂)、三棱镜(正三角形，边长约32mm，高度约102mm)、等腰直角柱透镜(直角边75mm，等腰直角)、半圆形柱透镜(直径100mm厚15mm)、金属圈(线圈直径40mm，全长约136mm)、激光物理光学实验器(点光源，带开关，滑槽可移动)、接收屏(带刻度)、单缝衍射片(缝宽：0.05/0.1/</w:t>
            </w:r>
            <w:r>
              <w:rPr>
                <w:rFonts w:hint="eastAsia" w:ascii="宋体" w:hAnsi="宋体" w:eastAsia="宋体" w:cs="宋体"/>
                <w:i w:val="0"/>
                <w:iCs w:val="0"/>
                <w:color w:val="auto"/>
                <w:sz w:val="21"/>
                <w:szCs w:val="21"/>
                <w:highlight w:val="none"/>
                <w:u w:val="none"/>
                <w:lang w:val="en-US" w:eastAsia="zh-CN" w:bidi="ar"/>
              </w:rPr>
              <w:t xml:space="preserve">0.2mm)、衍射光栅(0.22mm)、圆孔衍射片(孔径：0.1/1.0/1.5/2.0mm)、圆屏衍射片(直径：0.5/1.0/1.5/2.0mm)、方格衍射片(0.20/0.10/0.05mm)、量角器(半径60mm)、双缝干涉片(缝间距：0.25/0.3/0.45mm)、光纤条(固定板：50*50*2mm，D3*150mm)、光的三原色合成实验器(红绿蓝光三色可调)、刻度尺(量程20cm、分度值1mm)、钢卷尺(量程200cm、分度值1mm)、牛顿环(外径50mm，通光口26mm)、光的偏振观察器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光的反射定律；2、探究光的折射定律；3、测量玻璃的折射率；4、观察全反射现象；5、凸面镜与凹面镜的成像光路；6、光的色散；7、观察光在弯曲的有机玻璃棒中传播的路径；8、演示光的双缝干涉实验；9、用肥皂膜做薄膜干涉实验；10、牛顿环实验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安培力•洛伦兹力实验箱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电池盒(0-3-6V，带开关)、演示电磁继电器(组合式)、左手定则演示器(模块136*92mm，组合式，带换向开关)、旋转液体演示器(含强磁铁、鳄鱼夹、2mm香蕉插头)、电铃(含2mm香蕉插头)、直流电机(模块80*80mm，额定电压：DC5V)、蹄形磁铁(宽55mm*高64mm；不低于60mT)、培养皿(直径60mm)、铅笔芯(2.00mm/HB，90mm*6根)、铜棒(Φ3*68mm)、砂纸、磁流体、阴极射线管(磁效应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可做实验：1、安培力的方向；2、观察电子束在磁场中的偏转；3、电铃的工作原理；4、神奇的磁流体等。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电磁感应•交流电实验箱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实验器材：可拆变压器(铁芯、初线圈、次线圈)、灵敏电流计(量程±30)、电磁驱动演示器(底座</w:t>
            </w:r>
            <w:r>
              <w:rPr>
                <w:rFonts w:hint="eastAsia" w:ascii="宋体" w:hAnsi="宋体" w:eastAsia="宋体" w:cs="宋体"/>
                <w:i w:val="0"/>
                <w:iCs w:val="0"/>
                <w:color w:val="auto"/>
                <w:sz w:val="21"/>
                <w:szCs w:val="21"/>
                <w:highlight w:val="none"/>
                <w:u w:val="none"/>
                <w:lang w:val="en-US" w:eastAsia="zh-CN" w:bidi="ar"/>
              </w:rPr>
              <w:t xml:space="preserve">)、阻尼摆(底座)、铜管(外径19mm/内径16mm/管长度250mm，紫铜)、铝管(外径19mm/内径16mm/管长度250mm，铝)、塑料管(外径19mm/内径16mm/管长度250mm，亚克力管)、楞次定律演示器(含底座、支柱、开口铝环、闭口铝环)、条形磁铁(不低于100mT)、原副线圈(原线圈、副线圈、铁芯)、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可做实验：1、楞次定律；2、电磁阻尼-磁环的下落；3、观察铝框的运动；4、磁场中的金属摆等。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传感器原理实验箱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实验器材：电学实验底板、直导线(模块40*40mm，插拔式)、直角导线(插拔式)、</w:t>
            </w:r>
            <w:r>
              <w:rPr>
                <w:rFonts w:hint="eastAsia" w:ascii="宋体" w:hAnsi="宋体" w:eastAsia="宋体" w:cs="宋体"/>
                <w:i w:val="0"/>
                <w:iCs w:val="0"/>
                <w:color w:val="auto"/>
                <w:sz w:val="21"/>
                <w:szCs w:val="21"/>
                <w:highlight w:val="none"/>
                <w:u w:val="none"/>
                <w:lang w:val="en-US" w:eastAsia="zh-CN" w:bidi="ar"/>
              </w:rPr>
              <w:t xml:space="preserve">T型导线(插拔式)、单孔插头(插拔式，插孔4mm，红)、单孔插头(插拔式，插孔4mm，黑)、单孔插头(插拔式，插孔4mm，绿)、单孔直角插头(插拔式，插孔4mm，红)、单孔直角插头(插拔式，插孔4mm，黑)、双孔插头(插拔式，插孔2mm，黑/红)、电阻(插拔式，金属膜电阻，100Ω)、电阻(插拔式，金属膜电阻，330Ω)、光敏电阻(插拔式，LDR)、热敏电阻(插拔式，NTC)、热敏电阻(插拔式，PTC)、晶体三极管(插拔式，S9014)、晶体三极管(模块40*40mm，插拔式，S8050)、灯泡座(插拔式，</w:t>
            </w:r>
            <w:r>
              <w:rPr>
                <w:rFonts w:hint="eastAsia" w:ascii="宋体" w:hAnsi="宋体" w:eastAsia="宋体" w:cs="宋体"/>
                <w:i w:val="0"/>
                <w:iCs w:val="0"/>
                <w:color w:val="auto"/>
                <w:sz w:val="21"/>
                <w:szCs w:val="21"/>
                <w:highlight w:val="none"/>
                <w:u w:val="none"/>
                <w:lang w:val="en-US" w:eastAsia="zh-CN" w:bidi="ar"/>
              </w:rPr>
              <w:t xml:space="preserve">E10螺口灯座)、电位器(插拔式，0～100KΩ)、单刀单掷开关(插拔式)、直流电机(插拔式，DC5V)、电磁继电器(插拔式)、74LS14集成电路模块(插拔式，74LS14)、热敏电阻PTC、热敏电阻NTC、数字式多用电表；旋钮式开关，位于表中央；三位半数字液晶显示，12mm字高；含“COM”端、“VΩmA”端、“10A”端；测量直流电压、直流电流、交流电压、电阻、三极管hFE、二极管和蜂鸣)、电池盒(0-6V，带开关；线长20cm)、激光笔、圆柱形磁铁(φ10*35mm)、灯泡(6.0V，0.5A)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干簧管的特性；2、观察光敏电阻的特性；3、观察热敏电阻的特性；4、制作简单的自动控制装置：门窗防盗报警装置；5、制作简单的自动控制装置：光控开关；6、制作简单的自动控制装置：温度报警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分子动理论实验箱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油膜实验器(含痱子粉、油酸、1mL塑料注射器)、烧杯(玻璃，250mL)、量筒(玻璃，25mL)、长颈漏斗(口径50mm，管长140mm)、内聚力演示器(含扳动杆和刮削器)、伽尔顿板演示器、漏斗(外径约39mm)、钢珠(50ml塑料瓶，φ2mm)、培养皿(玻璃；直径100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可做实验：1、观察液体混合后体积的变化；2、气体的扩散实验；3、液体的扩散实验；4、探究影响扩散速度的主要因素等。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固体•液体•气体实验箱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实验器材：铁架台底座(X型组合底座，增加底座的稳定性)、立杆(φ10*400mm，银白色，不锈钢内螺纹)、立杆(φ10*412mm，银白色，不锈钢外螺纹)、立杆(φ10*250mm，银白色</w:t>
            </w:r>
            <w:r>
              <w:rPr>
                <w:rFonts w:hint="eastAsia" w:ascii="宋体" w:hAnsi="宋体" w:eastAsia="宋体" w:cs="宋体"/>
                <w:i w:val="0"/>
                <w:iCs w:val="0"/>
                <w:color w:val="auto"/>
                <w:sz w:val="21"/>
                <w:szCs w:val="21"/>
                <w:highlight w:val="none"/>
                <w:u w:val="none"/>
                <w:lang w:val="en-US" w:eastAsia="zh-CN" w:bidi="ar"/>
              </w:rPr>
              <w:t xml:space="preserve">，不锈钢内螺纹)、立杆(φ10*262mm，银白色，不锈钢外螺纹)、十字夹(55*30*30mm，发黑，带2个手拧螺丝M8*25mm)、通用夹(夹持调节范围2～75mm、夹持器在平面可调节角度大于180°，夹持部位有软木防滑防压内衬，配合十字夹可多角度调节被夹持物)、铁环(环径130mm)、铁环(环径50mm)、酒精灯(玻璃，150mL)、石棉网(150*150mm)、烧杯(玻璃，800mL)、注射器(100ml，螺口)、温度计(-20℃～110℃，带挂孔)、毛细现象实验器(含五种不同规格的毛细玻璃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可做实验：1、探究气体等温变化的规律；2、探究气体等容变化的规律；3、观察玻璃和云母片上石蜡熔化区域的形状；4、“浮”在水面上的硬币等。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热力学定律实验箱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300mm，银白色，不锈钢内螺纹)、十字夹(发黑，带2个手拧螺丝M8*25mm)、通用夹(夹持调节范围2～75mm、夹持器在平面可调节角度大于180°，夹持部位有软木防滑防压内衬，配合十字夹可多角度调节被夹持物)、烧杯(玻璃，250mL)、空气压缩引火仪(底座直径66mm，主体高度158mm；含凡士林、备用圈、脱脂棉)、热传导观察装置(含铜片、铝片、锌片、锌铜合金、铁片)、饮水鸟、两用气筒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可做实验：1、通过做功改变物体的内能；2、观察橡胶塞跳出时瓶内的变化；3、探究饮水鸟的奥秘等。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太阳能探究实验箱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太阳能实验板(器材放置区；含两个15mm太阳能装置定位孔；一个9mm光源定位孔)、太阳能装置(主体含旋钮式开关，可控制光源亮度；四块独立太阳能电池板，电池板装置角度可旋转调节，含2mm香蕉插头)、光源(总长400mm，线长不低于260mm，含12V50W热光源)、挡光板1(可遮</w:t>
            </w:r>
            <w:r>
              <w:rPr>
                <w:rFonts w:hint="eastAsia" w:ascii="宋体" w:hAnsi="宋体" w:eastAsia="宋体" w:cs="宋体"/>
                <w:i w:val="0"/>
                <w:iCs w:val="0"/>
                <w:color w:val="auto"/>
                <w:sz w:val="21"/>
                <w:szCs w:val="21"/>
                <w:highlight w:val="none"/>
                <w:u w:val="none"/>
                <w:lang w:val="en-US" w:eastAsia="zh-CN" w:bidi="ar"/>
              </w:rPr>
              <w:t xml:space="preserve">挡1/4长度单片太阳能电池)、挡光板2(可遮挡1/2长度单片太阳能电池)、挡光板3(可遮挡全部单片太阳能电池，)、负载模块(电动机2.0V/30mA，电灯泡1.5V/30mA；2mm香蕉插头)、负载模块(电阻器0～100Ω，十圈；2mm香蕉插头)、储能模块(充电电池1.2V 6.5mAh；金电容最大2.7V 10F)、数字式多用电表(旋钮式开关，位于表中央；三位半数字液晶显示，12mm字高；含“COM”端、“VΩmA”端、“10A”端；测量直流电压、直流电流、交流电压、电阻、三极管hFE、二极管和蜂鸣)等。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用太阳能电池发电带动用电器工作的实验；2、探究在不同阴影下太阳能电池的电压实验；3、学会测量不同照度下的太阳能电池的电压和电流实验；4、探究由于光源入射角的不同太阳能电池产生的电压实验；5、探究太阳能电池的串联和并联实验；6、探究充电电池或电容对用电器的放电实验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风能探究实验箱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实验器材：风能实验板(风力发电机定位柱)、风机，含带刻度调谐旋钮、DC电源插口母座5.5*2.1mm；鼓风机 DC12V 1.8A 22.0W)、风罩(带强磁铁，含扇叶定位角度)、风力发电机(含2mm香蕉插头；轮毂上含六个扇</w:t>
            </w:r>
            <w:r>
              <w:rPr>
                <w:rFonts w:hint="eastAsia" w:ascii="宋体" w:hAnsi="宋体" w:eastAsia="宋体" w:cs="宋体"/>
                <w:i w:val="0"/>
                <w:iCs w:val="0"/>
                <w:color w:val="auto"/>
                <w:sz w:val="21"/>
                <w:szCs w:val="21"/>
                <w:highlight w:val="none"/>
                <w:u w:val="none"/>
                <w:lang w:val="en-US" w:eastAsia="zh-CN" w:bidi="ar"/>
              </w:rPr>
              <w:t xml:space="preserve">叶定位孔，扇叶可成90°/120°/180°排列，可用M4*5mm内六角紧定螺丝固定)、直扇叶、弯扇叶(有弧度)、负载模块(电动机2.0V/30mA，电灯泡1.5V/30mA；2mm香蕉插头)、负载模块(电阻器0～100Ω，单圈；2mm香蕉插头)、储能模块(充电电池1.2V 6.5mAh；金电容最大2.7V 10F)、数字式多用电表(旋钮式开关，位于表中央；三位半数字液晶显示，12mm字高；含“COM”端、“VΩmA”端、“10A”端；测量直流电压、直流电流、交流电压、电阻、三极管hFE、二极管和蜂鸣)等。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可做实验：1、探究由于旋翼类型不同决定风力发电机的电压问题；2、探究由于风力位置/角度的不同决定的风力发电机的电压问题；3、探究充电电池或电容对用电器的放电实验等。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氢能探究实验箱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实验器材：氢能实验板、燃料电池(发电性能：≥0.3A 0.6V)、电解电池(7，电解电压：1.8V～2.2V，电流：≥0.3A)、可再生电池(电解电压：1.8V～2.2V，发电性能：≥0.3A 0.6V，电流：≥0</w:t>
            </w:r>
            <w:r>
              <w:rPr>
                <w:rFonts w:hint="eastAsia" w:ascii="宋体" w:hAnsi="宋体" w:eastAsia="宋体" w:cs="宋体"/>
                <w:i w:val="0"/>
                <w:iCs w:val="0"/>
                <w:color w:val="auto"/>
                <w:sz w:val="21"/>
                <w:szCs w:val="21"/>
                <w:highlight w:val="none"/>
                <w:u w:val="none"/>
                <w:lang w:val="en-US" w:eastAsia="zh-CN" w:bidi="ar"/>
              </w:rPr>
              <w:t xml:space="preserve">.3A)、燃料电池底座、集气筒底座、氢能小车车身(车底含万向轮，车身带两个LED灯，可放置氢集气筒和氧集气筒及可再生电池)、氢集气筒、氧集气筒、负载模块(电动机2.0V/30mA，电灯泡1.5V/30mA；2mm香蕉插头)、负载模块(；电阻器0～100Ω，单圈；2mm香蕉插头)、调压器(电压单圈调节；2mm香蕉插头)、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可做实验：1、探究测量产生气体的体积比实验；2、氢能发电驱动带LED灯的小车运动等。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29、</w:t>
      </w:r>
      <w:r>
        <w:rPr>
          <w:rFonts w:hint="eastAsia" w:ascii="宋体" w:hAnsi="宋体" w:eastAsia="宋体" w:cs="宋体"/>
          <w:b/>
          <w:bCs/>
          <w:color w:val="auto"/>
          <w:sz w:val="21"/>
          <w:szCs w:val="21"/>
          <w:highlight w:val="none"/>
        </w:rPr>
        <w:t xml:space="preserve">化学实验仪器</w:t>
      </w:r>
      <w:r/>
    </w:p>
    <w:tbl>
      <w:tblPr>
        <w:tblStyle w:val="741"/>
        <w:tblW w:w="10031" w:type="dxa"/>
        <w:tblInd w:w="-35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614"/>
        <w:gridCol w:w="5685"/>
        <w:gridCol w:w="653"/>
        <w:gridCol w:w="697"/>
        <w:gridCol w:w="662"/>
      </w:tblGrid>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实验室取放物品时使用的仪器小车。2、仪器车规格不小于600mm×400mm×800mm,分2层，层间距不小于300mm。3、车架用直径不小于φ25mm、壁厚不小于1mm的不锈钢管制成，架高不低于800mm。4、车架脚安装有不小于φ80mm、厚20mm转动灵活的万向轮，带制动装置。5、车隔板为不薄于1mm的不锈钢板制成，四周安装有挡栏。6、整车安装好后应载重100Kg，应运行平稳，不得变形、摇晃、松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酒精喷灯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1、产品由壶体、预热杯、喷火管、火苗调节杆等组成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2、产品整体为铜制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实验用品提篮</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可固定试管、试剂瓶等仪器，底部有抽屉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方座支架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方座支架附烧瓶夹一只，大小铁环各一只，垂直夹二只，平行夹一只。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三脚架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采用碳钢或φ6mm冷拉钢材造，三脚均布，高度不小于156mm，三脚内接圆直径不小于120mm。2. 上支承环平整，直径＞80mm。3. 三支撑脚与圆环间焊接牢靠，分布均匀，焊点光滑、平稳，三脚及支承环钢材直径不小于6mm，表面经酸洗，磷化后喷塑或喷黑色防锈、耐热强化漆。4. 表面不应有明显的凹痕、裂缝、变形等缺陷；表面涂镀层应均匀，不应起泡、龟裂、脱落和磨损；不应有锈蚀及其他机械损伤。</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泥三角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1、产品为陶制泥三角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2、三个空心陶泥管用铅丝连接成三角形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1、产品为棒式水银温度计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2、测量范围：0℃～200℃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数字测温计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-50℃～+150℃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密度＞1 g/cm</w:t>
            </w:r>
            <w:r>
              <w:rPr>
                <w:rFonts w:hint="eastAsia" w:ascii="宋体" w:hAnsi="宋体" w:eastAsia="宋体" w:cs="宋体"/>
                <w:i w:val="0"/>
                <w:iCs w:val="0"/>
                <w:color w:val="auto"/>
                <w:sz w:val="21"/>
                <w:szCs w:val="21"/>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密度＜1 g/cm</w:t>
            </w:r>
            <w:r>
              <w:rPr>
                <w:rFonts w:hint="eastAsia" w:ascii="宋体" w:hAnsi="宋体" w:eastAsia="宋体" w:cs="宋体"/>
                <w:i w:val="0"/>
                <w:iCs w:val="0"/>
                <w:color w:val="auto"/>
                <w:sz w:val="21"/>
                <w:szCs w:val="21"/>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酸度计(pH计)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测量范围：pH 0～14，分辨率：0.1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原电池实验器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本仪器由：塑料槽一个、铜电极一个、锌电极一个。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贮气装置</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实验室设备，用于收集、贮存气体。由底座、手柄、支架、气球嘴、锁紧螺母、贮气球、气嘴、气嘴阀门、气胆阀门、手压球各部分组成。气球嘴、气嘴应紧固、牢靠,在使用中不得产生松动现象。气嘴阀门、气胆阀门的耐磨性能好，气密性良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溶液导电演示器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适用于化学教学中电解质溶液实验(发光二极管显示)。由盛装电解质溶液的缸体、碳棒电板及演示屏等构成。演示屏上有电源连线柱，并有显示电解质导电强弱的指示装置。同时演示的电解质品种不少于五种。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微型溶液导电实验器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金属电极，笔式，所需溶液不超过3mL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气体实验微型装置</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以微型玻璃仪器为主,能完成氧气、氢气、二氧化碳、一氧化碳、氯气、氨气、二氧化硫、硫化氢、一氧化氮、二氧化氮等十几种气体的制备和性质实验,反应容器一般不超过30mL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二氧化氮球</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双球，内封NO</w:t>
            </w:r>
            <w:r>
              <w:rPr>
                <w:rFonts w:hint="eastAsia" w:ascii="宋体" w:hAnsi="宋体" w:eastAsia="宋体" w:cs="宋体"/>
                <w:i w:val="0"/>
                <w:iCs w:val="0"/>
                <w:color w:val="auto"/>
                <w:sz w:val="21"/>
                <w:szCs w:val="21"/>
                <w:highlight w:val="none"/>
                <w:u w:val="none"/>
                <w:vertAlign w:val="subscript"/>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和N</w:t>
            </w:r>
            <w:r>
              <w:rPr>
                <w:rFonts w:hint="eastAsia" w:ascii="宋体" w:hAnsi="宋体" w:eastAsia="宋体" w:cs="宋体"/>
                <w:i w:val="0"/>
                <w:iCs w:val="0"/>
                <w:color w:val="auto"/>
                <w:sz w:val="21"/>
                <w:szCs w:val="21"/>
                <w:highlight w:val="none"/>
                <w:u w:val="none"/>
                <w:vertAlign w:val="subscript"/>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O</w:t>
            </w:r>
            <w:r>
              <w:rPr>
                <w:rFonts w:hint="eastAsia" w:ascii="宋体" w:hAnsi="宋体" w:eastAsia="宋体" w:cs="宋体"/>
                <w:i w:val="0"/>
                <w:iCs w:val="0"/>
                <w:color w:val="auto"/>
                <w:sz w:val="21"/>
                <w:szCs w:val="21"/>
                <w:highlight w:val="none"/>
                <w:u w:val="none"/>
                <w:vertAlign w:val="subscript"/>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分子扩散实验仪</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通过颜色变化展示气体扩散过程，具有良好的视觉效果。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实验管为塑料材质（P.S），可防止实验事故的发生。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实验管背景色为黑色，易于进行观察。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很短的时间就可以观察到实验结果。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分子扩散实验仪，1ml注射器（2个），试剂（自备，2个，盐酸，氨水）。</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电解套件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本实验装置可以进行多种电解实验：电解水、氢氧混合爆炸（氢气火箭）、电解CuCl2溶液、电解KI和酚酞混合溶液、电解NaOH、氢燃料电池原理等。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1、利用9V电池作为电源进行电解，电解方式更加方便，安全。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2、反应容器小巧，试剂使用量少，气体收集时间短，可以定量收集生成的气体，并可直接用于其它实验。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3、使用铂（Pt）电极，产生的H2和O2体积比2:1.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4、使用碳电极电解，产生的H2和O2可形成燃料电池。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5、试剂配备齐全。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放电反应实验仪</w:t>
            </w:r>
            <w:r/>
          </w:p>
        </w:tc>
        <w:tc>
          <w:tcPr>
            <w:tcBorders>
              <w:top w:val="single" w:color="000000" w:sz="4" w:space="0"/>
              <w:left w:val="single" w:color="000000" w:sz="4" w:space="0"/>
              <w:bottom w:val="single" w:color="000000" w:sz="4" w:space="0"/>
              <w:right w:val="single" w:color="000000" w:sz="4" w:space="0"/>
            </w:tcBorders>
            <w:tcW w:w="5685" w:type="dxa"/>
            <w:vAlign w:val="bottom"/>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通电两分钟之内即有氮气与氧气反应的现象，消耗功率不大于30W</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光化学实验演示器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能演示甲烷与氯气的反应</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炼铁高炉模型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由炉喉、炉身、炉腹、炉缸等5部分组成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演示用，氢原子球直径不小于23mm，其他原子球直径不小于30mm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由连接棒跟连接球组成，连接球不少于30个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金刚石结构模型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石墨结构模型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碳-60结构模型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氯化钠晶体结构模型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碳的同素异形体结构模型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包括金刚石、石墨、碳-60三种结构模型；小型，球管式，可拆卸</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氯化铯晶体结构模型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球直径不小于25mm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二氧化硅晶体结构模型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球直径不小于25mm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电子云杂化轨道模型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S、SP、SP</w:t>
            </w:r>
            <w:r>
              <w:rPr>
                <w:rFonts w:hint="eastAsia" w:ascii="宋体" w:hAnsi="宋体" w:eastAsia="宋体" w:cs="宋体"/>
                <w:i w:val="0"/>
                <w:iCs w:val="0"/>
                <w:color w:val="auto"/>
                <w:sz w:val="21"/>
                <w:szCs w:val="21"/>
                <w:highlight w:val="none"/>
                <w:u w:val="none"/>
                <w:vertAlign w:val="superscript"/>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、SP</w:t>
            </w:r>
            <w:r>
              <w:rPr>
                <w:rFonts w:hint="eastAsia" w:ascii="宋体" w:hAnsi="宋体" w:eastAsia="宋体" w:cs="宋体"/>
                <w:i w:val="0"/>
                <w:iCs w:val="0"/>
                <w:color w:val="auto"/>
                <w:sz w:val="21"/>
                <w:szCs w:val="21"/>
                <w:highlight w:val="none"/>
                <w:u w:val="none"/>
                <w:vertAlign w:val="superscript"/>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、Px、Py、Pz</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气体摩尔体积模型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模型采用拆装式，由1气体摩尔体积正方体组成厚度为2mm的透明有机玻璃构成，再用专门设计的透明塑料角联结。</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沸腾焙烧炉模型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化学教学模型，供化学讲解沸腾焙烧过程用，模型整体采用玻璃钢材质。结构：由外筒,炉膛,进出气口等组成。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硫酸接触室模型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化学教学模型，供化学讲解硫酸接触过程用。玻璃钢材质，由气体进气口,热交接器,架板,花板组成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氨合成塔模型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化学教学模型，供化学讲解氨合成过程用。玻璃钢材质，外筒.内件和电加热器组成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炼钢转炉模型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由炉喉、炉身、炉腹、炉缸等5部分组成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金属矿物、金属及合金标本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各类不少于5种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原油常见馏分标本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不少于8种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合成有机高分子材料标本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不少于10种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新型无机非金属材料标本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氧化铝陶瓷、氮化硅陶瓷、光导纤维等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复合材料标本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不少于5种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1、产品玻璃量杯和塑料底座组成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1、产品为玻璃制滴定管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2、产品规格：酸式，25mL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1、产品为玻璃制滴定管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2、产品规格：碱式，25mL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2、产品规格：φ15mm×150mm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2、产品规格：φ18mm×180mm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2、产品规格：φ20mm×200mm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具支试管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2、产品规格：φ18mm×180mm，支管直径7-8mm,长度不小于18mm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具支试管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2、产品规格：φ20mm×200mm，支管直径7-8mm,长度不小于18mm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φ25mm×300mm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Y形试管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圆底，长颈，250mL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圆底，短颈，厚口 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平底，长颈，250mL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锥形瓶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锥形瓶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蒸馏烧瓶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1、产品为高硼硅玻璃制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2、产品容量为250ml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三口烧瓶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1、产品为高硼硅玻璃制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2、产品容量为250ml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酒精灯主体为高硼硅玻璃制造，容积为150ml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冷凝器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直形，300mm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牛角管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1、产品为玻璃制牛角管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2、产品规格：弯形，φ18mm×150mm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2、产品最大口径为60mm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分液漏斗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1、产品为玻璃制分液漏斗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2、产品规格：锥形，100mL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分液漏斗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1、产品为玻璃制分液漏斗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2、产品规格：球形，50mL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T形管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φ7mm～8mm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Y形管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φ7mm～8mm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活塞</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活塞</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125mL，附毛玻璃片</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250mL，附毛玻璃片</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500mL，附毛玻璃片</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2、产品容量：60mL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2、产品容量：1000mL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称量瓶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1、产品为高硼硅玻璃制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2、产品容量φ25mm×40mm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坩埚</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1、产品由坩埚和盖子组成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2、产品为瓷制，坩埚容量30ml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坩埚钳</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1、产品由直径5mm圆钢制造，总长度≥200mm。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2、钳子光滑、平整、无缺陷。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3、钳子的夹持端为弯头，端头有齿纹，便于夹住物体吻合一致。</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1、产品由直径5mm圆钢制造，总长度≥260mm。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2、产品光滑、平整、无缺陷。</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镊子</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材质：不锈钢。具有弹性不易变形。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木质，带有弹簧夹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水止皮管夹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产品为金属制，弹簧式，表面镀锌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螺旋皮管夹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产品为金属制，螺旋式，表面镀锌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石棉网</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1、产品由钢丝网和石棉组成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2、钢丝网尺寸为125*125mm，石棉直径不小于80mm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隔热网</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环保型，功能与石棉网相同，隔热材料不是石棉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燃烧匙</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药匙</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每组大中小三只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φ5mm～φ6mm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φ7mm～φ8mm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φ3mm～φ4mm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φ5mm～φ6mm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软胶塞</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0号～12号</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橡胶管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spacing w:line="240" w:lineRule="auto"/>
              <w:widowControl/>
              <w:rPr>
                <w:rFonts w:hint="eastAsia"/>
                <w:color w:val="auto"/>
                <w:highlight w:val="none"/>
              </w:rPr>
            </w:pPr>
            <w:r>
              <w:rPr>
                <w:rFonts w:hint="eastAsia" w:ascii="宋体" w:hAnsi="宋体" w:eastAsia="宋体" w:cs="宋体"/>
                <w:i w:val="0"/>
                <w:iCs w:val="0"/>
                <w:color w:val="auto"/>
                <w:sz w:val="21"/>
                <w:szCs w:val="21"/>
                <w:highlight w:val="none"/>
                <w:u w:val="none"/>
                <w:lang w:val="en-US" w:eastAsia="zh-CN" w:bidi="ar"/>
              </w:rPr>
              <w:t xml:space="preserve">天然橡胶制，内径为7～8mm，壁厚1mm，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乳胶管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天然乳胶，医用标准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试管刷</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铁线、猪鬃绳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烧瓶刷</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铁线、猪鬃绳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滴定管刷</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铁线、猪鬃绳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表面皿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1、产品为玻璃制，呈曲面状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2、产品直径60mm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研钵</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1、产品由研钵和杵组成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2、产品为瓷制，上口直径不低于60mm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蒸发皿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1、产品为带嘴陶瓷蒸发皿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2、直径不小于60mm，厚度不小于2mm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反应板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1、产品为瓷制反应板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2、产品上有六个穴</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井穴板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9孔，0.7mL×9</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塑料多用滴管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白金丝</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φ0.5mm×50mm；可拆卸</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高中化学实验材料</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小刀、棉花、木炭、火柴、蜡烛、剪刀、焊锡、炭棒、导线、电灯泡、木板、电池、电珠、砂纸等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份</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防酸碱</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护目镜</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侧面完全遮挡</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防护面罩</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可提供颈部和头部保护</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防毒口罩</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有活性炭</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耐酸</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简易急救箱</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配置内容:1、医用脱脂纱布2、碘伏棉棒　3、呼吸面罩4、一次性使用橡胶检查手套5、圆头剪刀6、卡扣式止血带7、瞬冷冰袋8、三角绷带9、医用弹性绷带10、弹力网帽11、医用胶带　12、急救毯13、敷料镊子14、创可贴15、安全别针16、电子体温计17、烧伤敷料18、医用夹板19、手电筒20、口哨21、医用脱脂纱布口罩22、自粘伤口敷料23、颈托24、安全火柴25、热敷袋　26、晕车贴　27、清洁湿巾　28、急救手册29、急救知识光盘30、外包　31、配置清单</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实验防护屏</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透明有机材料，带有底座，三面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元素及其化合物实验箱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镊子、表面皿、泥三角、坩埚、酒精灯、250mL烧杯、100mL烧杯、胶头滴管、试管（小）、玻璃棒、药匙、红液温度计、试管夹、试管（大）、120°弯管、长直角玻璃管、口部具支试管、短直角玻璃管、止水皮管夹、玻璃导管、圆底烧瓶、10mL量筒、石棉网、漏斗、蒸发皿、坩埚钳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钠；2、钠在空气中加热；3、钠与水的反应；4、过氧化钠与水的反应；5、观察碳酸钠和碳酸氢钠；6、加热碳酸钠和碳酸氢钠；7、氢气在氯气中燃烧；8、探究次氯酸的漂白性；9、氯离子的检验；10、探究氢氧化铁和氢氧化亚铁的性质；11、铁离子的检验；12、铁离子与亚铁离子之间的相互转化；13、利用覆铜板制作图案；14、检验食品中的铁元素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有机化学实验箱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试管（大）、酒精灯、250mL烧杯、100mL烧杯、50mL烧杯、120°弯管、短直角玻璃管、长直角玻璃管、胶头滴管、石棉网、药匙、试管夹、坩埚钳、10mL量筒、镊子、漏斗、玻璃棒、球型分液漏斗、圆底烧瓶、口部具支试管、红液温度计、研钵、秒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可做实验：1、甲烷与氯</w:t>
            </w:r>
            <w:r>
              <w:rPr>
                <w:rFonts w:hint="eastAsia" w:ascii="宋体" w:hAnsi="宋体" w:eastAsia="宋体" w:cs="宋体"/>
                <w:i w:val="0"/>
                <w:iCs w:val="0"/>
                <w:color w:val="auto"/>
                <w:sz w:val="21"/>
                <w:szCs w:val="21"/>
                <w:highlight w:val="none"/>
                <w:u w:val="none"/>
                <w:lang w:val="en-US" w:eastAsia="zh-CN" w:bidi="ar"/>
              </w:rPr>
              <w:t xml:space="preserve">气的反应；2、探究乙烯的化学性质；3、乙烯与溴的加成反应；4、烃的分子结构；5、乙醇与钠的反应；6、乙醇的催化氧化；7、酯化反应；8、葡萄糖的化学性质；9、淀粉与碘的反应；10、蛋白质的化学性质；11、搭建球棍模型认识有机化合物分子结构的特点；12、乙醇、乙酸的主要性质；13、比较钠与水和钠与乙醇的反应；14、重结晶法提纯苯甲酸；15、乙炔的化学性质；16、观察苯是否能与酸性高锰酸钾溶液和溴水反应；17、观察甲苯是否能与酸性高锰酸钾溶液和溴水反应；18、苯酚和甲醛的缩聚反应；19、高吸水性树脂的吸水性能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化学反应原理实验箱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药匙、胶头滴管、玻璃棒、50mL烧杯、100mL烧杯、250mL烧杯、试管夹、10mL量筒、秒表、球型分液漏斗、锥形瓶、长直角玻璃管、短直角玻璃管、圆底烧瓶、止水皮管夹、酒精灯、表面皿、石棉网、U形管、口部具支试管、培养皿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盐酸与镁反应前后溶液的温度变化；2、探究八水合氢氧化钡晶体与氯化铵晶体反应前后固体的温度变化；3、原电池实验；4、简易电池的设计与制作；5、影响化学反应速率的因素；6、化学能转化成电能；7、化学反应速率的影响因素；8、中和反应反应热的测定；9、定性与定量研究影响化学反应速率的因素；10、探究浓度对化学平衡的影响；11、盐类水解的应用；12、简单的电镀实验；13、制作简单的燃料电池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物质及其变化实验箱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实验器材：50mL烧杯、100mL烧杯、250mL烧杯、50mL量筒、10mL量筒、酒精灯、白色点滴板、玻璃棒、药匙、泥三角、镊子、试管夹、研钵、蒸发皿、坩埚等。耗材自备。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可做实验：1、区分溶液和胶体；2、试验物质的导电性；3、离子反应；4、配制100mL 1.00mol/L NaCl溶液；5、配制一定物质的量浓度的溶液；6、碱金属化学性质的比较；7、卤素单质间的置换反应；8、探究晶体的性质；9、明矾晶体的制备；10、探究二氨合银离子的性质等。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通用工具实验箱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after="180" w:afterAutospacing="0"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实验器材：电子天平、升降台、试管架、铁架台底座、铁架台支杆、通用夹、铁三环等。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创新仪器套装实验箱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w:t>
            </w:r>
            <w:r>
              <w:rPr>
                <w:rStyle w:val="982"/>
                <w:rFonts w:hint="eastAsia" w:ascii="宋体" w:hAnsi="宋体" w:eastAsia="宋体" w:cs="宋体"/>
                <w:color w:val="auto"/>
                <w:sz w:val="21"/>
                <w:szCs w:val="21"/>
                <w:highlight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w:t>
            </w:r>
            <w:r>
              <w:rPr>
                <w:rStyle w:val="982"/>
                <w:rFonts w:hint="eastAsia" w:ascii="宋体" w:hAnsi="宋体" w:eastAsia="宋体" w:cs="宋体"/>
                <w:color w:val="auto"/>
                <w:sz w:val="21"/>
                <w:szCs w:val="21"/>
                <w:highlight w:val="none"/>
                <w:lang w:val="en-US" w:eastAsia="zh-CN" w:bidi="ar"/>
              </w:rPr>
              <w:t xml:space="preserve">≥485*370*155mm</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w:t>
            </w:r>
            <w:r>
              <w:rPr>
                <w:rStyle w:val="982"/>
                <w:rFonts w:hint="eastAsia" w:ascii="宋体" w:hAnsi="宋体" w:eastAsia="宋体" w:cs="宋体"/>
                <w:color w:val="auto"/>
                <w:sz w:val="21"/>
                <w:szCs w:val="21"/>
                <w:highlight w:val="none"/>
                <w:lang w:val="en-US" w:eastAsia="zh-CN" w:bidi="ar"/>
              </w:rPr>
              <w:t xml:space="preserve">0.5mm</w:t>
            </w:r>
            <w:r>
              <w:rPr>
                <w:rFonts w:hint="eastAsia" w:ascii="宋体" w:hAnsi="宋体" w:eastAsia="宋体" w:cs="宋体"/>
                <w:i w:val="0"/>
                <w:iCs w:val="0"/>
                <w:color w:val="auto"/>
                <w:sz w:val="21"/>
                <w:szCs w:val="21"/>
                <w:highlight w:val="none"/>
                <w:u w:val="none"/>
                <w:lang w:val="en-US" w:eastAsia="zh-CN" w:bidi="ar"/>
              </w:rPr>
              <w:t xml:space="preserve">厚的</w:t>
            </w:r>
            <w:r>
              <w:rPr>
                <w:rStyle w:val="982"/>
                <w:rFonts w:hint="eastAsia" w:ascii="宋体" w:hAnsi="宋体" w:eastAsia="宋体" w:cs="宋体"/>
                <w:color w:val="auto"/>
                <w:sz w:val="21"/>
                <w:szCs w:val="21"/>
                <w:highlight w:val="none"/>
                <w:lang w:val="en-US" w:eastAsia="zh-CN" w:bidi="ar"/>
              </w:rPr>
              <w:t xml:space="preserve">PVC</w:t>
            </w:r>
            <w:r>
              <w:rPr>
                <w:rFonts w:hint="eastAsia" w:ascii="宋体" w:hAnsi="宋体" w:eastAsia="宋体" w:cs="宋体"/>
                <w:i w:val="0"/>
                <w:iCs w:val="0"/>
                <w:color w:val="auto"/>
                <w:sz w:val="21"/>
                <w:szCs w:val="21"/>
                <w:highlight w:val="none"/>
                <w:u w:val="none"/>
                <w:lang w:val="en-US" w:eastAsia="zh-CN" w:bidi="ar"/>
              </w:rPr>
              <w:t xml:space="preserve">背胶板印刷全套（</w:t>
            </w:r>
            <w:r>
              <w:rPr>
                <w:rStyle w:val="982"/>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张）铭牌，不起皱，不脱落。</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实验器材：离子扩散演示仪、新型启普发生器、不同种类的注射器、透明延长管、燃烧管、双联接头、燃料电池装置、音乐片、</w:t>
            </w:r>
            <w:r>
              <w:rPr>
                <w:rStyle w:val="982"/>
                <w:rFonts w:hint="eastAsia" w:ascii="宋体" w:hAnsi="宋体" w:eastAsia="宋体" w:cs="宋体"/>
                <w:color w:val="auto"/>
                <w:sz w:val="21"/>
                <w:szCs w:val="21"/>
                <w:highlight w:val="none"/>
                <w:lang w:val="en-US" w:eastAsia="zh-CN" w:bidi="ar"/>
              </w:rPr>
              <w:t xml:space="preserve">9V</w:t>
            </w:r>
            <w:r>
              <w:rPr>
                <w:rFonts w:hint="eastAsia" w:ascii="宋体" w:hAnsi="宋体" w:eastAsia="宋体" w:cs="宋体"/>
                <w:i w:val="0"/>
                <w:iCs w:val="0"/>
                <w:color w:val="auto"/>
                <w:sz w:val="21"/>
                <w:szCs w:val="21"/>
                <w:highlight w:val="none"/>
                <w:u w:val="none"/>
                <w:lang w:val="en-US" w:eastAsia="zh-CN" w:bidi="ar"/>
              </w:rPr>
              <w:t xml:space="preserve">电池、不同种类的电池扣、碳芯等。</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w:t>
            </w:r>
            <w:r>
              <w:rPr>
                <w:rStyle w:val="982"/>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利用新型启普发生器制备氧气、氢气、二氧化碳；</w:t>
            </w:r>
            <w:r>
              <w:rPr>
                <w:rStyle w:val="982"/>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观察离子扩散；</w:t>
            </w:r>
            <w:r>
              <w:rPr>
                <w:rStyle w:val="982"/>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观察生成沉淀的离子反应；</w:t>
            </w:r>
            <w:r>
              <w:rPr>
                <w:rStyle w:val="982"/>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电解水、氯化铜溶液及滴加酚酞后的碘化钾溶液等。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化工生产实验箱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试管（大）、短直角玻璃管、长直角玻璃管、酒精灯、广口瓶、玻璃导管、试管、硬质玻璃管、药匙、胶头滴管、U形管、250mL烧杯、玻璃棒、250mL锥形瓶、100mL锥形瓶、球型分液漏斗、φ60mm漏斗、表面皿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实验室模拟工业合成氨；2、实验 实验室模拟工业制硫酸（接触法）；3、实验 实验室模拟工业制硝酸（氨氧化法）等。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健康医药实验箱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结合各大版本高中化学课程教材，满足高中化学的课程实验。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实验器材：药匙、10mL量筒、漏斗、50mL烧杯、100mL烧杯、250mL烧杯、50mL量筒、玻璃棒、容量瓶、石棉网、酒精灯、比色管等。耗材自备。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测定加碘食盐中的碘元素；2、实验 对不同水果中维生素C含量进行比较；3、实验 食醋中总酸量的测定；4、实验 制作护肤品等。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环境保护实验箱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结合各大版本高中化学课程教材，满足高中化学的课程实验。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实验器材：单标移液管、洗耳球、10mL量筒、酒精灯、石棉网、坩埚钳、红液温度计、100mL烧杯、250mL烧杯、50mL量筒、药匙、玻璃棒、漏斗、蒸发皿等。耗材自备。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利用废铜屑制备硫酸铜的实验方法改良等。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生物实验仪器 </w:t>
      </w:r>
      <w:r>
        <w:rPr>
          <w:rFonts w:hint="eastAsia" w:ascii="宋体" w:hAnsi="宋体" w:eastAsia="宋体" w:cs="宋体"/>
          <w:color w:val="auto"/>
          <w:sz w:val="21"/>
          <w:szCs w:val="21"/>
          <w:highlight w:val="none"/>
        </w:rPr>
        <w:t xml:space="preserve"> </w:t>
      </w:r>
      <w:r/>
    </w:p>
    <w:tbl>
      <w:tblPr>
        <w:tblStyle w:val="741"/>
        <w:tblW w:w="10070" w:type="dxa"/>
        <w:tblInd w:w="-3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5"/>
        <w:gridCol w:w="992"/>
        <w:gridCol w:w="6306"/>
        <w:gridCol w:w="638"/>
        <w:gridCol w:w="694"/>
        <w:gridCol w:w="665"/>
      </w:tblGrid>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实验室取放物品时使用的仪器小车。2、仪器车规格不小于600mm×400mm×800mm,分2层，层间距不小于300mm。3、车架用直径不小于φ25mm、壁厚不小于1mm的不锈钢管制成，架高不低于800mm。4、车架脚安装有不小于φ80mm、厚20mm转动灵活的万向轮，带制动装置。5、车隔板为不薄于1mm的不锈钢板制成，四周安装有挡栏。6、整车安装好后应载重100Kg，应运行平稳，不得变形、摇晃、松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单目生物电光源显微镜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1、目镜：大视野广角WF16X13mm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2、物镜：4X、10X、40X（弹簧）消色差物镜，4X物镜清晰圆直径≥7.5mm，10X物镜清晰圆直径≥7.4mm、景深范围内像面的偏摆≤0.06mm，40X物镜清晰圆直径≥6.8mm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3、镜筒：单目观察筒，45度倾斜，360度旋转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4、转换器：三孔转换器，保证齐焦，转换器稳定性≤0.025mm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5、载物台：金属平台，平台面积110X120mm，载物台侧向受5N水平方向作用力最大位移≤0.02mm，不重复性≤0.003mm。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6、聚光镜：单片聚光镜，数值孔径N.A0.65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7、光源：LED高亮度光源，带充电功能，亮度可调，可与反光镜互换。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数码液晶显微镜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观察头：铰链式三目观察筒，瞳距调节范围50-75mm。零视度时，左右系统的目镜端面位置差≤0.08mm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2、目镜：带视度补偿，大视场高眼点目镜PL10X，视场18mm。目镜放大率准确度≤±0.43%，双目系统左右视场中心偏差：上下≤0.03mm，左右内侧≤0.02mm，双目系统左右光轴平行度：水平发散≤8，垂直交叉≤6。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3、摄像系统：10.5英寸高清全贴和触摸屏，Android11系统，1600万以上像素；2.4GHz/5GHz双频WIFI 支持WIFI6，USB3.0*2、USB2.0*1、 HDMI、千兆RJ45网口；32G内存。摄影摄像视场清晰范围≥92%，目镜观察与显示屏观察时图像齐焦≤0.013mm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4、物镜：消色差物镜4倍，成像清晰圆直径≥18.5mm,；10倍，成像清晰圆直径≥18.4mm，10倍物镜景深范围内像面的偏摆≤0.01mm ；40倍（弹簧） 成像清晰圆直径≥18.5mm。100倍（弹簧、油）成像清晰圆直径≥18.3mm，物镜放大率准确度≤±0.5%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5、转换器：四孔物镜转换器，转换器稳定性≤0.002mm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移动平台：复合式机械移动载物台140×132mm，低手位同轴调节。带限位装置，具有切片保护功能。移动范围76mm（X）×50（Y）mm，读数0.1mm，载物台侧向受5N水平方向作用力最大位移≤0.012，不重复性≤0.002.用机械使标本在5mmX5mm范围内移动时离焦量≤0.004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7、聚光镜：阿贝式聚光镜N.A1.25（带光栏），粗微调同轴调节，粗调行程≥25mm微调最小读数值0.002mm，微调空回≤0.003mm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8、电源：宽电压超高亮度3WLED光源，寿命长、功耗小、热量低、亮度强、色温高、操作安全；照明系统与观察系统光轴应一致，照明均匀，无一边亮一边暗现象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▲9、（1）4倍物镜成像清晰圆直径≥18.5mm、10倍物镜成像清晰圆直径≥18.4mm、40倍物镜成像清晰圆直径≥18.5mm、100倍物镜成像清晰圆直径≥18.3mm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（2）10倍物镜景深范围内像面的偏摆≤0.01mm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（3）显微镜目镜放大率准确度≤0.42%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（4）显微镜物镜放大准确率≤±0.5%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（5）微调机构空回≤0.003mm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（6）转换器稳定性≤0.002mm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（7）双目系统左右视场像面中心偏差：上下≤0.03mm，左右内侧≤0.02mm，双目系统左右光轴平行度：水平发散≤8，垂直交叉≤6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（8）摄影摄像视场清晰范围≥92%，目镜观察与显示屏观察时图像齐焦≤0.013mm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（9）载物台侧向受5N水平方向作用力最大位移≤0.01mm、不重复性≤0.02mm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（10）用机械使标本在5mmX5mm范围内移动时的离焦量≤0.004mm</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注：需提供第三方检测机构出具的有效检测检验报告（检测检验报告上须含有“CMA”或“CNAS”标志）</w:t>
            </w:r>
            <w:r>
              <w:rPr>
                <w:rFonts w:hint="eastAsia" w:ascii="宋体" w:hAnsi="宋体" w:eastAsia="宋体" w:cs="宋体"/>
                <w:b/>
                <w:bCs/>
                <w:i w:val="0"/>
                <w:iCs w:val="0"/>
                <w:color w:val="auto"/>
                <w:sz w:val="21"/>
                <w:szCs w:val="21"/>
                <w:highlight w:val="none"/>
                <w:u w:val="none"/>
                <w:lang w:val="zh-CN" w:eastAsia="zh-CN" w:bidi="ar"/>
              </w:rPr>
              <w:t xml:space="preserve">。</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放大镜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手持式，有效通光孔径不小于30mm，5倍</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注射器</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1、产品为医用一次性注射器，不含针头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2、产品为5ml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整理箱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矮型，储存及分发药品用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塑料洗瓶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250mL或500mL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三脚架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采用碳钢或φ6mm冷拉钢材造，三脚均布，高度不小于156mm，三脚内接圆直径不小于120mm。2. 上支承环平整，直径＞80mm。3. 三支撑脚与圆环间焊接牢靠，分布均匀，焊点光滑、平稳，三脚及支承环钢材直径不小于6mm，表面经酸洗，磷化后喷塑或喷黑色防锈、耐热强化漆。4. 表面不应有明显的凹痕、裂缝、变形等缺陷；表面涂镀层应均匀，不应起泡、龟裂、脱落和磨损；不应有锈蚀及其他机械损伤。</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托盘天平</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1、产品由底座、横梁、平衡螺母、标尺、游标、指针、刻度盘、托盘和砝码组成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2、产品最大称量值：200g,精度值0.2g</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1、产品为棒式红液温度计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2、测量范围：0℃～100℃，精度值1℃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酸度计(pH计)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测量范围:pH 0～14，分辨率:0.1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始祖鸟化石及复原模型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产品由始祖鸟化石模型和复原模型组成，分别置于底座上，模型应采用硬塑料制作。示头骨、脊柱、肋骨、附肢骨和羽毛印迹，各部形态正确清晰，并显示化石裂缝。 骨化石与石块的颜色应有区别。头骨小而平，上下颌齿槽内具尖锐小齿，眼窝大且有一圈巩膜骨，鼻孔位于前端。示颈椎、胸椎、综荐骨和尾椎，尾椎游离不具尾综骨。示颈肋、胸肋和腹壁肋，肋骨细小无钩</w:t>
            </w:r>
            <w:r>
              <w:rPr>
                <w:rFonts w:hint="eastAsia" w:ascii="宋体" w:hAnsi="宋体" w:eastAsia="宋体" w:cs="宋体"/>
                <w:i w:val="0"/>
                <w:iCs w:val="0"/>
                <w:color w:val="auto"/>
                <w:sz w:val="21"/>
                <w:szCs w:val="21"/>
                <w:highlight w:val="none"/>
                <w:u w:val="none"/>
                <w:lang w:val="en-US" w:eastAsia="zh-CN" w:bidi="ar"/>
              </w:rPr>
              <w:t xml:space="preserve">状突起。前肢骨示肩骨、肱骨、桡骨、尺骨、掌骨和指骨。腕骨和掌骨彼此分离，翼上三指游离且指端具爪。后肢骨示坐骨、耻骨、股骨、胫骨、跗骨客骨、趾骨和爪。趾骨游离向后伸长，足具四趾，三趾向前一指向后。指骨和践骨均匀分布。羽毛示尾羽和飞羽的印迹。始祖鸟复原模型的身体大小和姿态根据化石模型的比例来确定，示头、颈、躯干、尾、翼、足。头部布满鳞片，体被羽毛，尾羽对称排列。头顶平，嘴无喙具齿，鼻孔位于上颌前端。上三指彼此分离，指分节指端具爪。趾分节，三趾向前一趾向后，部与趾均具鳞片。齿着白色，眼、爪、体、底座颜色应有区别。</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细胞亚显微结构模型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本模型使用于动物细胞结构时作为直观教具。PVC材质。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细胞膜结构模型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该模型以目前不较多的人所接受的“磷脂液态馕嵌模型”之原理为依据制作。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脂质分子由呈球状的头和呈丝状的尾组成。头部为亲水端，朝向膜内、外两侧、尾为输水端，朝向内膜中央，从而形成三片层结构。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蛋白质呈不规则的球状，按其功能不同，不封馕嵌于类脂双分子层表面，部分横穿类脂双分子层，其中一个蛋白质分子可活动。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细胞膜流动镶嵌模型组件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本模型适用于生物教学时，讲授电镜下细胞的结构所使用的直观教具。供学生了解细胞的流动镶嵌构造、蛋白质和脂质分子的排列方式。</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减数分裂中染色体变化模型组件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产品包含减数分裂各个时期的染色体不同形态的模型。</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DNA结构模型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双螺旋的表面有两处较明显的两凹下去的槽，一个大且深，一个小且浅。分别称为大沟和小沟。</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DNA双螺旋结构模型组件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四种碱基、脱氧核糖、磷酸彼此分离</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验证基因分离规律玉米标本</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玉米穗</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验证基因自由组合规律玉米标本</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玉米穗</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验证基因连锁与互换规律玉米标本</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玉米穗</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蚕豆叶下表皮装片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标本在80x和200x学生显微镜下观察叶下表皮形态和气孔结构。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能看清不规则形的下表皮细胞，及其胞核和分散在下表皮细胞间的气孔。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能看清正常开放的气孔形态和新月形的保卫细胞、胞核和叶绿体。</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植物细胞有丝分裂</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洋葱根尖纵切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胞间连丝切片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1.标本在400×生物显微镜下观察植物细胞的胞间连丝形态。2.能看清胚乳的多边形厚壁贮藏细胞，认出细胞壁、胞间层和细胞腔。3.能看清许多细小的胞间连丝将两个相邻细胞的原生质体连在一起。</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黑藻叶装片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显示细胞核及叶绿体</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酵母菌装片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1.标本在100x和400x生物显微镜下观察酵母菌的形态。2.酵母菌为单细胞卵圆形。能看清细胞壁、细胞质、细胞核和液泡等。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水绵装片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1.标本在80×和200×学生显微镜下能看清丝状体内圆柱形的营养细胞，位于中央的胞核，呈星芒状的原生质、平立的细胞横壁，作螺旋盘绕的叶绿体呈带状，以及纵列于叶绿体上的蛋白核等。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大肠杆菌涂片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产品整体包装，切片间隔由海绵填充避免磕碰保护切片完整性，标本在80×和200×学生显微镜下，观察大肠杆菌涂片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动物细胞有丝分裂(马蛔虫受精卵切片)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1.在100×和400×生物显微镜下观察动物细胞有丝分裂的各期形态。  2.能看清细胞分裂过程中的三个时期：前期、中期和后期或中期、后期和末期。  3.能看清分裂前的细胞核和分裂各期的中心体（中期和后期显著）、染色体以及卵壳、为宫壁等，纺锤</w:t>
            </w:r>
            <w:r>
              <w:rPr>
                <w:rFonts w:hint="eastAsia" w:ascii="宋体" w:hAnsi="宋体" w:eastAsia="宋体" w:cs="宋体"/>
                <w:i w:val="0"/>
                <w:iCs w:val="0"/>
                <w:color w:val="auto"/>
                <w:sz w:val="21"/>
                <w:szCs w:val="21"/>
                <w:highlight w:val="none"/>
                <w:u w:val="none"/>
                <w:lang w:val="en-US" w:eastAsia="zh-CN" w:bidi="ar"/>
              </w:rPr>
              <w:t xml:space="preserve">体隐约可见。  4.取材于马蛔虫子宫，作子宫的纵切片，材料长度不小于10mm，每张玻片板放材料一片；也可作子宫的横切片，每张玻片放不同部位的横切片2～4片，以保证观察到细胞分裂的各个时期。  5.切片厚度为6μm～8μm。  6.卵和卵壳基本呈圆形，子宫内卵应饱满，卵不得脱出卵壳外，胞核、染色体、中心体着色明显，子官壁完整。  7.标本具有下列一项时为二级品：  7.1 中、后期的中心体色淡，但仍可辨认；  7.2 部分卵壳有凹陷，但不影响观察细胞分裂；  7.3 卵着色过深，但中心体、染色体仍可辨认清楚。</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草履虫分裂生殖装片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1.标本在400x生物显微镜下能看到大核、小核，2.标本取材于人工培养的草履虫，3.标本双层染色</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蝗虫精巢减数分裂切片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产品整体包装，切片间隔由海绵填充避免磕碰保护切片完整性，标本在80×和200×学生显微镜下，观察蝗虫精巢减数分裂</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蛙血涂片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产品整体包装，切片间隔由海绵填充避免磕碰保护切片完整性，标本在80×和200×学生显微镜下，观察蛙血涂片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表皮细胞装片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蛙或蝾螈的表皮细胞</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骨骼肌纵横切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1.取材为哺乳动物的膈肌。 2.横切和纵切的切片厚度均在8μm以内，每张玻片放纵横切片各一片。 3.在纵断面上能看到肌外膜和成束的肌纤维，肌纤维上有明暗相间的横纹，即明带和暗带，在肌膜下可见圆形或长形的胞核。 4.在横断面上能看清肌外膜、肌束膜、肌纤维膜、肌纤维及其胞核和小血管等。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平滑肌分离装片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1.取材于两栖动物或哺乳动物消化管的肌层，去掉粘膜及粘膜下层后做分离装片。 2.细胞应分离适中，形态正常，材料内不得有污物。 3.能看清大部分被分离成单个的长菱形平滑肌细胞，在细胞中部有被染成深色杆状或椭圆状的胞核。 4.在80×和200×学生显微镜下清楚观察平滑肌细胞的形态。</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心肌切片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1.取材为哺乳动物的心脏。 2.切片厚度在8μm以内，材料面积不小于4mm×4mm。 3.在80×和200×学生显微镜下清楚观察心肌的结构。</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运动神经元装片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1.取材为脊髓灰质前角中的运动神经元，能看清运动神经元的细胞体和突起、细胞体内的细胞核、少量的神经纤维和神经胶质的细胞的细胞核，作涂片或分离装片。 2.神经元应分布均匀，形态正常，无破碎现象，在80×镜下，盖玻片中间部分的任一视野内应出现不少于五个运动神经元。 3.在80×和200×学生显微镜下可清楚观察运动神经元的形态。</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胰腺切片(示胰岛)</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产品整体包装，切片间隔由海绵填充避免磕碰保护切片完整性，标本在80×和200×学生显微镜下，观察胰腺切片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正常人染色体装片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1.标本在1000×生物显微镜下，观察46条人染色体; 每组两片，男性、女性各一片。2.应能认出每条染色体含有两条染色单体，借着一个着丝粒彼此连接。3.能认出着丝粒向两端伸展的染色体臂以及区别长臂与短臂并在此基础上认出中央着丝粒，空中央着丝粒，近端着丝粒染色体。4.标本取材于人工培养的正常淋巴系统。5.吉姆萨（Giemsa）染液或醋酸红染色。</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DNA和RAN在细胞中的分布</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产品整体包装，切片间隔由海绵填充避免磕碰保护切片完整性，标本在80×和200×学生显微镜下，观察DNA和RAN在细胞中的分布</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线粒体切片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产品整体包装，切片间隔由海绵填充避免磕碰保护切片完整性标本在80×和200×学生显微镜下，观察线粒体切片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2、容量：25ml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2、容量：100ml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2、产品规格：φ15mm×150mm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酒精灯主体为高硼硅玻璃制造，容积为150ml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漏斗</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2、产品最大口径为60mm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1、产品由滴管和红胶头组成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2、滴管为玻璃制品，长度120mm,直径为7mm～8mm，一端卷边，一端拉尖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3、红胶头为橡胶制品，安上后不易脱落</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比色管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1、产品由比色管和玻璃塞组成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2、比色管最大刻度为25ml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2、产品容量：250mL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试管夹</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木质，带有弹簧夹</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石棉网</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1、产品由钢丝网和石棉组成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2、钢丝网尺寸为125*125mm，石棉直径不小于80mm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药匙</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塑料或木质或金属材料</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φ5mm～6mm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培养皿</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1、产品由高硼硅玻璃制，由上下盖组成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2、上盖直径60mm，壁厚不低于1.5mm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载玻片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规格：25.4mm×76.2mm；厚度：0.8mm～1mm；包装：50片/盒，化学性能稳定。</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盖玻片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20mm×20mm，厚度：0.13mm～0.17mm 包装：50片/盒，化学性能稳定</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防酸碱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急救包</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1、产品包含：普通绷带、弹性绷带、医用胶带、安全别针、剪刀、口对口人工呼吸器、</w:t>
            </w:r>
            <w:r>
              <w:rPr>
                <w:rFonts w:hint="eastAsia" w:ascii="宋体" w:hAnsi="宋体" w:eastAsia="宋体" w:cs="宋体"/>
                <w:i w:val="0"/>
                <w:iCs w:val="0"/>
                <w:color w:val="auto"/>
                <w:sz w:val="21"/>
                <w:szCs w:val="21"/>
                <w:highlight w:val="none"/>
                <w:u w:val="none"/>
                <w:lang w:val="en-US" w:eastAsia="zh-CN" w:bidi="ar"/>
              </w:rPr>
              <w:t xml:space="preserve">止血贴、清洁湿纸巾、纱布片、创口贴、尼龙包；2、普通绷带为白色消毒棉质纱布.3、弹性绷带为白色消毒弹性纱布.成卷状；4、医用胶带为白色胶布或纸胶带，幅宽10±1mm成卷状；5、安全别针：表面镀层完好、无锈迹；6、剪刀剪刃长不小于4cm，且剪刃锋利无缺口，剪体裸露部位无锈迹；7、口对口人工呼吸器洁净无污迹，长度不小于14cm，两端呼吸嘴可自由转动，中部软管可适度弯折；8、止血贴为输液专用型，无菌纸袋封装；9、清洁湿纸巾为无菌塑纸袋封装；10、纱布片为纯棉无菌白色纱布，自封尼龙袋裹装；11、创可贴为无菌创可贴。</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细胞的结构实验箱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实验器材：玻片标本（100片/盒）、载玻片、盖玻片（100片/盒）、100mL烧杯、镊子、酒精灯、解剖剪刀、解剖针等。耗材自备。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使用高倍显微镜观察几种细胞；2、实验 用高倍显微镜观察叶绿体和细胞质的流动；3、探究 细胞的观察和测量等。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细胞的物质基础实验箱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实验器材：试管架、试管（150mm）、培养皿（90mm）、100mL烧杯、试管夹、10mL量筒、分子结构模型等。耗材自备。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检测生物组织中的糖类、脂肪和蛋白质；2、实验活动 观察氨基酸结构模型等。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酶及酶的应用实验箱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实验器材：250mL烧杯、400mL烧杯、试管（150mm）、10mL量筒、300mm温度计、300mm直尺、电子秤、试管夹、注射器等。耗材自备。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影响酶活性的条件；2、实验 比较过氧化氢在不同条件下的分解；3、实验 淀粉酶对淀粉和蔗糖的水解作用；4、探究 探究酶的高效性；5、探究 酵母细胞的固定化等。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探究细胞的代谢实验箱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实验器材：镊子、100mL烧杯、50mL烧杯、研钵（含研棒）、75mm漏斗、175mm剪刀、载玻片、盖玻片（100片/盒）、注射器等。耗材自备。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绿叶中色素的提取和分离；2、实验 探究植物细胞的吸水和失水等。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细胞的增殖实验箱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实验器材：玻片标本（100片/盒）、载玻片、盖玻片（100片/盒）、镊子、剪刀、广口瓶（含塞）、100mL烧杯等。耗材自备。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观察根尖分生区组织细胞的有丝分裂；2、实验 观察蝗虫精母细胞减数分裂装片等。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探究遗传机制实验箱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实验器材：玻片标本（100片/盒）、DNA双螺旋结构模型组件等。耗材自备。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性状分离比的模拟实验；2、实验 建立减数分裂中染色体变化的模型等。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探究进化原因实验箱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实验器材：玻片标本（100片/盒）、300mm直尺、90mm培养皿、酒精灯、100mL烧杯等。耗材自备。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观察染色体变异现象的装片等。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稳态的调节实验箱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实验器材：护目镜、秒表、90mm培养皿、橡皮锤、电子体温计、200mm玻璃棒、解剖针、镊子、50mL量筒、100mL烧杯、50mL烧杯等。耗材自备。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模拟生物体维持pH的稳定；2、探究 观察牛蛙的脊髓反射现象；3、实验活动 运动前后人体呼吸、心率的变化；4、实验活动 血压的测定等。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植物的激素作用实验箱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实验器材：镊子、50mL量筒、100mL烧杯、100mL容量瓶、电子秤等。耗材自备。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探究生长素类调节剂促进枝条生根的最适浓度等。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生物与环境实验箱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实验器材：血球计数板和配套血盖板、放大镜、干湿计、300mm温度计、剪刀、铁架台、通用夹、十字夹、150mm试管、100mL烧杯、铁小环、75mm漏斗、镊子等。耗材自备。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培养液中酵母菌种群数量的变化；2、实验 调查草地中某种双子叶植物的种群密度；3、实验 研究土壤中小动物类群丰富度等。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发酵技术的应用实验箱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实验器材：250mL锥形瓶、250ml烧杯、电子秤、载玻片、盖玻片（100片/盒）、150mm试管、200mm玻璃棒、直角玻璃管（50*100mm）、直角玻璃管（50*200mm）等。耗材自备。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制作传统发酵食品；2、探究 腐乳的制作等。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微生物培养实验箱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实验器材：250mL锥形瓶、250ml烧杯、50ml烧杯、电子秤、150mm试管、酒精灯、75mm漏斗、300mm温度计、移液枪、枪头盒、涂布器等。耗材自备。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土壤中分解尿素的细菌的分离与计数；2、实验 酵母菌的纯培养；3、分解纤维素的微生物的分离等。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植物组培技术实验箱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实验器材：250mL锥形瓶、400ml烧杯、200mm玻璃棒、90mm培养皿、酒精灯、10mL量筒、载玻片、盖玻片（100片/盒）等。耗材自备。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菊花的组织培养；2、探究 胡萝卜的组织培养等。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核酸提取与鉴定实验箱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实验器材：250mL锥形瓶、100ml烧杯、200mm玻璃棒、90mm培养皿、10mL量筒、试管架、75mm漏斗、微量移液枪、枪头盒等。耗材自备。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DNA的提取和鉴定等。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31、</w:t>
      </w:r>
      <w:r>
        <w:rPr>
          <w:rFonts w:hint="eastAsia" w:ascii="宋体" w:hAnsi="宋体" w:eastAsia="宋体" w:cs="宋体"/>
          <w:b/>
          <w:bCs/>
          <w:color w:val="auto"/>
          <w:sz w:val="21"/>
          <w:szCs w:val="21"/>
          <w:highlight w:val="none"/>
        </w:rPr>
        <w:t xml:space="preserve">物理数字化传感器</w:t>
      </w:r>
      <w:r/>
    </w:p>
    <w:tbl>
      <w:tblPr>
        <w:tblStyle w:val="741"/>
        <w:tblW w:w="10234" w:type="dxa"/>
        <w:tblInd w:w="-42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6"/>
        <w:gridCol w:w="1396"/>
        <w:gridCol w:w="5887"/>
        <w:gridCol w:w="694"/>
        <w:gridCol w:w="684"/>
        <w:gridCol w:w="787"/>
      </w:tblGrid>
      <w:tr>
        <w:trPr>
          <w:trHeight w:val="499"/>
        </w:trPr>
        <w:tc>
          <w:tcPr>
            <w:gridSpan w:val="6"/>
            <w:tcBorders>
              <w:top w:val="single" w:color="auto" w:sz="4" w:space="0"/>
              <w:left w:val="single" w:color="auto" w:sz="4" w:space="0"/>
              <w:bottom w:val="single" w:color="auto" w:sz="4" w:space="0"/>
              <w:right w:val="single" w:color="auto" w:sz="4" w:space="0"/>
            </w:tcBorders>
            <w:tcW w:w="102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物理数字化探究仪器【教师端】</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Borders>
              <w:top w:val="single" w:color="auto"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Borders>
              <w:top w:val="single" w:color="auto"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注：▲上述第2、3项，提供第三方检测机构出具的有效检测检验报告（检测检验报告上须含有“CMA”或“CNAS”标志）。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量程一：-50N ～ +50N  分辨率：0.01N，拉力为正，压力为负；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量程二：-10N ～ +10N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五种计时方式：光闸计时，运动计时，单摆计时，光栅计时，滴定计数；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分辨率：10μS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拥有五种计时方式，软件调节计时方式，数据传输端口为USB接口。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量程二：-600mA～+600mA 分辨率：1mA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电压传感器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量程一：-15V ～ +15V 分辨率： 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量程二：-3V ～ +3V 分辨率： 0.002V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量程一：-2000μA ～ +2000μA 分辨率：1μA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量程二：-100μA ～ +100μA  分辨率：0.1μA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量程三：-20μA ～ +20μA 分辨率：0.01μA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量程四：-5μA ～ +5μA 分辨率：0.01μA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拥有四种量程，软件选择量程，数据传输端口为usb接口。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 ～ 1300℃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声振动传感器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量程：-100%～100%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测量频率范围：20Hz～20kHz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声强传感器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量程：30dB ～ 120dB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量程：0Lux～65535Lux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分辨率：1Lux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磁感应强度传感器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量程一：-20mT ～ +20mT 分辨率：0.02mT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量程二：-1mT ～ +1mT 分辨率：0.001mT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量程一：-10N ～ +10N 分辨率：0.01N，拉力为正，压力为负；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 -2N ～ +2N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位移(分体)</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量程：0.2m ～ 3m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远程测距传感器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量程：0.2m ～ 10m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数显模块</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显示屏：1.8寸TFT显示屏，电容式触摸屏；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内置锂电池容量：4.2V，500mAH；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可通过触摸屏进行选择量程和调零的操作。</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无线传输模块</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锂电池容量：500mAH；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传输信号最大无障碍距离：100m；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蓝牙版本：4.0。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拉压式电子秤</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可以测量物体质量，有挂钩、托盘两种测量方式。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G-M计数器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量程：0cpm～40000cpm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 1cpm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专用软件界面，数据传输端口为usb接口。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热辐射传感器 </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双量程传感器，可用于测量物体表面温度或热辐射功率值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▲量程一：-50˚C ～ +150˚C 分辨率：0.01˚C；量程二：0W～2500W 分辨率：0.5W</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电荷传感器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▲量程一：-200nc～+200nc 分辨率：1nc；量程二：-20nc～+20nc 分辨率：0.1nc</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加速度传感器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量程：-8g～+8g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分辨率：0.005g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可显示x、y、z3个方向上加速度的分量。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力/角度传感器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角度为三轴角度传感器，可同时测量x、y、z3个方向上角度的分量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量程：力：-50N ～ +50N，角度：-90° ～ 90°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分辨率：力：0.01N，角度：0.1°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软件可在同一界面实时显示力及3个方向的角度数值。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专用充电器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5V专用充电器，用于数显模块、无线传输模块等设备的充电及数据采集器的供电。</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多用力学轨道</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配置：含1.2m铝合金轨道一条、轨道小车两台、弹簧两根、100克配重片三块、挡光片四片（宽度分别为2、4、6、8cm），能够完成基础型教材高中力学实验及扩展实验，可替代气垫导轨，避免气轨噪声和能耗。可配合光电门传感器、静力传感器、位移分体传感器等使用，适用于匀速直线运动、匀加速直线运动、动量定理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自由落体黑白栅</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中间有均匀的10mm宽挡光片若干，每个挡光片间距为10mm。可配合光电门传感器使用，适用于光电门的光栅挡光实验。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教学放射源</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具有硝酸钍涂层的纱网，安全低辐射。可配合G-M计数器使用，适用于放射源计数率测量。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空气分子间的作用力实验器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由底板、支架、双向活塞筒等构成，可配合静力传感器使用，适用于研究空气分子间的作用力的大小。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玻意尔定律实验器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亚克力材质，外罩、气筒等组成，配有三通阀。可配合气体压强传感器使用，适用于研究和验证玻意尔定律。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查理定律探究实验器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由玻璃质250ml锥形瓶，带孔橡胶塞构成，能密闭插入温度传感器探头和压强传感器探头。可配合温度传感器、压强传感器使用，适用于一定质量理想气体在体积不变情况下温度与压强间的正比关系的验证。</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玻璃导电探究实验器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电学实验板基座200*100mm，1.6mm板厚，嵌入金属丝的玻璃，可插在接线座上的鳄鱼夹。可配合微电流传感器使用，适用于玻璃导电探究实验。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温差电流探究实验器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实验板基座200*100mm，1.6mm板厚，受热传导回路由不同导体组成，回路有两个加热点，都可使用，任选一个加热点，加热后即有了温度差，从而产生了电动势，产生了电流。可配合微电流传感器使用，适用于温差电流探究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电磁铁实验器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由20匝线圈、40匝线圈及电路构成，可配合电流传感器，磁感应强度传感器使用，适用于测量不同匝数相同电流或同一线圈不同电流时线圈产生磁感强度。</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热传导探究实验器（带温度）</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绝热底座，含三种不同材质金属竿，每竿上有位置标度，配有三个环形温度探头，可配合普通温度传感器使用，适用于研究热传导现象。</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焦耳定律实验器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三个量热器组成，每个量热器内配置不同阻值电阻，可搭建出相同电流、不同电阻及相同电阻、不同电流的电路。可配合温度传感器、电流传感器使用，适用于研究电流的热效应与电流、电阻的关系。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金属热膨胀探究实验器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铝型材底座长400 mm，宽90 mm，表面氧化处理，高度为80mm不锈钢材质的立柱一侧带M4通孔，另外一侧不带孔，表面抛光，分界面倒角，260mm长0.7mm直径紫铜丝，两端带有4mm直径拉环的金属丝，50mm长M4螺杆钩，配置M4蝶型螺母，可配合微力传感器使用，适用于金属热膨胀效应。</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电磁感应实验器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由底板、支架、多组线圈、磁体构成。可配合微电流传感器使用，适用于电磁感应定律的定性演示。</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电流与磁力的关系实验器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由底板、支架、电磁铁等构成，电磁铁位置可调。可配合微力传感器和电流传感器等使用，适用于研究电磁铁的电流与磁力的关系。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无极调速摩擦力实验器/二力平衡实验器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由电机与金属支架构成，通过电机拉动物块来实现动、静摩擦力。可配合多用力学轨道实验器、静力传感器、光电门传感器等使用，适用于探究滑动摩擦力、探究最大静摩擦力、二力平衡等实验。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力的相互作用实验器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铝合金结构，可以同时固定两个静力传感器，静力传感器之间有固定双向作用的弹簧，具备调节基座和调节螺栓，保证力传感器作用在同一个物体（弹簧上），并且作用在同一直线上，可配合静力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环形线圈</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高灵敏度、无源、塑壳封装、带屏蔽，线圈切割地磁线即可产生感生电流，能够完成教材规定的微弱磁通量变化时感生电流等多个涉及微小电流变化测量的实验，可配合微电流传感器使用。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螺线管</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可接学生电源，塑壳封装，产生匀强磁场，可配合电流传感器、磁感应强度传感器使用，适用于匀强磁场的研究、通电螺线管的磁感应强度与电流的关系等实验。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地磁探究实验器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83"/>
                <w:rFonts w:hint="eastAsia" w:ascii="宋体" w:hAnsi="宋体" w:eastAsia="宋体" w:cs="宋体"/>
                <w:color w:val="auto"/>
                <w:sz w:val="21"/>
                <w:szCs w:val="21"/>
                <w:highlight w:val="none"/>
                <w:lang w:val="en-US" w:eastAsia="zh-CN" w:bidi="ar"/>
              </w:rPr>
              <w:t xml:space="preserve">150匝</w:t>
            </w:r>
            <w:r>
              <w:rPr>
                <w:rFonts w:hint="eastAsia" w:ascii="宋体" w:hAnsi="宋体" w:eastAsia="宋体" w:cs="宋体"/>
                <w:i w:val="0"/>
                <w:iCs w:val="0"/>
                <w:color w:val="auto"/>
                <w:sz w:val="21"/>
                <w:szCs w:val="21"/>
                <w:highlight w:val="none"/>
                <w:u w:val="none"/>
                <w:lang w:val="en-US" w:eastAsia="zh-CN" w:bidi="ar"/>
              </w:rPr>
              <w:t xml:space="preserve">高密度线圈，电学基座，接触金属片，切割地磁场产生感生电动势和电流。可配合微电流传感器使用，适用于切割地球磁场产生微弱电流等实验。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逻辑电路模块组合套装</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由与或非三种门电路、开关电路、蜂鸣器、指示灯、光控、电源等组件构成，适用于数字电路、自动控制、逻辑电路等实验。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多功能程控电源</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直接数字合成（DDS）技术，FPGA设计，超低功耗；双通道输出，能够同步工作，相位差可调；具有最大可达500秒的线性扫频和对数扫频功能；具有正弦波、三角波、方波、升锯齿波、降锯齿波以及占空比可调的脉冲波等基本函数波形，同时还具有16组由用户自定义的任意波；具有M0~M9共10组参数存储位，开机自动调出M0的数据；在12MHz以下，幅度最</w:t>
            </w:r>
            <w:r>
              <w:rPr>
                <w:rFonts w:hint="eastAsia" w:ascii="宋体" w:hAnsi="宋体" w:eastAsia="宋体" w:cs="宋体"/>
                <w:i w:val="0"/>
                <w:iCs w:val="0"/>
                <w:color w:val="auto"/>
                <w:sz w:val="21"/>
                <w:szCs w:val="21"/>
                <w:highlight w:val="none"/>
                <w:u w:val="none"/>
                <w:lang w:val="en-US" w:eastAsia="zh-CN" w:bidi="ar"/>
              </w:rPr>
              <w:t xml:space="preserve">大可达15Vp-p，超过12MHz，幅度最大达到8Vp-p；内置精密的-20dB衰减器，幅度分辨率最小达到1mV；具有-120%~+120%的直流偏置功能；脉冲波占空比调节精确到0.1%；具有4路可变相位差的TTL输出；具有频率测量、周期测量、正负脉宽测量、占空比测量和计数功能；可选四种测频闸门时间，从而在速度与精确度上取得平衡；能够使用PC机控制该仪器，并且能够在PC机上编辑任意波形后下载到仪器输出波形。该型号机器可以选配增加功率模块，使信号输出幅度达到30Vpp，输出电流最大达到1A；自带液晶显示功能。</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302"/>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感生电动势实验器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座式有机玻璃支架，固定有内外两只线圈。可配合微电流传感器、微电压传感器、磁场强度传感器、多功能程控电源等使用，适用于感生电动势的研究、法拉第电磁感应定律等实验。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水凝固与冰融化实验器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本实验器配有水槽和金属围挡，内置USB接口的温度传感器；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配有智能化散热系统，能够迅速的排除热量，瞬间结冰；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可在软件上观察水的瞬间结冰与冰融化的过程中温度曲线的变化；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适用于探究水的瞬间结冰与冰融化的规律及图线。</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压缩做功探究实验器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20mL注射器，铝型材底座，和注射器固定柱，配合温度传感器可完成压缩气体做功使温度升高的实验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摩擦做功探究实验器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由100X20mm铜管，带孔橡皮塞构成，可插入温度传感器探头，配置600mm棉绳。可配合普通温度传感器使用，适用于摩擦做功实验。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由固定板、多种金属丝组成，可配合电流传感器、电压传感器使用，可验证在材料、半径、长度等条件改变时的电阻定律。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电学系列实验模块（12块）</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块电学实验板，电学实验名称:半波、全波整流、滤波；复杂电路分析；RC、RL移相；测量电池的电动势和内阻；分压、限流；二、三极管特性曲线、三极管特性曲线、三极管放大电路；恒压源，恒流源；双稳态多谐振荡；简单门电路；电容充放电及串并联；LC振荡自感现象；描绘小灯泡的伏安特性曲线等。可配合电流传感器、电压传感器等使用，适用于多种电学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无极调速向心力实验器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铸铁底座、水平基座、曲臂、摇臂、转动系统、无级调速电机驱动装置、误差补偿装置、挡光杆组成。可配合静力传感器和光电门传感器使用，适用于研究物体在自由减速转动过程中F-ω(固定m和r)关系探究和研究物体在固定转速中F-mv²/r的验证等向心力探究实验。实验器可调节自动模式和手动模式，自动模式下由电机驱动，可由电源控制转动速度。</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机械能守恒-平抛运动探究实验器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由铁架台、弧形刻度盘、运动弧形轨道、运动钢球以及触地板构成。可配合光电门传感器使用，适用于动能势能转化实验以及平抛运动实验。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数字化单摆实验套件</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由二维运动传感器(发射、接收)、座面固定架、发射固定座、立杆（25cm、35cm、55cm）、横杆等组成。可方便迅速调节单摆长度，配合软件可迅速绘制轨迹图与摆幅图，可完成单摆实验和单摆摆长与周期的关系。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斜面上力的分解探究实验器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量程：-10N～10N；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分辨率：0.001N；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精度：1%FS；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内置力传感器，能够真实直观的显示斜面上物体受力的情况，并能精确测量出各个不同角度的斜面上力的作用效果，</w:t>
            </w:r>
            <w:r>
              <w:rPr>
                <w:rStyle w:val="983"/>
                <w:rFonts w:hint="eastAsia" w:ascii="宋体" w:hAnsi="宋体" w:eastAsia="宋体" w:cs="宋体"/>
                <w:color w:val="auto"/>
                <w:sz w:val="21"/>
                <w:szCs w:val="21"/>
                <w:highlight w:val="none"/>
                <w:lang w:val="en-US" w:eastAsia="zh-CN" w:bidi="ar"/>
              </w:rPr>
              <w:t xml:space="preserve">配置300g圆柱形的重物</w:t>
            </w:r>
            <w:r>
              <w:rPr>
                <w:rFonts w:hint="eastAsia" w:ascii="宋体" w:hAnsi="宋体" w:eastAsia="宋体" w:cs="宋体"/>
                <w:i w:val="0"/>
                <w:iCs w:val="0"/>
                <w:color w:val="auto"/>
                <w:sz w:val="21"/>
                <w:szCs w:val="21"/>
                <w:highlight w:val="none"/>
                <w:u w:val="none"/>
                <w:lang w:val="en-US" w:eastAsia="zh-CN" w:bidi="ar"/>
              </w:rPr>
              <w:t xml:space="preserve">；底座为铝型材材质长度为440mm，黑色氧化表面；配置辅助标尺（0-90°），可以读出斜面倾角；斜面在抬起的任意倾角位置可以固定。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力的合成分解探究实验器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机密力矩盘带刻度，可调夹角，与力传感器配套的滚轴，标准物块。可配合静力传感器使用，适用于力的合成分解等实验。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76"/>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安培力探究实验器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底座长156mm，宽50mm，高65mm，U型构造，内部嵌入钕铁硼永久强磁体，磁体间宽度20mm，产生匀强磁场； “S”型固定块方便快捷固定在力传感器上，固定线框时长边固定在s型固定块底部和短边固定在s型固定块底部时线圈的对边处于磁场中同一水平线，150匝线圈长130mm，宽60 mm的矩形线框内部为铜漆包线材。可配合静力传感器、电流传感器使用，适用于安培力探究、验证右手定则等实验。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气体流速与压强实验器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底座支架的材质为亚克力材质，主要由3个不同管径的pvc管道、可调速风机，电源构成。可配合双气压传感器使用，适用于探究气体流速和压强的关系。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二维运动的合成与分解实验器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立式铝合金支架、滚珠丝杠传动、有机玻璃曲线面板；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通过USB接口连接电脑进行操作；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系统软件可以控制X轴和Y轴的速度、加速度以及运动时间；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画板及软件绘图区实时同步绘制显示物体的运动轨迹，便于实时观察运动轨迹的相对坐标，同时通过软件显示数据。                                                                                    </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智能动生电动势实验器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座式有机玻璃支架，控制模块外接电源，步进电机驱动。薄膜开关启停装置，可调节运动方向，旋钮调节运动速度，内嵌显示屏即时速度显示。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可通过系统软件进行模式选择，启停，调节运动方向与运动速度，查询运动状态等功能。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可与微电流传感器配套使用。内置线圈可以根据需求更换多样化。可以通过旋转线圈的角度改变磁通量变化。磁场强度采用平行磁石创建匀强磁场，可通过调节丝杆调节匀强磁场的强度。                          </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auto"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Borders>
              <w:top w:val="single" w:color="000000" w:sz="4" w:space="0"/>
              <w:left w:val="single" w:color="000000" w:sz="4" w:space="0"/>
              <w:bottom w:val="single" w:color="auto"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高中物理探究实验指导手册，内含123个高中物理探究实验，有详细的实验步骤指导。适用于高中物理探究实验参考。</w:t>
            </w:r>
            <w:r/>
          </w:p>
        </w:tc>
        <w:tc>
          <w:tcPr>
            <w:tcBorders>
              <w:top w:val="single" w:color="000000" w:sz="4" w:space="0"/>
              <w:left w:val="single" w:color="000000" w:sz="4" w:space="0"/>
              <w:bottom w:val="single" w:color="auto"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auto"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w:t>
            </w:r>
            <w:r/>
          </w:p>
        </w:tc>
        <w:tc>
          <w:tcPr>
            <w:tcBorders>
              <w:top w:val="single" w:color="000000" w:sz="4" w:space="0"/>
              <w:left w:val="single" w:color="000000" w:sz="4" w:space="0"/>
              <w:bottom w:val="single" w:color="auto"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gridSpan w:val="6"/>
            <w:tcBorders>
              <w:top w:val="single" w:color="auto" w:sz="4" w:space="0"/>
              <w:left w:val="single" w:color="auto" w:sz="4" w:space="0"/>
              <w:bottom w:val="single" w:color="auto" w:sz="4" w:space="0"/>
              <w:right w:val="single" w:color="auto" w:sz="4" w:space="0"/>
            </w:tcBorders>
            <w:tcW w:w="102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物理数字化探究仪器【学生端】</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Borders>
              <w:top w:val="single" w:color="auto"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Borders>
              <w:top w:val="single" w:color="auto"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量程一：-50N ～ +50N  分辨率：0.01N，拉力为正，压力为负；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量程二：-10N ～ +10N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五种计时方式：光闸计时，运动计时，单摆计时，光栅计时，滴定计数；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分辨率：10μS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拥有五种计时方式，软件调节计时方式，数据传输端口为USB接口。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量程二：-600mA～+600mA 分辨率：1mA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电压传感器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量程一：-15V ～ +15V 分辨率： 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量程二：-3V ～ +3V 分辨率： 0.002V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量程一：-2000μA ～ +2000μA 分辨率：1μA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量程二：-100μA ～ +100μA  分辨率：0.1μA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量程三：-20μA ～ +20μA 分辨率：0.01μA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量程四：-5μA ～ +5μA 分辨率：0.01μA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拥有四种量程，软件选择量程，数据传输端口为usb接口。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声振动传感器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量程：-100%～100%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测量频率范围：20Hz～20kHz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磁感应强度传感器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量程一：-20mT ～ +20mT 分辨率：0.02mT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量程二：-1mT ～ +1mT 分辨率：0.001mT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位移(分体)传感器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量程：0.2m ～ 3m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量程一：-10N ～ +10N 分辨率：0.01N，拉力为正，压力为负；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 -2N ～ +2N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多用力学轨道</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配置：含1.2m铝合金轨道一条、轨道小车两台、弹簧两根、100克配重片三块、挡光片四片（宽度分别为2、4、6、8cm），能够完成基础型教材高中规定的力学实验及上百个扩展实验，可替代气垫导轨，避免气轨噪声和能耗。可配合光电门传感器、静力传感器、位移分体传感器等使用，适用于匀速直线运动、匀加速直线运动、动量定理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自由落体黑白栅</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中间有均匀的10mm宽挡光片若干，每个挡光片间距为10mm。可配合光电门传感器使用，适用于光电门的光栅挡光实验。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玻意尔定律实验器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亚克力材质，外罩、气筒等组成，配有三通阀。可配合气体压强传感器使用，适用于研究和验证玻意尔定律。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查理定律探究实验器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由玻璃质250ml锥形瓶，带孔橡胶塞构成，能密闭插入温度传感器探头和压强传感器探头。可配合温度传感器、压强传感器使用，适用于一定质量理想气体在体积不变情况下温度与压强间的正比关系的验证。</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力的相互作用实验器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铝合金结构，可以同时固定两个静力传感器，静力传感器之间有固定双向作用的弹簧，具备调节基座和调节螺栓，保证力传感器作用在同一个物体（弹簧上），并且作用在同一直线上，可配合静力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电磁感应实验器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由底板、支架、多组线圈、磁体构成。可配合微电流传感器使用，适用于电磁感应定律的定性演示。</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压缩做功探究实验器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20mL注射器，铝型材底座，和注射器固定柱，配合温度传感器可完成压缩气体做功使温度升高的实验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环形线圈</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高灵敏度、无源、塑壳封装、带屏蔽，线圈切割地磁线即可产生感生电流，能够完成教材规定的微弱磁通量变化时感生电流等多个涉及微小电流变化测量的实验，可配合微电流传感器使用。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螺线管</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可接学生电源，塑壳封装，产生匀强磁场，可配合电流传感器、磁感应强度传感器使用，适用于匀强磁场的研究、通电螺线管的磁感应强度与电流的关系等实验。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地磁探究实验器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83"/>
                <w:rFonts w:hint="eastAsia" w:ascii="宋体" w:hAnsi="宋体" w:eastAsia="宋体" w:cs="宋体"/>
                <w:color w:val="auto"/>
                <w:sz w:val="21"/>
                <w:szCs w:val="21"/>
                <w:highlight w:val="none"/>
                <w:lang w:val="en-US" w:eastAsia="zh-CN" w:bidi="ar"/>
              </w:rPr>
              <w:t xml:space="preserve">150匝</w:t>
            </w:r>
            <w:r>
              <w:rPr>
                <w:rFonts w:hint="eastAsia" w:ascii="宋体" w:hAnsi="宋体" w:eastAsia="宋体" w:cs="宋体"/>
                <w:i w:val="0"/>
                <w:iCs w:val="0"/>
                <w:color w:val="auto"/>
                <w:sz w:val="21"/>
                <w:szCs w:val="21"/>
                <w:highlight w:val="none"/>
                <w:u w:val="none"/>
                <w:lang w:val="en-US" w:eastAsia="zh-CN" w:bidi="ar"/>
              </w:rPr>
              <w:t xml:space="preserve">高密度线圈，电学基座，接触金属片，切割地磁场产生感生电动势和电流。可配合微电流传感器使用，适用于切割地球磁场产生微弱电流等实验。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由固定板、多种金属丝组成，可配合电流传感器、电压传感器使用，可验证在材料、半径、长度等条件改变时的电阻定律。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机械能守恒-平抛运动探究实验器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由铁架台、弧形刻度盘、运动弧形轨道、运动钢球以及触地板构成。可配合光电门传感器使用，适用于动能势能转化实验以及平抛运动实验。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安培力探究实验器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底座长156mm，宽50mm，高65mm，U型构造，内部嵌入钕铁硼永久强磁体，磁体间宽度20mm，产生匀强磁场； “S”型固定块方便快捷固定在力传感器上，固定线框时长边固定在s型固定块底部和短边固定在s型固定块底部时线圈的对边处于磁场中同一水平线，150匝线圈长130mm，宽60 mm的矩形线框内部为铜漆包线材。可配合静力传感器、电流传感器使用，适用于安培力探究、验证右手定则等实验。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斜面上力的分解探究实验器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内置力传感器（量程-10N～10N，分辨率0.001N，精度1%FS），能够真实直观的显示斜面上物体受力的情况，并能精确测量出各个不同角度的斜面上力的作用效果，</w:t>
            </w:r>
            <w:r>
              <w:rPr>
                <w:rStyle w:val="983"/>
                <w:rFonts w:hint="eastAsia" w:ascii="宋体" w:hAnsi="宋体" w:eastAsia="宋体" w:cs="宋体"/>
                <w:color w:val="auto"/>
                <w:sz w:val="21"/>
                <w:szCs w:val="21"/>
                <w:highlight w:val="none"/>
                <w:lang w:val="en-US" w:eastAsia="zh-CN" w:bidi="ar"/>
              </w:rPr>
              <w:t xml:space="preserve">配置300圆柱形的重物</w:t>
            </w:r>
            <w:r>
              <w:rPr>
                <w:rFonts w:hint="eastAsia" w:ascii="宋体" w:hAnsi="宋体" w:eastAsia="宋体" w:cs="宋体"/>
                <w:i w:val="0"/>
                <w:iCs w:val="0"/>
                <w:color w:val="auto"/>
                <w:sz w:val="21"/>
                <w:szCs w:val="21"/>
                <w:highlight w:val="none"/>
                <w:u w:val="none"/>
                <w:lang w:val="en-US" w:eastAsia="zh-CN" w:bidi="ar"/>
              </w:rPr>
              <w:t xml:space="preserve">；底座为铝型材材质长度为440mm，黑色氧化表面；配置辅助标尺（0-90°），可以读出斜面倾角；斜面在抬起的任意倾角位置可以固定。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力的合成分解探究实验器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机密力矩盘带刻度，可调夹角，与力传感器配套的滚轴，标准物块。可配合静力传感器使用，适用于力的合成分解等实验。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焦耳定律实验器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三个量热器组成，每个量热器内配置不同阻值电阻，可搭建出相同电流、不同电阻及相同电阻、不同电流的电路。可配合温度传感器、电流传感器使用，适用于研究电流的热效应与电流、电阻的关系。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高中物理探究实验指导手册，内含123个高中物理探究实验，有详细的实验步骤指导。适用于高中物理探究实验参考。</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32、</w:t>
      </w:r>
      <w:r>
        <w:rPr>
          <w:rFonts w:hint="eastAsia" w:ascii="宋体" w:hAnsi="宋体" w:eastAsia="宋体" w:cs="宋体"/>
          <w:b/>
          <w:bCs/>
          <w:color w:val="auto"/>
          <w:sz w:val="21"/>
          <w:szCs w:val="21"/>
          <w:highlight w:val="none"/>
        </w:rPr>
        <w:t xml:space="preserve">化学数字化传感器</w:t>
      </w:r>
      <w:r/>
    </w:p>
    <w:tbl>
      <w:tblPr>
        <w:tblStyle w:val="741"/>
        <w:tblW w:w="10252" w:type="dxa"/>
        <w:tblInd w:w="-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949"/>
        <w:gridCol w:w="6329"/>
        <w:gridCol w:w="685"/>
        <w:gridCol w:w="693"/>
        <w:gridCol w:w="778"/>
      </w:tblGrid>
      <w:tr>
        <w:trPr>
          <w:trHeight w:val="499"/>
        </w:trPr>
        <w:tc>
          <w:tcPr>
            <w:gridSpan w:val="6"/>
            <w:tcW w:w="10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化学数字化探究仪器【教师端】</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量程二：-300mA ～ +300mA 分辨率：1mA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量程三：-30mA ～ +30mA 分辨率：0.1mA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多量程电压传感器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量程一：-20V ～ +20V 分辨率：0.01V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量程二：-2V ～ +2V 分辨率：0.001V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量程三：-200mV ～ +200mV 分辨率：0.1mV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色度计传感器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采用四色光源为：蓝，绿，橙，红。软件可以实现颜色选择、校准。</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浊度计传感器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量程：0NTU～1000NTU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分辨率：±50ppm；量程二：0g/m³～25g/m³分辨率：±0.025g/m³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氯离子传感器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双量程传感器，可用于测量溶液的物质的量浓度与质量浓度。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▲量程一：5x10-5mol/L～1mol/L 分辨率：0.0005mol/L；量程二：1.8ppm～35500ppm 分辨率：10ppm</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可拆卸式氯离子电极，电极与传感器主体通过BNC接口连接。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氧化还原传感器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量程：-2000mv～+2000mv；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可拆卸式ORP电极，电极与传感器主体通过BNC接口连接。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二氧化硫传感器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▲量程一：0ppm～20ppm 分辨率：0.1ppm；量程二：0mg/m³～7mg/m³ 分辨率：0.05mg/m³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氢气传感器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分辨率：1ppm；量程二：0g/m³～11g/m³ 分辨率：0.02g/m³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溶解/气态二氧化碳</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分辨率：±50ppm；量程二：0g/m³～25g/m³分辨率：±0.025g/m³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可测量空气中的二氧化碳浓度及水溶液中的二氧化碳浓度。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一氧化碳传感器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 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量程二：0mg/m³～800mg/m³ 分辨率：1mg/m³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无线传输模块</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锂电池容量：500mAH；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传输信号最大无障碍距离：100m；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蓝牙版本：4.0。</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数显模块</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显示屏：1.8寸TFT显示屏，电容式触摸屏；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内置锂电池容量：4.2V，500mAH；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可通过触摸屏进行选择量程和调零的操作。</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氯气传感器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 ppm～50 ppm 分辨率：0.1 ppm；量程二：0mg/m³～15mg/m³ 分辨率：0.05mg/m³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溶解氧传感器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量程：0mg/L～20mg/L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 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极谱式铂阴极和银阳极探头,特氟龙可置换膜，自带温度补偿，无需复杂温补过程。</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滴定计数器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量程：0D ～ +∞D；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分辨率：1D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专用充电器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5V专用充电器，用于数显模块、无线传输模块等设备的充电及数据采集器的供电。</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32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多功能连接套件（中和滴定实验器）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合滴定计数器可以统计液滴数量，附件要与常用铁架台配合使用,附件固定盒顶部有PH传感器电极固定插孔,侧面开有2个观测小孔,便于观察滴定速度。铝合金材质配件若干,2只15厘米左右铝合金杆,两端10毫米攻丝,2只多向转接头,每面2个菱形小孔,能够转接纵向和横向金属杆,铁杆最大直径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可配合滴定计数器、PH传感器，、电导率传感器等使用，适用于酸碱中和滴定等实验。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电化学探究实验器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由溶液槽、配套盖子及电极片构成，电极片由三种材质组成可以替换。可配合电流传感器、电压传感器使用，适用于探究电解池或者原电池工作原理。</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燃烧原理探究实验器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一氧化碳传感器等使用，适用于探究充分燃烧与不充分燃烧现象。（三孔）</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数字远红外加热器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采用先进的电子可控硅调温线，能方便快速调节加热功率，加热体采用远红外线辐射器对液体进行辐射加热，无明火，受热面积大。加热套高度为90mm内孔直径为50mm， 一体化温度传感器设计，带有温度控制器和，温度控制器设置加热温度，led显示屏显示当前测量温度和加热温度。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gridSpan w:val="6"/>
            <w:tcW w:w="10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化学数字化探究仪器【学生端】</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量程二：-300mA ～ +300mA 分辨率： 1mA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量程三：-30mA ～ +30mA 分辨率： 0.1mA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溶解氧传感器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量程：0mg/L～20mg/L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 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极谱式铂阴极和银阳极探头,特氟龙可置换膜，自带温度补偿，无需复杂温补过程。</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多功能连接套件（中和滴定实验器）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合滴定计数器可以统计液滴数量，附件要与常用铁架台配合使用,附件固定盒顶部有PH传感器电极固定插孔,侧面开有2个观测小孔,便于观察滴定速度。铝合金材质配件若干,2只15厘米左右铝合金杆,两端10毫米攻丝,2只多向转接头,每面2个菱形小孔,能够转接纵向和横向金属杆,铁杆最大直径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可配合滴定计数器、PH传感器，、电导率传感器等使用，适用于酸碱中和滴定等实验。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电化学探究实验器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由溶液槽、配套盖子及电极片构成，电极片由三种材质组成可以替换。可配合电流传感器、电压传感器使用，适用于探究电解池或者原电池工作原理。</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燃烧原理探究实验器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一氧化碳传感器等使用，适用于探究充分燃烧与不充分燃烧现象。（三孔）</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33、</w:t>
      </w:r>
      <w:r>
        <w:rPr>
          <w:rFonts w:hint="eastAsia" w:ascii="宋体" w:hAnsi="宋体" w:eastAsia="宋体" w:cs="宋体"/>
          <w:b/>
          <w:bCs/>
          <w:color w:val="auto"/>
          <w:sz w:val="21"/>
          <w:szCs w:val="21"/>
          <w:highlight w:val="none"/>
        </w:rPr>
        <w:t xml:space="preserve">生物数字化传感器</w:t>
      </w:r>
      <w:r/>
    </w:p>
    <w:tbl>
      <w:tblPr>
        <w:tblStyle w:val="741"/>
        <w:tblW w:w="102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79"/>
        <w:gridCol w:w="6464"/>
        <w:gridCol w:w="680"/>
        <w:gridCol w:w="668"/>
        <w:gridCol w:w="780"/>
      </w:tblGrid>
      <w:tr>
        <w:trPr>
          <w:jc w:val="center"/>
          <w:trHeight w:val="499"/>
        </w:trPr>
        <w:tc>
          <w:tcPr>
            <w:gridSpan w:val="6"/>
            <w:tcW w:w="102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生物数字化探究仪器【教师端】</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4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温湿度一体传感器，可同时测量温度与湿度两种数据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量程：温度：-40～ +85℃，相对湿度：1%RH ～ 100%RH  ；分辨率：温度：0.01℃，相对湿度：0.1%RH</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软件可在同一界面实时显示温度及湿度数值。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 ～ 1300℃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量程：0Lux～65535Lux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分辨率：1Lux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量程二：-300mA ～ +300mA 分辨率： 1mA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量程三：-30mA ～ +30mA 分辨率： 0.1mA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多量程电压传感器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量程一：-20V ～ +20V 分辨率：0.01V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量程二：-2V ～ +2V 分辨率：0.001V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量程三：-200mV ～ +200mV 分辨率：0.1mV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325"/>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溶解/气态二氧化碳</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可测量空气中的二氧化碳浓度及水溶液中的二氧化碳浓度。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一氧化碳传感器</w:t>
            </w:r>
            <w:r/>
          </w:p>
        </w:tc>
        <w:tc>
          <w:tcPr>
            <w:tcW w:w="6464"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 ppm；量程二：0mg/m³～800mg/m³ 分辨率：1mg/m³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氢气传感器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量程二：0g/m³～11g/m³ 分辨率：0.02g/m³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酒精传感器</w:t>
            </w:r>
            <w:r/>
          </w:p>
        </w:tc>
        <w:tc>
          <w:tcPr>
            <w:tcW w:w="6464"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▲量程一：0ppm～5000ppm 分辨率：5ppm；量程二：0mg/m³～2400mg/m³ 分辨率：2.5mg/m³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en-US"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心率传感器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双量程传感器，可用于测量脉率及脉搏波形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量程一：25bpm～250bpm 分辨率：1bpm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量程二：0～100 分辨率：1 （脉搏波形）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拥有两种量程，软件选择量程，指脉式探头，数据传输端口为USB接口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心电图传感器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量程：0mv～5mv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分辨率：0.01mv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无线传输模块</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锂电池容量：500mAH；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传输信号最大无障碍距离：100m；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蓝牙版本：4.0。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数显模块</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显示屏：1.8寸TFT显示屏，电容式触摸屏；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内置锂电池容量：4.2V，500mAH；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可通过触摸屏进行选择量程和调零的操作。</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血压传感器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量程：0mmhg～255mmhg;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 mmhg；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袖带佩戴方式：臂式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专用软件界面，数据传输端口为usb接口。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支持与计算机的有线通讯及脱机单独使用两种工作方式。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生物电传感器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量程：0μV～5000μV；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分辨率：1μV；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可拆卸式生物电探头，探头可连接3个EMG贴片。数据传输端口为USB接口。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检测生物电信号的强弱。内置电机驱动器连接口，可配合机械手臂完成生物电机械臂控制实验。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血氧传感器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量程：35%～100%；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总盐度传感器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量程一：0ppm～10000ppm 分辨率：10 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量程二：0ppm～1000ppm 分辨率：1 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可拆卸式总盐度电极，电极与传感器主体通过BNC接口连接。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溶解氧传感器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量程：0mg/L～20mg/L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 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极谱式铂阴极和银阳极探头,特氟龙可置换膜，自带温度补偿，无需复杂温补过程。</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肺活量传感器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量程：0ml～6000ml；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色度计传感器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采用四色光源为：蓝，绿，橙，红。软件可以实现颜色选择、校准。</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浊度计传感器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量程：0NTU～1000NTU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颗粒物传感器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可同时测量PM1.0、PM2.5、PM10三种细微颗粒物的质量浓度。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量程：0 ～ 1000μg/m³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分辨率：1μg/m³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软件可在同一界面实时显示PM1.0、PM2.5及PM10的数值。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甲醛传感器</w:t>
            </w:r>
            <w:r/>
          </w:p>
        </w:tc>
        <w:tc>
          <w:tcPr>
            <w:tcW w:w="6464"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▲量程一：0～5ppm 分辨率：0.01ppm ；量程二：0μg/m³～3730μg/m³ 分辨率：7.5μg/m³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专用充电器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5V专用充电器，用于数显模块、无线传输模块等设备的充电及数据采集器的供电。</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数字远红外加热器</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采用先进的电子可控硅调温线，能方便快速调节加热功率，加热体采用远红外线辐射器对液体进行辐射加热，无明火，受热面积大。加热套高度为90mm内孔直径为50mm， 一体化温度传感器设计，带有温度控制器和，温度控制器设置加热温度，led显示屏显示当前测量温度和加热温度。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光合作用探究实验器/呼吸作用探究实验器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湿度传感器等使用，适用于探究影响光合作用的因素、呼吸作用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生物电机械手组件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该组件由生物电传感器（USB接口）、生物电信号探头、自由度机械手（含舵机）、舵机驱动器、EMG专用电极片、电源、连接线构成。当手臂弯曲伸展时，机械手可跟随实现闭合、张开的动作，并且软件可同步记录生物电变化，即肌肉收缩，数值增大，肌肉舒张，数值减小。适用于生物电信号的检测与机械手的控制实验。                </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无线数字气象仪实验箱</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风向角度:量程0°～360°、分辨率45°；2、前1分钟风速:量程0～30m/s、分辨率1m/s；3、前5分钟最高风速:量程0～30m/s、分辨率1m/s；4、温度:量程-40～125℃、分辨率0.1℃；5、前1小时降雨量:量程0～1000mm、分辨率0.25mm；6、前24小时降雨量:量程0～1000mm、分辨率0.25mm；7、湿度:量程</w:t>
            </w:r>
            <w:r>
              <w:rPr>
                <w:rFonts w:hint="eastAsia" w:ascii="宋体" w:hAnsi="宋体" w:eastAsia="宋体" w:cs="宋体"/>
                <w:i w:val="0"/>
                <w:iCs w:val="0"/>
                <w:color w:val="auto"/>
                <w:sz w:val="21"/>
                <w:szCs w:val="21"/>
                <w:highlight w:val="none"/>
                <w:u w:val="none"/>
                <w:lang w:val="en-US" w:eastAsia="zh-CN" w:bidi="ar"/>
              </w:rPr>
              <w:t xml:space="preserve">0～100%、分辨率1%；8、气压:量程300～1100hpa、分辨率0.1hpa；9、光照度:量程0～65535Lux、分辨率1Lux；10、二氧化碳:量程0～5000ppm、分辨率1ppm；11、甲醛:量程0～500μg/m³、分辨率0.1μg/m³；12、PM2.5:量程0～1000μg/m³、分辨率1μg/m³；13、TVOC:量程0～1200μg/m³、分辨率0.1μg/m³；14、PM10:量程0～1000μg/m³、分辨率1μg/m³。通过wifi传输数据到计算机，专用软件记录数据及图形绘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配套专用软件：1、实时显示气象仪监测到的各类数据，并且能够以条形图的方式显示，条形图随监测到的数</w:t>
            </w:r>
            <w:r>
              <w:rPr>
                <w:rFonts w:hint="eastAsia" w:ascii="宋体" w:hAnsi="宋体" w:eastAsia="宋体" w:cs="宋体"/>
                <w:i w:val="0"/>
                <w:iCs w:val="0"/>
                <w:color w:val="auto"/>
                <w:sz w:val="21"/>
                <w:szCs w:val="21"/>
                <w:highlight w:val="none"/>
                <w:u w:val="none"/>
                <w:lang w:val="en-US" w:eastAsia="zh-CN" w:bidi="ar"/>
              </w:rPr>
              <w:t xml:space="preserve">据实时变化，利于对各类数据变化的监测。2、气象仪数据监测种类多达14种，包含风向、1分钟风速、5分钟最高风速温度、1小时降雨量、湿度、气压、光照度、二氧化碳、甲醛、PM2.5、TVOC、PM10等14种数据类型，能够满足多种监测需求。3、各类传感器所监测到的数据能够以坐标轴图像的形式显示出来，图像可以通过鼠标滚轮或图像下面的滚轴来放大缩小，图像可通过鼠标或滚轴来进行左右拖动。4、各类传感器所监测到的数据分为实时数据和历史数据，实时数据能够自动保存到历史数据中，确保长时间气象监测的数据不会因意外因素而丢失。5</w:t>
            </w:r>
            <w:r>
              <w:rPr>
                <w:rFonts w:hint="eastAsia" w:ascii="宋体" w:hAnsi="宋体" w:eastAsia="宋体" w:cs="宋体"/>
                <w:i w:val="0"/>
                <w:iCs w:val="0"/>
                <w:color w:val="auto"/>
                <w:sz w:val="21"/>
                <w:szCs w:val="21"/>
                <w:highlight w:val="none"/>
                <w:u w:val="none"/>
                <w:lang w:val="en-US" w:eastAsia="zh-CN" w:bidi="ar"/>
              </w:rPr>
              <w:t xml:space="preserve">、在历史数据中，可以通过时间节选历史数据的某一段（即某年某月某日某时某分——某年某月某日某时某分）进行坐标轴图像显示。6、软件设置历史数据记录频率，可针对不同长度时间段的监测进行自由设置数据记录频率。7、各类传感器所监测到的数据可以以txt的形式导出到文件。并且可以将通过时间节选历史数据的某一段（即某年某月某日某时某分——某年某月某日某时某分）中的数据进行导出。导出数据可以在线查看，也可以下载到计算机查看。8、软件与硬件的数据传输方式为wifi传输，并且能够断线重连，确保在长时间的气象检测中不中断数据传输。</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gridSpan w:val="6"/>
            <w:tcW w:w="102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生物数字化探究仪器【学生端】</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4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 ～ 1300℃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量程：0Lux～65535Lux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分辨率：1Lux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光合作用探究实验器/呼吸作用探究实验器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湿度传感器等使用，适用于探究影响光合作用的因素、呼吸作用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bl>
    <w:p>
      <w:pPr>
        <w:ind w:right="0" w:firstLine="241"/>
        <w:jc w:val="left"/>
        <w:keepLines w:val="0"/>
        <w:keepNext w:val="0"/>
        <w:pageBreakBefore w:val="0"/>
        <w:spacing w:line="49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注：货物需求清单明细表中所属行业为“/”的产品，中小企业声明函中无须列明。</w:t>
      </w:r>
      <w:r/>
    </w:p>
    <w:p>
      <w:pPr>
        <w:ind w:right="0" w:firstLine="482"/>
        <w:jc w:val="left"/>
        <w:keepLines w:val="0"/>
        <w:keepNext w:val="0"/>
        <w:pageBreakBefore w:val="0"/>
        <w:spacing w:line="49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根据财政部令87号第31条：供应商提供相同品牌产品且通过资格审查、符合性审查的不同的投标人参加同一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left="0" w:right="0" w:firstLine="562"/>
        <w:jc w:val="left"/>
        <w:keepLines w:val="0"/>
        <w:keepNext w:val="0"/>
        <w:pageBreakBefore w:val="0"/>
        <w:spacing w:line="490" w:lineRule="exact"/>
        <w:widowControl w:val="off"/>
        <w:rPr>
          <w:rFonts w:hint="default"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 xml:space="preserve">核心产品：</w:t>
      </w:r>
      <w:r>
        <w:rPr>
          <w:rFonts w:hint="eastAsia" w:ascii="宋体" w:hAnsi="宋体" w:eastAsia="宋体" w:cs="宋体"/>
          <w:b/>
          <w:color w:val="auto"/>
          <w:sz w:val="24"/>
          <w:szCs w:val="24"/>
          <w:highlight w:val="none"/>
          <w:u w:val="single"/>
          <w:lang w:val="en-US" w:eastAsia="zh-CN"/>
        </w:rPr>
        <w:t xml:space="preserve"> 智能控制电气柜 </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、交付要求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日内完成供货、安装、调试、验收合格并交付使用</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2.交货方式：现场验收。</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3.交货地点</w:t>
      </w:r>
      <w:r>
        <w:rPr>
          <w:rFonts w:hint="eastAsia" w:ascii="宋体" w:hAnsi="宋体" w:eastAsia="宋体" w:cs="宋体"/>
          <w:color w:val="auto"/>
          <w:sz w:val="24"/>
          <w:szCs w:val="24"/>
          <w:highlight w:val="none"/>
          <w:lang w:eastAsia="zh-CN"/>
        </w:rPr>
        <w:t xml:space="preserve">：采购人指定地点。</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交货质量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lang w:eastAsia="zh-CN"/>
        </w:rPr>
        <w:t xml:space="preserve">投标人负责将货物运到采购人指定地点，由投标人负责办理运输、装卸和</w:t>
      </w:r>
      <w:r>
        <w:rPr>
          <w:rFonts w:hint="eastAsia" w:ascii="宋体" w:hAnsi="宋体" w:eastAsia="宋体" w:cs="宋体"/>
          <w:color w:val="auto"/>
          <w:sz w:val="24"/>
          <w:szCs w:val="24"/>
          <w:highlight w:val="none"/>
          <w:lang w:eastAsia="zh-CN"/>
        </w:rPr>
        <w:t xml:space="preserve">安装等，费用由投标人负责，由采购人组织验收，检验不合格或不符合质量要求，投标人除无条件退货外，还应承担采购人的一切损失。</w:t>
      </w:r>
      <w:r/>
    </w:p>
    <w:p>
      <w:pPr>
        <w:ind w:left="0" w:right="0" w:firstLine="480"/>
        <w:jc w:val="left"/>
        <w:keepLines w:val="0"/>
        <w:keepNext w:val="0"/>
        <w:pageBreakBefore w:val="0"/>
        <w:spacing w:line="49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w:t>
      </w:r>
      <w:r>
        <w:rPr>
          <w:rFonts w:hint="default" w:ascii="宋体" w:hAnsi="宋体" w:eastAsia="宋体" w:cs="宋体"/>
          <w:b/>
          <w:bCs/>
          <w:color w:val="auto"/>
          <w:sz w:val="24"/>
          <w:szCs w:val="24"/>
          <w:highlight w:val="none"/>
          <w:lang w:val="en-US" w:eastAsia="zh-CN"/>
        </w:rPr>
        <w:t xml:space="preserve">中标结果公告发布后</w:t>
      </w:r>
      <w:r>
        <w:rPr>
          <w:rFonts w:hint="eastAsia" w:ascii="宋体" w:hAnsi="宋体" w:eastAsia="宋体" w:cs="宋体"/>
          <w:b/>
          <w:bCs/>
          <w:color w:val="auto"/>
          <w:sz w:val="24"/>
          <w:szCs w:val="24"/>
          <w:highlight w:val="none"/>
          <w:lang w:val="en-US" w:eastAsia="zh-CN"/>
        </w:rPr>
        <w:t xml:space="preserve">三日内</w:t>
      </w:r>
      <w:r>
        <w:rPr>
          <w:rFonts w:hint="eastAsia" w:ascii="宋体" w:hAnsi="宋体" w:eastAsia="宋体" w:cs="宋体"/>
          <w:b/>
          <w:bCs/>
          <w:color w:val="auto"/>
          <w:sz w:val="24"/>
          <w:szCs w:val="24"/>
          <w:highlight w:val="none"/>
          <w:lang w:eastAsia="zh-CN"/>
        </w:rPr>
        <w:t xml:space="preserve">，须向采购人提供招标文件要求的所投产品检测</w:t>
      </w:r>
      <w:r>
        <w:rPr>
          <w:rFonts w:hint="eastAsia" w:ascii="宋体" w:hAnsi="宋体" w:eastAsia="宋体" w:cs="宋体"/>
          <w:b/>
          <w:bCs/>
          <w:color w:val="auto"/>
          <w:sz w:val="24"/>
          <w:szCs w:val="24"/>
          <w:highlight w:val="none"/>
          <w:lang w:val="en-US" w:eastAsia="zh-CN"/>
        </w:rPr>
        <w:t xml:space="preserve">检验</w:t>
      </w:r>
      <w:r>
        <w:rPr>
          <w:rFonts w:hint="eastAsia" w:ascii="宋体" w:hAnsi="宋体" w:eastAsia="宋体" w:cs="宋体"/>
          <w:b/>
          <w:bCs/>
          <w:color w:val="auto"/>
          <w:sz w:val="24"/>
          <w:szCs w:val="24"/>
          <w:highlight w:val="none"/>
          <w:lang w:eastAsia="zh-CN"/>
        </w:rPr>
        <w:t xml:space="preserve">报告原件供核查。若原件内容与投标文件中上传的扫描件不一致、无法提供原件或核查不合格的，视为提供虚假材料谋取中标，采购人有权取消其中标资格，并依法追究其相应责任。</w:t>
      </w:r>
      <w:r/>
    </w:p>
    <w:p>
      <w:pPr>
        <w:ind w:right="0" w:firstLine="480"/>
        <w:jc w:val="left"/>
        <w:keepLines w:val="0"/>
        <w:keepNext w:val="0"/>
        <w:pageBreakBefore w:val="0"/>
        <w:spacing w:line="49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w:t>
      </w:r>
      <w:r>
        <w:rPr>
          <w:rFonts w:hint="default" w:ascii="宋体" w:hAnsi="宋体" w:eastAsia="宋体" w:cs="宋体"/>
          <w:b/>
          <w:bCs/>
          <w:color w:val="auto"/>
          <w:sz w:val="24"/>
          <w:szCs w:val="24"/>
          <w:highlight w:val="none"/>
          <w:lang w:val="en-US" w:eastAsia="zh-CN"/>
        </w:rPr>
        <w:t xml:space="preserve">中标结果公告发布后</w:t>
      </w:r>
      <w:r>
        <w:rPr>
          <w:rFonts w:hint="eastAsia" w:ascii="宋体" w:hAnsi="宋体" w:eastAsia="宋体" w:cs="宋体"/>
          <w:b/>
          <w:bCs/>
          <w:color w:val="auto"/>
          <w:sz w:val="24"/>
          <w:szCs w:val="24"/>
          <w:highlight w:val="none"/>
          <w:lang w:val="en-US" w:eastAsia="zh-CN"/>
        </w:rPr>
        <w:t xml:space="preserve">，</w:t>
      </w:r>
      <w:r>
        <w:rPr>
          <w:rFonts w:hint="default" w:ascii="宋体" w:hAnsi="宋体" w:eastAsia="宋体" w:cs="宋体"/>
          <w:b/>
          <w:bCs/>
          <w:color w:val="auto"/>
          <w:sz w:val="24"/>
          <w:szCs w:val="24"/>
          <w:highlight w:val="none"/>
          <w:lang w:val="en-US" w:eastAsia="zh-CN"/>
        </w:rPr>
        <w:t xml:space="preserve">签订采购合同前，招标人有权要求中标人对所投产品进行现场抽样、封样并送第三方权威检测机构检测。中标人须无条件配合抽检、封样及送检全过程，并承担抽样、检测、运输等全部相关费用。</w:t>
      </w:r>
      <w:r>
        <w:rPr>
          <w:rFonts w:hint="eastAsia" w:ascii="宋体" w:hAnsi="宋体" w:eastAsia="宋体" w:cs="宋体"/>
          <w:b/>
          <w:bCs/>
          <w:color w:val="auto"/>
          <w:sz w:val="24"/>
          <w:szCs w:val="24"/>
          <w:highlight w:val="none"/>
          <w:lang w:val="en-US" w:eastAsia="zh-CN"/>
        </w:rPr>
        <w:t xml:space="preserve">若</w:t>
      </w:r>
      <w:r>
        <w:rPr>
          <w:rFonts w:hint="default" w:ascii="宋体" w:hAnsi="宋体" w:eastAsia="宋体" w:cs="宋体"/>
          <w:b/>
          <w:bCs/>
          <w:color w:val="auto"/>
          <w:sz w:val="24"/>
          <w:szCs w:val="24"/>
          <w:highlight w:val="none"/>
          <w:lang w:val="en-US" w:eastAsia="zh-CN"/>
        </w:rPr>
        <w:t xml:space="preserve">抽检送检产品技术参数、配置标准、质量指标等任意一项不符合招标文件、投标文件承诺及相关国家/行业标准要求，招标人有权直接取消其中标资格，不予签订采购合同；同时招标人有权依据法律法规及招标文件约定进一步追究其全部违约责任、赔偿招标人全部损失的权利。</w:t>
      </w:r>
      <w:r/>
    </w:p>
    <w:p>
      <w:pPr>
        <w:ind w:right="0" w:firstLine="482"/>
        <w:jc w:val="left"/>
        <w:keepLines w:val="0"/>
        <w:keepNext w:val="0"/>
        <w:pageBreakBefore w:val="0"/>
        <w:spacing w:line="49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验收时，投标人须提供所投产品中涉及3C强制性认证、节能、节水、环境标志产品的有效认证证书，证书信息须与所投产品一致。无法提供或证书无效、不符合国家强制性标准及政府采购政策要求的，视为验收不合格，采购人不予验收、不予付款。</w:t>
      </w:r>
      <w:r/>
    </w:p>
    <w:p>
      <w:pPr>
        <w:ind w:right="0" w:firstLine="482"/>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、人员配备要求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1、安装实施过程中发生的一切安全问题均由投标人自行承担；</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lang w:val="en-US" w:eastAsia="zh-CN"/>
        </w:rPr>
        <w:t xml:space="preserve">人必须安排人员参与安装实施，进场安装实施人员在本项目履约期间具有人身意外伤害险；在安装实施中要严格按行业规定进行安装实施，若出现任何安全事故，责任由投标人自行承担。</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3、投标人须把握项目进度、质量把控、产品验收、包装运输、指导安装、调试及验收等，有实验室设备安装、相关软件运行维护等经验，及时与采购人对接工作，指导项目团队成员认真完成每一项工作。</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培训要求</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中标人须根据本项目实际建设详细内容及应用目标对采购人提供针对性的培训，通过培训使采购人系统管理员、技术人员及业务应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        </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2、制定完善的培训计划，需明确培训目标、培训对象、培训方式、培训地点、培训内容、培训记录等。培训所需要的费用已包含在预算金额中。</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4、培训对象：包括但不限于以下人员：系统业务应用人员、系统运行维护管理人员等。</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5、培训方式：集中授课、现场应用操作指导等。</w:t>
      </w:r>
      <w:r/>
    </w:p>
    <w:p>
      <w:pPr>
        <w:ind w:right="0" w:firstLine="480"/>
        <w:jc w:val="left"/>
        <w:keepLines w:val="0"/>
        <w:keepNext w:val="0"/>
        <w:pageBreakBefore w:val="0"/>
        <w:spacing w:line="490" w:lineRule="exact"/>
        <w:widowControl w:val="off"/>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6、培训内容：由专业资深工程师、专业资格人员和行业专家进行培训，内容包含但不限于系统总体情况进行介绍、应用操作、常见故障分析、系统维护工作等。</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、履约验收要求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1、招标人以招标文件、中标人的投标文件、承诺、合同为依据，成立验收小组，负责对项目进行全面的验收。</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2、货物的验收包括：数量、外观、质量、性能、包装等；所有设备和附（配）件应符合其规定的性能，无瑕疵和缺陷，质量为合格产品。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对质量问题负责包退、包换和包修，因此发生的费用由</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自行负责。</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时，中标人须提供所投产品中涉及3C强制性认证、节能、节水、环境标志产品的有效认证证书，证书信息须与所投产品一致。无法提供或证书无效、不符合国家强制性标准及政府采购政策要求的，视为验收不合格，采购人不予验收、不予付款。</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、货物到达招标人指定地点并安装、调试工作完成后，通知招标人，由招标人根据相关部门规定的验收方案，严格按照有关要求及标准，对整个项目进行验收；交付使用时要同时向</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提供详细的技术文件、调试报告、安装记录、原厂保修卡、随机资料及配件。</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软件系统平台验收要求：相关软件系统平台部署完成后，提供软件使用说明书并组织相关培训，软件系统平台自交付起12个月内，完成功能性、兼容性、稳定性验收，形成应收意见，验收书双方共同签署。对于不满足要求的，提出整改，于整改完成后再重新进行验收，直至符合招标文件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按合同约定履约完成全部项目，并满足使用要求，须及时向</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人或合同签订的甲方提交验收申请。合同签订的甲方（使用者）须进行初步验收，完全达到符合采购合同约定的验收条件时，再向验收小组申请正式验收。</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须提交规范供货承诺书、合同签订的甲方（使用者）须向验收组提交规范验货承诺书。</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、售后服务要求</w:t>
      </w:r>
      <w:r/>
    </w:p>
    <w:p>
      <w:pPr>
        <w:ind w:left="0" w:right="0" w:firstLine="480"/>
        <w:jc w:val="left"/>
        <w:keepLines w:val="0"/>
        <w:keepNext w:val="0"/>
        <w:pageBreakBefore w:val="0"/>
        <w:spacing w:line="49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★质保期</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以验收合格之日起计算</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保期内，对由于所供货物本身质量的原因引起的问题由中标人负责维修，如因设备质量或机件故障不能正常工作需要维修的，所有因维修（包括更换设备）产生的费用由中标人负责；对于采购方人为原因造成的故障，中标人只收取维保成本费用。</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保期内，为保证设备的正常运行，如果所供货物出现不能修复的故障时，中标人应在接到采购人通知后24小时内赶到现场进行检测维修。如设备故障在七个工作日未能维修好，中标人须提供同型号的设备供采购人使用，直至设备维修好后方才取回。如不能维修，则中标人负责更换。</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质保期内，中标人需对应用软件进行实时更新升级。</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、投标报价要求</w:t>
      </w:r>
      <w:r/>
    </w:p>
    <w:p>
      <w:pPr>
        <w:ind w:left="0" w:right="0" w:firstLine="480"/>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1、本项目报价不得超过预算价（最高限价）。</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2、报价应包含与本次采购项目有关的所有费用。包含但不限于人员费用、全部硬件设备、</w:t>
      </w:r>
      <w:r>
        <w:rPr>
          <w:rFonts w:hint="eastAsia" w:ascii="宋体" w:hAnsi="宋体" w:eastAsia="宋体" w:cs="宋体"/>
          <w:color w:val="auto"/>
          <w:sz w:val="24"/>
          <w:szCs w:val="24"/>
          <w:highlight w:val="none"/>
          <w:lang w:val="en-US" w:eastAsia="zh-CN"/>
        </w:rPr>
        <w:t xml:space="preserve">软件系统安装、</w:t>
      </w:r>
      <w:r>
        <w:rPr>
          <w:rFonts w:hint="eastAsia" w:ascii="宋体" w:hAnsi="宋体" w:eastAsia="宋体" w:cs="宋体"/>
          <w:color w:val="auto"/>
          <w:sz w:val="24"/>
          <w:szCs w:val="24"/>
          <w:highlight w:val="none"/>
        </w:rPr>
        <w:t xml:space="preserve">辅助材料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备品、备件、机械、运输、现场安装调试、</w:t>
      </w:r>
      <w:r>
        <w:rPr>
          <w:rFonts w:hint="eastAsia" w:ascii="宋体" w:hAnsi="宋体" w:eastAsia="宋体" w:cs="宋体"/>
          <w:color w:val="auto"/>
          <w:sz w:val="24"/>
          <w:szCs w:val="24"/>
          <w:highlight w:val="none"/>
          <w:lang w:eastAsia="zh-CN"/>
        </w:rPr>
        <w:t xml:space="preserve">人员</w:t>
      </w:r>
      <w:r>
        <w:rPr>
          <w:rFonts w:hint="eastAsia" w:ascii="宋体" w:hAnsi="宋体" w:eastAsia="宋体" w:cs="宋体"/>
          <w:color w:val="auto"/>
          <w:sz w:val="24"/>
          <w:szCs w:val="24"/>
          <w:highlight w:val="none"/>
        </w:rPr>
        <w:t xml:space="preserve">培训、管理、维护、利润、</w:t>
      </w:r>
      <w:r>
        <w:rPr>
          <w:rFonts w:hint="eastAsia" w:ascii="宋体" w:hAnsi="宋体" w:eastAsia="宋体" w:cs="宋体"/>
          <w:color w:val="auto"/>
          <w:sz w:val="24"/>
          <w:szCs w:val="24"/>
          <w:highlight w:val="none"/>
          <w:lang w:eastAsia="zh-CN"/>
        </w:rPr>
        <w:t xml:space="preserve">技术支持、</w:t>
      </w:r>
      <w:r>
        <w:rPr>
          <w:rFonts w:hint="eastAsia" w:ascii="宋体" w:hAnsi="宋体" w:eastAsia="宋体" w:cs="宋体"/>
          <w:color w:val="auto"/>
          <w:sz w:val="24"/>
          <w:szCs w:val="24"/>
          <w:highlight w:val="none"/>
        </w:rPr>
        <w:t xml:space="preserve">税金、保险、售后服务、政策性文件规定及合同包含的所有风险、责任等所有含税费用。同时，还应包含支付给员工的工资和国家强制缴纳的各种社会保障资金，以及</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认为需要的其他费用等；</w:t>
      </w:r>
      <w:r>
        <w:rPr>
          <w:rFonts w:hint="eastAsia" w:ascii="宋体" w:hAnsi="宋体" w:eastAsia="宋体" w:cs="宋体"/>
          <w:color w:val="auto"/>
          <w:sz w:val="24"/>
          <w:szCs w:val="24"/>
          <w:highlight w:val="none"/>
          <w:lang w:val="en-US" w:eastAsia="zh-CN"/>
        </w:rPr>
        <w:t xml:space="preserve">总价作为定标的依据，各项综合单价作为据实结算的依据。</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的任何错漏、优惠、竞争性报价不得作为减轻责任、减少服务、增加收费、降低服务质量的理由；</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报价除包含</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文件中列明的项目外还应包括保障服务正常运行应当具有的</w:t>
      </w:r>
      <w:r>
        <w:rPr>
          <w:rFonts w:hint="eastAsia" w:ascii="宋体" w:hAnsi="宋体" w:eastAsia="宋体" w:cs="宋体"/>
          <w:color w:val="auto"/>
          <w:sz w:val="24"/>
          <w:szCs w:val="24"/>
          <w:highlight w:val="none"/>
          <w:lang w:eastAsia="zh-CN"/>
        </w:rPr>
        <w:t xml:space="preserve">备件</w:t>
      </w:r>
      <w:r>
        <w:rPr>
          <w:rFonts w:hint="eastAsia" w:ascii="宋体" w:hAnsi="宋体" w:eastAsia="宋体" w:cs="宋体"/>
          <w:color w:val="auto"/>
          <w:sz w:val="24"/>
          <w:szCs w:val="24"/>
          <w:highlight w:val="none"/>
        </w:rPr>
        <w:t xml:space="preserve">和服务，对服务正常运行应当具有的</w:t>
      </w:r>
      <w:r>
        <w:rPr>
          <w:rFonts w:hint="eastAsia" w:ascii="宋体" w:hAnsi="宋体" w:eastAsia="宋体" w:cs="宋体"/>
          <w:color w:val="auto"/>
          <w:sz w:val="24"/>
          <w:szCs w:val="24"/>
          <w:highlight w:val="none"/>
          <w:lang w:eastAsia="zh-CN"/>
        </w:rPr>
        <w:t xml:space="preserve">备件</w:t>
      </w:r>
      <w:r>
        <w:rPr>
          <w:rFonts w:hint="eastAsia" w:ascii="宋体" w:hAnsi="宋体" w:eastAsia="宋体" w:cs="宋体"/>
          <w:color w:val="auto"/>
          <w:sz w:val="24"/>
          <w:szCs w:val="24"/>
          <w:highlight w:val="none"/>
        </w:rPr>
        <w:t xml:space="preserve">和服务理解不一致的以</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理解为准。</w:t>
      </w:r>
      <w:r/>
    </w:p>
    <w:p>
      <w:pPr>
        <w:ind w:right="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、付款方式</w:t>
      </w:r>
      <w:r>
        <w:rPr>
          <w:rFonts w:hint="eastAsia" w:ascii="宋体" w:hAnsi="宋体" w:eastAsia="宋体" w:cs="宋体"/>
          <w:b/>
          <w:color w:val="auto"/>
          <w:sz w:val="24"/>
          <w:szCs w:val="24"/>
          <w:highlight w:val="none"/>
          <w:lang w:eastAsia="zh-CN"/>
        </w:rPr>
        <w:t xml:space="preserve">及履约保证金</w:t>
      </w:r>
      <w:r/>
    </w:p>
    <w:p>
      <w:pPr>
        <w:pStyle w:val="788"/>
        <w:ind w:right="0" w:firstLine="480"/>
        <w:jc w:val="left"/>
        <w:keepLines w:val="0"/>
        <w:keepNext w:val="0"/>
        <w:pageBreakBefore w:val="0"/>
        <w:spacing w:line="480" w:lineRule="exact"/>
        <w:shd w:val="clear" w:color="auto"/>
        <w:widowControl w:val="off"/>
        <w:rPr>
          <w:rFonts w:hint="eastAsia" w:ascii="宋体" w:hAnsi="宋体" w:eastAsia="宋体" w:cs="宋体"/>
          <w:b/>
          <w:bCs w:val="0"/>
          <w:color w:val="auto"/>
          <w:sz w:val="24"/>
          <w:szCs w:val="24"/>
          <w:highlight w:val="none"/>
          <w:lang w:eastAsia="zh-CN"/>
        </w:rPr>
        <w:outlineLvl w:val="9"/>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eastAsia="zh-CN"/>
        </w:rPr>
        <w:t xml:space="preserve">）付款方式</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合同签订后30日内，支付合同价款的10%作为预付款；全部采购货物送至指定地点后支付至合同价款的50%，全部安装调试完成且经验收合格后一次性付清。（无息）</w:t>
      </w:r>
      <w:r/>
    </w:p>
    <w:p>
      <w:pPr>
        <w:ind w:left="0" w:right="0" w:firstLine="562"/>
        <w:jc w:val="left"/>
        <w:keepLines w:val="0"/>
        <w:keepNext w:val="0"/>
        <w:pageBreakBefore w:val="0"/>
        <w:spacing w:line="49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1.履约保证金的金额：中标价的10%。</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履约保证金应当以支票、汇票、本票或者金融机构、担保机构出具的保函等非现金形式提交。依据《关于在全省政府采购领域推行电子履约保函(保险)的通知》（苏财购〔2023〕150号）鼓励投标人自愿使用履约保函(保险)代替缴纳约保证金。如以履约保函(保险)形式缴纳履约保证金，投标人可通过政府采购电子履约保函(保险)平台(www.jsdzbh.com)在线申请履约保函(保险)。</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3.履约保证金提交时间：合同签订前提交履约保证金。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4.履约保证金的退还：完成合同范围内的所有内容，并经验收合格后，采购人退还投标人履约保证金。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不予退还的情形：投标人不履行合同，履约保证金不予退还。投标人违约的，采购人将按照招标文件及合同约定扣除其全部或部分履约保证金。如投标人违约给采购人造成的损失超过履约保证金的，应当依法赔偿超过部分的损失。</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、其他</w:t>
      </w:r>
      <w:bookmarkEnd w:id="23"/>
      <w:r/>
      <w:bookmarkEnd w:id="24"/>
      <w:r/>
      <w:r/>
    </w:p>
    <w:p>
      <w:pPr>
        <w:ind w:left="0" w:right="0" w:firstLine="480"/>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本项目报价不得超过预算价（最高限价）。</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特别提醒投标人：应根据国家收费标准并结合市场实际进行报价。</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工作中涉及的敏感资料、电子数据等相关信息，</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应严格执行保密的相关规定，不得以任何方式向任何第三人披露、泄露或许可第三人使用，否则追究其相应法律责任。</w:t>
      </w:r>
      <w:r/>
    </w:p>
    <w:p>
      <w:pPr>
        <w:ind w:left="0" w:right="0"/>
        <w:jc w:val="left"/>
        <w:pageBreakBefore w:val="0"/>
        <w:spacing w:line="49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31"/>
        <w:ind w:left="0" w:right="0"/>
        <w:jc w:val="center"/>
        <w:pageBreakBefore w:val="0"/>
        <w:spacing w:before="0" w:after="0" w:line="360" w:lineRule="auto"/>
        <w:widowControl w:val="off"/>
        <w:rPr>
          <w:rFonts w:hint="eastAsia" w:ascii="宋体" w:hAnsi="宋体" w:eastAsia="宋体" w:cs="宋体"/>
          <w:b w:val="0"/>
          <w:color w:val="auto"/>
          <w:highlight w:val="none"/>
        </w:rPr>
      </w:pPr>
      <w:r/>
      <w:bookmarkStart w:id="27" w:name="_Toc155796360"/>
      <w:r>
        <w:rPr>
          <w:rFonts w:hint="eastAsia" w:ascii="宋体" w:hAnsi="宋体" w:eastAsia="宋体" w:cs="宋体"/>
          <w:b w:val="0"/>
          <w:color w:val="auto"/>
          <w:highlight w:val="none"/>
        </w:rPr>
        <w:t xml:space="preserve">第五章  评标方法与评标标准</w:t>
      </w:r>
      <w:bookmarkEnd w:id="27"/>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一、评标方法</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lang w:eastAsia="zh-CN"/>
        </w:rPr>
        <w:t xml:space="preserve">由</w:t>
      </w:r>
      <w:r>
        <w:rPr>
          <w:rFonts w:hint="eastAsia" w:ascii="宋体" w:hAnsi="宋体" w:eastAsia="宋体" w:cs="宋体"/>
          <w:color w:val="auto"/>
          <w:sz w:val="24"/>
          <w:szCs w:val="24"/>
          <w:highlight w:val="none"/>
          <w:u w:val="none"/>
          <w:lang w:val="en-US" w:eastAsia="zh-CN"/>
        </w:rPr>
        <w:t xml:space="preserve">采购人</w:t>
      </w:r>
      <w:r>
        <w:rPr>
          <w:rFonts w:hint="eastAsia" w:ascii="宋体" w:hAnsi="宋体" w:eastAsia="宋体" w:cs="宋体"/>
          <w:color w:val="auto"/>
          <w:sz w:val="24"/>
          <w:szCs w:val="24"/>
          <w:highlight w:val="none"/>
          <w:u w:val="none"/>
          <w:lang w:eastAsia="zh-CN"/>
        </w:rPr>
        <w:t xml:space="preserve">代表随机抽取确定排序</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。投标文件满足招标文件全部实质性要求，且按照评审因素的量化指标评审得分最高的投标人为中标候选人。</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二、评标标准</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（3）总得分=价格分+技术分+商务分。</w:t>
      </w:r>
      <w:r/>
    </w:p>
    <w:p>
      <w:pPr>
        <w:ind w:left="0" w:right="0"/>
        <w:jc w:val="center"/>
        <w:pageBreakBefore w:val="0"/>
        <w:spacing w:line="49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（1）价格分（</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（2）技术分（</w:t>
      </w:r>
      <w:r>
        <w:rPr>
          <w:rFonts w:hint="eastAsia" w:ascii="宋体" w:hAnsi="宋体" w:eastAsia="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分）</w:t>
      </w:r>
      <w:r/>
    </w:p>
    <w:tbl>
      <w:tblPr>
        <w:tblStyle w:val="741"/>
        <w:tblW w:w="89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5"/>
        <w:gridCol w:w="6960"/>
      </w:tblGrid>
      <w:tr>
        <w:trPr>
          <w:jc w:val="center"/>
          <w:trHeight w:val="368"/>
        </w:trPr>
        <w:tc>
          <w:tcPr>
            <w:tcW w:w="1965" w:type="dxa"/>
            <w:vAlign w:val="center"/>
            <w:textDirection w:val="lrTb"/>
            <w:noWrap/>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6960" w:type="dxa"/>
            <w:vAlign w:val="center"/>
            <w:textDirection w:val="lrTb"/>
            <w:noWrap/>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281"/>
        </w:trPr>
        <w:tc>
          <w:tcPr>
            <w:tcW w:w="1965"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技术响应</w:t>
            </w:r>
            <w:r/>
          </w:p>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30分</w:t>
            </w:r>
            <w:r>
              <w:rPr>
                <w:rFonts w:hint="eastAsia" w:ascii="宋体" w:hAnsi="宋体" w:eastAsia="宋体" w:cs="宋体"/>
                <w:color w:val="auto"/>
                <w:sz w:val="24"/>
                <w:szCs w:val="24"/>
                <w:highlight w:val="none"/>
                <w:lang w:eastAsia="zh-CN"/>
              </w:rPr>
              <w:t xml:space="preserve">）</w:t>
            </w:r>
            <w:r/>
          </w:p>
        </w:tc>
        <w:tc>
          <w:tcPr>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投标人所投产品对货物需求清单中技术参数及要求进行响应，完全满足招标文件技术要求的，得30分；</w:t>
            </w:r>
            <w:r>
              <w:rPr>
                <w:rFonts w:hint="eastAsia" w:ascii="宋体" w:hAnsi="宋体" w:eastAsia="宋体" w:cs="宋体"/>
                <w:color w:val="auto"/>
                <w:sz w:val="24"/>
                <w:szCs w:val="24"/>
                <w:highlight w:val="none"/>
              </w:rPr>
              <w:t xml:space="preserve">标▲部分为重要技术参数，要求提供证明材料的投标文件中每缺少一项证明材料或每有一项负偏离扣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分，本项扣完为止。投标人必须提供技术偏差表，不提供本项不得分。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注：根据投标人提供的技术偏离表、标注“▲”的指标必须提供相应的有效证明材料，以证明技术参数及功能的有效性，</w:t>
            </w:r>
            <w:r>
              <w:rPr>
                <w:rFonts w:hint="eastAsia" w:ascii="宋体" w:hAnsi="宋体" w:eastAsia="宋体" w:cs="宋体"/>
                <w:color w:val="auto"/>
                <w:sz w:val="24"/>
                <w:szCs w:val="24"/>
                <w:highlight w:val="none"/>
                <w:lang w:val="en-GB" w:eastAsia="zh-CN"/>
              </w:rPr>
              <w:t xml:space="preserve">并标明证明材料在投标文件中的具体位置并做明显标识，便于评审，</w:t>
            </w:r>
            <w:r>
              <w:rPr>
                <w:rFonts w:hint="eastAsia" w:ascii="宋体" w:hAnsi="宋体" w:eastAsia="宋体" w:cs="宋体"/>
                <w:color w:val="auto"/>
                <w:sz w:val="24"/>
                <w:szCs w:val="24"/>
                <w:highlight w:val="none"/>
              </w:rPr>
              <w:t xml:space="preserve">投标人需如实填写偏离表，需提供相应证明材料并加盖投标人公章扫描件上传至电子投标文件中，否则不得分。</w:t>
            </w:r>
            <w:r/>
          </w:p>
        </w:tc>
      </w:tr>
      <w:tr>
        <w:trPr>
          <w:jc w:val="center"/>
          <w:trHeight w:val="978"/>
        </w:trPr>
        <w:tc>
          <w:tcPr>
            <w:tcBorders>
              <w:bottom w:val="single" w:color="auto" w:sz="4" w:space="0"/>
            </w:tcBorders>
            <w:tcW w:w="1965"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项目整体实施</w:t>
            </w:r>
            <w:r/>
          </w:p>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方案</w:t>
            </w:r>
            <w:r>
              <w:rPr>
                <w:rFonts w:hint="eastAsia" w:ascii="宋体" w:hAnsi="宋体" w:eastAsia="宋体" w:cs="宋体"/>
                <w:color w:val="auto"/>
                <w:sz w:val="24"/>
                <w:szCs w:val="24"/>
                <w:highlight w:val="none"/>
                <w:lang w:val="en-US" w:eastAsia="zh-CN"/>
              </w:rPr>
              <w:t xml:space="preserve">（8分）</w:t>
            </w:r>
            <w:r/>
          </w:p>
        </w:tc>
        <w:tc>
          <w:tcPr>
            <w:tcBorders>
              <w:bottom w:val="single" w:color="auto" w:sz="4" w:space="0"/>
            </w:tcBorders>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根据投标人提供的项目整体实施方案，内容包含但不限于“</w:t>
            </w:r>
            <w:r>
              <w:rPr>
                <w:rFonts w:hint="eastAsia" w:asciiTheme="minorEastAsia" w:hAnsiTheme="minorEastAsia" w:eastAsiaTheme="minorEastAsia" w:cstheme="minorEastAsia"/>
                <w:color w:val="auto"/>
                <w:sz w:val="24"/>
                <w:szCs w:val="24"/>
                <w:highlight w:val="none"/>
                <w:lang w:val="zh-CN" w:eastAsia="zh-CN"/>
              </w:rPr>
              <w:t xml:space="preserve">物理吊装实验室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化学吊装实验室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生物吊装实验室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物理电学</w:t>
            </w:r>
            <w:r>
              <w:rPr>
                <w:rFonts w:hint="eastAsia" w:asciiTheme="minorEastAsia" w:hAnsiTheme="minorEastAsia" w:eastAsiaTheme="minorEastAsia" w:cstheme="minorEastAsia"/>
                <w:color w:val="auto"/>
                <w:sz w:val="24"/>
                <w:szCs w:val="24"/>
                <w:highlight w:val="none"/>
                <w:lang w:val="zh-CN" w:eastAsia="zh-CN"/>
              </w:rPr>
              <w:t xml:space="preserve">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化学上通风</w:t>
            </w:r>
            <w:r>
              <w:rPr>
                <w:rFonts w:hint="eastAsia" w:asciiTheme="minorEastAsia" w:hAnsiTheme="minorEastAsia" w:eastAsiaTheme="minorEastAsia" w:cstheme="minorEastAsia"/>
                <w:color w:val="auto"/>
                <w:sz w:val="24"/>
                <w:szCs w:val="24"/>
                <w:highlight w:val="none"/>
                <w:lang w:val="zh-CN" w:eastAsia="zh-CN"/>
              </w:rPr>
              <w:t xml:space="preserve">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生物综合</w:t>
            </w:r>
            <w:r>
              <w:rPr>
                <w:rFonts w:hint="eastAsia" w:asciiTheme="minorEastAsia" w:hAnsiTheme="minorEastAsia" w:eastAsiaTheme="minorEastAsia" w:cstheme="minorEastAsia"/>
                <w:color w:val="auto"/>
                <w:sz w:val="24"/>
                <w:szCs w:val="24"/>
                <w:highlight w:val="none"/>
                <w:lang w:val="zh-CN" w:eastAsia="zh-CN"/>
              </w:rPr>
              <w:t xml:space="preserve">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等每间实验室</w:t>
            </w:r>
            <w:r>
              <w:rPr>
                <w:rFonts w:hint="eastAsia" w:asciiTheme="minorEastAsia" w:hAnsiTheme="minorEastAsia" w:eastAsiaTheme="minorEastAsia" w:cstheme="minorEastAsia"/>
                <w:color w:val="auto"/>
                <w:sz w:val="24"/>
                <w:szCs w:val="24"/>
                <w:highlight w:val="none"/>
                <w:lang w:val="zh-CN" w:eastAsia="zh-CN"/>
              </w:rPr>
              <w:t xml:space="preserve">进行深化设计</w:t>
            </w:r>
            <w:r>
              <w:rPr>
                <w:rFonts w:hint="eastAsia" w:asciiTheme="minorEastAsia" w:hAnsiTheme="minorEastAsia" w:cstheme="minorEastAsia"/>
                <w:color w:val="auto"/>
                <w:sz w:val="24"/>
                <w:szCs w:val="24"/>
                <w:highlight w:val="none"/>
                <w:lang w:val="zh-CN" w:eastAsia="zh-CN"/>
              </w:rPr>
              <w:t xml:space="preserve">（深化设计方案需</w:t>
            </w:r>
            <w:r>
              <w:rPr>
                <w:rFonts w:hint="eastAsia" w:asciiTheme="minorEastAsia" w:hAnsiTheme="minorEastAsia" w:eastAsiaTheme="minorEastAsia" w:cstheme="minorEastAsia"/>
                <w:color w:val="auto"/>
                <w:sz w:val="24"/>
                <w:szCs w:val="24"/>
                <w:highlight w:val="none"/>
                <w:lang w:val="zh-CN" w:eastAsia="zh-CN"/>
              </w:rPr>
              <w:t xml:space="preserve">提供完整的平面布置图、施工图与</w:t>
            </w:r>
            <w:r>
              <w:rPr>
                <w:rFonts w:hint="eastAsia" w:asciiTheme="minorEastAsia" w:hAnsiTheme="minorEastAsia" w:cstheme="minorEastAsia"/>
                <w:color w:val="auto"/>
                <w:sz w:val="24"/>
                <w:szCs w:val="24"/>
                <w:highlight w:val="none"/>
                <w:lang w:val="zh-CN" w:eastAsia="zh-CN"/>
              </w:rPr>
              <w:t xml:space="preserve">至少三张以上</w:t>
            </w:r>
            <w:r>
              <w:rPr>
                <w:rFonts w:hint="eastAsia" w:asciiTheme="minorEastAsia" w:hAnsiTheme="minorEastAsia" w:eastAsiaTheme="minorEastAsia" w:cstheme="minorEastAsia"/>
                <w:color w:val="auto"/>
                <w:sz w:val="24"/>
                <w:szCs w:val="24"/>
                <w:highlight w:val="none"/>
                <w:lang w:val="zh-CN" w:eastAsia="zh-CN"/>
              </w:rPr>
              <w:t xml:space="preserve">不同角度</w:t>
            </w:r>
            <w:r>
              <w:rPr>
                <w:rFonts w:hint="eastAsia" w:asciiTheme="minorEastAsia" w:hAnsiTheme="minorEastAsia" w:cstheme="minorEastAsia"/>
                <w:color w:val="auto"/>
                <w:sz w:val="24"/>
                <w:szCs w:val="24"/>
                <w:highlight w:val="none"/>
                <w:lang w:val="zh-CN" w:eastAsia="zh-CN"/>
              </w:rPr>
              <w:t xml:space="preserve">的</w:t>
            </w:r>
            <w:r>
              <w:rPr>
                <w:rFonts w:hint="eastAsia" w:asciiTheme="minorEastAsia" w:hAnsiTheme="minorEastAsia" w:eastAsiaTheme="minorEastAsia" w:cstheme="minorEastAsia"/>
                <w:color w:val="auto"/>
                <w:sz w:val="24"/>
                <w:szCs w:val="24"/>
                <w:highlight w:val="none"/>
                <w:lang w:val="zh-CN" w:eastAsia="zh-CN"/>
              </w:rPr>
              <w:t xml:space="preserve">效果图）</w:t>
            </w:r>
            <w:r>
              <w:rPr>
                <w:rFonts w:hint="eastAsia" w:ascii="宋体" w:hAnsi="宋体" w:eastAsia="宋体" w:cs="宋体"/>
                <w:color w:val="auto"/>
                <w:sz w:val="24"/>
                <w:szCs w:val="24"/>
                <w:highlight w:val="none"/>
                <w:lang w:val="en-US" w:eastAsia="zh-CN"/>
              </w:rPr>
              <w:t xml:space="preserve">、项目设备采购及安装调试方案、实施工作内容的重难点进行分析并制定出相应的措施等。</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zh-CN" w:eastAsia="zh-CN"/>
              </w:rPr>
              <w:t xml:space="preserve">深化设计方案完整、规划合理</w:t>
            </w:r>
            <w:r>
              <w:rPr>
                <w:rFonts w:hint="eastAsia" w:asciiTheme="minorEastAsia" w:hAnsiTheme="minorEastAsia" w:cstheme="minorEastAsia"/>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采购及安装调试方案完善，实施工作内容的重难点分析全面，能够保质保量完成任务的得8分；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zh-CN" w:eastAsia="zh-CN"/>
              </w:rPr>
              <w:t xml:space="preserve">深化设计方案</w:t>
            </w:r>
            <w:r>
              <w:rPr>
                <w:rFonts w:hint="eastAsia" w:asciiTheme="minorEastAsia" w:hAnsiTheme="minorEastAsia" w:cstheme="minorEastAsia"/>
                <w:color w:val="auto"/>
                <w:sz w:val="24"/>
                <w:szCs w:val="24"/>
                <w:highlight w:val="none"/>
                <w:lang w:val="en-US" w:eastAsia="zh-CN"/>
              </w:rPr>
              <w:t xml:space="preserve">较</w:t>
            </w:r>
            <w:r>
              <w:rPr>
                <w:rFonts w:hint="eastAsia" w:asciiTheme="minorEastAsia" w:hAnsiTheme="minorEastAsia" w:eastAsiaTheme="minorEastAsia" w:cstheme="minorEastAsia"/>
                <w:color w:val="auto"/>
                <w:sz w:val="24"/>
                <w:szCs w:val="24"/>
                <w:highlight w:val="none"/>
                <w:lang w:val="zh-CN" w:eastAsia="zh-CN"/>
              </w:rPr>
              <w:t xml:space="preserve">完整、规划</w:t>
            </w:r>
            <w:r>
              <w:rPr>
                <w:rFonts w:hint="eastAsia" w:asciiTheme="minorEastAsia" w:hAnsiTheme="minorEastAsia" w:cstheme="minorEastAsia"/>
                <w:color w:val="auto"/>
                <w:sz w:val="24"/>
                <w:szCs w:val="24"/>
                <w:highlight w:val="none"/>
                <w:lang w:val="en-US" w:eastAsia="zh-CN"/>
              </w:rPr>
              <w:t xml:space="preserve">较</w:t>
            </w:r>
            <w:r>
              <w:rPr>
                <w:rFonts w:hint="eastAsia" w:asciiTheme="minorEastAsia" w:hAnsiTheme="minorEastAsia" w:eastAsiaTheme="minorEastAsia" w:cstheme="minorEastAsia"/>
                <w:color w:val="auto"/>
                <w:sz w:val="24"/>
                <w:szCs w:val="24"/>
                <w:highlight w:val="none"/>
                <w:lang w:val="zh-CN" w:eastAsia="zh-CN"/>
              </w:rPr>
              <w:t xml:space="preserve">合理</w:t>
            </w:r>
            <w:r>
              <w:rPr>
                <w:rFonts w:hint="eastAsia" w:asciiTheme="minorEastAsia" w:hAnsiTheme="minorEastAsia" w:cstheme="minorEastAsia"/>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采购及安装调试方案较完善，实施工作内容的重难点分析较全面，较能够保质保量完成任务的得5分；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zh-CN" w:eastAsia="zh-CN"/>
              </w:rPr>
              <w:t xml:space="preserve">深化设计方案</w:t>
            </w:r>
            <w:r>
              <w:rPr>
                <w:rFonts w:hint="eastAsia" w:asciiTheme="minorEastAsia" w:hAnsiTheme="minorEastAsia" w:cstheme="minorEastAsia"/>
                <w:color w:val="auto"/>
                <w:sz w:val="24"/>
                <w:szCs w:val="24"/>
                <w:highlight w:val="none"/>
                <w:lang w:val="en-US" w:eastAsia="zh-CN"/>
              </w:rPr>
              <w:t xml:space="preserve">基本完善，</w:t>
            </w:r>
            <w:r>
              <w:rPr>
                <w:rFonts w:hint="eastAsia" w:asciiTheme="minorEastAsia" w:hAnsiTheme="minorEastAsia" w:eastAsiaTheme="minorEastAsia" w:cstheme="minorEastAsia"/>
                <w:color w:val="auto"/>
                <w:sz w:val="24"/>
                <w:szCs w:val="24"/>
                <w:highlight w:val="none"/>
                <w:lang w:val="zh-CN" w:eastAsia="zh-CN"/>
              </w:rPr>
              <w:t xml:space="preserve">规划</w:t>
            </w:r>
            <w:r>
              <w:rPr>
                <w:rFonts w:hint="eastAsia" w:asciiTheme="minorEastAsia" w:hAnsiTheme="minorEastAsia" w:cstheme="minorEastAsia"/>
                <w:color w:val="auto"/>
                <w:sz w:val="24"/>
                <w:szCs w:val="24"/>
                <w:highlight w:val="none"/>
                <w:lang w:val="en-US" w:eastAsia="zh-CN"/>
              </w:rPr>
              <w:t xml:space="preserve">基本</w:t>
            </w:r>
            <w:r>
              <w:rPr>
                <w:rFonts w:hint="eastAsia" w:asciiTheme="minorEastAsia" w:hAnsiTheme="minorEastAsia" w:eastAsiaTheme="minorEastAsia" w:cstheme="minorEastAsia"/>
                <w:color w:val="auto"/>
                <w:sz w:val="24"/>
                <w:szCs w:val="24"/>
                <w:highlight w:val="none"/>
                <w:lang w:val="zh-CN" w:eastAsia="zh-CN"/>
              </w:rPr>
              <w:t xml:space="preserve">合理</w:t>
            </w:r>
            <w:r>
              <w:rPr>
                <w:rFonts w:hint="eastAsia" w:ascii="宋体" w:hAnsi="宋体" w:eastAsia="宋体" w:cs="宋体"/>
                <w:color w:val="auto"/>
                <w:sz w:val="24"/>
                <w:szCs w:val="24"/>
                <w:highlight w:val="none"/>
                <w:lang w:val="en-US" w:eastAsia="zh-CN"/>
              </w:rPr>
              <w:t xml:space="preserve">，采购及安装调试方案基本齐全，实施工作内容的重难点分析基本完善，供货保证措施可行，能够保质保量完成任务的得3分；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zh-CN" w:eastAsia="zh-CN"/>
              </w:rPr>
              <w:t xml:space="preserve">深化设计方案</w:t>
            </w:r>
            <w:r>
              <w:rPr>
                <w:rFonts w:hint="eastAsia" w:asciiTheme="minorEastAsia" w:hAnsiTheme="minorEastAsia" w:cstheme="minorEastAsia"/>
                <w:color w:val="auto"/>
                <w:sz w:val="24"/>
                <w:szCs w:val="24"/>
                <w:highlight w:val="none"/>
                <w:lang w:val="en-US" w:eastAsia="zh-CN"/>
              </w:rPr>
              <w:t xml:space="preserve">合理性欠缺，</w:t>
            </w:r>
            <w:r>
              <w:rPr>
                <w:rFonts w:hint="eastAsia" w:ascii="宋体" w:hAnsi="宋体" w:eastAsia="宋体" w:cs="宋体"/>
                <w:color w:val="auto"/>
                <w:sz w:val="24"/>
                <w:szCs w:val="24"/>
                <w:highlight w:val="none"/>
                <w:lang w:val="en-US" w:eastAsia="zh-CN"/>
              </w:rPr>
              <w:t xml:space="preserve">采购及安装调试方案可行性一般，实施工作内容的重难点分析欠缺，供货保证措施基本可行，能够保质保量完成任务的得1分；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 </w:t>
            </w:r>
            <w:r/>
          </w:p>
        </w:tc>
      </w:tr>
      <w:tr>
        <w:trPr>
          <w:jc w:val="center"/>
          <w:trHeight w:val="281"/>
        </w:trPr>
        <w:tc>
          <w:tcPr>
            <w:tcBorders>
              <w:bottom w:val="single" w:color="auto" w:sz="4" w:space="0"/>
            </w:tcBorders>
            <w:tcW w:w="196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质量保证措施</w:t>
            </w:r>
            <w:r/>
          </w:p>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(8分)</w:t>
            </w:r>
            <w:r/>
          </w:p>
        </w:tc>
        <w:tc>
          <w:tcPr>
            <w:tcBorders>
              <w:bottom w:val="single" w:color="auto" w:sz="4" w:space="0"/>
            </w:tcBorders>
            <w:tcW w:w="6960" w:type="dxa"/>
            <w:vAlign w:val="top"/>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根据投标人提供的项目质量保证措施，内容包含但不限于质量保证措施、详细具体的技术培训计划等内容：</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（1）有科学健全的质量保证措施、详细具体的技术培训计划，且内容特别契合本项目实际，能突出重点培训内容的得8分；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（2）质量保证措施较科学健全、较详细具体的技术培训计划，且内容较契合本项目实际，能突出重点培训内容的得5分；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（3）质量保证措施但措施科学合理性一般、有技术培训计划但内容不够周密具体的得3分；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（4）质量保证措施及技术培训计划过于简单的得1分；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w:t>
            </w:r>
            <w:r/>
          </w:p>
        </w:tc>
      </w:tr>
      <w:tr>
        <w:trPr>
          <w:jc w:val="center"/>
          <w:trHeight w:val="281"/>
        </w:trPr>
        <w:tc>
          <w:tcPr>
            <w:tcBorders>
              <w:bottom w:val="single" w:color="auto" w:sz="4" w:space="0"/>
            </w:tcBorders>
            <w:tcW w:w="1965"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进度计划和各阶段进度的保证措施</w:t>
            </w:r>
            <w:r>
              <w:rPr>
                <w:rFonts w:hint="eastAsia" w:ascii="宋体" w:hAnsi="宋体" w:eastAsia="宋体" w:cs="宋体"/>
                <w:color w:val="auto"/>
                <w:sz w:val="24"/>
                <w:szCs w:val="24"/>
                <w:highlight w:val="none"/>
                <w:lang w:val="en-US" w:eastAsia="zh-CN"/>
              </w:rPr>
              <w:t xml:space="preserve">（8分）</w:t>
            </w:r>
            <w:r/>
          </w:p>
        </w:tc>
        <w:tc>
          <w:tcPr>
            <w:tcBorders>
              <w:bottom w:val="single" w:color="auto" w:sz="4" w:space="0"/>
            </w:tcBorders>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根据投标人提供的进度计划和各阶段进度的保证措施进行综合评审。</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（1）项目进度计划完整，各阶段进度的保证措施清晰准确可行的得8分；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（2）项目进度计划较完整，各阶段进度的保证措施较清晰准确可行的得5分；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（3）项目进度计划合理性一般，各阶段进度的保证措施不够清晰准确的得3分；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（4）进度计划和各阶段进度的保证措施过于简单的，可行性一般的得1分；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w:t>
            </w:r>
            <w:r/>
          </w:p>
        </w:tc>
      </w:tr>
      <w:tr>
        <w:trPr>
          <w:jc w:val="center"/>
          <w:trHeight w:val="281"/>
        </w:trPr>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投标人提供的售后服务方案，方案内容包含但不限于解决质量或操作问题的形式、维修时间、地点、人员、服务方案周密性等内容：</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（1）方案内容全面，有针对性，科学合理，组织保障有力，操作性强的得7分；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（2）方案内容较全面，较有针对性，较科学合理，组织保障较有力，操作性较强的得5分；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（3）方案内容完整性针对性一般，组织保障基本涵盖，操作性强得3分；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（4）方案内容有缺项，针对性一般，内容简单，组织保障一般，操作性一般的得1分；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 </w:t>
            </w:r>
            <w:r/>
          </w:p>
        </w:tc>
      </w:tr>
      <w:tr>
        <w:trPr>
          <w:jc w:val="center"/>
          <w:trHeight w:val="621"/>
        </w:trPr>
        <w:tc>
          <w:tcPr>
            <w:gridSpan w:val="2"/>
            <w:tcBorders>
              <w:top w:val="single" w:color="auto" w:sz="4" w:space="0"/>
              <w:left w:val="none" w:color="000000" w:sz="4" w:space="0"/>
              <w:bottom w:val="single" w:color="auto" w:sz="4" w:space="0"/>
              <w:right w:val="none" w:color="000000" w:sz="4" w:space="0"/>
            </w:tcBorders>
            <w:tcW w:w="8925"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（3）商务分（9分）</w:t>
            </w:r>
            <w:r/>
          </w:p>
        </w:tc>
      </w:tr>
      <w:tr>
        <w:trPr>
          <w:jc w:val="center"/>
          <w:trHeight w:val="621"/>
        </w:trPr>
        <w:tc>
          <w:tcPr>
            <w:shd w:val="clear" w:color="auto" w:fill="auto"/>
            <w:tcBorders>
              <w:top w:val="single" w:color="auto" w:sz="4" w:space="0"/>
              <w:left w:val="single" w:color="auto" w:sz="4" w:space="0"/>
              <w:bottom w:val="single" w:color="auto" w:sz="4" w:space="0"/>
              <w:right w:val="single" w:color="auto" w:sz="4" w:space="0"/>
            </w:tcBorders>
            <w:tcW w:w="196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类似业绩</w:t>
            </w:r>
            <w:r/>
          </w:p>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960" w:type="dxa"/>
            <w:vAlign w:val="center"/>
            <w:textDirection w:val="lrTb"/>
            <w:noWrap/>
          </w:tcPr>
          <w:p>
            <w:pPr>
              <w:ind w:firstLine="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自202</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年1月1日以来</w:t>
            </w:r>
            <w:r>
              <w:rPr>
                <w:rFonts w:hint="eastAsia" w:ascii="宋体" w:hAnsi="宋体" w:eastAsia="宋体" w:cs="宋体"/>
                <w:b w:val="0"/>
                <w:bCs w:val="0"/>
                <w:color w:val="auto"/>
                <w:sz w:val="24"/>
                <w:szCs w:val="24"/>
                <w:highlight w:val="none"/>
                <w:lang w:eastAsia="zh-CN"/>
              </w:rPr>
              <w:t xml:space="preserve">（时间以合同签订时间为准）</w:t>
            </w:r>
            <w:r>
              <w:rPr>
                <w:rFonts w:hint="eastAsia" w:ascii="宋体" w:hAnsi="宋体" w:eastAsia="宋体" w:cs="宋体"/>
                <w:b w:val="0"/>
                <w:bCs w:val="0"/>
                <w:color w:val="auto"/>
                <w:sz w:val="24"/>
                <w:szCs w:val="24"/>
                <w:highlight w:val="none"/>
              </w:rPr>
              <w:t xml:space="preserve">，投标人</w:t>
            </w:r>
            <w:r>
              <w:rPr>
                <w:rFonts w:hint="eastAsia" w:ascii="宋体" w:hAnsi="宋体" w:eastAsia="宋体" w:cs="宋体"/>
                <w:b w:val="0"/>
                <w:bCs w:val="0"/>
                <w:color w:val="auto"/>
                <w:sz w:val="24"/>
                <w:szCs w:val="24"/>
                <w:highlight w:val="none"/>
                <w:lang w:val="en-US" w:eastAsia="zh-CN"/>
              </w:rPr>
              <w:t xml:space="preserve">承担过类似项目供货业绩的，每提供1个得3分，最高得9分。</w:t>
            </w:r>
            <w:r/>
          </w:p>
          <w:p>
            <w:pPr>
              <w:ind w:firstLine="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注：</w:t>
            </w:r>
            <w:r>
              <w:rPr>
                <w:rFonts w:hint="eastAsia" w:ascii="宋体" w:hAnsi="宋体" w:eastAsia="宋体" w:cs="宋体"/>
                <w:b w:val="0"/>
                <w:bCs w:val="0"/>
                <w:color w:val="auto"/>
                <w:sz w:val="24"/>
                <w:szCs w:val="24"/>
                <w:highlight w:val="none"/>
              </w:rPr>
              <w:t xml:space="preserve">提供合同原件</w:t>
            </w:r>
            <w:r>
              <w:rPr>
                <w:rFonts w:hint="eastAsia" w:ascii="宋体" w:hAnsi="宋体" w:eastAsia="宋体" w:cs="宋体"/>
                <w:b w:val="0"/>
                <w:bCs w:val="0"/>
                <w:color w:val="auto"/>
                <w:sz w:val="24"/>
                <w:szCs w:val="24"/>
                <w:highlight w:val="none"/>
                <w:lang w:eastAsia="zh-CN"/>
              </w:rPr>
              <w:t xml:space="preserve">彩色</w:t>
            </w:r>
            <w:r>
              <w:rPr>
                <w:rFonts w:hint="eastAsia" w:ascii="宋体" w:hAnsi="宋体" w:eastAsia="宋体" w:cs="宋体"/>
                <w:b w:val="0"/>
                <w:bCs w:val="0"/>
                <w:color w:val="auto"/>
                <w:sz w:val="24"/>
                <w:szCs w:val="24"/>
                <w:highlight w:val="none"/>
              </w:rPr>
              <w:t xml:space="preserve">扫描件</w:t>
            </w:r>
            <w:r>
              <w:rPr>
                <w:rFonts w:hint="eastAsia" w:ascii="宋体" w:hAnsi="宋体" w:eastAsia="宋体" w:cs="宋体"/>
                <w:b w:val="0"/>
                <w:bCs w:val="0"/>
                <w:color w:val="auto"/>
                <w:sz w:val="24"/>
                <w:szCs w:val="24"/>
                <w:highlight w:val="none"/>
                <w:lang w:val="en-US" w:eastAsia="zh-CN"/>
              </w:rPr>
              <w:t xml:space="preserve">上传至电子投标文件中</w:t>
            </w:r>
            <w:r>
              <w:rPr>
                <w:rFonts w:hint="eastAsia" w:ascii="宋体" w:hAnsi="宋体" w:eastAsia="宋体" w:cs="宋体"/>
                <w:b w:val="0"/>
                <w:bCs w:val="0"/>
                <w:color w:val="auto"/>
                <w:sz w:val="24"/>
                <w:szCs w:val="24"/>
                <w:highlight w:val="none"/>
              </w:rPr>
              <w:t xml:space="preserve">，合同的标的名称、</w:t>
            </w:r>
            <w:r>
              <w:rPr>
                <w:rFonts w:hint="eastAsia" w:ascii="宋体" w:hAnsi="宋体" w:eastAsia="宋体" w:cs="宋体"/>
                <w:b w:val="0"/>
                <w:bCs w:val="0"/>
                <w:color w:val="auto"/>
                <w:sz w:val="24"/>
                <w:szCs w:val="24"/>
                <w:highlight w:val="none"/>
                <w:lang w:eastAsia="zh-CN"/>
              </w:rPr>
              <w:t xml:space="preserve">内容、</w:t>
            </w:r>
            <w:r>
              <w:rPr>
                <w:rFonts w:hint="eastAsia" w:ascii="宋体" w:hAnsi="宋体" w:eastAsia="宋体" w:cs="宋体"/>
                <w:b w:val="0"/>
                <w:bCs w:val="0"/>
                <w:color w:val="auto"/>
                <w:sz w:val="24"/>
                <w:szCs w:val="24"/>
                <w:highlight w:val="none"/>
              </w:rPr>
              <w:t xml:space="preserve">签订时间等信息必须清晰，否则不得分。</w:t>
            </w:r>
            <w:r>
              <w:rPr>
                <w:rFonts w:hint="eastAsia" w:ascii="宋体" w:hAnsi="宋体" w:eastAsia="宋体" w:cs="宋体"/>
                <w:b w:val="0"/>
                <w:bCs w:val="0"/>
                <w:color w:val="auto"/>
                <w:sz w:val="24"/>
                <w:szCs w:val="24"/>
                <w:highlight w:val="none"/>
                <w:lang w:val="zh-CN"/>
              </w:rPr>
              <w:t xml:space="preserve">合同中产品</w:t>
            </w:r>
            <w:r>
              <w:rPr>
                <w:rFonts w:hint="eastAsia" w:ascii="宋体" w:hAnsi="宋体" w:eastAsia="宋体" w:cs="宋体"/>
                <w:b w:val="0"/>
                <w:bCs w:val="0"/>
                <w:color w:val="auto"/>
                <w:sz w:val="24"/>
                <w:szCs w:val="24"/>
                <w:highlight w:val="none"/>
              </w:rPr>
              <w:t xml:space="preserve">名称相同或类似，由评审委员会统一认定后给予得分。</w:t>
            </w:r>
            <w:r/>
          </w:p>
        </w:tc>
      </w:tr>
    </w:tbl>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731"/>
        <w:ind w:left="0" w:right="0"/>
        <w:jc w:val="center"/>
        <w:pageBreakBefore w:val="0"/>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第六章  投标文件格式</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both"/>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left="0" w:right="0"/>
        <w:jc w:val="center"/>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left="0" w:right="0" w:firstLine="1084"/>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p>
    <w:p>
      <w:pPr>
        <w:ind w:left="0" w:right="0" w:firstLine="1084"/>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p>
    <w:p>
      <w:pPr>
        <w:ind w:left="0" w:right="0"/>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ind w:left="0" w:right="0"/>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p>
    <w:p>
      <w:pPr>
        <w:ind w:left="0" w:righ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0" w:right="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一、法人或者其他组织的营业执照等证明文件，自然人的身份证明</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6"/>
          <w:highlight w:val="none"/>
          <w:u w:val="single"/>
        </w:rPr>
      </w:pPr>
      <w:r>
        <w:rPr>
          <w:rFonts w:hint="eastAsia" w:ascii="宋体" w:hAnsi="宋体" w:eastAsia="宋体" w:cs="宋体"/>
          <w:i/>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二、具有良好的商业信誉和健全的财务会计制度</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三、依法缴纳税收和社会保障资金的相关材料</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财务状况报告及税收、社会保障资金缴纳情况承诺函</w:t>
      </w:r>
      <w:r/>
    </w:p>
    <w:p>
      <w:pPr>
        <w:ind w:left="0" w:right="0"/>
        <w:jc w:val="left"/>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i/>
          <w:color w:val="auto"/>
          <w:sz w:val="24"/>
          <w:szCs w:val="24"/>
          <w:highlight w:val="none"/>
          <w:u w:val="single"/>
          <w:lang w:eastAsia="zh-CN"/>
        </w:rPr>
        <w:t xml:space="preserve">采购人</w:t>
      </w:r>
      <w:r>
        <w:rPr>
          <w:rFonts w:hint="eastAsia" w:ascii="宋体" w:hAnsi="宋体" w:eastAsia="宋体" w:cs="宋体"/>
          <w:i/>
          <w:color w:val="auto"/>
          <w:sz w:val="24"/>
          <w:szCs w:val="24"/>
          <w:highlight w:val="none"/>
          <w:u w:val="single"/>
        </w:rPr>
        <w:t xml:space="preserve">名称</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i/>
          <w:color w:val="auto"/>
          <w:sz w:val="24"/>
          <w:szCs w:val="24"/>
          <w:highlight w:val="none"/>
          <w:u w:val="single"/>
          <w:lang w:eastAsia="zh-CN"/>
        </w:rPr>
        <w:t xml:space="preserve">投标人</w:t>
      </w:r>
      <w:r>
        <w:rPr>
          <w:rFonts w:hint="eastAsia" w:ascii="宋体" w:hAnsi="宋体" w:eastAsia="宋体" w:cs="宋体"/>
          <w:i/>
          <w:color w:val="auto"/>
          <w:sz w:val="24"/>
          <w:szCs w:val="24"/>
          <w:highlight w:val="none"/>
          <w:u w:val="single"/>
        </w:rPr>
        <w:t xml:space="preserve">名称</w:t>
      </w:r>
      <w:r>
        <w:rPr>
          <w:rFonts w:hint="eastAsia" w:ascii="宋体" w:hAnsi="宋体" w:eastAsia="宋体" w:cs="宋体"/>
          <w:color w:val="auto"/>
          <w:sz w:val="24"/>
          <w:szCs w:val="24"/>
          <w:highlight w:val="none"/>
        </w:rPr>
        <w:t xml:space="preserve">参加</w:t>
      </w:r>
      <w:r>
        <w:rPr>
          <w:rFonts w:hint="eastAsia" w:ascii="宋体" w:hAnsi="宋体" w:eastAsia="宋体" w:cs="宋体"/>
          <w:i/>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i/>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（公章）：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法定代表人（单位负责人）或委托代理人（签名或签章）：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四、具备履行合同所必需的设备和专业技术能力的声明及证明材料</w:t>
      </w:r>
      <w:r/>
    </w:p>
    <w:p>
      <w:pPr>
        <w:ind w:left="0" w:right="0"/>
        <w:jc w:val="center"/>
        <w:pageBreakBefore w:val="0"/>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具备履行合同所必需的设备和专业技术能力的声明</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。（须附证明材料）</w:t>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。（须附证明材料）</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jc w:val="left"/>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附主要设备和主要专业技术能力的证明材料如下：</w:t>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五、参加政府采购活动前3年内在经营活动中没有重大违法记录的书面声明</w:t>
      </w:r>
      <w:r/>
    </w:p>
    <w:p>
      <w:pPr>
        <w:ind w:left="0" w:right="0"/>
        <w:jc w:val="center"/>
        <w:pageBreakBefore w:val="0"/>
        <w:spacing w:line="360" w:lineRule="auto"/>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 xml:space="preserve">声  明</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六、法律、行政法规规定的其他条件的证明文件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七、落实政府采购政策需满足的资格要求的证明文件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八、特定资格要求的证明文件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color w:val="auto"/>
          <w:sz w:val="28"/>
          <w:szCs w:val="28"/>
          <w:highlight w:val="none"/>
          <w:u w:val="single"/>
        </w:rPr>
        <w:t xml:space="preserve">九、授权委托书与法定代表人（单位负责人）身份证明</w:t>
      </w:r>
      <w:r/>
    </w:p>
    <w:p>
      <w:pPr>
        <w:ind w:left="0" w:right="0"/>
        <w:jc w:val="center"/>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为我方代理人。代理人根据授权，以我方名义签署、澄清确认、递交、撤回、修改</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项目（项目编号：）投标文件和处理有关事宜，其法律后果由我方承担。</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rFonts w:hint="eastAsia" w:ascii="宋体" w:hAnsi="宋体" w:eastAsia="宋体" w:cs="宋体"/>
          <w:color w:val="auto"/>
          <w:sz w:val="24"/>
          <w:szCs w:val="24"/>
          <w:highlight w:val="none"/>
        </w:rPr>
        <w:b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firstLine="48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为事业单位或其他组织或分支机构（仅当招标文件注明允许分支机构投标的），则法定代表人（单位负责人）处的签署人可为单位负责人。</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为自然人的情形，可不提供本《授权委托书》。</w:t>
      </w:r>
      <w:r/>
    </w:p>
    <w:p>
      <w:pPr>
        <w:ind w:left="0" w:right="0"/>
        <w:jc w:val="center"/>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ind w:left="0" w:right="0"/>
        <w:pageBreakBefore w:val="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left="0" w:right="0"/>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left="0" w:right="0" w:firstLine="48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w:t>
      </w:r>
      <w:r/>
    </w:p>
    <w:p>
      <w:pPr>
        <w:ind w:left="0" w:right="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姓名：性别：年龄：职务：</w:t>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w:t>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pageBreakBefore w:val="0"/>
        <w:spacing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十、投标函</w:t>
      </w:r>
      <w:r/>
    </w:p>
    <w:p>
      <w:pPr>
        <w:ind w:left="0" w:right="0"/>
        <w:jc w:val="center"/>
        <w:pageBreakBefore w:val="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投标函</w:t>
      </w:r>
      <w:r/>
    </w:p>
    <w:p>
      <w:pPr>
        <w:ind w:left="0" w:right="0"/>
        <w:jc w:val="left"/>
        <w:pageBreakBefore w:val="0"/>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val="en-US" w:eastAsia="zh-CN"/>
        </w:rPr>
        <w:t xml:space="preserve"> </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1.按招标文件规定的各项要求，向买方提供所需货物（包含与货物相关的工程、服务）。</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我方将根据招标文件的规定，严格履行合同的责任和义务</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并保证在招标文件规定的时间完成项目，交付买方验收、使用。</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十一、中小企业声明函</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中小企业声明函</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left="0" w:right="0" w:firstLine="48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left="0" w:right="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如实填写，所填内容须与投标分项报价表一致，如填写不完整或不一致或填写有误，将不享受扶持政策。</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3、中标人的《中小企业声明函》随中标结果公开，接受社会监督。</w:t>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十二、残疾人福利性单位声明函</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36"/>
          <w:szCs w:val="28"/>
          <w:highlight w:val="none"/>
        </w:rPr>
        <w:t xml:space="preserve">残疾人福利性单位声明函</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w:t>
      </w:r>
      <w:r>
        <w:rPr>
          <w:rFonts w:hint="eastAsia" w:ascii="宋体" w:hAnsi="宋体" w:eastAsia="宋体" w:cs="宋体"/>
          <w:color w:val="auto"/>
          <w:sz w:val="24"/>
          <w:szCs w:val="21"/>
          <w:highlight w:val="none"/>
        </w:rPr>
        <w:t xml:space="preserve">141号）的规定，本单位为符合条件的残疾人福利性单位，且本单位参加单位的项目（</w:t>
      </w:r>
      <w:r>
        <w:rPr>
          <w:rFonts w:hint="eastAsia" w:ascii="宋体" w:hAnsi="宋体" w:eastAsia="宋体" w:cs="宋体"/>
          <w:color w:val="auto"/>
          <w:sz w:val="24"/>
          <w:szCs w:val="24"/>
          <w:highlight w:val="none"/>
        </w:rPr>
        <w:t xml:space="preserve">项目编号：，分包号：</w:t>
      </w:r>
      <w:r>
        <w:rPr>
          <w:rFonts w:hint="eastAsia" w:ascii="宋体" w:hAnsi="宋体" w:eastAsia="宋体" w:cs="宋体"/>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u w:val="single"/>
        </w:rPr>
        <w:t xml:space="preserve">（标的名称）</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（企业名称）</w:t>
      </w:r>
      <w:r>
        <w:rPr>
          <w:rFonts w:hint="eastAsia" w:ascii="宋体" w:hAnsi="宋体" w:eastAsia="宋体" w:cs="宋体"/>
          <w:color w:val="auto"/>
          <w:sz w:val="24"/>
          <w:szCs w:val="21"/>
          <w:highlight w:val="none"/>
        </w:rPr>
        <w:t xml:space="preserve">，属于残疾人福利性单位； </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u w:val="single"/>
        </w:rPr>
        <w:t xml:space="preserve">（标的名称）</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（企业名称）</w:t>
      </w:r>
      <w:r>
        <w:rPr>
          <w:rFonts w:hint="eastAsia" w:ascii="宋体" w:hAnsi="宋体" w:eastAsia="宋体" w:cs="宋体"/>
          <w:color w:val="auto"/>
          <w:sz w:val="24"/>
          <w:szCs w:val="21"/>
          <w:highlight w:val="none"/>
        </w:rPr>
        <w:t xml:space="preserve">，属于残疾人福利性单位；</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w:t>
      </w:r>
      <w:r/>
    </w:p>
    <w:p>
      <w:pPr>
        <w:ind w:left="0" w:right="0"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left="0" w:right="0"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填报说明：</w:t>
      </w:r>
      <w:r/>
    </w:p>
    <w:p>
      <w:pPr>
        <w:ind w:left="0" w:right="0" w:firstLine="480"/>
        <w:jc w:val="left"/>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请</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如实填写，所填内容须与投标分项报价表一致，如填写不完整或不一致或填写有误，将不享受扶持政策。</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2、中标人的《残疾人福利性单位声明函》随中标结果公开</w:t>
      </w:r>
      <w:r>
        <w:rPr>
          <w:rFonts w:hint="eastAsia" w:ascii="宋体" w:hAnsi="宋体" w:eastAsia="宋体" w:cs="宋体"/>
          <w:color w:val="auto"/>
          <w:sz w:val="24"/>
          <w:szCs w:val="24"/>
          <w:highlight w:val="none"/>
        </w:rPr>
        <w:t xml:space="preserve">，接受社会监督</w:t>
      </w:r>
      <w:r>
        <w:rPr>
          <w:rFonts w:hint="eastAsia" w:ascii="宋体" w:hAnsi="宋体" w:eastAsia="宋体" w:cs="宋体"/>
          <w:bCs/>
          <w:color w:val="auto"/>
          <w:sz w:val="24"/>
          <w:szCs w:val="24"/>
          <w:highlight w:val="none"/>
        </w:rPr>
        <w:t xml:space="preserve">。</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br w:type="page" w:clear="all"/>
      </w:r>
      <w:r/>
    </w:p>
    <w:p>
      <w:pPr>
        <w:ind w:left="0" w:right="0"/>
        <w:jc w:val="left"/>
        <w:keepLines/>
        <w:keepNext/>
        <w:pageBreakBefore w:val="0"/>
        <w:spacing w:line="360" w:lineRule="auto"/>
        <w:rPr>
          <w:rFonts w:hint="default" w:ascii="宋体" w:hAnsi="宋体" w:eastAsia="宋体" w:cs="宋体"/>
          <w:i/>
          <w:color w:val="auto"/>
          <w:sz w:val="28"/>
          <w:szCs w:val="28"/>
          <w:highlight w:val="none"/>
          <w:u w:val="single"/>
          <w:lang w:val="en-US" w:eastAsia="zh-CN"/>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三</w:t>
      </w:r>
      <w:r>
        <w:rPr>
          <w:rFonts w:hint="eastAsia" w:ascii="宋体" w:hAnsi="宋体" w:eastAsia="宋体" w:cs="宋体"/>
          <w:i/>
          <w:color w:val="auto"/>
          <w:sz w:val="28"/>
          <w:szCs w:val="28"/>
          <w:highlight w:val="none"/>
          <w:u w:val="single"/>
        </w:rPr>
        <w:t xml:space="preserve">、投标分项报价表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投标分项报价表</w:t>
      </w:r>
      <w:r/>
    </w:p>
    <w:p>
      <w:pPr>
        <w:ind w:left="0" w:right="0" w:firstLine="21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rPr>
          <w:rFonts w:hint="eastAsia" w:ascii="宋体" w:hAnsi="宋体" w:eastAsia="宋体" w:cs="宋体"/>
          <w:color w:val="auto"/>
          <w:sz w:val="21"/>
          <w:szCs w:val="21"/>
          <w:highlight w:val="none"/>
          <w:lang w:val="en-US" w:eastAsia="zh-CN"/>
        </w:rPr>
        <w:t xml:space="preserve">   项目编号：                                  </w:t>
      </w:r>
      <w:r>
        <w:rPr>
          <w:rFonts w:hint="eastAsia" w:ascii="宋体" w:hAnsi="宋体" w:eastAsia="宋体" w:cs="宋体"/>
          <w:color w:val="auto"/>
          <w:sz w:val="21"/>
          <w:szCs w:val="21"/>
          <w:highlight w:val="none"/>
        </w:rPr>
        <w:t xml:space="preserve">单位：元</w:t>
      </w:r>
      <w:r/>
    </w:p>
    <w:tbl>
      <w:tblPr>
        <w:tblStyle w:val="741"/>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jc w:val="center"/>
          <w:trHeight w:val="990"/>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序号</w:t>
            </w:r>
            <w:r/>
          </w:p>
        </w:tc>
        <w:tc>
          <w:tcPr>
            <w:tcW w:w="12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货物</w:t>
            </w:r>
            <w:r>
              <w:rPr>
                <w:rFonts w:hint="eastAsia" w:ascii="宋体" w:hAnsi="宋体" w:eastAsia="宋体" w:cs="宋体"/>
                <w:bCs/>
                <w:color w:val="auto"/>
                <w:szCs w:val="24"/>
                <w:highlight w:val="none"/>
                <w:lang w:val="en-US" w:eastAsia="zh-CN"/>
              </w:rPr>
              <w:t xml:space="preserve">  </w:t>
            </w:r>
            <w:r>
              <w:rPr>
                <w:rFonts w:hint="eastAsia" w:ascii="宋体" w:hAnsi="宋体" w:eastAsia="宋体" w:cs="宋体"/>
                <w:bCs/>
                <w:color w:val="auto"/>
                <w:szCs w:val="24"/>
                <w:highlight w:val="none"/>
              </w:rPr>
              <w:t xml:space="preserve">（标的）名称</w:t>
            </w:r>
            <w:r/>
          </w:p>
        </w:tc>
        <w:tc>
          <w:tcPr>
            <w:tcW w:w="70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品牌</w:t>
            </w:r>
            <w:r/>
          </w:p>
        </w:tc>
        <w:tc>
          <w:tcPr>
            <w:tcW w:w="121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
                <w:bCs w:val="0"/>
                <w:color w:val="auto"/>
                <w:szCs w:val="24"/>
                <w:highlight w:val="none"/>
              </w:rPr>
              <w:t xml:space="preserve">是否符合本国产品标准</w:t>
            </w:r>
            <w:r/>
          </w:p>
        </w:tc>
        <w:tc>
          <w:tcPr>
            <w:tcW w:w="82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规格型号</w:t>
            </w:r>
            <w:r/>
          </w:p>
        </w:tc>
        <w:tc>
          <w:tcPr>
            <w:tcW w:w="768"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w:t>
            </w:r>
            <w:r/>
          </w:p>
        </w:tc>
        <w:tc>
          <w:tcPr>
            <w:tcW w:w="927"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制造商企业类型</w:t>
            </w:r>
            <w:r/>
          </w:p>
        </w:tc>
        <w:tc>
          <w:tcPr>
            <w:tcW w:w="78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单价</w:t>
            </w:r>
            <w:r/>
          </w:p>
        </w:tc>
        <w:tc>
          <w:tcPr>
            <w:tcW w:w="76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数量</w:t>
            </w:r>
            <w:r/>
          </w:p>
        </w:tc>
        <w:tc>
          <w:tcPr>
            <w:tcW w:w="7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计量单位</w:t>
            </w:r>
            <w:r/>
          </w:p>
        </w:tc>
        <w:tc>
          <w:tcPr>
            <w:tcW w:w="793"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单项合计价</w:t>
            </w:r>
            <w:r/>
          </w:p>
        </w:tc>
      </w:tr>
      <w:tr>
        <w:trPr>
          <w:jc w:val="center"/>
          <w:trHeight w:val="58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8"/>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5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7"/>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6"/>
            <w:tcW w:w="5284"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总计（元）</w:t>
            </w:r>
            <w:r/>
          </w:p>
        </w:tc>
        <w:tc>
          <w:tcPr>
            <w:gridSpan w:val="5"/>
            <w:tcW w:w="4015"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11"/>
            <w:tcW w:w="9299"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b/>
                <w:bCs/>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该部分供应商填写）</w:t>
            </w:r>
            <w:r/>
          </w:p>
        </w:tc>
      </w:tr>
    </w:tbl>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年</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月</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日</w:t>
      </w:r>
      <w:r/>
    </w:p>
    <w:p>
      <w:pPr>
        <w:ind w:left="0" w:right="0"/>
        <w:pageBreakBefore w:val="0"/>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ind w:left="0"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填报说明：</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1、“制造商企业类型”栏填写内容为“大型”“中型”“小型”“微型”“监狱企业”或“残疾人福利性单位”。</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报价包含但不限于人员费用、全部硬件设备、软件系统安装、辅助材料、备品、备件、机械、运输、现场安装调试、人员培训、管理、维护、利润、技术支持、税金、保险、售后服务、政策性文件规定及合同包含的所有风险、责任等所有含税费用。同时，还应包含支付给员工的工资和国家强制缴纳的各种社会保障资金，以及投标人认为需要的其他费用等；总价作为定标的依据，各项综合单价作为据实结算的依据。</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3、请</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如实、正确填写本表，所填内容将作为评审的依据，其内容应与对应的证明资料相符。</w:t>
      </w:r>
      <w:r/>
    </w:p>
    <w:p>
      <w:pPr>
        <w:ind w:left="0" w:right="0"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4、行数或事项不够，可自行增加。</w:t>
      </w:r>
      <w:r/>
    </w:p>
    <w:p>
      <w:pPr>
        <w:pStyle w:val="977"/>
        <w:numPr>
          <w:ilvl w:val="0"/>
          <w:numId w:val="0"/>
        </w:numPr>
        <w:jc w:val="center"/>
        <w:spacing w:line="360" w:lineRule="auto"/>
        <w:rPr>
          <w:rFonts w:hint="eastAsia" w:ascii="宋体" w:hAnsi="宋体" w:cs="宋体"/>
          <w:b w:val="0"/>
          <w:bCs w:val="0"/>
          <w:color w:val="auto"/>
          <w:sz w:val="32"/>
          <w:szCs w:val="32"/>
          <w:highlight w:val="none"/>
        </w:rPr>
      </w:pPr>
      <w:r>
        <w:rPr>
          <w:rFonts w:hint="eastAsia" w:ascii="宋体" w:hAnsi="宋体" w:eastAsia="宋体" w:cs="宋体"/>
          <w:i/>
          <w:iCs/>
          <w:color w:val="auto"/>
          <w:sz w:val="36"/>
          <w:highlight w:val="none"/>
          <w:u w:val="single"/>
        </w:rPr>
        <w:br w:type="page" w:clear="all"/>
      </w:r>
      <w:r>
        <w:rPr>
          <w:rFonts w:hint="eastAsia" w:ascii="宋体" w:hAnsi="宋体" w:cs="宋体"/>
          <w:b w:val="0"/>
          <w:bCs w:val="0"/>
          <w:color w:val="auto"/>
          <w:sz w:val="32"/>
          <w:szCs w:val="32"/>
          <w:highlight w:val="none"/>
        </w:rPr>
        <w:t xml:space="preserve">投标报价汇总表</w:t>
      </w:r>
      <w:r/>
    </w:p>
    <w:p>
      <w:pPr>
        <w:ind w:right="32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单位：(人民币)元</w:t>
      </w:r>
      <w:r/>
    </w:p>
    <w:tbl>
      <w:tblPr>
        <w:tblStyle w:val="741"/>
        <w:tblW w:w="96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2"/>
        <w:gridCol w:w="2207"/>
        <w:gridCol w:w="1857"/>
        <w:gridCol w:w="934"/>
        <w:gridCol w:w="695"/>
        <w:gridCol w:w="711"/>
        <w:gridCol w:w="1269"/>
        <w:gridCol w:w="1251"/>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楼层</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座位数</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总价</w:t>
            </w:r>
            <w:r/>
          </w:p>
        </w:tc>
      </w:tr>
      <w:tr>
        <w:trPr>
          <w:trHeight w:val="371"/>
        </w:trPr>
        <w:tc>
          <w:tcPr>
            <w:gridSpan w:val="8"/>
            <w:shd w:val="clear" w:color="auto" w:fill="auto"/>
            <w:tcBorders>
              <w:top w:val="single" w:color="000000" w:sz="4" w:space="0"/>
              <w:left w:val="single" w:color="000000" w:sz="4" w:space="0"/>
              <w:bottom w:val="single" w:color="000000" w:sz="4" w:space="0"/>
              <w:right w:val="single" w:color="000000" w:sz="4" w:space="0"/>
            </w:tcBorders>
            <w:tcW w:w="9656"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2F-A01 A04 1F-A07</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2F-A02 A05 1F-A08</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物理准备室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分段式智能物理吊装实验室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1F-A06 A09</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物理电学实验室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1F-A10</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2F-A08</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物理热学实验室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2F-A03 A06</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物理力学实验室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4F-A01 A08</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4F-A02 A07</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化学准备室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分段式智能化学吊装实验室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4F-A04 5F-A05</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化学药品室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3F-A05</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化学危化品室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3F-A09</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4F-A06 </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4F-A03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8"/>
            <w:shd w:val="clear" w:color="auto" w:fill="auto"/>
            <w:tcBorders>
              <w:top w:val="single" w:color="000000" w:sz="4" w:space="0"/>
              <w:left w:val="single" w:color="000000" w:sz="4" w:space="0"/>
              <w:bottom w:val="single" w:color="000000" w:sz="4" w:space="0"/>
              <w:right w:val="single" w:color="000000" w:sz="4" w:space="0"/>
            </w:tcBorders>
            <w:tcW w:w="9656"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1F-B01</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1F-B02</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生物标本室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分段式智能生物吊装实验室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1F-B04 B07 2F-B02 B05</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生物准备室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1F-B05 B08 2F-B03 B06</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1F-B06</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生物综合实验室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2F-B01 B04</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生物解剖实验室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3F-B01 B03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生物观察实验室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3F-B02</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3F-B04</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4F-B01 B02</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4F-B02 B04</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实验员工作室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物理实验仪器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化学实验仪器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生物实验仪器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6"/>
            <w:shd w:val="clear" w:color="auto" w:fill="auto"/>
            <w:tcBorders>
              <w:top w:val="single" w:color="000000" w:sz="4" w:space="0"/>
              <w:left w:val="single" w:color="000000" w:sz="4" w:space="0"/>
              <w:bottom w:val="single" w:color="000000" w:sz="4" w:space="0"/>
              <w:right w:val="none" w:color="000000" w:sz="4" w:space="0"/>
            </w:tcBorders>
            <w:tcW w:w="7136" w:type="dxa"/>
            <w:vAlign w:val="center"/>
            <w:textDirection w:val="lrTb"/>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合计（元）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pStyle w:val="771"/>
        <w:rPr>
          <w:rFonts w:hint="eastAsia"/>
          <w:color w:val="auto"/>
          <w:highlight w:val="none"/>
        </w:rPr>
      </w:pPr>
      <w:r>
        <w:rPr>
          <w:rFonts w:hint="eastAsia"/>
          <w:color w:val="auto"/>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年</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月</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日</w:t>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r>
      <w:r/>
    </w:p>
    <w:p>
      <w:pPr>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r>
      <w:r>
        <w:rPr>
          <w:rFonts w:ascii="SimSun" w:hAnsi="SimSun" w:eastAsia="SimSun" w:cs="SimSun"/>
          <w:b/>
          <w:color w:val="000000"/>
          <w:sz w:val="24"/>
        </w:rPr>
        <w:t xml:space="preserve">注：本项目货物需求清单明细表中按单间配置标准列明数量，最终按货物采购清单汇总表的总间数相乘计算总数量及填写本项目投标总报价。</w:t>
      </w:r>
      <w:r>
        <w:rPr>
          <w:rFonts w:hint="eastAsia" w:ascii="宋体" w:hAnsi="宋体" w:eastAsia="宋体" w:cs="宋体"/>
          <w:i/>
          <w:color w:val="auto"/>
          <w:sz w:val="28"/>
          <w:szCs w:val="28"/>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四</w:t>
      </w:r>
      <w:r>
        <w:rPr>
          <w:rFonts w:hint="eastAsia" w:ascii="宋体" w:hAnsi="宋体" w:eastAsia="宋体" w:cs="宋体"/>
          <w:i/>
          <w:color w:val="auto"/>
          <w:sz w:val="28"/>
          <w:szCs w:val="28"/>
          <w:highlight w:val="none"/>
          <w:u w:val="single"/>
        </w:rPr>
        <w:t xml:space="preserve">、关于符合本国产品标准的声明函</w:t>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4728"/>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日期：　   年　  月　  日         </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6.用斜线划除的地方无需填写。</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7.请投标人如实填写，如填写有误，将承担一切不利后果。</w:t>
      </w:r>
      <w:r/>
    </w:p>
    <w:p>
      <w:pPr>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8.投标人提供虚假《声明函》、虚假证明文件谋取中标的，依照《中华人民共和国政府采购法》等法律法规规定追究相应责任。</w:t>
      </w:r>
      <w:r/>
    </w:p>
    <w:p>
      <w:pPr>
        <w:keepLines w:val="0"/>
        <w:keepNext w:val="0"/>
        <w:pageBreakBefore w:val="0"/>
        <w:rPr>
          <w:rFonts w:hint="eastAsia" w:ascii="宋体" w:hAnsi="宋体" w:eastAsia="宋体" w:cs="宋体"/>
          <w:iCs/>
          <w:color w:val="auto"/>
          <w:sz w:val="21"/>
          <w:szCs w:val="21"/>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9.</w:t>
      </w:r>
      <w:r>
        <w:rPr>
          <w:rFonts w:hint="eastAsia" w:ascii="宋体" w:hAnsi="宋体" w:eastAsia="宋体" w:cs="宋体"/>
          <w:color w:val="auto"/>
          <w:sz w:val="24"/>
          <w:szCs w:val="24"/>
          <w:highlight w:val="none"/>
          <w:lang w:val="en-US" w:eastAsia="zh-CN" w:bidi="ar-SA"/>
        </w:rPr>
        <w:t xml:space="preserve">中标人的《声明函》或有关证明文件随中标结果公开，接受社会监督</w:t>
      </w:r>
      <w:r/>
    </w:p>
    <w:p>
      <w:pPr>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lang w:eastAsia="zh-CN"/>
        </w:rPr>
        <w:t xml:space="preserve">十五、</w:t>
      </w:r>
      <w:r>
        <w:rPr>
          <w:rFonts w:hint="eastAsia" w:ascii="宋体" w:hAnsi="宋体" w:eastAsia="宋体" w:cs="宋体"/>
          <w:i/>
          <w:color w:val="auto"/>
          <w:sz w:val="28"/>
          <w:szCs w:val="28"/>
          <w:highlight w:val="none"/>
          <w:u w:val="single"/>
        </w:rPr>
        <w:t xml:space="preserve">技术要求响应及偏离表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技术要求响应及偏离表</w:t>
      </w:r>
      <w:r/>
    </w:p>
    <w:p>
      <w:pPr>
        <w:ind w:left="0" w:right="0" w:firstLine="480"/>
        <w:jc w:val="left"/>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项目名称：      项目编号：   </w:t>
      </w:r>
      <w:r/>
    </w:p>
    <w:tbl>
      <w:tblPr>
        <w:tblStyle w:val="7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bookmarkStart w:id="28" w:name="_Hlt26955054"/>
      <w:r/>
      <w:bookmarkEnd w:id="28"/>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六</w:t>
      </w:r>
      <w:r>
        <w:rPr>
          <w:rFonts w:hint="eastAsia" w:ascii="宋体" w:hAnsi="宋体" w:eastAsia="宋体" w:cs="宋体"/>
          <w:i/>
          <w:color w:val="auto"/>
          <w:sz w:val="28"/>
          <w:szCs w:val="28"/>
          <w:highlight w:val="none"/>
          <w:u w:val="single"/>
        </w:rPr>
        <w:t xml:space="preserve">、商务要求响应及偏离表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p>
    <w:p>
      <w:pPr>
        <w:ind w:left="0" w:right="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w:t>
      </w:r>
      <w:r/>
    </w:p>
    <w:tbl>
      <w:tblPr>
        <w:tblStyle w:val="74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bookmarkStart w:id="29" w:name="_Hlt26609391"/>
            <w:r/>
            <w:bookmarkEnd w:id="29"/>
            <w:r/>
            <w:bookmarkStart w:id="30" w:name="_Hlt26580838"/>
            <w:r/>
            <w:bookmarkEnd w:id="30"/>
            <w:r/>
            <w:bookmarkStart w:id="31" w:name="_Hlt26782999"/>
            <w:r/>
            <w:bookmarkEnd w:id="31"/>
            <w:r/>
            <w:bookmarkStart w:id="32" w:name="_Hlt24879081"/>
            <w:r/>
            <w:bookmarkEnd w:id="32"/>
            <w:r/>
            <w:bookmarkStart w:id="33" w:name="_Hlt26671343"/>
            <w:r/>
            <w:bookmarkEnd w:id="33"/>
            <w:r/>
            <w:bookmarkStart w:id="34" w:name="_Hlt26671372"/>
            <w:r/>
            <w:bookmarkEnd w:id="34"/>
            <w:r/>
            <w:bookmarkStart w:id="35" w:name="_Hlt26955064"/>
            <w:r/>
            <w:bookmarkEnd w:id="35"/>
            <w:r/>
            <w:bookmarkStart w:id="36" w:name="_Hlt26955056"/>
            <w:r/>
            <w:bookmarkEnd w:id="36"/>
            <w:r>
              <w:rPr>
                <w:rFonts w:hint="eastAsia" w:ascii="宋体" w:hAnsi="宋体" w:eastAsia="宋体" w:cs="宋体"/>
                <w:color w:val="auto"/>
                <w:sz w:val="24"/>
                <w:szCs w:val="24"/>
                <w:highlight w:val="none"/>
              </w:rPr>
              <w:t xml:space="preserve">序号</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bookmarkStart w:id="37" w:name="_Hlt26955066"/>
      <w:r/>
      <w:bookmarkEnd w:id="37"/>
      <w:r/>
      <w:bookmarkStart w:id="38" w:name="_Hlt26671374"/>
      <w:r/>
      <w:bookmarkEnd w:id="38"/>
      <w:r/>
      <w:bookmarkStart w:id="39" w:name="_格式2__法定代表人授权书"/>
      <w:r/>
      <w:bookmarkEnd w:id="39"/>
      <w:r/>
      <w:bookmarkStart w:id="40" w:name="_Hlt26609389"/>
      <w:r/>
      <w:bookmarkEnd w:id="40"/>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r/>
    </w:p>
    <w:p>
      <w:pPr>
        <w:numPr>
          <w:ilvl w:val="0"/>
          <w:numId w:val="0"/>
        </w:num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七</w:t>
      </w:r>
      <w:r>
        <w:rPr>
          <w:rFonts w:hint="eastAsia" w:ascii="宋体" w:hAnsi="宋体" w:eastAsia="宋体" w:cs="宋体"/>
          <w:i/>
          <w:color w:val="auto"/>
          <w:sz w:val="28"/>
          <w:szCs w:val="28"/>
          <w:highlight w:val="none"/>
          <w:u w:val="single"/>
        </w:rPr>
        <w:t xml:space="preserve">、类似项目业绩一览表</w:t>
      </w:r>
      <w:r/>
    </w:p>
    <w:p>
      <w:pPr>
        <w:numPr>
          <w:ilvl w:val="0"/>
          <w:numId w:val="0"/>
        </w:numPr>
        <w:ind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p>
      <w:pPr>
        <w:ind w:left="0" w:right="0" w:firstLine="24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w:t>
      </w:r>
      <w:r/>
    </w:p>
    <w:tbl>
      <w:tblPr>
        <w:tblStyle w:val="7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50"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八</w:t>
      </w:r>
      <w:r>
        <w:rPr>
          <w:rFonts w:hint="eastAsia" w:ascii="宋体" w:hAnsi="宋体" w:eastAsia="宋体" w:cs="宋体"/>
          <w:i/>
          <w:color w:val="auto"/>
          <w:sz w:val="28"/>
          <w:szCs w:val="28"/>
          <w:highlight w:val="none"/>
          <w:u w:val="single"/>
        </w:rPr>
        <w:t xml:space="preserve">、项目团队人员一览表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p>
      <w:pPr>
        <w:ind w:left="0" w:right="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41"/>
        <w:tblW w:w="89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2227"/>
        <w:gridCol w:w="2696"/>
        <w:gridCol w:w="2910"/>
      </w:tblGrid>
      <w:tr>
        <w:trPr>
          <w:cantSplit/>
          <w:jc w:val="center"/>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本项目拟担任职务</w:t>
            </w:r>
            <w:r/>
          </w:p>
        </w:tc>
        <w:tc>
          <w:tcPr>
            <w:tcW w:w="269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技术职称、专业资质</w:t>
            </w:r>
            <w:r/>
          </w:p>
        </w:tc>
        <w:tc>
          <w:tcPr>
            <w:tcW w:w="2910"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643"/>
        <w:jc w:val="left"/>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Cs/>
          <w:i/>
          <w:color w:val="auto"/>
          <w:sz w:val="36"/>
          <w:szCs w:val="36"/>
          <w:highlight w:val="none"/>
          <w:u w:val="single"/>
        </w:rPr>
      </w:pPr>
      <w:r>
        <w:rPr>
          <w:rFonts w:hint="eastAsia" w:ascii="宋体" w:hAnsi="宋体" w:eastAsia="宋体" w:cs="宋体"/>
          <w:bCs/>
          <w:i/>
          <w:color w:val="auto"/>
          <w:sz w:val="36"/>
          <w:szCs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lang w:eastAsia="zh-CN"/>
        </w:rPr>
        <w:t xml:space="preserve">十九</w:t>
      </w:r>
      <w:r>
        <w:rPr>
          <w:rFonts w:hint="eastAsia" w:ascii="宋体" w:hAnsi="宋体" w:eastAsia="宋体" w:cs="宋体"/>
          <w:i/>
          <w:color w:val="auto"/>
          <w:sz w:val="28"/>
          <w:szCs w:val="28"/>
          <w:highlight w:val="none"/>
          <w:u w:val="single"/>
        </w:rPr>
        <w:t xml:space="preserve">、开标一览表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投标人全称（CA公章）：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77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投标货物名称</w:t>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r>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核心产品</w:t>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8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40"/>
          <w:szCs w:val="32"/>
          <w:highlight w:val="none"/>
        </w:rPr>
        <w:br w:type="page" w:clear="all"/>
      </w:r>
      <w:r/>
    </w:p>
    <w:p>
      <w:pPr>
        <w:ind w:left="0" w:right="0"/>
        <w:jc w:val="center"/>
        <w:pageBreakBefore w:val="0"/>
        <w:spacing w:line="360" w:lineRule="auto"/>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 xml:space="preserve">质疑函范本</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基本信息</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质疑项目的编号：包号：</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名称：</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获取日期：</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ind w:left="0" w:right="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提出质疑时，应提交质疑函和必要的证明材料。</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若委托代理人进行质疑的，质疑函应按要求列明“授权代表”的有关内容，并在附件中提交由质疑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签署的授权委托书。授权委托书应载明代理人的姓名或者名称、代理事项、具体权限、期限和相关事项。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为自然人的，应当由本人签字；</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为法人或者其他组织的，应当由法定代表人、主要负责人签字或者盖章，并加盖公章。</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若对项目的某一分包进行质疑，质疑函中应列明具体分包号。</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left="0" w:right="0" w:firstLine="480"/>
        <w:jc w:val="left"/>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6.质疑</w:t>
      </w:r>
      <w:r>
        <w:rPr>
          <w:rFonts w:hint="eastAsia" w:ascii="宋体" w:hAnsi="宋体" w:eastAsia="宋体" w:cs="宋体"/>
          <w:b w:val="0"/>
          <w:bCs/>
          <w:color w:val="auto"/>
          <w:sz w:val="24"/>
          <w:szCs w:val="24"/>
          <w:highlight w:val="none"/>
          <w:lang w:eastAsia="zh-CN"/>
        </w:rPr>
        <w:t xml:space="preserve">投标人</w:t>
      </w:r>
      <w:r>
        <w:rPr>
          <w:rFonts w:hint="eastAsia" w:ascii="宋体" w:hAnsi="宋体" w:eastAsia="宋体" w:cs="宋体"/>
          <w:b w:val="0"/>
          <w:bCs/>
          <w:color w:val="auto"/>
          <w:sz w:val="24"/>
          <w:szCs w:val="24"/>
          <w:highlight w:val="none"/>
        </w:rPr>
        <w:t xml:space="preserve">为自然人的，质疑函应附自然人身份证明复印件并由本人签字；质疑</w:t>
      </w:r>
      <w:r>
        <w:rPr>
          <w:rFonts w:hint="eastAsia" w:ascii="宋体" w:hAnsi="宋体" w:eastAsia="宋体" w:cs="宋体"/>
          <w:b w:val="0"/>
          <w:bCs/>
          <w:color w:val="auto"/>
          <w:sz w:val="24"/>
          <w:szCs w:val="24"/>
          <w:highlight w:val="none"/>
          <w:lang w:eastAsia="zh-CN"/>
        </w:rPr>
        <w:t xml:space="preserve">投标人</w:t>
      </w:r>
      <w:r>
        <w:rPr>
          <w:rFonts w:hint="eastAsia" w:ascii="宋体" w:hAnsi="宋体" w:eastAsia="宋体" w:cs="宋体"/>
          <w:b w:val="0"/>
          <w:bCs/>
          <w:color w:val="auto"/>
          <w:sz w:val="24"/>
          <w:szCs w:val="24"/>
          <w:highlight w:val="none"/>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Wingdings">
    <w:panose1 w:val="05000000000000000000"/>
  </w:font>
  <w:font w:name="华文楷体">
    <w:panose1 w:val="02010600040101010101"/>
  </w:font>
  <w:font w:name="MS Mincho">
    <w:panose1 w:val="02020603050405090304"/>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SimSun">
    <w:panose1 w:val="02010600030101010101"/>
  </w:font>
  <w:font w:name="monospace">
    <w:panose1 w:val="020B0503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3080"/>
                            <w:docPartObj>
                              <w:docPartGallery w:val="autotext"/>
                            </w:docPartObj>
                            <w:rPr/>
                          </w:sdtPr>
                          <w:sdtContent>
                            <w:p>
                              <w:pPr>
                                <w:pStyle w:val="756"/>
                                <w:jc w:val="center"/>
                              </w:pPr>
                              <w:r>
                                <w:fldChar w:fldCharType="begin"/>
                              </w:r>
                              <w:r>
                                <w:instrText xml:space="preserve"> PAGE   \* MERGEFORMAT </w:instrText>
                              </w:r>
                              <w:r>
                                <w:fldChar w:fldCharType="separate"/>
                              </w:r>
                              <w:r>
                                <w:rPr>
                                  <w:lang w:val="zh-CN"/>
                                </w:rPr>
                                <w:t xml:space="preserve">73</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3080"/>
                      <w:docPartObj>
                        <w:docPartGallery w:val="autotext"/>
                      </w:docPartObj>
                      <w:rPr/>
                    </w:sdtPr>
                    <w:sdtContent>
                      <w:p>
                        <w:pPr>
                          <w:pStyle w:val="756"/>
                          <w:jc w:val="center"/>
                        </w:pPr>
                        <w:r>
                          <w:fldChar w:fldCharType="begin"/>
                        </w:r>
                        <w:r>
                          <w:instrText xml:space="preserve"> PAGE   \* MERGEFORMAT </w:instrText>
                        </w:r>
                        <w:r>
                          <w:fldChar w:fldCharType="separate"/>
                        </w:r>
                        <w:r>
                          <w:rPr>
                            <w:lang w:val="zh-CN"/>
                          </w:rPr>
                          <w:t xml:space="preserve">73</w:t>
                        </w:r>
                        <w:r>
                          <w:rPr>
                            <w:lang w:val="zh-CN"/>
                          </w:rPr>
                          <w:fldChar w:fldCharType="end"/>
                        </w:r>
                        <w:r/>
                      </w:p>
                    </w:sdtContent>
                  </w:sdt>
                  <w:p>
                    <w:r/>
                    <w:r/>
                  </w:p>
                </w:txbxContent>
              </v:textbox>
            </v:shape>
          </w:pict>
        </mc:Fallback>
      </mc:AlternateContent>
    </w:r>
    <w:r/>
  </w:p>
  <w:p>
    <w:pPr>
      <w:pStyle w:val="7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link w:val="971"/>
    <w:uiPriority w:val="0"/>
    <w:qFormat/>
    <w:pPr>
      <w:jc w:val="both"/>
      <w:widowControl w:val="off"/>
    </w:pPr>
    <w:rPr>
      <w:rFonts w:hint="default" w:asciiTheme="minorHAnsi" w:hAnsiTheme="minorHAnsi" w:eastAsiaTheme="minorEastAsia" w:cstheme="minorBidi"/>
      <w:sz w:val="21"/>
      <w:szCs w:val="22"/>
    </w:rPr>
  </w:style>
  <w:style w:type="paragraph" w:styleId="731">
    <w:name w:val="Heading 1"/>
    <w:basedOn w:val="730"/>
    <w:next w:val="730"/>
    <w:link w:val="940"/>
    <w:uiPriority w:val="9"/>
    <w:qFormat/>
    <w:pPr>
      <w:keepLines/>
      <w:keepNext/>
      <w:spacing w:before="340" w:after="330" w:line="578" w:lineRule="auto"/>
      <w:outlineLvl w:val="0"/>
    </w:pPr>
    <w:rPr>
      <w:b/>
      <w:bCs/>
      <w:sz w:val="44"/>
      <w:szCs w:val="44"/>
    </w:rPr>
  </w:style>
  <w:style w:type="paragraph" w:styleId="732">
    <w:name w:val="Heading 2"/>
    <w:basedOn w:val="730"/>
    <w:next w:val="730"/>
    <w:link w:val="94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33">
    <w:name w:val="Heading 3"/>
    <w:basedOn w:val="730"/>
    <w:next w:val="730"/>
    <w:link w:val="943"/>
    <w:uiPriority w:val="9"/>
    <w:unhideWhenUsed/>
    <w:qFormat/>
    <w:pPr>
      <w:keepLines/>
      <w:keepNext/>
      <w:spacing w:before="260" w:after="260" w:line="416" w:lineRule="auto"/>
      <w:outlineLvl w:val="2"/>
    </w:pPr>
    <w:rPr>
      <w:b/>
      <w:bCs/>
      <w:sz w:val="32"/>
      <w:szCs w:val="32"/>
    </w:rPr>
  </w:style>
  <w:style w:type="paragraph" w:styleId="734">
    <w:name w:val="Heading 4"/>
    <w:basedOn w:val="730"/>
    <w:next w:val="730"/>
    <w:link w:val="793"/>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94"/>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95"/>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97"/>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98"/>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right="0" w:firstLine="0"/>
      <w:spacing w:after="57"/>
    </w:pPr>
  </w:style>
  <w:style w:type="paragraph" w:styleId="743">
    <w:name w:val="Normal Indent"/>
    <w:basedOn w:val="730"/>
    <w:uiPriority w:val="0"/>
    <w:qFormat/>
    <w:pPr>
      <w:ind w:firstLine="420"/>
    </w:pPr>
    <w:rPr>
      <w:b/>
      <w:sz w:val="24"/>
      <w:szCs w:val="20"/>
    </w:rPr>
  </w:style>
  <w:style w:type="paragraph" w:styleId="744">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Document Map"/>
    <w:basedOn w:val="730"/>
    <w:link w:val="941"/>
    <w:uiPriority w:val="99"/>
    <w:semiHidden/>
    <w:unhideWhenUsed/>
    <w:qFormat/>
    <w:rPr>
      <w:rFonts w:ascii="宋体" w:eastAsia="宋体"/>
      <w:sz w:val="18"/>
      <w:szCs w:val="18"/>
    </w:rPr>
  </w:style>
  <w:style w:type="paragraph" w:styleId="746">
    <w:name w:val="annotation text"/>
    <w:basedOn w:val="730"/>
    <w:link w:val="945"/>
    <w:uiPriority w:val="0"/>
    <w:qFormat/>
    <w:pPr>
      <w:ind w:firstLine="420"/>
      <w:jc w:val="left"/>
      <w:spacing w:line="360" w:lineRule="auto"/>
    </w:pPr>
    <w:rPr>
      <w:rFonts w:ascii="Times New Roman" w:hAnsi="Times New Roman" w:eastAsia="宋体" w:cs="Times New Roman"/>
      <w:color w:val="ff0000"/>
      <w:szCs w:val="24"/>
    </w:rPr>
  </w:style>
  <w:style w:type="paragraph" w:styleId="747">
    <w:name w:val="Body Text"/>
    <w:basedOn w:val="730"/>
    <w:next w:val="730"/>
    <w:link w:val="953"/>
    <w:uiPriority w:val="0"/>
    <w:unhideWhenUsed/>
    <w:qFormat/>
    <w:pPr>
      <w:spacing w:after="120"/>
    </w:pPr>
    <w:rPr>
      <w:rFonts w:ascii="Calibri" w:hAnsi="Calibri" w:eastAsia="宋体" w:cs="Times New Roman"/>
    </w:rPr>
  </w:style>
  <w:style w:type="paragraph" w:styleId="748">
    <w:name w:val="Body Text Indent"/>
    <w:basedOn w:val="730"/>
    <w:link w:val="954"/>
    <w:uiPriority w:val="0"/>
    <w:qFormat/>
    <w:pPr>
      <w:ind w:left="420"/>
      <w:spacing w:after="120"/>
    </w:pPr>
    <w:rPr>
      <w:rFonts w:ascii="Times New Roman" w:hAnsi="Times New Roman" w:eastAsia="宋体" w:cs="Times New Roman"/>
      <w:szCs w:val="24"/>
    </w:rPr>
  </w:style>
  <w:style w:type="paragraph" w:styleId="749">
    <w:name w:val="toc 5"/>
    <w:basedOn w:val="730"/>
    <w:next w:val="730"/>
    <w:uiPriority w:val="39"/>
    <w:unhideWhenUsed/>
    <w:qFormat/>
    <w:pPr>
      <w:ind w:left="1134" w:right="0" w:firstLine="0"/>
      <w:spacing w:after="57"/>
    </w:pPr>
  </w:style>
  <w:style w:type="paragraph" w:styleId="750">
    <w:name w:val="toc 3"/>
    <w:basedOn w:val="730"/>
    <w:next w:val="730"/>
    <w:uiPriority w:val="39"/>
    <w:unhideWhenUsed/>
    <w:qFormat/>
    <w:pPr>
      <w:ind w:left="567" w:right="0" w:firstLine="0"/>
      <w:spacing w:after="57"/>
    </w:pPr>
  </w:style>
  <w:style w:type="paragraph" w:styleId="751">
    <w:name w:val="Plain Text"/>
    <w:basedOn w:val="730"/>
    <w:link w:val="955"/>
    <w:uiPriority w:val="0"/>
    <w:qFormat/>
    <w:rPr>
      <w:rFonts w:ascii="宋体" w:hAnsi="Courier New" w:eastAsia="宋体" w:cs="Courier New"/>
      <w:szCs w:val="21"/>
    </w:rPr>
  </w:style>
  <w:style w:type="paragraph" w:styleId="752">
    <w:name w:val="toc 8"/>
    <w:basedOn w:val="730"/>
    <w:next w:val="730"/>
    <w:uiPriority w:val="39"/>
    <w:unhideWhenUsed/>
    <w:qFormat/>
    <w:pPr>
      <w:ind w:left="1984" w:right="0" w:firstLine="0"/>
      <w:spacing w:after="57"/>
    </w:pPr>
  </w:style>
  <w:style w:type="paragraph" w:styleId="753">
    <w:name w:val="Date"/>
    <w:basedOn w:val="730"/>
    <w:next w:val="730"/>
    <w:link w:val="944"/>
    <w:uiPriority w:val="99"/>
    <w:semiHidden/>
    <w:unhideWhenUsed/>
    <w:qFormat/>
    <w:pPr>
      <w:ind w:left="100"/>
    </w:pPr>
  </w:style>
  <w:style w:type="paragraph" w:styleId="754">
    <w:name w:val="endnote text"/>
    <w:basedOn w:val="730"/>
    <w:link w:val="936"/>
    <w:uiPriority w:val="99"/>
    <w:semiHidden/>
    <w:unhideWhenUsed/>
    <w:qFormat/>
    <w:pPr>
      <w:spacing w:after="0" w:line="240" w:lineRule="auto"/>
    </w:pPr>
    <w:rPr>
      <w:sz w:val="20"/>
    </w:rPr>
  </w:style>
  <w:style w:type="paragraph" w:styleId="755">
    <w:name w:val="Balloon Text"/>
    <w:basedOn w:val="730"/>
    <w:link w:val="946"/>
    <w:uiPriority w:val="99"/>
    <w:semiHidden/>
    <w:unhideWhenUsed/>
    <w:qFormat/>
    <w:rPr>
      <w:sz w:val="18"/>
      <w:szCs w:val="18"/>
    </w:rPr>
  </w:style>
  <w:style w:type="paragraph" w:styleId="756">
    <w:name w:val="Footer"/>
    <w:basedOn w:val="730"/>
    <w:link w:val="939"/>
    <w:uiPriority w:val="99"/>
    <w:unhideWhenUsed/>
    <w:qFormat/>
    <w:pPr>
      <w:jc w:val="left"/>
      <w:tabs>
        <w:tab w:val="center" w:pos="4153" w:leader="none"/>
        <w:tab w:val="right" w:pos="8306" w:leader="none"/>
      </w:tabs>
    </w:pPr>
    <w:rPr>
      <w:sz w:val="18"/>
      <w:szCs w:val="18"/>
    </w:rPr>
  </w:style>
  <w:style w:type="paragraph" w:styleId="757">
    <w:name w:val="Header"/>
    <w:basedOn w:val="730"/>
    <w:link w:val="93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8">
    <w:name w:val="toc 1"/>
    <w:basedOn w:val="730"/>
    <w:next w:val="730"/>
    <w:uiPriority w:val="39"/>
    <w:unhideWhenUsed/>
    <w:qFormat/>
  </w:style>
  <w:style w:type="paragraph" w:styleId="759">
    <w:name w:val="toc 4"/>
    <w:basedOn w:val="730"/>
    <w:next w:val="730"/>
    <w:uiPriority w:val="39"/>
    <w:unhideWhenUsed/>
    <w:qFormat/>
    <w:pPr>
      <w:ind w:left="850" w:right="0" w:firstLine="0"/>
      <w:spacing w:after="57"/>
    </w:pPr>
  </w:style>
  <w:style w:type="paragraph" w:styleId="760">
    <w:name w:val="Subtitle"/>
    <w:basedOn w:val="730"/>
    <w:next w:val="730"/>
    <w:link w:val="802"/>
    <w:uiPriority w:val="11"/>
    <w:qFormat/>
    <w:pPr>
      <w:spacing w:before="200" w:after="200"/>
    </w:pPr>
    <w:rPr>
      <w:sz w:val="24"/>
      <w:szCs w:val="24"/>
    </w:rPr>
  </w:style>
  <w:style w:type="paragraph" w:styleId="761">
    <w:name w:val="footnote text"/>
    <w:basedOn w:val="730"/>
    <w:link w:val="935"/>
    <w:uiPriority w:val="99"/>
    <w:semiHidden/>
    <w:unhideWhenUsed/>
    <w:qFormat/>
    <w:pPr>
      <w:spacing w:after="40" w:line="240" w:lineRule="auto"/>
    </w:pPr>
    <w:rPr>
      <w:sz w:val="18"/>
    </w:rPr>
  </w:style>
  <w:style w:type="paragraph" w:styleId="762">
    <w:name w:val="toc 6"/>
    <w:basedOn w:val="730"/>
    <w:next w:val="730"/>
    <w:uiPriority w:val="39"/>
    <w:unhideWhenUsed/>
    <w:qFormat/>
    <w:pPr>
      <w:ind w:left="1417" w:right="0" w:firstLine="0"/>
      <w:spacing w:after="57"/>
    </w:pPr>
  </w:style>
  <w:style w:type="paragraph" w:styleId="763">
    <w:name w:val="table of figures"/>
    <w:basedOn w:val="730"/>
    <w:next w:val="730"/>
    <w:uiPriority w:val="99"/>
    <w:unhideWhenUsed/>
    <w:qFormat/>
    <w:pPr>
      <w:spacing w:after="0" w:afterAutospacing="0"/>
    </w:pPr>
  </w:style>
  <w:style w:type="paragraph" w:styleId="764">
    <w:name w:val="toc 2"/>
    <w:basedOn w:val="730"/>
    <w:next w:val="730"/>
    <w:uiPriority w:val="39"/>
    <w:unhideWhenUsed/>
    <w:qFormat/>
    <w:pPr>
      <w:ind w:left="283" w:right="0" w:firstLine="0"/>
      <w:spacing w:after="57"/>
    </w:pPr>
  </w:style>
  <w:style w:type="paragraph" w:styleId="765">
    <w:name w:val="toc 9"/>
    <w:basedOn w:val="730"/>
    <w:next w:val="730"/>
    <w:uiPriority w:val="39"/>
    <w:unhideWhenUsed/>
    <w:qFormat/>
    <w:pPr>
      <w:ind w:left="2268" w:right="0" w:firstLine="0"/>
      <w:spacing w:after="57"/>
    </w:pPr>
  </w:style>
  <w:style w:type="paragraph" w:styleId="766">
    <w:name w:val="List Continue 2"/>
    <w:basedOn w:val="730"/>
    <w:next w:val="730"/>
    <w:uiPriority w:val="0"/>
    <w:qFormat/>
    <w:pPr>
      <w:ind w:left="840"/>
      <w:spacing w:after="120"/>
    </w:pPr>
  </w:style>
  <w:style w:type="paragraph" w:styleId="767">
    <w:name w:val="Normal (Web)"/>
    <w:basedOn w:val="730"/>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68">
    <w:name w:val="Title"/>
    <w:basedOn w:val="730"/>
    <w:next w:val="730"/>
    <w:link w:val="801"/>
    <w:uiPriority w:val="10"/>
    <w:qFormat/>
    <w:pPr>
      <w:contextualSpacing/>
      <w:spacing w:before="300" w:after="200"/>
    </w:pPr>
    <w:rPr>
      <w:sz w:val="48"/>
      <w:szCs w:val="48"/>
    </w:rPr>
  </w:style>
  <w:style w:type="paragraph" w:styleId="769">
    <w:name w:val="annotation subject"/>
    <w:basedOn w:val="746"/>
    <w:next w:val="746"/>
    <w:link w:val="951"/>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770">
    <w:name w:val="Body Text First Indent"/>
    <w:basedOn w:val="747"/>
    <w:uiPriority w:val="0"/>
    <w:qFormat/>
    <w:pPr>
      <w:ind w:firstLine="200"/>
      <w:spacing w:line="360" w:lineRule="auto"/>
    </w:pPr>
    <w:rPr>
      <w:rFonts w:ascii="仿宋_GB2312" w:hAnsi="Times New Roman" w:eastAsia="仿宋_GB2312" w:cs="Times New Roman"/>
      <w:sz w:val="30"/>
      <w:szCs w:val="30"/>
    </w:rPr>
  </w:style>
  <w:style w:type="paragraph" w:styleId="771">
    <w:name w:val="Body Text First Indent 2"/>
    <w:basedOn w:val="748"/>
    <w:uiPriority w:val="0"/>
    <w:qFormat/>
    <w:pPr>
      <w:ind w:left="0" w:firstLine="420"/>
      <w:spacing w:after="0" w:line="360" w:lineRule="auto"/>
    </w:pPr>
    <w:rPr>
      <w:rFonts w:ascii="宋体" w:hAnsi="宋体" w:eastAsia="宋体" w:cs="Times New Roman"/>
      <w:szCs w:val="20"/>
    </w:rPr>
  </w:style>
  <w:style w:type="table" w:styleId="772">
    <w:name w:val="Table Grid"/>
    <w:basedOn w:val="7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basedOn w:val="740"/>
    <w:uiPriority w:val="22"/>
    <w:qFormat/>
    <w:rPr>
      <w:b/>
    </w:rPr>
  </w:style>
  <w:style w:type="character" w:styleId="774">
    <w:name w:val="endnote reference"/>
    <w:basedOn w:val="740"/>
    <w:uiPriority w:val="99"/>
    <w:semiHidden/>
    <w:unhideWhenUsed/>
    <w:qFormat/>
    <w:rPr>
      <w:vertAlign w:val="superscript"/>
    </w:rPr>
  </w:style>
  <w:style w:type="character" w:styleId="775">
    <w:name w:val="FollowedHyperlink"/>
    <w:basedOn w:val="740"/>
    <w:uiPriority w:val="99"/>
    <w:semiHidden/>
    <w:unhideWhenUsed/>
    <w:qFormat/>
    <w:rPr>
      <w:color w:val="800080"/>
      <w:u w:val="none"/>
    </w:rPr>
  </w:style>
  <w:style w:type="character" w:styleId="776">
    <w:name w:val="HTML Definition"/>
    <w:basedOn w:val="740"/>
    <w:uiPriority w:val="99"/>
    <w:semiHidden/>
    <w:unhideWhenUsed/>
    <w:qFormat/>
  </w:style>
  <w:style w:type="character" w:styleId="777">
    <w:name w:val="HTML Typewriter"/>
    <w:basedOn w:val="740"/>
    <w:uiPriority w:val="99"/>
    <w:semiHidden/>
    <w:unhideWhenUsed/>
    <w:qFormat/>
    <w:rPr>
      <w:rFonts w:hint="default" w:ascii="monospace" w:hAnsi="monospace" w:eastAsia="monospace" w:cs="monospace"/>
      <w:sz w:val="20"/>
    </w:rPr>
  </w:style>
  <w:style w:type="character" w:styleId="778">
    <w:name w:val="HTML Acronym"/>
    <w:basedOn w:val="740"/>
    <w:uiPriority w:val="99"/>
    <w:semiHidden/>
    <w:unhideWhenUsed/>
    <w:qFormat/>
  </w:style>
  <w:style w:type="character" w:styleId="779">
    <w:name w:val="HTML Variable"/>
    <w:basedOn w:val="740"/>
    <w:uiPriority w:val="99"/>
    <w:semiHidden/>
    <w:unhideWhenUsed/>
    <w:qFormat/>
  </w:style>
  <w:style w:type="character" w:styleId="780">
    <w:name w:val="Hyperlink"/>
    <w:uiPriority w:val="99"/>
    <w:qFormat/>
    <w:rPr>
      <w:color w:val="0000ff"/>
      <w:u w:val="none"/>
    </w:rPr>
  </w:style>
  <w:style w:type="character" w:styleId="781">
    <w:name w:val="HTML Code"/>
    <w:basedOn w:val="740"/>
    <w:uiPriority w:val="99"/>
    <w:semiHidden/>
    <w:unhideWhenUsed/>
    <w:qFormat/>
    <w:rPr>
      <w:rFonts w:hint="default" w:ascii="monospace" w:hAnsi="monospace" w:eastAsia="monospace" w:cs="monospace"/>
      <w:sz w:val="20"/>
    </w:rPr>
  </w:style>
  <w:style w:type="character" w:styleId="782">
    <w:name w:val="annotation reference"/>
    <w:uiPriority w:val="0"/>
    <w:qFormat/>
    <w:rPr>
      <w:sz w:val="21"/>
      <w:szCs w:val="21"/>
    </w:rPr>
  </w:style>
  <w:style w:type="character" w:styleId="783">
    <w:name w:val="HTML Cite"/>
    <w:basedOn w:val="740"/>
    <w:uiPriority w:val="99"/>
    <w:semiHidden/>
    <w:unhideWhenUsed/>
    <w:qFormat/>
  </w:style>
  <w:style w:type="character" w:styleId="784">
    <w:name w:val="footnote reference"/>
    <w:basedOn w:val="740"/>
    <w:uiPriority w:val="99"/>
    <w:unhideWhenUsed/>
    <w:qFormat/>
    <w:rPr>
      <w:vertAlign w:val="superscript"/>
    </w:rPr>
  </w:style>
  <w:style w:type="character" w:styleId="785">
    <w:name w:val="HTML Keyboard"/>
    <w:basedOn w:val="740"/>
    <w:uiPriority w:val="99"/>
    <w:semiHidden/>
    <w:unhideWhenUsed/>
    <w:qFormat/>
    <w:rPr>
      <w:rFonts w:hint="default" w:ascii="monospace" w:hAnsi="monospace" w:eastAsia="monospace" w:cs="monospace"/>
      <w:sz w:val="20"/>
    </w:rPr>
  </w:style>
  <w:style w:type="character" w:styleId="786">
    <w:name w:val="HTML Sample"/>
    <w:basedOn w:val="740"/>
    <w:uiPriority w:val="99"/>
    <w:semiHidden/>
    <w:unhideWhenUsed/>
    <w:qFormat/>
    <w:rPr>
      <w:rFonts w:ascii="monospace" w:hAnsi="monospace" w:eastAsia="monospace" w:cs="monospace"/>
    </w:rPr>
  </w:style>
  <w:style w:type="paragraph" w:styleId="787" w:customStyle="1">
    <w:name w:val="首行缩进"/>
    <w:basedOn w:val="730"/>
    <w:uiPriority w:val="0"/>
    <w:qFormat/>
    <w:pPr>
      <w:ind w:firstLine="480"/>
    </w:pPr>
    <w:rPr>
      <w:lang w:val="zh-CN"/>
    </w:rPr>
  </w:style>
  <w:style w:type="paragraph" w:styleId="788" w:customStyle="1">
    <w:name w:val="Default"/>
    <w:link w:val="952"/>
    <w:uiPriority w:val="99"/>
    <w:qFormat/>
    <w:pPr>
      <w:widowControl w:val="off"/>
    </w:pPr>
    <w:rPr>
      <w:rFonts w:hint="default" w:ascii="MS Mincho" w:hAnsi="Calibri" w:eastAsia="宋体" w:cs="Times New Roman"/>
      <w:color w:val="000000"/>
      <w:sz w:val="21"/>
      <w:szCs w:val="24"/>
    </w:rPr>
  </w:style>
  <w:style w:type="paragraph" w:styleId="789" w:customStyle="1">
    <w:name w:val="段"/>
    <w:next w:val="730"/>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790" w:customStyle="1">
    <w:name w:val="Heading 1 Char"/>
    <w:basedOn w:val="740"/>
    <w:uiPriority w:val="9"/>
    <w:qFormat/>
    <w:rPr>
      <w:rFonts w:ascii="Arial" w:hAnsi="Arial" w:eastAsia="Arial" w:cs="Arial"/>
      <w:sz w:val="40"/>
      <w:szCs w:val="40"/>
    </w:rPr>
  </w:style>
  <w:style w:type="character" w:styleId="791" w:customStyle="1">
    <w:name w:val="Heading 2 Char"/>
    <w:basedOn w:val="740"/>
    <w:uiPriority w:val="9"/>
    <w:qFormat/>
    <w:rPr>
      <w:rFonts w:ascii="Arial" w:hAnsi="Arial" w:eastAsia="Arial" w:cs="Arial"/>
      <w:sz w:val="34"/>
    </w:rPr>
  </w:style>
  <w:style w:type="character" w:styleId="792" w:customStyle="1">
    <w:name w:val="Heading 3 Char"/>
    <w:basedOn w:val="740"/>
    <w:uiPriority w:val="9"/>
    <w:qFormat/>
    <w:rPr>
      <w:rFonts w:ascii="Arial" w:hAnsi="Arial" w:eastAsia="Arial" w:cs="Arial"/>
      <w:sz w:val="30"/>
      <w:szCs w:val="30"/>
    </w:rPr>
  </w:style>
  <w:style w:type="character" w:styleId="793" w:customStyle="1">
    <w:name w:val="Heading 4 Char"/>
    <w:basedOn w:val="740"/>
    <w:link w:val="734"/>
    <w:uiPriority w:val="9"/>
    <w:qFormat/>
    <w:rPr>
      <w:rFonts w:ascii="Arial" w:hAnsi="Arial" w:eastAsia="Arial" w:cs="Arial"/>
      <w:b/>
      <w:bCs/>
      <w:sz w:val="26"/>
      <w:szCs w:val="26"/>
    </w:rPr>
  </w:style>
  <w:style w:type="character" w:styleId="794" w:customStyle="1">
    <w:name w:val="Heading 5 Char"/>
    <w:basedOn w:val="740"/>
    <w:link w:val="735"/>
    <w:uiPriority w:val="9"/>
    <w:qFormat/>
    <w:rPr>
      <w:rFonts w:ascii="Arial" w:hAnsi="Arial" w:eastAsia="Arial" w:cs="Arial"/>
      <w:b/>
      <w:bCs/>
      <w:sz w:val="24"/>
      <w:szCs w:val="24"/>
    </w:rPr>
  </w:style>
  <w:style w:type="character" w:styleId="795" w:customStyle="1">
    <w:name w:val="Heading 6 Char"/>
    <w:basedOn w:val="740"/>
    <w:link w:val="736"/>
    <w:uiPriority w:val="9"/>
    <w:qFormat/>
    <w:rPr>
      <w:rFonts w:ascii="Arial" w:hAnsi="Arial" w:eastAsia="Arial" w:cs="Arial"/>
      <w:b/>
      <w:bCs/>
      <w:sz w:val="22"/>
      <w:szCs w:val="22"/>
    </w:rPr>
  </w:style>
  <w:style w:type="character" w:styleId="796" w:customStyle="1">
    <w:name w:val="Heading 7 Char"/>
    <w:basedOn w:val="740"/>
    <w:link w:val="737"/>
    <w:uiPriority w:val="9"/>
    <w:qFormat/>
    <w:rPr>
      <w:rFonts w:ascii="Arial" w:hAnsi="Arial" w:eastAsia="Arial" w:cs="Arial"/>
      <w:b/>
      <w:bCs/>
      <w:i/>
      <w:iCs/>
      <w:sz w:val="22"/>
      <w:szCs w:val="22"/>
    </w:rPr>
  </w:style>
  <w:style w:type="character" w:styleId="797" w:customStyle="1">
    <w:name w:val="Heading 8 Char"/>
    <w:basedOn w:val="740"/>
    <w:link w:val="738"/>
    <w:uiPriority w:val="9"/>
    <w:qFormat/>
    <w:rPr>
      <w:rFonts w:ascii="Arial" w:hAnsi="Arial" w:eastAsia="Arial" w:cs="Arial"/>
      <w:i/>
      <w:iCs/>
      <w:sz w:val="22"/>
      <w:szCs w:val="22"/>
    </w:rPr>
  </w:style>
  <w:style w:type="character" w:styleId="798" w:customStyle="1">
    <w:name w:val="Heading 9 Char"/>
    <w:basedOn w:val="740"/>
    <w:link w:val="739"/>
    <w:uiPriority w:val="9"/>
    <w:qFormat/>
    <w:rPr>
      <w:rFonts w:ascii="Arial" w:hAnsi="Arial" w:eastAsia="Arial" w:cs="Arial"/>
      <w:i/>
      <w:iCs/>
      <w:sz w:val="21"/>
      <w:szCs w:val="21"/>
    </w:rPr>
  </w:style>
  <w:style w:type="paragraph" w:styleId="799">
    <w:name w:val="List Paragraph"/>
    <w:basedOn w:val="730"/>
    <w:uiPriority w:val="34"/>
    <w:qFormat/>
    <w:pPr>
      <w:contextualSpacing/>
      <w:ind w:left="720"/>
    </w:pPr>
  </w:style>
  <w:style w:type="paragraph" w:styleId="800">
    <w:name w:val="No Spacing"/>
    <w:uiPriority w:val="1"/>
    <w:qFormat/>
    <w:pPr>
      <w:spacing w:before="0" w:after="0" w:line="240" w:lineRule="auto"/>
    </w:pPr>
    <w:rPr>
      <w:rFonts w:hint="default" w:asciiTheme="minorHAnsi" w:hAnsiTheme="minorHAnsi" w:eastAsiaTheme="minorEastAsia" w:cstheme="minorBidi"/>
    </w:rPr>
  </w:style>
  <w:style w:type="character" w:styleId="801" w:customStyle="1">
    <w:name w:val="Title Char"/>
    <w:basedOn w:val="740"/>
    <w:link w:val="768"/>
    <w:uiPriority w:val="10"/>
    <w:qFormat/>
    <w:rPr>
      <w:sz w:val="48"/>
      <w:szCs w:val="48"/>
    </w:rPr>
  </w:style>
  <w:style w:type="character" w:styleId="802" w:customStyle="1">
    <w:name w:val="Subtitle Char"/>
    <w:basedOn w:val="740"/>
    <w:link w:val="760"/>
    <w:uiPriority w:val="11"/>
    <w:qFormat/>
    <w:rPr>
      <w:sz w:val="24"/>
      <w:szCs w:val="24"/>
    </w:rPr>
  </w:style>
  <w:style w:type="paragraph" w:styleId="803">
    <w:name w:val="Quote"/>
    <w:basedOn w:val="730"/>
    <w:next w:val="730"/>
    <w:link w:val="804"/>
    <w:uiPriority w:val="29"/>
    <w:qFormat/>
    <w:pPr>
      <w:ind w:left="720" w:right="720"/>
    </w:pPr>
    <w:rPr>
      <w:i/>
    </w:rPr>
  </w:style>
  <w:style w:type="character" w:styleId="804" w:customStyle="1">
    <w:name w:val="Quote Char"/>
    <w:link w:val="803"/>
    <w:uiPriority w:val="29"/>
    <w:qFormat/>
    <w:rPr>
      <w:i/>
    </w:rPr>
  </w:style>
  <w:style w:type="paragraph" w:styleId="805">
    <w:name w:val="Intense Quote"/>
    <w:basedOn w:val="730"/>
    <w:next w:val="730"/>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qFormat/>
    <w:rPr>
      <w:i/>
    </w:rPr>
  </w:style>
  <w:style w:type="character" w:styleId="807" w:customStyle="1">
    <w:name w:val="Header Char"/>
    <w:basedOn w:val="740"/>
    <w:uiPriority w:val="99"/>
    <w:qFormat/>
  </w:style>
  <w:style w:type="character" w:styleId="808" w:customStyle="1">
    <w:name w:val="Footer Char"/>
    <w:basedOn w:val="740"/>
    <w:uiPriority w:val="99"/>
    <w:qFormat/>
  </w:style>
  <w:style w:type="character" w:styleId="809" w:customStyle="1">
    <w:name w:val="Caption Char"/>
    <w:uiPriority w:val="99"/>
    <w:qFormat/>
  </w:style>
  <w:style w:type="table" w:styleId="810" w:customStyle="1">
    <w:name w:val="Table Grid Light"/>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basedOn w:val="7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basedOn w:val="7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basedOn w:val="7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basedOn w:val="7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basedOn w:val="7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basedOn w:val="7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basedOn w:val="7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basedOn w:val="7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basedOn w:val="7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basedOn w:val="7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basedOn w:val="7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basedOn w:val="7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basedOn w:val="7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basedOn w:val="7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basedOn w:val="7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basedOn w:val="7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basedOn w:val="7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basedOn w:val="7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basedOn w:val="74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basedOn w:val="74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basedOn w:val="74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basedOn w:val="74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basedOn w:val="74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basedOn w:val="74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basedOn w:val="74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3" w:customStyle="1">
    <w:name w:val="Grid Table 6 Colorful - Accent 2"/>
    <w:basedOn w:val="7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4" w:customStyle="1">
    <w:name w:val="Grid Table 6 Colorful - Accent 3"/>
    <w:basedOn w:val="74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5" w:customStyle="1">
    <w:name w:val="Grid Table 6 Colorful - Accent 4"/>
    <w:basedOn w:val="7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6" w:customStyle="1">
    <w:name w:val="Grid Table 6 Colorful - Accent 5"/>
    <w:basedOn w:val="74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6 Colorful - Accent 6"/>
    <w:basedOn w:val="74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basedOn w:val="74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basedOn w:val="74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basedOn w:val="74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basedOn w:val="74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basedOn w:val="74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basedOn w:val="74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basedOn w:val="74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basedOn w:val="74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basedOn w:val="74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basedOn w:val="74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basedOn w:val="74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basedOn w:val="74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basedOn w:val="74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basedOn w:val="74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basedOn w:val="74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basedOn w:val="74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basedOn w:val="74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basedOn w:val="74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basedOn w:val="74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basedOn w:val="7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2" w:customStyle="1">
    <w:name w:val="List Table 3 - Accent 3"/>
    <w:basedOn w:val="74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3" w:customStyle="1">
    <w:name w:val="List Table 3 - Accent 4"/>
    <w:basedOn w:val="7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basedOn w:val="74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basedOn w:val="74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basedOn w:val="74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basedOn w:val="74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basedOn w:val="74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basedOn w:val="74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basedOn w:val="74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basedOn w:val="74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basedOn w:val="74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basedOn w:val="74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basedOn w:val="74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basedOn w:val="74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basedOn w:val="74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basedOn w:val="74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basedOn w:val="74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basedOn w:val="74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basedOn w:val="74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basedOn w:val="74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basedOn w:val="74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basedOn w:val="74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basedOn w:val="74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basedOn w:val="74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basedOn w:val="74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basedOn w:val="74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basedOn w:val="74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basedOn w:val="74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basedOn w:val="74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basedOn w:val="74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basedOn w:val="74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basedOn w:val="74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basedOn w:val="74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basedOn w:val="74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basedOn w:val="74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basedOn w:val="74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basedOn w:val="7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basedOn w:val="7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basedOn w:val="7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basedOn w:val="7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basedOn w:val="7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basedOn w:val="7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Footnote Text Char"/>
    <w:link w:val="761"/>
    <w:uiPriority w:val="99"/>
    <w:qFormat/>
    <w:rPr>
      <w:sz w:val="18"/>
    </w:rPr>
  </w:style>
  <w:style w:type="character" w:styleId="936" w:customStyle="1">
    <w:name w:val="Endnote Text Char"/>
    <w:link w:val="754"/>
    <w:uiPriority w:val="99"/>
    <w:qFormat/>
    <w:rPr>
      <w:sz w:val="20"/>
    </w:rPr>
  </w:style>
  <w:style w:type="paragraph" w:styleId="937" w:customStyle="1">
    <w:name w:val="TOC Heading"/>
    <w:uiPriority w:val="39"/>
    <w:unhideWhenUsed/>
    <w:qFormat/>
    <w:rPr>
      <w:rFonts w:hint="default" w:asciiTheme="minorHAnsi" w:hAnsiTheme="minorHAnsi" w:eastAsiaTheme="minorEastAsia" w:cstheme="minorBidi"/>
    </w:rPr>
  </w:style>
  <w:style w:type="character" w:styleId="938" w:customStyle="1">
    <w:name w:val="页眉 字符"/>
    <w:basedOn w:val="740"/>
    <w:link w:val="757"/>
    <w:uiPriority w:val="99"/>
    <w:qFormat/>
    <w:rPr>
      <w:sz w:val="18"/>
      <w:szCs w:val="18"/>
    </w:rPr>
  </w:style>
  <w:style w:type="character" w:styleId="939" w:customStyle="1">
    <w:name w:val="页脚 字符"/>
    <w:basedOn w:val="740"/>
    <w:link w:val="756"/>
    <w:uiPriority w:val="99"/>
    <w:qFormat/>
    <w:rPr>
      <w:sz w:val="18"/>
      <w:szCs w:val="18"/>
    </w:rPr>
  </w:style>
  <w:style w:type="character" w:styleId="940" w:customStyle="1">
    <w:name w:val="标题 1 字符"/>
    <w:basedOn w:val="740"/>
    <w:link w:val="731"/>
    <w:uiPriority w:val="9"/>
    <w:qFormat/>
    <w:rPr>
      <w:b/>
      <w:bCs/>
      <w:sz w:val="44"/>
      <w:szCs w:val="44"/>
    </w:rPr>
  </w:style>
  <w:style w:type="character" w:styleId="941" w:customStyle="1">
    <w:name w:val="文档结构图 字符"/>
    <w:basedOn w:val="740"/>
    <w:link w:val="745"/>
    <w:uiPriority w:val="99"/>
    <w:semiHidden/>
    <w:qFormat/>
    <w:rPr>
      <w:rFonts w:ascii="宋体" w:eastAsia="宋体"/>
      <w:sz w:val="18"/>
      <w:szCs w:val="18"/>
    </w:rPr>
  </w:style>
  <w:style w:type="character" w:styleId="942" w:customStyle="1">
    <w:name w:val="标题 2 字符"/>
    <w:basedOn w:val="740"/>
    <w:link w:val="732"/>
    <w:uiPriority w:val="9"/>
    <w:qFormat/>
    <w:rPr>
      <w:rFonts w:asciiTheme="majorHAnsi" w:hAnsiTheme="majorHAnsi" w:eastAsiaTheme="majorEastAsia" w:cstheme="majorBidi"/>
      <w:b/>
      <w:bCs/>
      <w:sz w:val="32"/>
      <w:szCs w:val="32"/>
    </w:rPr>
  </w:style>
  <w:style w:type="character" w:styleId="943" w:customStyle="1">
    <w:name w:val="标题 3 字符"/>
    <w:basedOn w:val="740"/>
    <w:link w:val="733"/>
    <w:uiPriority w:val="9"/>
    <w:qFormat/>
    <w:rPr>
      <w:b/>
      <w:bCs/>
      <w:sz w:val="32"/>
      <w:szCs w:val="32"/>
    </w:rPr>
  </w:style>
  <w:style w:type="character" w:styleId="944" w:customStyle="1">
    <w:name w:val="日期 字符"/>
    <w:basedOn w:val="740"/>
    <w:link w:val="753"/>
    <w:uiPriority w:val="99"/>
    <w:semiHidden/>
    <w:qFormat/>
  </w:style>
  <w:style w:type="character" w:styleId="945" w:customStyle="1">
    <w:name w:val="批注文字 字符"/>
    <w:basedOn w:val="740"/>
    <w:link w:val="746"/>
    <w:uiPriority w:val="0"/>
    <w:qFormat/>
    <w:rPr>
      <w:rFonts w:ascii="Times New Roman" w:hAnsi="Times New Roman" w:eastAsia="宋体" w:cs="Times New Roman"/>
      <w:color w:val="ff0000"/>
      <w:sz w:val="21"/>
      <w:szCs w:val="24"/>
    </w:rPr>
  </w:style>
  <w:style w:type="character" w:styleId="946" w:customStyle="1">
    <w:name w:val="批注框文本 字符"/>
    <w:basedOn w:val="740"/>
    <w:link w:val="755"/>
    <w:uiPriority w:val="99"/>
    <w:semiHidden/>
    <w:qFormat/>
    <w:rPr>
      <w:sz w:val="18"/>
      <w:szCs w:val="18"/>
    </w:rPr>
  </w:style>
  <w:style w:type="paragraph" w:styleId="947" w:customStyle="1">
    <w:name w:val="Table Text"/>
    <w:basedOn w:val="730"/>
    <w:uiPriority w:val="0"/>
    <w:semiHidden/>
    <w:qFormat/>
    <w:rPr>
      <w:rFonts w:ascii="宋体" w:hAnsi="宋体" w:eastAsia="宋体" w:cs="宋体"/>
      <w:sz w:val="24"/>
      <w:szCs w:val="24"/>
      <w:lang w:eastAsia="en-US"/>
    </w:rPr>
  </w:style>
  <w:style w:type="character" w:styleId="948" w:customStyle="1">
    <w:name w:val="font31"/>
    <w:basedOn w:val="740"/>
    <w:uiPriority w:val="0"/>
    <w:qFormat/>
    <w:rPr>
      <w:rFonts w:hint="eastAsia" w:ascii="宋体" w:hAnsi="宋体" w:eastAsia="宋体" w:cs="宋体"/>
      <w:color w:val="000000"/>
      <w:sz w:val="18"/>
      <w:szCs w:val="18"/>
      <w:u w:val="none"/>
    </w:rPr>
  </w:style>
  <w:style w:type="character" w:styleId="949" w:customStyle="1">
    <w:name w:val="font41"/>
    <w:basedOn w:val="740"/>
    <w:uiPriority w:val="0"/>
    <w:qFormat/>
    <w:rPr>
      <w:rFonts w:ascii="Calibri" w:hAnsi="Calibri" w:cs="Calibri"/>
      <w:color w:val="000000"/>
      <w:sz w:val="18"/>
      <w:szCs w:val="18"/>
      <w:u w:val="none"/>
    </w:rPr>
  </w:style>
  <w:style w:type="character" w:styleId="950" w:customStyle="1">
    <w:name w:val="font11"/>
    <w:basedOn w:val="740"/>
    <w:uiPriority w:val="0"/>
    <w:qFormat/>
    <w:rPr>
      <w:rFonts w:hint="eastAsia" w:ascii="宋体" w:hAnsi="宋体" w:eastAsia="宋体" w:cs="宋体"/>
      <w:color w:val="000000"/>
      <w:sz w:val="18"/>
      <w:szCs w:val="18"/>
      <w:u w:val="none"/>
    </w:rPr>
  </w:style>
  <w:style w:type="character" w:styleId="951" w:customStyle="1">
    <w:name w:val="批注主题 字符"/>
    <w:basedOn w:val="945"/>
    <w:link w:val="769"/>
    <w:uiPriority w:val="99"/>
    <w:semiHidden/>
    <w:qFormat/>
    <w:rPr>
      <w:rFonts w:ascii="Times New Roman" w:hAnsi="Times New Roman" w:eastAsia="宋体" w:cs="Times New Roman"/>
      <w:b/>
      <w:bCs/>
      <w:color w:val="ff0000"/>
      <w:sz w:val="21"/>
      <w:szCs w:val="22"/>
    </w:rPr>
  </w:style>
  <w:style w:type="character" w:styleId="952" w:customStyle="1">
    <w:name w:val="Default Char"/>
    <w:link w:val="788"/>
    <w:uiPriority w:val="99"/>
    <w:qFormat/>
    <w:rPr>
      <w:rFonts w:ascii="MS Mincho" w:hAnsi="Calibri" w:eastAsia="宋体" w:cs="Times New Roman"/>
      <w:color w:val="000000"/>
      <w:sz w:val="21"/>
      <w:szCs w:val="24"/>
    </w:rPr>
  </w:style>
  <w:style w:type="character" w:styleId="953" w:customStyle="1">
    <w:name w:val="正文文本 字符"/>
    <w:basedOn w:val="740"/>
    <w:link w:val="747"/>
    <w:uiPriority w:val="0"/>
    <w:qFormat/>
    <w:rPr>
      <w:rFonts w:ascii="Calibri" w:hAnsi="Calibri" w:eastAsia="宋体" w:cs="Times New Roman"/>
      <w:sz w:val="21"/>
      <w:szCs w:val="22"/>
    </w:rPr>
  </w:style>
  <w:style w:type="character" w:styleId="954" w:customStyle="1">
    <w:name w:val="正文文本缩进 字符"/>
    <w:basedOn w:val="740"/>
    <w:link w:val="748"/>
    <w:uiPriority w:val="0"/>
    <w:qFormat/>
    <w:rPr>
      <w:rFonts w:ascii="Times New Roman" w:hAnsi="Times New Roman" w:eastAsia="宋体" w:cs="Times New Roman"/>
      <w:sz w:val="21"/>
      <w:szCs w:val="24"/>
    </w:rPr>
  </w:style>
  <w:style w:type="character" w:styleId="955" w:customStyle="1">
    <w:name w:val="纯文本 字符"/>
    <w:basedOn w:val="740"/>
    <w:link w:val="751"/>
    <w:uiPriority w:val="0"/>
    <w:qFormat/>
    <w:rPr>
      <w:rFonts w:ascii="宋体" w:hAnsi="Courier New" w:eastAsia="宋体" w:cs="Courier New"/>
      <w:sz w:val="21"/>
      <w:szCs w:val="21"/>
    </w:rPr>
  </w:style>
  <w:style w:type="paragraph" w:styleId="956"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957" w:customStyle="1">
    <w:name w:val="列出段落1"/>
    <w:basedOn w:val="730"/>
    <w:uiPriority w:val="0"/>
    <w:qFormat/>
    <w:pPr>
      <w:ind w:firstLine="420"/>
    </w:pPr>
    <w:rPr>
      <w:rFonts w:ascii="Times New Roman" w:hAnsi="Times New Roman" w:eastAsia="宋体" w:cs="Times New Roman"/>
      <w:szCs w:val="21"/>
    </w:rPr>
  </w:style>
  <w:style w:type="table" w:styleId="958" w:customStyle="1">
    <w:name w:val="网格型1"/>
    <w:basedOn w:val="959"/>
    <w:uiPriority w:val="59"/>
    <w:qFormat/>
    <w:tblPr/>
  </w:style>
  <w:style w:type="table" w:styleId="959" w:customStyle="1">
    <w:name w:val="普通表格1"/>
    <w:uiPriority w:val="99"/>
    <w:unhideWhenUsed/>
    <w:qFormat/>
    <w:tblPr/>
  </w:style>
  <w:style w:type="paragraph" w:styleId="960" w:customStyle="1">
    <w:name w:val="正文文本1"/>
    <w:basedOn w:val="730"/>
    <w:next w:val="730"/>
    <w:uiPriority w:val="0"/>
    <w:qFormat/>
    <w:rPr>
      <w:rFonts w:ascii="楷体_GB2312" w:hAnsi="Arial" w:eastAsia="楷体_GB2312" w:cs="Times New Roman"/>
      <w:sz w:val="28"/>
      <w:szCs w:val="28"/>
    </w:rPr>
  </w:style>
  <w:style w:type="paragraph" w:styleId="961" w:customStyle="1">
    <w:name w:val="普通正文"/>
    <w:basedOn w:val="730"/>
    <w:uiPriority w:val="0"/>
    <w:qFormat/>
    <w:pPr>
      <w:ind w:firstLine="480"/>
      <w:jc w:val="left"/>
      <w:spacing w:before="120" w:after="120" w:line="360" w:lineRule="auto"/>
    </w:pPr>
    <w:rPr>
      <w:rFonts w:ascii="Arial" w:hAnsi="Arial"/>
      <w:sz w:val="24"/>
      <w:szCs w:val="24"/>
    </w:rPr>
  </w:style>
  <w:style w:type="character" w:styleId="962" w:customStyle="1">
    <w:name w:val="hover"/>
    <w:basedOn w:val="740"/>
    <w:uiPriority w:val="0"/>
    <w:qFormat/>
    <w:rPr>
      <w:color w:val="5fb878"/>
    </w:rPr>
  </w:style>
  <w:style w:type="character" w:styleId="963" w:customStyle="1">
    <w:name w:val="hover1"/>
    <w:basedOn w:val="740"/>
    <w:uiPriority w:val="0"/>
    <w:qFormat/>
    <w:rPr>
      <w:color w:val="ffffff"/>
    </w:rPr>
  </w:style>
  <w:style w:type="character" w:styleId="964" w:customStyle="1">
    <w:name w:val="hover2"/>
    <w:basedOn w:val="740"/>
    <w:uiPriority w:val="0"/>
    <w:qFormat/>
    <w:rPr>
      <w:color w:val="5fb878"/>
    </w:rPr>
  </w:style>
  <w:style w:type="paragraph" w:styleId="965" w:customStyle="1">
    <w:name w:val="正文文字 6"/>
    <w:next w:val="730"/>
    <w:uiPriority w:val="99"/>
    <w:qFormat/>
    <w:pPr>
      <w:ind w:left="240"/>
      <w:jc w:val="both"/>
      <w:widowControl w:val="off"/>
    </w:pPr>
    <w:rPr>
      <w:rFonts w:ascii="宋体" w:hAnsi="Times New Roman" w:eastAsia="宋体" w:cs="Times New Roman"/>
      <w:b/>
      <w:bCs/>
      <w:sz w:val="32"/>
      <w:szCs w:val="32"/>
      <w:lang w:val="en-US" w:eastAsia="zh-CN" w:bidi="ar-SA"/>
    </w:rPr>
  </w:style>
  <w:style w:type="paragraph" w:styleId="966" w:customStyle="1">
    <w:name w:val="标题 41"/>
    <w:next w:val="967"/>
    <w:uiPriority w:val="0"/>
    <w:qFormat/>
    <w:pPr>
      <w:jc w:val="both"/>
      <w:keepLines/>
      <w:keepNext/>
      <w:spacing w:before="280" w:after="290" w:line="376" w:lineRule="auto"/>
      <w:widowControl w:val="off"/>
      <w:outlineLvl w:val="3"/>
    </w:pPr>
    <w:rPr>
      <w:rFonts w:hint="default" w:ascii="Arial" w:hAnsi="Arial" w:eastAsia="黑体" w:cs="Arial"/>
      <w:b/>
      <w:bCs/>
      <w:sz w:val="28"/>
      <w:szCs w:val="28"/>
      <w:lang w:val="en-US" w:eastAsia="zh-CN" w:bidi="ar-SA"/>
    </w:rPr>
  </w:style>
  <w:style w:type="paragraph" w:styleId="967" w:customStyle="1">
    <w:name w:val="正文缩进1"/>
    <w:uiPriority w:val="0"/>
    <w:qFormat/>
    <w:pPr>
      <w:ind w:firstLine="420"/>
      <w:jc w:val="both"/>
      <w:widowControl w:val="off"/>
    </w:pPr>
    <w:rPr>
      <w:rFonts w:hint="default" w:ascii="Times New Roman" w:hAnsi="Times New Roman" w:eastAsia="宋体" w:cs="Times New Roman"/>
      <w:sz w:val="21"/>
      <w:szCs w:val="21"/>
      <w:lang w:val="en-US" w:eastAsia="zh-CN" w:bidi="ar-SA"/>
    </w:rPr>
  </w:style>
  <w:style w:type="paragraph" w:styleId="968" w:customStyle="1">
    <w:name w:val="正文首行缩进 211"/>
    <w:uiPriority w:val="0"/>
    <w:qFormat/>
    <w:pPr>
      <w:ind w:left="420" w:firstLine="420"/>
      <w:jc w:val="both"/>
      <w:spacing w:after="120"/>
      <w:widowControl w:val="off"/>
      <w:tabs>
        <w:tab w:val="left" w:pos="525" w:leader="none"/>
        <w:tab w:val="left" w:pos="4320" w:leader="none"/>
      </w:tabs>
    </w:pPr>
    <w:rPr>
      <w:rFonts w:hint="default" w:ascii="Times New Roman" w:hAnsi="Times New Roman" w:eastAsia="宋体" w:cs="Times New Roman"/>
      <w:sz w:val="21"/>
      <w:szCs w:val="21"/>
      <w:lang w:val="en-US" w:eastAsia="zh-CN" w:bidi="ar-SA"/>
    </w:rPr>
  </w:style>
  <w:style w:type="paragraph" w:styleId="969" w:customStyle="1">
    <w:name w:val="正文文本缩进11"/>
    <w:next w:val="970"/>
    <w:uiPriority w:val="0"/>
    <w:qFormat/>
    <w:pPr>
      <w:ind w:left="420"/>
      <w:jc w:val="both"/>
      <w:spacing w:after="120"/>
      <w:widowControl w:val="off"/>
    </w:pPr>
    <w:rPr>
      <w:rFonts w:hint="default" w:ascii="Times New Roman" w:hAnsi="Times New Roman" w:eastAsia="宋体" w:cs="Times New Roman"/>
      <w:sz w:val="21"/>
      <w:szCs w:val="21"/>
      <w:lang w:val="en-US" w:eastAsia="zh-CN" w:bidi="ar-SA"/>
    </w:rPr>
  </w:style>
  <w:style w:type="paragraph" w:styleId="970" w:customStyle="1">
    <w:name w:val="寄信人地址1"/>
    <w:uiPriority w:val="99"/>
    <w:qFormat/>
    <w:pPr>
      <w:jc w:val="both"/>
      <w:widowControl w:val="off"/>
    </w:pPr>
    <w:rPr>
      <w:rFonts w:hint="default" w:ascii="Arial" w:hAnsi="Arial" w:eastAsia="宋体" w:cs="Arial"/>
      <w:sz w:val="21"/>
      <w:szCs w:val="21"/>
      <w:lang w:val="en-US" w:eastAsia="zh-CN" w:bidi="ar-SA"/>
    </w:rPr>
  </w:style>
  <w:style w:type="character" w:styleId="971" w:customStyle="1">
    <w:name w:val="NormalCharacter1"/>
    <w:link w:val="730"/>
    <w:uiPriority w:val="0"/>
    <w:semiHidden/>
    <w:qFormat/>
    <w:rPr>
      <w:rFonts w:hint="default" w:asciiTheme="minorHAnsi" w:hAnsiTheme="minorHAnsi" w:eastAsiaTheme="minorEastAsia" w:cstheme="minorBidi"/>
      <w:sz w:val="21"/>
      <w:szCs w:val="22"/>
    </w:rPr>
  </w:style>
  <w:style w:type="paragraph" w:styleId="972" w:customStyle="1">
    <w:name w:val="正文1"/>
    <w:uiPriority w:val="99"/>
    <w:qFormat/>
    <w:pPr>
      <w:jc w:val="both"/>
      <w:widowControl w:val="off"/>
    </w:pPr>
    <w:rPr>
      <w:rFonts w:ascii="Calibri" w:hAnsi="Calibri" w:eastAsia="宋体" w:cs="Calibri"/>
      <w:lang w:val="en-US" w:eastAsia="zh-CN" w:bidi="ar-SA"/>
    </w:rPr>
  </w:style>
  <w:style w:type="character" w:styleId="973" w:customStyle="1">
    <w:name w:val="font91"/>
    <w:basedOn w:val="740"/>
    <w:uiPriority w:val="0"/>
    <w:qFormat/>
    <w:rPr>
      <w:rFonts w:hint="eastAsia" w:ascii="宋体" w:hAnsi="宋体" w:eastAsia="宋体" w:cs="宋体"/>
      <w:color w:val="ff0000"/>
      <w:sz w:val="18"/>
      <w:szCs w:val="18"/>
      <w:u w:val="none"/>
    </w:rPr>
  </w:style>
  <w:style w:type="character" w:styleId="974" w:customStyle="1">
    <w:name w:val="font81"/>
    <w:basedOn w:val="740"/>
    <w:uiPriority w:val="0"/>
    <w:qFormat/>
    <w:rPr>
      <w:rFonts w:hint="eastAsia" w:ascii="宋体" w:hAnsi="宋体" w:eastAsia="宋体" w:cs="宋体"/>
      <w:color w:val="ff0000"/>
      <w:sz w:val="18"/>
      <w:szCs w:val="18"/>
      <w:u w:val="none"/>
    </w:rPr>
  </w:style>
  <w:style w:type="character" w:styleId="975" w:customStyle="1">
    <w:name w:val="font61"/>
    <w:basedOn w:val="740"/>
    <w:uiPriority w:val="0"/>
    <w:qFormat/>
    <w:rPr>
      <w:rFonts w:ascii="Arial" w:hAnsi="Arial" w:cs="Arial"/>
      <w:color w:val="000000"/>
      <w:sz w:val="18"/>
      <w:szCs w:val="18"/>
      <w:u w:val="none"/>
    </w:rPr>
  </w:style>
  <w:style w:type="paragraph" w:styleId="976" w:customStyle="1">
    <w:name w:val="正文文本缩进1"/>
    <w:basedOn w:val="730"/>
    <w:next w:val="730"/>
    <w:uiPriority w:val="0"/>
    <w:qFormat/>
    <w:pPr>
      <w:ind w:firstLine="645"/>
    </w:pPr>
    <w:rPr>
      <w:rFonts w:ascii="楷体_GB2312" w:eastAsia="楷体_GB2312"/>
      <w:sz w:val="32"/>
      <w:szCs w:val="20"/>
    </w:rPr>
  </w:style>
  <w:style w:type="paragraph" w:styleId="977" w:customStyle="1">
    <w:name w:val="样式 标题 2 + 黑色 行距: 1.5 倍行距"/>
    <w:basedOn w:val="732"/>
    <w:uiPriority w:val="0"/>
    <w:qFormat/>
    <w:pPr>
      <w:spacing w:line="360" w:lineRule="auto"/>
    </w:pPr>
    <w:rPr>
      <w:rFonts w:eastAsia="宋体" w:cs="宋体"/>
      <w:color w:val="000000"/>
      <w:szCs w:val="20"/>
    </w:rPr>
  </w:style>
  <w:style w:type="character" w:styleId="978" w:customStyle="1">
    <w:name w:val="font71"/>
    <w:basedOn w:val="740"/>
    <w:uiPriority w:val="0"/>
    <w:qFormat/>
    <w:rPr>
      <w:rFonts w:hint="default" w:ascii="Times New Roman" w:hAnsi="Times New Roman" w:cs="Times New Roman"/>
      <w:color w:val="000000"/>
      <w:sz w:val="18"/>
      <w:szCs w:val="18"/>
      <w:u w:val="none"/>
    </w:rPr>
  </w:style>
  <w:style w:type="character" w:styleId="979" w:customStyle="1">
    <w:name w:val="font51"/>
    <w:basedOn w:val="740"/>
    <w:uiPriority w:val="0"/>
    <w:qFormat/>
    <w:rPr>
      <w:rFonts w:hint="eastAsia" w:ascii="宋体" w:hAnsi="宋体" w:eastAsia="宋体" w:cs="宋体"/>
      <w:color w:val="000000"/>
      <w:sz w:val="18"/>
      <w:szCs w:val="18"/>
      <w:u w:val="none"/>
    </w:rPr>
  </w:style>
  <w:style w:type="character" w:styleId="980" w:customStyle="1">
    <w:name w:val="font101"/>
    <w:basedOn w:val="740"/>
    <w:uiPriority w:val="0"/>
    <w:qFormat/>
    <w:rPr>
      <w:rFonts w:hint="eastAsia" w:ascii="宋体" w:hAnsi="宋体" w:eastAsia="宋体" w:cs="宋体"/>
      <w:color w:val="000000"/>
      <w:sz w:val="21"/>
      <w:szCs w:val="21"/>
      <w:u w:val="none"/>
    </w:rPr>
  </w:style>
  <w:style w:type="character" w:styleId="981" w:customStyle="1">
    <w:name w:val="font111"/>
    <w:basedOn w:val="740"/>
    <w:uiPriority w:val="0"/>
    <w:qFormat/>
    <w:rPr>
      <w:rFonts w:hint="eastAsia" w:ascii="宋体" w:hAnsi="宋体" w:eastAsia="宋体" w:cs="宋体"/>
      <w:color w:val="000000"/>
      <w:sz w:val="21"/>
      <w:szCs w:val="21"/>
      <w:u w:val="none"/>
    </w:rPr>
  </w:style>
  <w:style w:type="character" w:styleId="982" w:customStyle="1">
    <w:name w:val="font112"/>
    <w:basedOn w:val="740"/>
    <w:uiPriority w:val="0"/>
    <w:qFormat/>
    <w:rPr>
      <w:rFonts w:hint="default" w:ascii="Times New Roman" w:hAnsi="Times New Roman" w:cs="Times New Roman"/>
      <w:color w:val="000000"/>
      <w:sz w:val="18"/>
      <w:szCs w:val="18"/>
      <w:u w:val="none"/>
    </w:rPr>
  </w:style>
  <w:style w:type="character" w:styleId="983" w:customStyle="1">
    <w:name w:val="font21"/>
    <w:basedOn w:val="740"/>
    <w:uiPriority w:val="0"/>
    <w:qFormat/>
    <w:rPr>
      <w:rFonts w:hint="eastAsia" w:ascii="宋体" w:hAnsi="宋体" w:eastAsia="宋体" w:cs="宋体"/>
      <w:color w:val="000000"/>
      <w:sz w:val="18"/>
      <w:szCs w:val="18"/>
      <w:u w:val="none"/>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邢欢</cp:lastModifiedBy>
  <cp:revision>8</cp:revision>
  <dcterms:created xsi:type="dcterms:W3CDTF">2024-05-21T01:33:00Z</dcterms:created>
  <dcterms:modified xsi:type="dcterms:W3CDTF">2026-05-09T02:30:51Z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9E52A5072C2D4D2887262732A85EF5B8_13</vt:lpwstr>
  </property>
  <property fmtid="{D5CDD505-2E9C-101B-9397-08002B2CF9AE}" pid="4" name="KSOTemplateDocerSaveRecord">
    <vt:lpwstr>eyJoZGlkIjoiMjA1NzY5NTRmYWFjZjFiMWVhNDJjMTYyYzc2MGNkZGEiLCJ1c2VySWQiOiI3MTk4ODYzMDgifQ==</vt:lpwstr>
  </property>
</Properties>
</file>