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bookmarkStart w:id="10" w:name="_GoBack"/>
      <w:r/>
      <w:r/>
    </w:p>
    <w:p>
      <w:pPr>
        <w:pStyle w:val="731"/>
        <w:rPr>
          <w:rFonts w:hint="eastAsia" w:ascii="宋体" w:hAnsi="宋体" w:eastAsia="宋体" w:cs="宋体"/>
          <w:color w:val="auto"/>
          <w:highlight w:val="none"/>
        </w:rPr>
      </w:pPr>
      <w:r>
        <w:rPr>
          <w:rFonts w:hint="eastAsia" w:ascii="宋体" w:hAnsi="宋体" w:cs="宋体"/>
          <w:b/>
          <w:color w:val="auto"/>
          <w:spacing w:val="20"/>
          <w:sz w:val="44"/>
          <w:highlight w:val="none"/>
          <w:lang w:eastAsia="zh-CN"/>
        </w:rPr>
        <w:t xml:space="preserve">南通大学启秀校区3号楼消防改造工程</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5"/>
        <w:ind w:firstLine="964"/>
        <w:jc w:val="both"/>
        <w:spacing w:line="500" w:lineRule="exact"/>
        <w:rPr>
          <w:rFonts w:hint="eastAsia"/>
          <w:color w:val="auto"/>
          <w:sz w:val="32"/>
          <w:szCs w:val="32"/>
          <w:highlight w:val="none"/>
        </w:rPr>
      </w:pPr>
      <w:r>
        <w:rPr>
          <w:color w:val="auto"/>
          <w:sz w:val="32"/>
          <w:szCs w:val="32"/>
          <w:highlight w:val="none"/>
        </w:rPr>
        <w:t xml:space="preserve">项目编号：</w:t>
      </w:r>
      <w:r>
        <w:rPr>
          <w:rFonts w:hint="eastAsia"/>
          <w:color w:val="auto"/>
          <w:sz w:val="32"/>
          <w:szCs w:val="32"/>
          <w:highlight w:val="none"/>
        </w:rPr>
        <w:t xml:space="preserve">WT-320000-168041-2026-0003</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92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cs="宋体"/>
          <w:color w:val="auto"/>
          <w:spacing w:val="20"/>
          <w:sz w:val="28"/>
          <w:szCs w:val="28"/>
          <w:highlight w:val="none"/>
          <w:u w:val="single"/>
          <w:lang w:val="en-US" w:eastAsia="zh-CN"/>
        </w:rPr>
        <w:t xml:space="preserve">5</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29日</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南通大学启秀校区3号楼消防改造工程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color w:val="auto"/>
                <w:sz w:val="24"/>
                <w:szCs w:val="24"/>
                <w:highlight w:val="none"/>
                <w:lang w:val="en-US" w:eastAsia="zh-CN"/>
              </w:rPr>
              <w:t xml:space="preserve">网上注册登记成功后系统内</w:t>
            </w:r>
            <w:r>
              <w:rPr>
                <w:rFonts w:hint="eastAsia" w:ascii="宋体" w:hAnsi="宋体" w:eastAsia="宋体" w:cs="宋体"/>
                <w:color w:val="auto"/>
                <w:sz w:val="24"/>
                <w:szCs w:val="24"/>
                <w:highlight w:val="none"/>
                <w:lang w:eastAsia="zh-CN"/>
              </w:rPr>
              <w:t xml:space="preserve">免费下载磋商文件，并于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w:t>
      </w:r>
      <w:r>
        <w:rPr>
          <w:rFonts w:hint="eastAsia" w:ascii="宋体" w:hAnsi="宋体" w:eastAsia="宋体" w:cs="宋体"/>
          <w:color w:val="auto"/>
          <w:sz w:val="24"/>
          <w:szCs w:val="24"/>
          <w:highlight w:val="none"/>
          <w:lang w:eastAsia="zh-CN"/>
        </w:rPr>
        <w:t xml:space="preserve">WT-320000-168041-2026-0003</w:t>
      </w:r>
      <w:r>
        <w:rPr>
          <w:rFonts w:hint="eastAsia" w:ascii="宋体" w:hAnsi="宋体" w:eastAsia="宋体" w:cs="宋体"/>
          <w:color w:val="auto"/>
          <w:sz w:val="24"/>
          <w:szCs w:val="24"/>
          <w:highlight w:val="none"/>
          <w:lang w:eastAsia="zh-CN"/>
        </w:rPr>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2、项目名称：南通大学启秀校区3号楼消防改造工程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eastAsia="zh-CN"/>
        </w:rPr>
        <w:t xml:space="preserve">万元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w:t>
      </w:r>
      <w:r>
        <w:rPr>
          <w:rFonts w:hint="eastAsia" w:ascii="宋体" w:hAnsi="宋体" w:eastAsia="宋体" w:cs="宋体"/>
          <w:color w:val="auto"/>
          <w:sz w:val="24"/>
          <w:szCs w:val="24"/>
          <w:highlight w:val="none"/>
          <w:lang w:eastAsia="zh-CN"/>
        </w:rPr>
        <w:t xml:space="preserve">人民币</w:t>
      </w:r>
      <w:r>
        <w:rPr>
          <w:rFonts w:hint="eastAsia" w:ascii="宋体" w:hAnsi="宋体" w:eastAsia="宋体" w:cs="宋体"/>
          <w:color w:val="auto"/>
          <w:sz w:val="24"/>
          <w:szCs w:val="24"/>
          <w:highlight w:val="none"/>
          <w:lang w:val="en-US" w:eastAsia="zh-CN"/>
        </w:rPr>
        <w:t xml:space="preserve">1499336.68元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具备建设主管部门颁发的消防设施工程专业承包二级及以上资质；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企业双方签订的有效劳动合同书及社保机构出具的由供应商为其缴纳的近三个月</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中任意一个月的社保缴费记录，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11日14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11日14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1"/>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ascii="SimSun" w:hAnsi="SimSun" w:eastAsia="SimSun" w:cs="SimSun"/>
          <w:color w:val="000000"/>
          <w:sz w:val="24"/>
        </w:rPr>
        <w:t xml:space="preserve">0513-85012109</w:t>
      </w:r>
      <w:r>
        <w:rPr>
          <w:rFonts w:hint="eastAsia" w:ascii="宋体" w:hAnsi="宋体" w:eastAsia="宋体" w:cs="宋体"/>
          <w:color w:val="auto"/>
          <w:sz w:val="24"/>
          <w:szCs w:val="24"/>
          <w:highlight w:val="none"/>
          <w:lang w:eastAsia="zh-CN"/>
        </w:rPr>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本项目用户单位代表（技术咨询人、项目勘探人）：王老师（电话：</w:t>
      </w:r>
      <w:r>
        <w:rPr>
          <w:rFonts w:hint="eastAsia" w:ascii="宋体" w:hAnsi="宋体" w:eastAsia="宋体" w:cs="宋体"/>
          <w:color w:val="auto"/>
          <w:sz w:val="24"/>
          <w:szCs w:val="24"/>
          <w:highlight w:val="none"/>
          <w:lang w:val="en-US" w:eastAsia="zh-CN"/>
        </w:rPr>
        <w:t xml:space="preserve">0513-</w:t>
      </w:r>
      <w:r>
        <w:rPr>
          <w:rFonts w:hint="eastAsia" w:ascii="宋体" w:hAnsi="宋体" w:eastAsia="宋体" w:cs="宋体"/>
          <w:color w:val="auto"/>
          <w:sz w:val="24"/>
          <w:szCs w:val="24"/>
          <w:highlight w:val="none"/>
          <w:lang w:eastAsia="zh-CN"/>
        </w:rPr>
        <w:t xml:space="preserve">85012109）</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2026年6月8日下午14时-17时。</w:t>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0"/>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进行计算，计算出的金额*30%为本项目采购代理服务费，如不足叁仟元按叁仟元收取，如超过壹万元，按壹万元收取。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4.3本项目编标费1000元由成交人承担，在领取成交通知书时向代理机构缴纳。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1"/>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 供应商在</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7.1.16磋商响应文件中已标价工程量清单与磋商文件规定的暂估价、暂列金额及甲供材料价格不一致的。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 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 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 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 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3.l</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1.l成交供应商应当在成交通知书发出之日起三十日内，按照磋商文件确定的事项与采购单位签订采购合同。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4"/>
          <w:rFonts w:hint="eastAsia" w:ascii="宋体" w:hAnsi="宋体" w:eastAsia="宋体" w:cs="宋体"/>
          <w:color w:val="auto"/>
          <w:sz w:val="24"/>
          <w:szCs w:val="24"/>
          <w:highlight w:val="none"/>
        </w:rPr>
        <w:t xml:space="preserve">http://jszfcg.jsczt.cn/）相关要求是本采购文件的组成部分。</w:t>
      </w:r>
      <w:r>
        <w:rPr>
          <w:rStyle w:val="764"/>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1.建筑信息概况：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启秀3#教学楼由南通建筑设计研究院设计，建筑面积为7320.74平方米，共9层（地上8层、局部突出一层），高度27.55米，框架结构，属于二类高层公共建筑，本工程对启秀3#教学楼消防专项整改设计包括不仅限于应急照明工程、消火栓、喷淋、独立式感烟探测器、消防电源系统、防排烟系统等及对应的拆除及装修工程等。此项目于2021年实施了一期工程，建成了独立式消防一体化水箱并铺设管道至楼梯口。</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2.特别注意：</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项目主体工程如应急照明工程、消火栓、喷淋、防排烟系统等为传统消防改造，分体联动及信号传输为智慧消防改造，3#楼不再设置消防报警主机，需将信号传输至南区邢白楼消防控制室并按国家相关规范要求实现消防设施设备的联动功能，所有智慧消防设施设备需满足10年质保并含10年的流量和电池，施工列表中所涉及未考虑的相关费用一并纳入总报价费用，请投标单位仔细研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（2）本项目已安装海康独立式烟感探测器227只；每层设置海康一体化声光消防广播共8个；中标供应商需无条件完成本项目系统与学校现有由江苏全讯安全科技有限公司运营的</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南通大学智慧消防平台</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全面对接、数据互通、业务协同，满足学校日常管理、数据汇总等一体化需求；本次项目中系统开发、与原平台施工单位对接所产生的调试、联调、技术适配等全部工作及相关费用，均包含在投标报价中，学校不再另行支付任何费用。</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（3）通用标准接口由原平台承建单位免费提供；但涉及新设备私有协议、定制开发部分，由中标单位自行与原平台承建单位对接协商解决。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619"/>
      </w:tblGrid>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①《建筑工程工程量清单计价规范》GB50500-2013及配套的工程量清单计算规范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②《江苏省建设工程工程量清单计价项目指引》（2014年）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③《江苏省建筑与装饰工程计价定额》（2014年）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④《江苏省安装工程计价定额》（2014年）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⑤《江苏省建设工程费用定额》（2014年）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⑥《江苏省市政工程计价表》（2014年）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⑦《通用安装工程工程量计算规范》（GB50856-2013）</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⑧《省住房城乡建设厅关于建筑业实施营改增后江苏省建设工程计价依据调整的通知》（苏建价〔2016〕154号）</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相应的补充规定和项目所在地现行的有关文件</w:t>
      </w:r>
      <w:r/>
    </w:p>
    <w:p>
      <w:pPr>
        <w:ind w:firstLine="562"/>
        <w:spacing w:line="460" w:lineRule="exact"/>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w:t>
      </w:r>
      <w:r/>
    </w:p>
    <w:p>
      <w:pPr>
        <w:ind w:firstLine="480"/>
        <w:jc w:val="left"/>
        <w:spacing w:line="400" w:lineRule="exact"/>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控制价，是</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控制价（最高限价）。供应商的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控制价编制依据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pStyle w:val="73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1.2.2《建设工程工程量清单计价规范》GB50500-2013；《江苏省安装工程计价定额》2014版；《通用安装工程工程量计算规范》（GB50856-2013）；《江苏省建设工程费用定额》(2014版)；《省住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城乡建设厅建筑业实施营改增后江苏省建设工程计价依据调整的通知》（苏建价</w:t>
      </w:r>
      <w:r>
        <w:rPr>
          <w:rFonts w:hint="eastAsia" w:ascii="宋体" w:hAnsi="宋体" w:eastAsia="宋体" w:cs="宋体"/>
          <w:color w:val="auto"/>
          <w:sz w:val="24"/>
          <w:szCs w:val="24"/>
          <w:highlight w:val="none"/>
          <w:lang w:eastAsia="zh-CN"/>
        </w:rPr>
        <w:t xml:space="preserve">〔2016〕154号</w:t>
      </w:r>
      <w:r>
        <w:rPr>
          <w:rFonts w:hint="eastAsia" w:ascii="宋体" w:hAnsi="宋体" w:eastAsia="宋体" w:cs="宋体"/>
          <w:color w:val="auto"/>
          <w:sz w:val="24"/>
          <w:szCs w:val="24"/>
          <w:highlight w:val="none"/>
        </w:rPr>
        <w:t xml:space="preserve">文）；省</w:t>
      </w:r>
      <w:r>
        <w:rPr>
          <w:rFonts w:hint="eastAsia" w:ascii="宋体" w:hAnsi="宋体" w:eastAsia="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关于调整建设工程计价增值税税率的通知（苏建函价</w:t>
      </w:r>
      <w:r>
        <w:rPr>
          <w:rFonts w:hint="eastAsia" w:ascii="宋体" w:hAnsi="宋体" w:eastAsia="宋体" w:cs="宋体"/>
          <w:color w:val="auto"/>
          <w:sz w:val="24"/>
          <w:szCs w:val="24"/>
          <w:highlight w:val="none"/>
          <w:lang w:eastAsia="zh-CN"/>
        </w:rPr>
        <w:t xml:space="preserve">〔2019〕178号</w:t>
      </w:r>
      <w:r>
        <w:rPr>
          <w:rFonts w:hint="eastAsia" w:ascii="宋体" w:hAnsi="宋体" w:eastAsia="宋体" w:cs="宋体"/>
          <w:color w:val="auto"/>
          <w:sz w:val="24"/>
          <w:szCs w:val="24"/>
          <w:highlight w:val="none"/>
        </w:rPr>
        <w:t xml:space="preserve">文）；省</w:t>
      </w:r>
      <w:r>
        <w:rPr>
          <w:rFonts w:hint="eastAsia" w:ascii="宋体" w:hAnsi="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关于调整建设工程按质论价等费用计取方法的公告（</w:t>
      </w:r>
      <w:r>
        <w:rPr>
          <w:rFonts w:hint="eastAsia" w:ascii="宋体" w:hAnsi="宋体" w:eastAsia="宋体" w:cs="宋体"/>
          <w:color w:val="auto"/>
          <w:sz w:val="24"/>
          <w:szCs w:val="24"/>
          <w:highlight w:val="none"/>
          <w:lang w:eastAsia="zh-CN"/>
        </w:rPr>
        <w:t xml:space="preserve">〔2018〕</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24号</w:t>
      </w:r>
      <w:r>
        <w:rPr>
          <w:rFonts w:hint="eastAsia" w:ascii="宋体" w:hAnsi="宋体" w:eastAsia="宋体" w:cs="宋体"/>
          <w:color w:val="auto"/>
          <w:sz w:val="24"/>
          <w:szCs w:val="24"/>
          <w:highlight w:val="none"/>
        </w:rPr>
        <w:t xml:space="preserve">）以及相应补充规定和现行省、市有关规定；国家和江苏省现行有关电气及建筑工程设计、施工</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验收规范和规定；江苏省南通市与本工程造价相关的计价文件等。</w:t>
      </w:r>
      <w:r/>
    </w:p>
    <w:p>
      <w:pPr>
        <w:pStyle w:val="734"/>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1.2.3人工工资执行《省住房和城乡建设厅关于发布2026年上半年建设工程人工价格指数的通知》（苏建函价〔2026〕27号）</w:t>
      </w:r>
      <w:r>
        <w:rPr>
          <w:rFonts w:hint="eastAsia" w:ascii="宋体" w:hAnsi="宋体" w:eastAsia="宋体" w:cs="宋体"/>
          <w:color w:val="auto"/>
          <w:sz w:val="24"/>
          <w:szCs w:val="24"/>
          <w:highlight w:val="none"/>
          <w:lang w:eastAsia="zh-CN"/>
        </w:rPr>
        <w:t xml:space="preserve">。</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1.2.4材料价格参照</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年第</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期</w:t>
      </w:r>
      <w:r>
        <w:rPr>
          <w:rFonts w:hint="eastAsia" w:ascii="宋体" w:hAnsi="宋体" w:eastAsia="宋体" w:cs="宋体"/>
          <w:color w:val="auto"/>
          <w:sz w:val="24"/>
          <w:szCs w:val="24"/>
          <w:highlight w:val="none"/>
        </w:rPr>
        <w:t xml:space="preserve">《南通建设工程造价信息》中的材料信息价，若以上无信息价的，则按市场价执行。</w:t>
      </w:r>
      <w:r/>
    </w:p>
    <w:p>
      <w:pPr>
        <w:pStyle w:val="734"/>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1.2.5本工程不可竞争费按以下费率计取：</w:t>
      </w:r>
      <w:r/>
    </w:p>
    <w:tbl>
      <w:tblPr>
        <w:tblStyle w:val="730"/>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449"/>
        <w:gridCol w:w="2186"/>
        <w:gridCol w:w="1762"/>
        <w:gridCol w:w="1460"/>
        <w:gridCol w:w="1205"/>
      </w:tblGrid>
      <w:tr>
        <w:trPr>
          <w:jc w:val="center"/>
          <w:trHeight w:val="81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费用类别</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装修</w:t>
            </w:r>
            <w:r>
              <w:rPr>
                <w:rFonts w:hint="eastAsia" w:ascii="宋体" w:hAnsi="宋体" w:eastAsia="宋体" w:cs="宋体"/>
                <w:color w:val="auto"/>
                <w:sz w:val="24"/>
                <w:szCs w:val="24"/>
                <w:highlight w:val="none"/>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环境保护税</w:t>
            </w:r>
            <w:r/>
          </w:p>
        </w:tc>
        <w:tc>
          <w:tcPr>
            <w:tcBorders>
              <w:right w:val="single" w:color="auto" w:sz="4" w:space="0"/>
            </w:tcBorders>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Borders>
              <w:right w:val="single" w:color="auto" w:sz="4" w:space="0"/>
            </w:tcBorders>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right w:val="single" w:color="auto" w:sz="4" w:space="0"/>
            </w:tcBorders>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0.42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0.42</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现场安全文明施工措施费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543"/>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标化增加费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0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扬尘污染防治增加费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22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0.21</w:t>
            </w:r>
            <w:r/>
          </w:p>
        </w:tc>
      </w:tr>
      <w:tr>
        <w:trPr>
          <w:jc w:val="center"/>
          <w:trHeight w:val="705"/>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税前造价</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①计算基础：A为分部分项工程费， B 为措施项目清单费，C</w:t>
      </w: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项目费，D为除税工程设备费。E为单价措施项目费。 </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②本次</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所有单位工程的不可竞争费费率，无论其不可竞争费费率是否在上表中列明，</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时不可竞争费费率均以网上发布的13JZ格式的工程量清单为准。</w:t>
      </w:r>
      <w:r/>
    </w:p>
    <w:p>
      <w:pPr>
        <w:contextualSpacing/>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③暂列金额：15000.00元，具体以发布的13JZ格式工程量清单中的金额为准。投标时不得改变暂列金额，否则作无效标处理。</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其他有关费率：详见控制价文件。</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（1）《建设工程工程量清单计价规范》（GB50500-2013）、《房屋建筑与装饰工程工程量计算规范》（GB50854-2013）等9本工程量计算规范即“2013版计算规范”；</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（2）国家或省级、行业建设主管部门颁发的计价办法；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（3）企业定额，国家或省级行业建设主管部门颁发的计价定额和计价办法；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（5）建设工程设计文件及相关资料；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（6）施工现场情况、工程特点及</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（7）与建设项目相关的标准、规范、技术资料；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（8）市场价格信息或工程造价管理机构发布的工程造价信息；</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（9）其他的相关资料。</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投标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时不可竞争费按招标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控制价编制依据第1.2.5条中费率执行。</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注：★现场安全文明施工措施费结算时只计基本费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扬尘污染防治增加费，其它费率不计。供应商必须考虑除本</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文件明示的风险范围以外的各种因素，结合自身企业状况自主确定</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w:t>
      </w:r>
      <w:r/>
    </w:p>
    <w:p>
      <w:pPr>
        <w:contextualSpacing/>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spacing w:line="360" w:lineRule="auto"/>
        <w:widowControl/>
        <w:rPr>
          <w:rFonts w:hint="eastAsia" w:ascii="宋体" w:hAnsi="宋体" w:eastAsia="宋体" w:cs="宋体"/>
          <w:color w:val="auto"/>
          <w:sz w:val="24"/>
          <w:szCs w:val="24"/>
          <w:highlight w:val="none"/>
        </w:rPr>
      </w:pPr>
      <w:r/>
      <w:bookmarkStart w:id="0" w:name="OLE_LINK50"/>
      <w:r/>
      <w:bookmarkStart w:id="1" w:name="OLE_LINK49"/>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工程量清单明确列出的暂估价、暂列金、不可竞争费用项目及费率和计算基础。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时应考虑该改造项目与原有配电、网络系统的连接与改造，保证其使用功能，该项费用包含在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1"/>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spacing w:line="480" w:lineRule="exact"/>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详见网上发布的13JZ格式清单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spacing w:line="480" w:lineRule="exact"/>
        <w:widowControl/>
        <w:rPr>
          <w:rFonts w:hint="eastAsia" w:ascii="宋体" w:hAnsi="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cs="宋体"/>
          <w:color w:val="auto"/>
          <w:spacing w:val="7"/>
          <w:sz w:val="24"/>
          <w:szCs w:val="24"/>
          <w:highlight w:val="none"/>
          <w:u w:val="single"/>
          <w:shd w:val="clear" w:color="auto" w:fill="ffffff"/>
          <w:lang w:val="en-US" w:eastAsia="zh-CN"/>
        </w:rPr>
        <w:t xml:space="preserve">90日历天。</w:t>
      </w:r>
      <w:r/>
    </w:p>
    <w:p>
      <w:pPr>
        <w:ind w:firstLine="508"/>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1"/>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质量要求：合格。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内传统消防</w:t>
      </w:r>
      <w:r>
        <w:rPr>
          <w:rFonts w:hint="eastAsia" w:ascii="宋体" w:hAnsi="宋体" w:eastAsia="宋体" w:cs="宋体"/>
          <w:color w:val="auto"/>
          <w:sz w:val="24"/>
          <w:szCs w:val="24"/>
          <w:highlight w:val="none"/>
        </w:rPr>
        <w:t xml:space="preserve">质量保修期</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2年，所有智慧消防设施设备需满足10年质保并含10年的流量和电池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质量保修期自工程竣工验收合格之日起计算。</w:t>
      </w:r>
      <w:r/>
    </w:p>
    <w:p>
      <w:pPr>
        <w:pStyle w:val="741"/>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1"/>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1"/>
        <w:ind w:firstLine="508"/>
        <w:spacing w:before="120" w:after="120" w:line="480" w:lineRule="exact"/>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1"/>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1"/>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pStyle w:val="741"/>
        <w:numPr>
          <w:ilvl w:val="0"/>
          <w:numId w:val="0"/>
        </w:numPr>
        <w:ind w:firstLine="24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九</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 是 </w:t>
      </w:r>
      <w:r/>
    </w:p>
    <w:p>
      <w:pPr>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供应商在</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u w:val="single"/>
        </w:rPr>
        <w:t xml:space="preserve">3个工作日</w:t>
      </w:r>
      <w:r>
        <w:rPr>
          <w:rFonts w:hint="eastAsia" w:ascii="宋体" w:hAnsi="宋体" w:eastAsia="宋体" w:cs="宋体"/>
          <w:color w:val="auto"/>
          <w:sz w:val="24"/>
          <w:szCs w:val="24"/>
          <w:highlight w:val="none"/>
        </w:rPr>
        <w:t xml:space="preserve">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形式。</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1"/>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p>
    <w:p>
      <w:pPr>
        <w:rPr>
          <w:rFonts w:hint="eastAsia"/>
          <w:color w:val="auto"/>
          <w:sz w:val="36"/>
          <w:szCs w:val="36"/>
          <w:highlight w:val="none"/>
        </w:rPr>
      </w:pPr>
      <w:r>
        <w:rPr>
          <w:rFonts w:hint="eastAsia"/>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lang w:eastAsia="zh-CN"/>
        </w:rPr>
        <w:t xml:space="preserve">分</w:t>
      </w:r>
      <w:r/>
    </w:p>
    <w:p>
      <w:pPr>
        <w:pStyle w:val="722"/>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各供应商得分为磋商小组成员评分的算术平均分，分值保留小数点后两位。</w:t>
      </w: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505"/>
        <w:gridCol w:w="7273"/>
      </w:tblGrid>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8</w:t>
            </w:r>
            <w:r/>
          </w:p>
        </w:tc>
        <w:tc>
          <w:tcPr>
            <w:tcW w:w="0" w:type="auto"/>
            <w:vAlign w:val="center"/>
            <w:textDirection w:val="lrTb"/>
            <w:noWrap w:val="false"/>
          </w:tcPr>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1月1以来（以合同签订时间为准），具有类似</w:t>
            </w:r>
            <w:r>
              <w:rPr>
                <w:rFonts w:hint="eastAsia" w:ascii="宋体" w:hAnsi="宋体" w:cs="宋体"/>
                <w:color w:val="auto"/>
                <w:sz w:val="24"/>
                <w:szCs w:val="24"/>
                <w:highlight w:val="none"/>
                <w:lang w:val="en-US" w:eastAsia="zh-CN"/>
              </w:rPr>
              <w:t xml:space="preserve">消防工程（至少含喷淋、防排烟系统）</w:t>
            </w:r>
            <w:r>
              <w:rPr>
                <w:rFonts w:hint="eastAsia" w:ascii="宋体" w:hAnsi="宋体" w:eastAsia="宋体" w:cs="宋体"/>
                <w:color w:val="auto"/>
                <w:sz w:val="24"/>
                <w:szCs w:val="24"/>
                <w:highlight w:val="none"/>
              </w:rPr>
              <w:t xml:space="preserve">业绩的，每提供一项得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最多得6分；每提供一项智慧消防业绩得2分，最多得2分；此项满分8分。</w:t>
            </w:r>
            <w:r/>
          </w:p>
          <w:p>
            <w:pPr>
              <w:ind w:firstLine="480"/>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注：同时提供</w:t>
            </w:r>
            <w:r>
              <w:rPr>
                <w:rFonts w:hint="eastAsia" w:ascii="宋体" w:hAnsi="宋体" w:eastAsia="宋体" w:cs="宋体"/>
                <w:color w:val="auto"/>
                <w:sz w:val="24"/>
                <w:szCs w:val="24"/>
                <w:highlight w:val="none"/>
                <w:lang w:val="en-US" w:eastAsia="zh-CN"/>
              </w:rPr>
              <w:t xml:space="preserve">完整的业绩</w:t>
            </w:r>
            <w:r>
              <w:rPr>
                <w:rFonts w:hint="eastAsia" w:ascii="宋体" w:hAnsi="宋体" w:eastAsia="宋体" w:cs="宋体"/>
                <w:color w:val="auto"/>
                <w:sz w:val="24"/>
                <w:szCs w:val="24"/>
                <w:highlight w:val="none"/>
              </w:rPr>
              <w:t xml:space="preserve">合同、竣工验收报告</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竣工验收报告</w:t>
            </w:r>
            <w:r>
              <w:rPr>
                <w:rFonts w:hint="eastAsia" w:ascii="宋体" w:hAnsi="宋体" w:eastAsia="宋体" w:cs="宋体"/>
                <w:color w:val="auto"/>
                <w:sz w:val="24"/>
                <w:szCs w:val="24"/>
                <w:highlight w:val="none"/>
                <w:lang w:eastAsia="zh-CN"/>
              </w:rPr>
              <w:t xml:space="preserve">须同时有建设单位、监理单位、设计单位、施工单位盖章，</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z w:val="24"/>
                <w:szCs w:val="24"/>
                <w:highlight w:val="none"/>
                <w:lang w:eastAsia="zh-CN"/>
              </w:rPr>
              <w:t xml:space="preserve">。</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项目组人员配备</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15</w:t>
            </w:r>
            <w:r/>
          </w:p>
        </w:tc>
        <w:tc>
          <w:tcPr>
            <w:tcW w:w="0" w:type="auto"/>
            <w:vAlign w:val="center"/>
            <w:textDirection w:val="lrTb"/>
            <w:noWrap w:val="false"/>
          </w:tcPr>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拟派人员中具有施工员、质量员、安全员、造价员、材料员、机械员，以上人员必须为供应商单位正式员工，并具有有效的岗位证书（注：安全员须具有有效的安全生产考核合格证（C证）），每提供一个人有效证明材料得1分，满分6分，以上人员在本项目中均不得相互兼职，同一人具有多类证书的，仅计算一个证书。</w:t>
            </w:r>
            <w:r>
              <w:rPr>
                <w:rFonts w:hint="eastAsia" w:ascii="宋体" w:hAnsi="宋体" w:cs="宋体"/>
                <w:color w:val="auto"/>
                <w:sz w:val="24"/>
                <w:szCs w:val="24"/>
                <w:highlight w:val="none"/>
                <w:lang w:val="en-US" w:eastAsia="zh-CN"/>
              </w:rPr>
              <w:t xml:space="preserve">如一个岗位提供多人岗位证书，</w:t>
            </w:r>
            <w:r>
              <w:rPr>
                <w:rFonts w:hint="eastAsia" w:ascii="宋体" w:hAnsi="宋体" w:eastAsia="宋体" w:cs="宋体"/>
                <w:color w:val="auto"/>
                <w:sz w:val="24"/>
                <w:szCs w:val="24"/>
                <w:highlight w:val="none"/>
              </w:rPr>
              <w:t xml:space="preserve">仅</w:t>
            </w:r>
            <w:r>
              <w:rPr>
                <w:rFonts w:hint="eastAsia" w:ascii="宋体" w:hAnsi="宋体" w:cs="宋体"/>
                <w:color w:val="auto"/>
                <w:sz w:val="24"/>
                <w:szCs w:val="24"/>
                <w:highlight w:val="none"/>
                <w:lang w:val="en-US" w:eastAsia="zh-CN"/>
              </w:rPr>
              <w:t xml:space="preserve">计分一次。</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拟派项目技术负责人具有机电工程专业一级注册建造师资格，同时具有有效的建设行政主管部门颁发的安全生产考核合格证书（B证），得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分；具有一级注册消防工程师，得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此项最多3分。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、拟派项目组成员中（除项目负责人和项目技术负责人外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具有消防设施操作员（或建（构）筑物消防员）国家职业资格中级（即：四级）及以上证书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特种作业操作证（作业类别：焊接与热切割作业）、特种作业操作证（作业类别：电工作业）、特种作业操作证（作业类别：登高架设作业），</w:t>
            </w:r>
            <w:r>
              <w:rPr>
                <w:rFonts w:hint="eastAsia" w:ascii="宋体" w:hAnsi="宋体" w:eastAsia="宋体" w:cs="宋体"/>
                <w:color w:val="auto"/>
                <w:sz w:val="24"/>
                <w:szCs w:val="24"/>
                <w:highlight w:val="none"/>
              </w:rPr>
              <w:t xml:space="preserve">有一人得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社保机构出具的由供应商为其缴纳的近三个月</w:t>
            </w:r>
            <w:r>
              <w:rPr>
                <w:rFonts w:hint="eastAsia" w:ascii="宋体" w:hAnsi="宋体" w:eastAsia="宋体" w:cs="宋体"/>
                <w:color w:val="auto"/>
                <w:sz w:val="24"/>
                <w:szCs w:val="24"/>
                <w:highlight w:val="none"/>
              </w:rPr>
              <w:t xml:space="preserve">（指：202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）中任意一个月的社保缴费记录</w:t>
            </w:r>
            <w:r>
              <w:rPr>
                <w:rFonts w:hint="eastAsia" w:ascii="宋体" w:hAnsi="宋体" w:eastAsia="宋体" w:cs="宋体"/>
                <w:color w:val="auto"/>
                <w:sz w:val="24"/>
                <w:szCs w:val="24"/>
                <w:highlight w:val="none"/>
                <w:lang w:val="en-US" w:eastAsia="zh-CN"/>
              </w:rPr>
              <w:t xml:space="preserve">扫描件；</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②对应人员</w:t>
            </w:r>
            <w:r>
              <w:rPr>
                <w:rFonts w:hint="eastAsia" w:ascii="宋体" w:hAnsi="宋体" w:eastAsia="宋体" w:cs="宋体"/>
                <w:color w:val="auto"/>
                <w:sz w:val="24"/>
                <w:szCs w:val="24"/>
                <w:highlight w:val="none"/>
                <w:lang w:val="en-US" w:eastAsia="zh-CN"/>
              </w:rPr>
              <w:t xml:space="preserve">提供对应相关证书扫描件</w:t>
            </w:r>
            <w:r>
              <w:rPr>
                <w:rFonts w:hint="eastAsia" w:ascii="宋体" w:hAnsi="宋体" w:cs="宋体"/>
                <w:color w:val="auto"/>
                <w:sz w:val="24"/>
                <w:szCs w:val="24"/>
                <w:highlight w:val="none"/>
                <w:lang w:val="en-US" w:eastAsia="zh-CN"/>
              </w:rPr>
              <w:t xml:space="preserve">，注册证书需要提供对应的注册证扫描件；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根据《国家职业技能标准》（消防设施操作员-2019版，职业代码：4-07-05-04）规定，“建（构）筑物消防员”职业名称调整为“消防设施操作员”，以上两种证书视为同一种证书，同时具有该两种证书的人员，不重复得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一级注册建造师必须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 xml:space="preserve">未提供或提供的佐证资料不满足要求的不得分。</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0" w:type="auto"/>
            <w:vAlign w:val="center"/>
            <w:textDirection w:val="lrTb"/>
            <w:noWrap w:val="false"/>
          </w:tcPr>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w:t>
            </w:r>
            <w:r>
              <w:rPr>
                <w:rFonts w:hint="eastAsia" w:ascii="宋体" w:hAnsi="宋体" w:cs="宋体"/>
                <w:color w:val="auto"/>
                <w:spacing w:val="4"/>
                <w:sz w:val="24"/>
                <w:szCs w:val="24"/>
                <w:highlight w:val="none"/>
                <w:lang w:val="en-US" w:eastAsia="zh-CN"/>
              </w:rPr>
              <w:t xml:space="preserve">夏</w:t>
            </w:r>
            <w:r>
              <w:rPr>
                <w:rFonts w:hint="eastAsia" w:ascii="宋体" w:hAnsi="宋体" w:eastAsia="宋体" w:cs="宋体"/>
                <w:color w:val="auto"/>
                <w:spacing w:val="4"/>
                <w:sz w:val="24"/>
                <w:szCs w:val="24"/>
                <w:highlight w:val="none"/>
              </w:rPr>
              <w:t xml:space="preserve">雨季施工方案、养护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临时工程的设计、检验检测和跟踪观测的仪器、设备和测试计划，施工期环保、文明施工措施，安全管理及安全保证体系等。评标委员会根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提供的施工组织设计进行综合打分：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施工组织设计整体合理、方案可行性强、相关措施详细、明确、针对性强得1</w:t>
            </w:r>
            <w:r>
              <w:rPr>
                <w:rFonts w:hint="eastAsia" w:ascii="宋体" w:hAnsi="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cs="宋体"/>
                <w:color w:val="auto"/>
                <w:spacing w:val="4"/>
                <w:sz w:val="24"/>
                <w:szCs w:val="24"/>
                <w:highlight w:val="none"/>
                <w:lang w:val="en-US" w:eastAsia="zh-CN"/>
              </w:rPr>
              <w:t xml:space="preserve">5</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分</w:t>
            </w:r>
            <w:r>
              <w:rPr>
                <w:rFonts w:hint="eastAsia" w:ascii="宋体" w:hAnsi="宋体" w:cs="宋体"/>
                <w:color w:val="auto"/>
                <w:spacing w:val="4"/>
                <w:sz w:val="24"/>
                <w:szCs w:val="24"/>
                <w:highlight w:val="none"/>
                <w:lang w:eastAsia="zh-CN"/>
              </w:rPr>
              <w:t xml:space="preserve">，</w:t>
            </w:r>
            <w:r>
              <w:rPr>
                <w:rFonts w:hint="eastAsia" w:ascii="宋体" w:hAnsi="宋体" w:cs="宋体"/>
                <w:color w:val="auto"/>
                <w:spacing w:val="4"/>
                <w:sz w:val="24"/>
                <w:szCs w:val="24"/>
                <w:highlight w:val="none"/>
                <w:lang w:val="en-US" w:eastAsia="zh-CN"/>
              </w:rPr>
              <w:t xml:space="preserve">未提供不得分</w:t>
            </w:r>
            <w:r>
              <w:rPr>
                <w:rFonts w:hint="eastAsia" w:ascii="宋体" w:hAnsi="宋体" w:eastAsia="宋体" w:cs="宋体"/>
                <w:color w:val="auto"/>
                <w:spacing w:val="4"/>
                <w:sz w:val="24"/>
                <w:szCs w:val="24"/>
                <w:highlight w:val="none"/>
                <w:lang w:eastAsia="zh-CN"/>
              </w:rPr>
              <w:t xml:space="preserve">。</w:t>
            </w:r>
            <w:r/>
          </w:p>
        </w:tc>
      </w:tr>
      <w:tr>
        <w:trPr/>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质保</w:t>
            </w:r>
            <w:r/>
          </w:p>
        </w:tc>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firstLine="248"/>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在满足招标文件2年要求的质保期基础上每延长1年，增加1分，最多2分。</w:t>
            </w:r>
            <w:r/>
          </w:p>
          <w:p>
            <w:pPr>
              <w:ind w:firstLine="248"/>
              <w:spacing w:line="360" w:lineRule="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注：提供承诺书（格式自拟）。</w:t>
            </w:r>
            <w:r/>
          </w:p>
        </w:tc>
      </w:tr>
    </w:tbl>
    <w:p>
      <w:pPr>
        <w:spacing w:after="0"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评审过程中出列情形之一的，评审委员会应当启</w:t>
      </w:r>
      <w:r>
        <w:rPr>
          <w:rFonts w:hint="eastAsia" w:ascii="宋体" w:hAnsi="宋体" w:eastAsia="宋体" w:cs="宋体"/>
          <w:color w:val="auto"/>
          <w:sz w:val="24"/>
          <w:szCs w:val="24"/>
          <w:highlight w:val="none"/>
          <w:lang w:val="en-US" w:eastAsia="zh-CN"/>
        </w:rPr>
        <w:t xml:space="preserve">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color w:val="auto"/>
          <w:sz w:val="24"/>
          <w:highlight w:val="none"/>
          <w:lang w:val="zh-CN"/>
        </w:rPr>
      </w:pPr>
      <w:r>
        <w:rPr>
          <w:color w:val="auto"/>
          <w:sz w:val="24"/>
          <w:highlight w:val="none"/>
          <w:lang w:val="zh-CN"/>
        </w:rPr>
        <w:t xml:space="preserve">一、成交供应商和采购单位</w:t>
      </w:r>
      <w:r>
        <w:rPr>
          <w:rFonts w:hint="eastAsia" w:ascii="宋体" w:hAnsi="宋体"/>
          <w:color w:val="auto"/>
          <w:sz w:val="24"/>
          <w:highlight w:val="none"/>
        </w:rPr>
        <w:t xml:space="preserve">需在</w:t>
      </w:r>
      <w:r>
        <w:rPr>
          <w:color w:val="auto"/>
          <w:sz w:val="24"/>
          <w:highlight w:val="none"/>
          <w:lang w:val="zh-CN"/>
        </w:rPr>
        <w:t xml:space="preserve">《成交通知书》</w:t>
      </w:r>
      <w:r>
        <w:rPr>
          <w:rFonts w:hint="eastAsia"/>
          <w:color w:val="auto"/>
          <w:sz w:val="24"/>
          <w:highlight w:val="none"/>
        </w:rPr>
        <w:t xml:space="preserve">发出之日起</w:t>
      </w:r>
      <w:r>
        <w:rPr>
          <w:rFonts w:hint="eastAsia"/>
          <w:color w:val="auto"/>
          <w:sz w:val="24"/>
          <w:highlight w:val="none"/>
          <w:lang w:val="en-US" w:eastAsia="zh-CN"/>
        </w:rPr>
        <w:t xml:space="preserve">30</w:t>
      </w:r>
      <w:r>
        <w:rPr>
          <w:rFonts w:hint="eastAsia"/>
          <w:color w:val="auto"/>
          <w:sz w:val="24"/>
          <w:highlight w:val="none"/>
        </w:rPr>
        <w:t xml:space="preserve">日内</w:t>
      </w:r>
      <w:r>
        <w:rPr>
          <w:rFonts w:hint="eastAsia" w:ascii="宋体" w:hAnsi="宋体"/>
          <w:color w:val="auto"/>
          <w:sz w:val="24"/>
          <w:highlight w:val="none"/>
        </w:rPr>
        <w:t xml:space="preserve">签订合同</w:t>
      </w:r>
      <w:r>
        <w:rPr>
          <w:color w:val="auto"/>
          <w:sz w:val="24"/>
          <w:highlight w:val="none"/>
          <w:lang w:val="zh-CN"/>
        </w:rPr>
        <w:t xml:space="preserve">。合同签订后成交供应商方可履约，否则引起的一切后果由成交人自行承担。</w:t>
      </w:r>
      <w:r>
        <w:rPr>
          <w:bCs/>
          <w:color w:val="auto"/>
          <w:sz w:val="24"/>
          <w:highlight w:val="none"/>
        </w:rPr>
        <w:t xml:space="preserve">纸质合同一式</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陆</w:t>
      </w:r>
      <w:r>
        <w:rPr>
          <w:rFonts w:hint="eastAsia"/>
          <w:bCs/>
          <w:color w:val="auto"/>
          <w:sz w:val="24"/>
          <w:highlight w:val="none"/>
          <w:u w:val="single"/>
        </w:rPr>
        <w:t xml:space="preserve"> </w:t>
      </w:r>
      <w:r>
        <w:rPr>
          <w:bCs/>
          <w:color w:val="auto"/>
          <w:sz w:val="24"/>
          <w:highlight w:val="none"/>
        </w:rPr>
        <w:t xml:space="preserve">份，采购人、供应商各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叁</w:t>
      </w:r>
      <w:r>
        <w:rPr>
          <w:rFonts w:hint="eastAsia"/>
          <w:bCs/>
          <w:color w:val="auto"/>
          <w:sz w:val="24"/>
          <w:highlight w:val="none"/>
          <w:u w:val="single"/>
        </w:rPr>
        <w:t xml:space="preserve"> </w:t>
      </w:r>
      <w:r>
        <w:rPr>
          <w:bCs/>
          <w:color w:val="auto"/>
          <w:sz w:val="24"/>
          <w:highlight w:val="none"/>
        </w:rPr>
        <w:t xml:space="preserve">份</w:t>
      </w:r>
      <w:r>
        <w:rPr>
          <w:rFonts w:hint="eastAsia"/>
          <w:color w:val="auto"/>
          <w:sz w:val="24"/>
          <w:highlight w:val="none"/>
          <w:lang w:val="zh-CN"/>
        </w:rPr>
        <w:t xml:space="preserve">；</w:t>
      </w:r>
      <w:r>
        <w:rPr>
          <w:b/>
          <w:bCs/>
          <w:color w:val="auto"/>
          <w:sz w:val="24"/>
          <w:highlight w:val="none"/>
          <w:lang w:val="zh-CN"/>
        </w:rPr>
        <w:t xml:space="preserve">同时，采购合同需在合同签订之日起2个工作日内进行合同公告。</w:t>
      </w:r>
      <w:r>
        <w:rPr>
          <w:color w:val="auto"/>
          <w:sz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color w:val="auto"/>
          <w:sz w:val="24"/>
          <w:highlight w:val="none"/>
        </w:rPr>
      </w:pPr>
      <w:r>
        <w:rPr>
          <w:b/>
          <w:color w:val="auto"/>
          <w:sz w:val="24"/>
          <w:highlight w:val="none"/>
        </w:rPr>
        <w:t xml:space="preserve">二</w:t>
      </w:r>
      <w:r>
        <w:rPr>
          <w:color w:val="auto"/>
          <w:sz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color w:val="auto"/>
          <w:sz w:val="24"/>
          <w:highlight w:val="none"/>
        </w:rPr>
      </w:pPr>
      <w:r>
        <w:rPr>
          <w:color w:val="auto"/>
          <w:sz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color w:val="auto"/>
          <w:sz w:val="24"/>
          <w:highlight w:val="none"/>
        </w:rPr>
      </w:pPr>
      <w:r>
        <w:rPr>
          <w:color w:val="auto"/>
          <w:sz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1"/>
        <w:contextualSpacing/>
        <w:ind w:right="210" w:firstLine="513"/>
        <w:spacing w:line="480" w:lineRule="exact"/>
        <w:rPr>
          <w:color w:val="auto"/>
          <w:sz w:val="24"/>
          <w:szCs w:val="24"/>
          <w:highlight w:val="none"/>
        </w:rPr>
      </w:pPr>
      <w:r>
        <w:rPr>
          <w:color w:val="auto"/>
          <w:sz w:val="24"/>
          <w:szCs w:val="24"/>
          <w:highlight w:val="none"/>
          <w:lang w:val="zh-CN"/>
        </w:rPr>
        <w:t xml:space="preserve">五、</w:t>
      </w:r>
      <w:r>
        <w:rPr>
          <w:b/>
          <w:color w:val="auto"/>
          <w:sz w:val="24"/>
          <w:szCs w:val="24"/>
          <w:highlight w:val="none"/>
        </w:rPr>
        <w:t xml:space="preserve">不响应付款方式的，视同响应文件无效处理。</w:t>
      </w:r>
      <w:r>
        <w:rPr>
          <w:rFonts w:hint="eastAsia"/>
          <w:b/>
          <w:color w:val="auto"/>
          <w:sz w:val="24"/>
          <w:highlight w:val="none"/>
        </w:rPr>
        <w:t xml:space="preserve">实际付款方式以最终签订采购合同为准。</w:t>
      </w:r>
      <w:r/>
    </w:p>
    <w:p>
      <w:pPr>
        <w:pStyle w:val="731"/>
        <w:contextualSpacing/>
        <w:ind w:right="210" w:firstLine="513"/>
        <w:spacing w:line="480" w:lineRule="exact"/>
        <w:rPr>
          <w:rFonts w:hint="eastAsia" w:ascii="仿宋_GB2312" w:eastAsia="仿宋_GB2312"/>
          <w:color w:val="auto"/>
          <w:sz w:val="28"/>
          <w:szCs w:val="28"/>
          <w:highlight w:val="none"/>
          <w:lang w:val="zh-CN"/>
        </w:rPr>
      </w:pPr>
      <w:r>
        <w:rPr>
          <w:color w:val="auto"/>
          <w:sz w:val="24"/>
          <w:szCs w:val="24"/>
          <w:highlight w:val="none"/>
        </w:rPr>
        <w:t xml:space="preserve">款项由采购</w:t>
      </w:r>
      <w:r>
        <w:rPr>
          <w:color w:val="auto"/>
          <w:sz w:val="24"/>
          <w:szCs w:val="24"/>
          <w:highlight w:val="none"/>
          <w:lang w:eastAsia="zh-CN"/>
        </w:rPr>
        <w:t xml:space="preserve">人</w:t>
      </w:r>
      <w:r>
        <w:rPr>
          <w:color w:val="auto"/>
          <w:sz w:val="24"/>
          <w:szCs w:val="24"/>
          <w:highlight w:val="none"/>
        </w:rPr>
        <w:t xml:space="preserve">按相关财务支付规定办理支付手续。不得故意拖延支付时间。</w:t>
      </w:r>
      <w:r/>
    </w:p>
    <w:p>
      <w:pPr>
        <w:pStyle w:val="731"/>
        <w:contextualSpacing/>
        <w:ind w:right="210" w:firstLine="513"/>
        <w:spacing w:line="480" w:lineRule="exact"/>
        <w:rPr>
          <w:rFonts w:hint="eastAsia"/>
          <w:color w:val="auto"/>
          <w:sz w:val="24"/>
          <w:szCs w:val="24"/>
          <w:highlight w:val="none"/>
          <w:lang w:eastAsia="zh-CN"/>
        </w:rPr>
      </w:pPr>
      <w:r>
        <w:rPr>
          <w:rFonts w:hint="eastAsia"/>
          <w:color w:val="auto"/>
          <w:sz w:val="24"/>
          <w:szCs w:val="24"/>
          <w:highlight w:val="none"/>
          <w:lang w:eastAsia="zh-CN"/>
        </w:rPr>
        <w:t xml:space="preserve">六、合同主要条款</w:t>
      </w:r>
      <w:r/>
    </w:p>
    <w:p>
      <w:pPr>
        <w:pStyle w:val="731"/>
        <w:contextualSpacing/>
        <w:ind w:right="210" w:firstLine="599"/>
        <w:spacing w:line="480" w:lineRule="exact"/>
        <w:rPr>
          <w:rFonts w:hint="eastAsia" w:ascii="仿宋_GB2312" w:eastAsia="仿宋_GB2312"/>
          <w:color w:val="auto"/>
          <w:sz w:val="28"/>
          <w:szCs w:val="28"/>
          <w:highlight w:val="none"/>
          <w:lang w:val="zh-CN" w:eastAsia="zh-CN"/>
        </w:rPr>
      </w:pPr>
      <w:r>
        <w:rPr>
          <w:rFonts w:hint="eastAsia" w:ascii="仿宋_GB2312" w:eastAsia="仿宋_GB2312"/>
          <w:color w:val="auto"/>
          <w:sz w:val="28"/>
          <w:szCs w:val="28"/>
          <w:highlight w:val="none"/>
          <w:lang w:val="zh-CN" w:eastAsia="zh-CN"/>
        </w:rPr>
      </w:r>
      <w:r/>
    </w:p>
    <w:p>
      <w:pPr>
        <w:numPr>
          <w:ilvl w:val="0"/>
          <w:numId w:val="1"/>
        </w:numPr>
        <w:contextualSpacing/>
        <w:ind w:firstLine="579"/>
        <w:spacing w:line="480" w:lineRule="exact"/>
        <w:rPr>
          <w:color w:val="auto"/>
          <w:highlight w:val="none"/>
        </w:rPr>
      </w:pPr>
      <w:r>
        <w:rPr>
          <w:b/>
          <w:bCs/>
          <w:color w:val="auto"/>
          <w:sz w:val="36"/>
          <w:szCs w:val="36"/>
          <w:highlight w:val="none"/>
        </w:rPr>
        <w:br w:type="page" w:clear="all"/>
      </w:r>
      <w:r/>
    </w:p>
    <w:p>
      <w:pPr>
        <w:ind w:firstLine="579"/>
        <w:jc w:val="center"/>
        <w:spacing w:line="400" w:lineRule="atLeast"/>
        <w:rPr>
          <w:rFonts w:hint="eastAsia" w:cs="宋体"/>
          <w:b/>
          <w:bCs/>
          <w:color w:val="auto"/>
          <w:sz w:val="36"/>
          <w:szCs w:val="36"/>
          <w:highlight w:val="none"/>
        </w:rPr>
        <w:outlineLvl w:val="0"/>
      </w:pPr>
      <w:r>
        <w:rPr>
          <w:rFonts w:hint="eastAsia" w:cs="宋体"/>
          <w:b/>
          <w:bCs/>
          <w:color w:val="auto"/>
          <w:sz w:val="36"/>
          <w:szCs w:val="36"/>
          <w:highlight w:val="none"/>
        </w:rPr>
      </w:r>
      <w:r/>
    </w:p>
    <w:p>
      <w:pPr>
        <w:contextualSpacing/>
        <w:ind w:right="210" w:firstLine="480"/>
        <w:jc w:val="center"/>
        <w:spacing w:line="48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合同主要条款</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2" w:name="_Hlk41943568"/>
      <w:r/>
      <w:bookmarkStart w:id="3" w:name="_Toc176441550"/>
      <w:r>
        <w:rPr>
          <w:rFonts w:hint="eastAsia" w:ascii="宋体" w:hAnsi="宋体" w:eastAsia="宋体" w:cs="宋体"/>
          <w:b/>
          <w:bCs/>
          <w:color w:val="auto"/>
          <w:sz w:val="24"/>
          <w:szCs w:val="24"/>
          <w:highlight w:val="none"/>
        </w:rPr>
        <w:t xml:space="preserve">1、质量标准</w:t>
      </w:r>
      <w:bookmarkEnd w:id="2"/>
      <w:r/>
      <w:bookmarkEnd w:id="3"/>
      <w:r/>
      <w:r/>
    </w:p>
    <w:p>
      <w:pPr>
        <w:pStyle w:val="738"/>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rPr>
          <w:rFonts w:hint="eastAsia" w:ascii="宋体" w:hAnsi="宋体" w:eastAsia="宋体" w:cs="宋体"/>
          <w:b/>
          <w:bCs/>
          <w:color w:val="auto"/>
          <w:sz w:val="24"/>
          <w:szCs w:val="24"/>
          <w:highlight w:val="none"/>
        </w:rPr>
        <w:t xml:space="preserve">合格</w:t>
      </w:r>
      <w:r>
        <w:rPr>
          <w:rFonts w:hint="eastAsia" w:ascii="宋体" w:hAnsi="宋体" w:eastAsia="宋体" w:cs="宋体"/>
          <w:color w:val="auto"/>
          <w:sz w:val="24"/>
          <w:szCs w:val="24"/>
          <w:highlight w:val="none"/>
        </w:rPr>
        <w:t xml:space="preserve">。</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4" w:name="_Toc176441551"/>
      <w:r>
        <w:rPr>
          <w:rFonts w:hint="eastAsia" w:ascii="宋体" w:hAnsi="宋体" w:eastAsia="宋体" w:cs="宋体"/>
          <w:b/>
          <w:bCs/>
          <w:color w:val="auto"/>
          <w:sz w:val="24"/>
          <w:szCs w:val="24"/>
          <w:highlight w:val="none"/>
        </w:rPr>
        <w:t xml:space="preserve">2、安全文明施工要求</w:t>
      </w:r>
      <w:bookmarkEnd w:id="4"/>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2.1施工防护工作的要求：</w:t>
      </w:r>
      <w:r>
        <w:rPr>
          <w:rFonts w:hint="eastAsia" w:ascii="宋体" w:hAnsi="宋体" w:eastAsia="宋体" w:cs="宋体"/>
          <w:b/>
          <w:bCs/>
          <w:color w:val="auto"/>
          <w:sz w:val="24"/>
          <w:szCs w:val="24"/>
          <w:highlight w:val="none"/>
          <w:u w:val="single"/>
        </w:rPr>
        <w:t xml:space="preserve">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2.2施工现场整洁卫生的要求：</w:t>
      </w:r>
      <w:r>
        <w:rPr>
          <w:rFonts w:hint="eastAsia" w:ascii="宋体" w:hAnsi="宋体" w:eastAsia="宋体" w:cs="宋体"/>
          <w:b/>
          <w:bCs/>
          <w:color w:val="auto"/>
          <w:sz w:val="24"/>
          <w:szCs w:val="24"/>
          <w:highlight w:val="none"/>
          <w:u w:val="single"/>
        </w:rPr>
        <w:t xml:space="preserve">保持场地整洁通畅</w:t>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2.3</w:t>
      </w:r>
      <w:r>
        <w:rPr>
          <w:rFonts w:hint="eastAsia" w:ascii="宋体" w:hAnsi="宋体" w:eastAsia="宋体" w:cs="宋体"/>
          <w:b/>
          <w:bCs/>
          <w:color w:val="auto"/>
          <w:sz w:val="24"/>
          <w:szCs w:val="24"/>
          <w:highlight w:val="none"/>
          <w:u w:val="single"/>
        </w:rPr>
        <w:t xml:space="preserve">必须严格遵守我校相关规章制度，及时办理入校登记手续。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2.4</w:t>
      </w:r>
      <w:r>
        <w:rPr>
          <w:rFonts w:hint="eastAsia" w:ascii="宋体" w:hAnsi="宋体" w:eastAsia="宋体" w:cs="宋体"/>
          <w:b/>
          <w:bCs/>
          <w:color w:val="auto"/>
          <w:sz w:val="24"/>
          <w:szCs w:val="24"/>
          <w:highlight w:val="none"/>
          <w:u w:val="single"/>
        </w:rPr>
        <w:t xml:space="preserve">项目负责人要求：负责现场工程管理、协调关系、听从发包人的指挥。工程开工后，施工期间，项目负责人须常驻现场，有事离开，必须向发包人请假，发包人同意后，方可离开工地。每缺勤一天或抽查发现擅自离开施工现场每次支付1000.00元违约金。</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5" w:name="_Toc176441552"/>
      <w:r>
        <w:rPr>
          <w:rFonts w:hint="eastAsia" w:ascii="宋体" w:hAnsi="宋体" w:eastAsia="宋体" w:cs="宋体"/>
          <w:b/>
          <w:bCs/>
          <w:color w:val="auto"/>
          <w:sz w:val="24"/>
          <w:szCs w:val="24"/>
          <w:highlight w:val="none"/>
        </w:rPr>
        <w:t xml:space="preserve">3、工期要求</w:t>
      </w:r>
      <w:bookmarkEnd w:id="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本工程合同工期，</w:t>
      </w:r>
      <w:r>
        <w:rPr>
          <w:rFonts w:hint="eastAsia" w:ascii="宋体" w:hAnsi="宋体" w:eastAsia="宋体" w:cs="宋体"/>
          <w:bCs/>
          <w:color w:val="auto"/>
          <w:sz w:val="24"/>
          <w:szCs w:val="24"/>
          <w:highlight w:val="none"/>
          <w:u w:val="single"/>
        </w:rPr>
        <w:t xml:space="preserve">为</w:t>
      </w:r>
      <w:r>
        <w:rPr>
          <w:rFonts w:hint="eastAsia" w:ascii="宋体" w:hAnsi="宋体" w:cs="宋体"/>
          <w:bCs/>
          <w:color w:val="auto"/>
          <w:sz w:val="24"/>
          <w:szCs w:val="24"/>
          <w:highlight w:val="none"/>
          <w:u w:val="single"/>
          <w:lang w:val="en-US" w:eastAsia="zh-CN"/>
        </w:rPr>
        <w:t xml:space="preserve">90</w:t>
      </w:r>
      <w:r>
        <w:rPr>
          <w:rFonts w:hint="eastAsia" w:ascii="宋体" w:hAnsi="宋体" w:eastAsia="宋体" w:cs="宋体"/>
          <w:b/>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（日历天，从开工之日算起）；开工之日以</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人正式通知之日为准。</w:t>
      </w:r>
      <w:r>
        <w:rPr>
          <w:rFonts w:hint="eastAsia" w:ascii="宋体" w:hAnsi="宋体" w:eastAsia="宋体" w:cs="宋体"/>
          <w:color w:val="auto"/>
          <w:sz w:val="24"/>
          <w:szCs w:val="24"/>
          <w:highlight w:val="none"/>
        </w:rPr>
        <w:t xml:space="preserve">工期每延误一天，供应商按合同总价1%支付违约金。因非供应商原因造成的停电、停水或不可抗力因素影响，导致停工的，或因工程变更增加供应商工程量的工期相应顺延。</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6" w:name="_Toc176441553"/>
      <w:r>
        <w:rPr>
          <w:rFonts w:hint="eastAsia" w:ascii="宋体" w:hAnsi="宋体" w:eastAsia="宋体" w:cs="宋体"/>
          <w:b/>
          <w:bCs/>
          <w:color w:val="auto"/>
          <w:sz w:val="24"/>
          <w:szCs w:val="24"/>
          <w:highlight w:val="none"/>
        </w:rPr>
        <w:t xml:space="preserve">4、结算方式</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报价部分：施工单价按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单价结算，工程量按实际工程量结算，以审计审核为准。</w:t>
      </w:r>
      <w:r/>
    </w:p>
    <w:p>
      <w:pPr>
        <w:ind w:firstLine="480"/>
        <w:spacing w:line="360" w:lineRule="auto"/>
        <w:rPr>
          <w:rFonts w:hint="eastAsia" w:ascii="宋体" w:hAnsi="宋体" w:eastAsia="宋体" w:cs="宋体"/>
          <w:b/>
          <w:bCs/>
          <w:color w:val="auto"/>
          <w:sz w:val="24"/>
          <w:szCs w:val="24"/>
          <w:highlight w:val="none"/>
        </w:rPr>
      </w:pPr>
      <w:r/>
      <w:bookmarkStart w:id="7" w:name="_Hlk41983849"/>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零星项目及因非承包人原因引起的新增工程内容，结算按2009年版《江苏省房屋修缮工程计价表》，2014年版《江苏省建筑与装饰工程计价定额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江苏省安装工程计价定额》，《江苏省建设工程费用定额》及202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年第</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期南通建设工程造价信息，按原</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控制价</w:t>
      </w:r>
      <w:r>
        <w:rPr>
          <w:rFonts w:hint="eastAsia" w:ascii="宋体" w:hAnsi="宋体" w:eastAsia="宋体" w:cs="宋体"/>
          <w:b/>
          <w:bCs/>
          <w:color w:val="auto"/>
          <w:sz w:val="24"/>
          <w:szCs w:val="24"/>
          <w:highlight w:val="none"/>
          <w:u w:val="single"/>
        </w:rPr>
        <w:t xml:space="preserve">同比例</w:t>
      </w:r>
      <w:r>
        <w:rPr>
          <w:rFonts w:hint="eastAsia" w:ascii="宋体" w:hAnsi="宋体" w:eastAsia="宋体" w:cs="宋体"/>
          <w:color w:val="auto"/>
          <w:sz w:val="24"/>
          <w:szCs w:val="24"/>
          <w:highlight w:val="none"/>
        </w:rPr>
        <w:t xml:space="preserve">下浮结算，甲方认质认价材料及签证独立费不予下浮，工程量以现场测量为准。</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8" w:name="_Toc176441554"/>
      <w:r>
        <w:rPr>
          <w:rFonts w:hint="eastAsia" w:ascii="宋体" w:hAnsi="宋体" w:eastAsia="宋体" w:cs="宋体"/>
          <w:b/>
          <w:bCs/>
          <w:color w:val="auto"/>
          <w:sz w:val="24"/>
          <w:szCs w:val="24"/>
          <w:highlight w:val="none"/>
        </w:rPr>
        <w:t xml:space="preserve">5、付款方式</w:t>
      </w:r>
      <w:bookmarkEnd w:id="7"/>
      <w:r/>
      <w:bookmarkEnd w:id="8"/>
      <w:r/>
      <w:r/>
    </w:p>
    <w:p>
      <w:pPr>
        <w:pStyle w:val="741"/>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bookmarkStart w:id="9" w:name="_Toc176441555"/>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ind w:firstLine="482"/>
        <w:keepLines/>
        <w:keepNex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6、保修内容及期限</w:t>
      </w:r>
      <w:bookmarkEnd w:id="9"/>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凡乙方施工范围均在保修范围内，</w:t>
      </w:r>
      <w:r>
        <w:rPr>
          <w:rFonts w:hint="eastAsia" w:ascii="宋体" w:hAnsi="宋体" w:eastAsia="宋体" w:cs="宋体"/>
          <w:color w:val="auto"/>
          <w:sz w:val="24"/>
          <w:szCs w:val="24"/>
          <w:highlight w:val="none"/>
          <w:lang w:val="en-US" w:eastAsia="zh-CN"/>
        </w:rPr>
        <w:t xml:space="preserve">传统消防质量保修期为2年，所有智慧消防设施设备需满足10年质保并含10年的流量和电池，质量保修期自工程竣工验收合格之日起计算。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中标方</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lang w:val="zh-CN"/>
        </w:rPr>
        <w:t xml:space="preserve">免费为我校消防值班人员进行现场培训,</w:t>
      </w:r>
      <w:r>
        <w:rPr>
          <w:rFonts w:hint="eastAsia" w:ascii="宋体" w:hAnsi="宋体" w:eastAsia="宋体" w:cs="宋体"/>
          <w:color w:val="auto"/>
          <w:sz w:val="24"/>
          <w:szCs w:val="24"/>
          <w:highlight w:val="none"/>
        </w:rPr>
        <w:t xml:space="preserve">每年根据招标人要求组织项目管理部门相关人员学习智慧安消一体化管理平台（含移动端）新技术、新设备及管理理念</w:t>
      </w:r>
      <w:r>
        <w:rPr>
          <w:rFonts w:hint="eastAsia" w:ascii="宋体" w:hAnsi="宋体" w:eastAsia="宋体" w:cs="宋体"/>
          <w:color w:val="auto"/>
          <w:sz w:val="24"/>
          <w:szCs w:val="24"/>
          <w:highlight w:val="none"/>
          <w:lang w:val="en-US" w:eastAsia="zh-CN"/>
        </w:rPr>
        <w:t xml:space="preserve">一次。</w:t>
      </w:r>
      <w:r/>
    </w:p>
    <w:p>
      <w:pPr>
        <w:ind w:firstLine="482"/>
        <w:keepLines/>
        <w:keepNext/>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7、 合同生效及其他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1、本合同自签订之日起生效。</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2、甲乙方在合同签字、盖章完成后，乙方将合同扫描成PDF格式文件发给甲方，双方各自下载电子合同留存。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3、本合同应按照中华人民共和国的现行法律进行解释。</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4、甲方此项目的招标文件内相关内容具有同等法律效应。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2"/>
        <w:jc w:val="center"/>
        <w:rPr>
          <w:rFonts w:hint="eastAsia"/>
          <w:b/>
          <w:bCs/>
          <w:color w:val="auto"/>
          <w:highlight w:val="none"/>
          <w:lang w:eastAsia="zh-CN"/>
        </w:rPr>
      </w:pPr>
      <w:r>
        <w:rPr>
          <w:rFonts w:hint="eastAsia"/>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3、法定代表人授权委托书原件，磋商代表本人身份证复印件（如有授权，格式见附件）；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中国政府采购网”（www.ccgp.gov.cn）列入失信被执行人、重大税收违法案件当事人名单、政府采购严重违法失信行为记录名单（代理机构现场查询，截图留存并归档）；</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default"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463"/>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注：提供授权</w:t>
      </w:r>
      <w:r>
        <w:rPr>
          <w:rFonts w:ascii="宋体" w:hAnsi="宋体" w:cs="宋体"/>
          <w:b/>
          <w:color w:val="auto"/>
          <w:sz w:val="24"/>
          <w:szCs w:val="24"/>
          <w:highlight w:val="none"/>
        </w:rPr>
        <w:t xml:space="preserve">代表本人身份证</w:t>
      </w:r>
      <w:r>
        <w:rPr>
          <w:rFonts w:hint="eastAsia"/>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0"/>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pStyle w:val="970"/>
        <w:jc w:val="center"/>
        <w:spacing w:line="560" w:lineRule="exact"/>
        <w:rPr>
          <w:rFonts w:ascii="Times New Roman"/>
          <w:b/>
          <w:color w:val="auto"/>
          <w:sz w:val="32"/>
          <w:szCs w:val="32"/>
          <w:highlight w:val="none"/>
          <w:lang w:bidi="ar"/>
        </w:rPr>
      </w:pPr>
      <w:r>
        <w:rPr>
          <w:rFonts w:hint="eastAsia" w:ascii="Times New Roman"/>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评定为</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人，在</w:t>
      </w:r>
      <w:r>
        <w:rPr>
          <w:rFonts w:hint="eastAsia" w:ascii="宋体" w:hAnsi="宋体" w:cs="宋体"/>
          <w:color w:val="auto"/>
          <w:sz w:val="24"/>
          <w:szCs w:val="24"/>
          <w:highlight w:val="none"/>
          <w:lang w:val="en-US" w:eastAsia="zh-CN"/>
        </w:rPr>
        <w:t xml:space="preserve">规定质疑、投诉时间</w:t>
      </w:r>
      <w:r>
        <w:rPr>
          <w:rFonts w:hint="eastAsia" w:ascii="宋体" w:hAnsi="宋体" w:eastAsia="宋体" w:cs="宋体"/>
          <w:color w:val="auto"/>
          <w:sz w:val="24"/>
          <w:szCs w:val="24"/>
          <w:highlight w:val="none"/>
        </w:rPr>
        <w:t xml:space="preserve">被他人举报并经核实，确认拟派项目负责人有在建工程，且不符合江苏省建设厅“苏建规字〔2017〕1号”《省住房和城乡建设厅关于改革和完善房屋建筑和市政基础设施工程招标投标制度的实施意见》附件二《江苏省房屋建筑和市政基础设施工程施工招标资格审查办法》第十条第五款的规定，你方即可取消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人资格。</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5.我方承诺不向</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6.我方承诺不存在围标串标、借资质挂靠、恶意竞标等违法违规行为。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年  月  日</w:t>
      </w:r>
      <w:r/>
    </w:p>
    <w:p>
      <w:pPr>
        <w:keepLines w:val="0"/>
        <w:keepNext w:val="0"/>
        <w:pageBreakBefore w:val="0"/>
        <w:spacing w:line="312"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5</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0"/>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6</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文件第三部分“项目需求”中的商务部分的要求，应逐条填列在偏离表中。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未在此表明示的商务部分内容，视为完全响应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pStyle w:val="760"/>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文件第三部分“项目需求”中的技术部分的要求，应逐条填列在偏离表中。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未在此表明示的技术部分内容，视为完全响应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b/>
          <w:color w:val="auto"/>
          <w:sz w:val="32"/>
          <w:szCs w:val="32"/>
          <w:highlight w:val="none"/>
        </w:rPr>
      </w:pPr>
      <w:r>
        <w:rPr>
          <w:b/>
          <w:color w:val="auto"/>
          <w:sz w:val="32"/>
          <w:szCs w:val="32"/>
          <w:highlight w:val="none"/>
        </w:rPr>
        <w:t xml:space="preserve">现场勘察承诺函</w:t>
      </w:r>
      <w:r/>
    </w:p>
    <w:p>
      <w:pPr>
        <w:jc w:val="center"/>
        <w:spacing w:line="520" w:lineRule="exact"/>
        <w:rPr>
          <w:b/>
          <w:bCs/>
          <w:color w:val="auto"/>
          <w:sz w:val="24"/>
          <w:highlight w:val="none"/>
        </w:rPr>
        <w:outlineLvl w:val="4"/>
      </w:pPr>
      <w:r>
        <w:rPr>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default"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自行进行现场勘察，如现场勘察需要协助，请联系现场勘察联系人：王老师（电话：</w:t>
      </w:r>
      <w:r>
        <w:rPr>
          <w:rFonts w:hint="eastAsia" w:ascii="宋体" w:hAnsi="宋体" w:eastAsia="宋体" w:cs="宋体"/>
          <w:b/>
          <w:bCs/>
          <w:color w:val="auto"/>
          <w:sz w:val="24"/>
          <w:szCs w:val="24"/>
          <w:highlight w:val="none"/>
          <w:lang w:val="en-US" w:eastAsia="zh-CN"/>
        </w:rPr>
        <w:t xml:space="preserve">0513-</w:t>
      </w:r>
      <w:r>
        <w:rPr>
          <w:rFonts w:hint="eastAsia" w:ascii="宋体" w:hAnsi="宋体" w:eastAsia="宋体" w:cs="宋体"/>
          <w:b/>
          <w:bCs/>
          <w:color w:val="auto"/>
          <w:sz w:val="24"/>
          <w:szCs w:val="24"/>
          <w:highlight w:val="none"/>
        </w:rPr>
        <w:t xml:space="preserve">85012109）</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0"/>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9</w:t>
      </w:r>
      <w:r/>
    </w:p>
    <w:p>
      <w:pPr>
        <w:pStyle w:val="721"/>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1"/>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8"/>
        <w:gridCol w:w="2485"/>
        <w:gridCol w:w="37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eastAsia="方正黑体_GBK"/>
          <w:color w:val="auto"/>
          <w:sz w:val="32"/>
          <w:szCs w:val="32"/>
          <w:highlight w:val="none"/>
          <w:lang w:val="en-US" w:eastAsia="zh-CN"/>
        </w:rPr>
      </w:pPr>
      <w:r>
        <w:rPr>
          <w:rFonts w:asci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10</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br w:type="page" w:clear="all"/>
      </w: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1</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（备注：1、供应商如不提供此声明函，价格将不做相应扣除。2、供应商为残疾人福利单位的，此声明函将随</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结果同时公告，接受社会监督）</w:t>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504"/>
        <w:jc w:val="center"/>
        <w:spacing w:line="588" w:lineRule="exact"/>
        <w:tabs>
          <w:tab w:val="left" w:pos="4860" w:leader="none"/>
        </w:tabs>
        <w:rPr>
          <w:rFonts w:ascii="宋体" w:hAnsi="宋体"/>
          <w:color w:val="auto"/>
          <w:sz w:val="24"/>
          <w:szCs w:val="24"/>
          <w:highlight w:val="none"/>
        </w:rPr>
      </w:pPr>
      <w:r>
        <w:rPr>
          <w:rFonts w:hint="eastAsia" w:ascii="仿宋_GB2312" w:eastAsia="仿宋_GB2312"/>
          <w:color w:val="auto"/>
          <w:spacing w:val="6"/>
          <w:sz w:val="24"/>
          <w:szCs w:val="24"/>
          <w:highlight w:val="none"/>
        </w:rPr>
        <w:t xml:space="preserve">             </w:t>
      </w: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eastAsia="方正黑体_GBK"/>
          <w:color w:val="auto"/>
          <w:sz w:val="32"/>
          <w:szCs w:val="32"/>
          <w:highlight w:val="none"/>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2</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3</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bookmarkEnd w:id="10"/>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0">
    <w:name w:val="Heading 1"/>
    <w:basedOn w:val="719"/>
    <w:next w:val="719"/>
    <w:link w:val="768"/>
    <w:uiPriority w:val="9"/>
    <w:qFormat/>
    <w:pPr>
      <w:keepLines/>
      <w:keepNext/>
      <w:spacing w:before="480"/>
      <w:outlineLvl w:val="0"/>
    </w:pPr>
    <w:rPr>
      <w:rFonts w:ascii="Arial" w:hAnsi="Arial" w:eastAsia="Arial" w:cs="Arial"/>
      <w:sz w:val="40"/>
      <w:szCs w:val="40"/>
    </w:rPr>
  </w:style>
  <w:style w:type="paragraph" w:styleId="721">
    <w:name w:val="Heading 2"/>
    <w:basedOn w:val="719"/>
    <w:next w:val="719"/>
    <w:link w:val="767"/>
    <w:uiPriority w:val="9"/>
    <w:unhideWhenUsed/>
    <w:qFormat/>
    <w:pPr>
      <w:keepLines/>
      <w:keepNext/>
      <w:spacing w:before="360"/>
      <w:outlineLvl w:val="1"/>
    </w:pPr>
    <w:rPr>
      <w:rFonts w:ascii="Arial" w:hAnsi="Arial" w:eastAsia="Arial" w:cs="Arial"/>
      <w:sz w:val="34"/>
    </w:rPr>
  </w:style>
  <w:style w:type="paragraph" w:styleId="722">
    <w:name w:val="Heading 3"/>
    <w:basedOn w:val="719"/>
    <w:next w:val="719"/>
    <w:link w:val="828"/>
    <w:uiPriority w:val="9"/>
    <w:unhideWhenUsed/>
    <w:qFormat/>
    <w:pPr>
      <w:keepLines/>
      <w:keepNext/>
      <w:spacing w:before="320"/>
      <w:outlineLvl w:val="2"/>
    </w:pPr>
    <w:rPr>
      <w:rFonts w:ascii="Arial" w:hAnsi="Arial" w:eastAsia="Arial" w:cs="Arial"/>
      <w:sz w:val="30"/>
      <w:szCs w:val="30"/>
    </w:rPr>
  </w:style>
  <w:style w:type="paragraph" w:styleId="723">
    <w:name w:val="Heading 4"/>
    <w:basedOn w:val="719"/>
    <w:next w:val="719"/>
    <w:link w:val="829"/>
    <w:uiPriority w:val="9"/>
    <w:unhideWhenUsed/>
    <w:qFormat/>
    <w:pPr>
      <w:keepLines/>
      <w:keepNext/>
      <w:spacing w:before="320"/>
      <w:outlineLvl w:val="3"/>
    </w:pPr>
    <w:rPr>
      <w:rFonts w:ascii="Arial" w:hAnsi="Arial" w:eastAsia="Arial" w:cs="Arial"/>
      <w:b/>
      <w:bCs/>
      <w:sz w:val="26"/>
      <w:szCs w:val="26"/>
    </w:rPr>
  </w:style>
  <w:style w:type="paragraph" w:styleId="724">
    <w:name w:val="Heading 5"/>
    <w:basedOn w:val="719"/>
    <w:next w:val="719"/>
    <w:link w:val="830"/>
    <w:uiPriority w:val="9"/>
    <w:unhideWhenUsed/>
    <w:qFormat/>
    <w:pPr>
      <w:keepLines/>
      <w:keepNext/>
      <w:spacing w:before="320"/>
      <w:outlineLvl w:val="4"/>
    </w:pPr>
    <w:rPr>
      <w:rFonts w:ascii="Arial" w:hAnsi="Arial" w:eastAsia="Arial" w:cs="Arial"/>
      <w:b/>
      <w:bCs/>
      <w:sz w:val="24"/>
      <w:szCs w:val="24"/>
    </w:rPr>
  </w:style>
  <w:style w:type="paragraph" w:styleId="725">
    <w:name w:val="Heading 6"/>
    <w:basedOn w:val="719"/>
    <w:next w:val="731"/>
    <w:link w:val="831"/>
    <w:uiPriority w:val="9"/>
    <w:unhideWhenUsed/>
    <w:qFormat/>
    <w:pPr>
      <w:keepLines/>
      <w:keepNext/>
      <w:spacing w:before="320"/>
      <w:outlineLvl w:val="5"/>
    </w:pPr>
    <w:rPr>
      <w:rFonts w:ascii="Arial" w:hAnsi="Arial" w:eastAsia="Arial" w:cs="Arial"/>
      <w:b/>
      <w:bCs/>
    </w:rPr>
  </w:style>
  <w:style w:type="paragraph" w:styleId="726">
    <w:name w:val="Heading 7"/>
    <w:basedOn w:val="719"/>
    <w:next w:val="719"/>
    <w:link w:val="832"/>
    <w:uiPriority w:val="9"/>
    <w:unhideWhenUsed/>
    <w:qFormat/>
    <w:pPr>
      <w:keepLines/>
      <w:keepNext/>
      <w:spacing w:before="320"/>
      <w:outlineLvl w:val="6"/>
    </w:pPr>
    <w:rPr>
      <w:rFonts w:ascii="Arial" w:hAnsi="Arial" w:eastAsia="Arial" w:cs="Arial"/>
      <w:b/>
      <w:bCs/>
      <w:i/>
      <w:iCs/>
    </w:rPr>
  </w:style>
  <w:style w:type="paragraph" w:styleId="727">
    <w:name w:val="Heading 8"/>
    <w:basedOn w:val="719"/>
    <w:next w:val="719"/>
    <w:link w:val="833"/>
    <w:uiPriority w:val="9"/>
    <w:unhideWhenUsed/>
    <w:qFormat/>
    <w:pPr>
      <w:keepLines/>
      <w:keepNext/>
      <w:spacing w:before="320"/>
      <w:outlineLvl w:val="7"/>
    </w:pPr>
    <w:rPr>
      <w:rFonts w:ascii="Arial" w:hAnsi="Arial" w:eastAsia="Arial" w:cs="Arial"/>
      <w:i/>
      <w:iCs/>
    </w:rPr>
  </w:style>
  <w:style w:type="paragraph" w:styleId="728">
    <w:name w:val="Heading 9"/>
    <w:basedOn w:val="719"/>
    <w:next w:val="719"/>
    <w:link w:val="834"/>
    <w:uiPriority w:val="9"/>
    <w:unhideWhenUsed/>
    <w:qFormat/>
    <w:pPr>
      <w:keepLines/>
      <w:keepNext/>
      <w:spacing w:before="32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pPr>
    <w:rPr>
      <w:rFonts w:ascii="Times New Roman"/>
      <w:sz w:val="20"/>
    </w:r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rPr>
      <w:b/>
      <w:bCs/>
      <w:color w:val="5b9bd5" w:themeColor="accent1"/>
      <w:sz w:val="18"/>
      <w:szCs w:val="18"/>
      <w14:textFill>
        <w14:solidFill>
          <w14:schemeClr w14:val="accent1"/>
        </w14:solidFill>
      </w14:textFill>
    </w:rPr>
  </w:style>
  <w:style w:type="paragraph" w:styleId="734">
    <w:name w:val="annotation text"/>
    <w:basedOn w:val="719"/>
    <w:link w:val="959"/>
    <w:uiPriority w:val="99"/>
    <w:unhideWhenUsed/>
    <w:qFormat/>
  </w:style>
  <w:style w:type="paragraph" w:styleId="735">
    <w:name w:val="Body Text"/>
    <w:basedOn w:val="719"/>
    <w:next w:val="719"/>
    <w:uiPriority w:val="99"/>
    <w:qFormat/>
    <w:pPr>
      <w:spacing w:after="120"/>
    </w:pPr>
    <w:rPr>
      <w:szCs w:val="20"/>
    </w:rPr>
  </w:style>
  <w:style w:type="paragraph" w:styleId="736">
    <w:name w:val="Body Text Indent"/>
    <w:basedOn w:val="719"/>
    <w:next w:val="737"/>
    <w:uiPriority w:val="0"/>
    <w:qFormat/>
    <w:pPr>
      <w:ind w:left="420"/>
      <w:spacing w:after="120"/>
    </w:pPr>
  </w:style>
  <w:style w:type="paragraph" w:styleId="737">
    <w:name w:val="envelope return"/>
    <w:basedOn w:val="719"/>
    <w:uiPriority w:val="99"/>
    <w:unhideWhenUsed/>
    <w:qFormat/>
    <w:rPr>
      <w:rFonts w:ascii="Arial" w:hAnsi="Arial"/>
    </w:rPr>
  </w:style>
  <w:style w:type="paragraph" w:styleId="738">
    <w:name w:val="Block Text"/>
    <w:basedOn w:val="719"/>
    <w:next w:val="735"/>
    <w:uiPriority w:val="0"/>
    <w:qFormat/>
    <w:pPr>
      <w:ind w:right="210" w:firstLine="560"/>
      <w:spacing w:line="360" w:lineRule="auto"/>
    </w:pPr>
    <w:rPr>
      <w:rFonts w:hAnsi="宋体"/>
      <w:color w:val="000000"/>
      <w:spacing w:val="20"/>
      <w:szCs w:val="18"/>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hAnsi="Courier New"/>
      <w:sz w:val="20"/>
      <w:szCs w:val="21"/>
    </w:rPr>
  </w:style>
  <w:style w:type="paragraph" w:styleId="742">
    <w:name w:val="toc 8"/>
    <w:basedOn w:val="719"/>
    <w:next w:val="719"/>
    <w:uiPriority w:val="39"/>
    <w:unhideWhenUsed/>
    <w:qFormat/>
    <w:pPr>
      <w:ind w:left="1984"/>
      <w:spacing w:after="57"/>
    </w:pPr>
  </w:style>
  <w:style w:type="paragraph" w:styleId="743">
    <w:name w:val="endnote text"/>
    <w:basedOn w:val="719"/>
    <w:link w:val="951"/>
    <w:uiPriority w:val="99"/>
    <w:semiHidden/>
    <w:unhideWhenUsed/>
    <w:qFormat/>
    <w:pPr>
      <w:spacing w:after="0" w:line="240" w:lineRule="auto"/>
    </w:pPr>
    <w:rPr>
      <w:sz w:val="20"/>
    </w:rPr>
  </w:style>
  <w:style w:type="paragraph" w:styleId="744">
    <w:name w:val="Footer"/>
    <w:basedOn w:val="719"/>
    <w:link w:val="843"/>
    <w:uiPriority w:val="99"/>
    <w:unhideWhenUsed/>
    <w:qFormat/>
    <w:pPr>
      <w:spacing w:after="0" w:line="240" w:lineRule="auto"/>
      <w:tabs>
        <w:tab w:val="center" w:pos="7143" w:leader="none"/>
        <w:tab w:val="right" w:pos="14287" w:leader="none"/>
      </w:tabs>
    </w:pPr>
  </w:style>
  <w:style w:type="paragraph" w:styleId="745">
    <w:name w:val="Header"/>
    <w:basedOn w:val="719"/>
    <w:link w:val="841"/>
    <w:uiPriority w:val="99"/>
    <w:unhideWhenUsed/>
    <w:qFormat/>
    <w:pPr>
      <w:spacing w:after="0" w:line="240" w:lineRule="auto"/>
      <w:tabs>
        <w:tab w:val="center" w:pos="7143" w:leader="none"/>
        <w:tab w:val="right" w:pos="14287" w:leader="none"/>
      </w:tabs>
    </w:p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836"/>
    <w:uiPriority w:val="11"/>
    <w:qFormat/>
    <w:pPr>
      <w:spacing w:before="200"/>
    </w:pPr>
    <w:rPr>
      <w:sz w:val="24"/>
      <w:szCs w:val="24"/>
    </w:rPr>
  </w:style>
  <w:style w:type="paragraph" w:styleId="749">
    <w:name w:val="footnote text"/>
    <w:basedOn w:val="719"/>
    <w:link w:val="950"/>
    <w:uiPriority w:val="99"/>
    <w:semiHidden/>
    <w:unhideWhenUsed/>
    <w:qFormat/>
    <w:pPr>
      <w:spacing w:after="40" w:line="240" w:lineRule="auto"/>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firstLine="539"/>
      <w:spacing w:line="520" w:lineRule="exact"/>
    </w:pPr>
    <w:rPr>
      <w:rFonts w:ascii="宋体"/>
      <w:b/>
      <w:spacing w:val="6"/>
      <w:sz w:val="28"/>
    </w:rPr>
  </w:style>
  <w:style w:type="paragraph" w:styleId="752">
    <w:name w:val="table of figures"/>
    <w:basedOn w:val="719"/>
    <w:next w:val="719"/>
    <w:uiPriority w:val="99"/>
    <w:unhideWhenUsed/>
    <w:qFormat/>
    <w:pPr>
      <w:spacing w:after="0"/>
    </w:pPr>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HTML Preformatted"/>
    <w:basedOn w:val="7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6">
    <w:name w:val="Normal (Web)"/>
    <w:basedOn w:val="719"/>
    <w:uiPriority w:val="99"/>
    <w:semiHidden/>
    <w:unhideWhenUsed/>
    <w:qFormat/>
    <w:pPr>
      <w:spacing w:beforeAutospacing="1" w:after="0" w:afterAutospacing="1"/>
    </w:pPr>
    <w:rPr>
      <w:rFonts w:cs="Times New Roman"/>
      <w:sz w:val="24"/>
      <w:lang w:eastAsia="zh-CN"/>
    </w:rPr>
  </w:style>
  <w:style w:type="paragraph" w:styleId="757">
    <w:name w:val="Title"/>
    <w:basedOn w:val="719"/>
    <w:next w:val="719"/>
    <w:link w:val="835"/>
    <w:uiPriority w:val="10"/>
    <w:qFormat/>
    <w:pPr>
      <w:contextualSpacing/>
      <w:spacing w:before="300"/>
    </w:pPr>
    <w:rPr>
      <w:sz w:val="48"/>
      <w:szCs w:val="48"/>
    </w:rPr>
  </w:style>
  <w:style w:type="paragraph" w:styleId="758">
    <w:name w:val="annotation subject"/>
    <w:basedOn w:val="734"/>
    <w:next w:val="734"/>
    <w:link w:val="960"/>
    <w:uiPriority w:val="99"/>
    <w:semiHidden/>
    <w:unhideWhenUsed/>
    <w:qFormat/>
    <w:rPr>
      <w:b/>
      <w:bCs/>
    </w:rPr>
  </w:style>
  <w:style w:type="paragraph" w:styleId="759">
    <w:name w:val="Body Text First Indent"/>
    <w:basedOn w:val="735"/>
    <w:uiPriority w:val="99"/>
    <w:unhideWhenUsed/>
    <w:qFormat/>
    <w:pPr>
      <w:ind w:firstLine="420"/>
    </w:pPr>
  </w:style>
  <w:style w:type="paragraph" w:styleId="760">
    <w:name w:val="Body Text First Indent 2"/>
    <w:basedOn w:val="736"/>
    <w:uiPriority w:val="99"/>
    <w:unhideWhenUsed/>
    <w:qFormat/>
    <w:pPr>
      <w:ind w:firstLine="420"/>
      <w:spacing w:line="360" w:lineRule="auto"/>
    </w:pPr>
    <w:rPr>
      <w:rFonts w:ascii="宋体" w:hAnsi="宋体" w:eastAsia="宋体"/>
      <w:sz w:val="21"/>
      <w:szCs w:val="20"/>
    </w:rPr>
  </w:style>
  <w:style w:type="table" w:styleId="761">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729"/>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563c1" w:themeColor="hyperlink"/>
      <w:u w:val="single"/>
      <w14:textFill>
        <w14:solidFill>
          <w14:schemeClr w14:val="hlink"/>
        </w14:solidFill>
      </w14:textFill>
    </w:rPr>
  </w:style>
  <w:style w:type="character" w:styleId="765">
    <w:name w:val="annotation reference"/>
    <w:basedOn w:val="729"/>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2 字符"/>
    <w:link w:val="721"/>
    <w:uiPriority w:val="9"/>
    <w:qFormat/>
    <w:rPr>
      <w:rFonts w:ascii="Arial" w:hAnsi="Arial" w:eastAsia="Arial" w:cs="Arial"/>
      <w:sz w:val="34"/>
    </w:rPr>
  </w:style>
  <w:style w:type="character" w:styleId="768" w:customStyle="1">
    <w:name w:val="标题 1 字符"/>
    <w:link w:val="720"/>
    <w:uiPriority w:val="9"/>
    <w:qFormat/>
    <w:rPr>
      <w:rFonts w:ascii="Arial" w:hAnsi="Arial" w:eastAsia="Arial" w:cs="Arial"/>
      <w:sz w:val="40"/>
      <w:szCs w:val="40"/>
    </w:rPr>
  </w:style>
  <w:style w:type="paragraph" w:styleId="769" w:customStyle="1">
    <w:name w:val="Default"/>
    <w:basedOn w:val="719"/>
    <w:uiPriority w:val="0"/>
    <w:qFormat/>
    <w:rPr>
      <w:color w:val="000000"/>
      <w:sz w:val="24"/>
      <w:szCs w:val="24"/>
    </w:rPr>
  </w:style>
  <w:style w:type="paragraph" w:styleId="770" w:customStyle="1">
    <w:name w:val="标题 111"/>
    <w:basedOn w:val="719"/>
    <w:next w:val="719"/>
    <w:uiPriority w:val="0"/>
    <w:qFormat/>
    <w:pPr>
      <w:ind w:left="0" w:right="0"/>
      <w:jc w:val="both"/>
      <w:keepLines/>
      <w:keepNext/>
      <w:spacing w:before="480" w:after="200"/>
      <w:widowControl w:val="off"/>
      <w:outlineLvl w:val="0"/>
    </w:pPr>
    <w:rPr>
      <w:rFonts w:ascii="Arial" w:hAnsi="Arial" w:eastAsia="Arial"/>
      <w:sz w:val="40"/>
      <w:szCs w:val="40"/>
    </w:rPr>
  </w:style>
  <w:style w:type="table" w:styleId="771"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1 Char"/>
    <w:basedOn w:val="729"/>
    <w:uiPriority w:val="9"/>
    <w:qFormat/>
    <w:rPr>
      <w:rFonts w:ascii="Arial" w:hAnsi="Arial" w:eastAsia="Arial" w:cs="Arial"/>
      <w:sz w:val="40"/>
      <w:szCs w:val="40"/>
    </w:rPr>
  </w:style>
  <w:style w:type="character" w:styleId="792" w:customStyle="1">
    <w:name w:val="Heading 2 Char"/>
    <w:basedOn w:val="729"/>
    <w:uiPriority w:val="9"/>
    <w:qFormat/>
    <w:rPr>
      <w:rFonts w:ascii="Arial" w:hAnsi="Arial" w:eastAsia="Arial" w:cs="Arial"/>
      <w:sz w:val="34"/>
    </w:rPr>
  </w:style>
  <w:style w:type="character" w:styleId="793" w:customStyle="1">
    <w:name w:val="Heading 3 Char"/>
    <w:basedOn w:val="729"/>
    <w:uiPriority w:val="9"/>
    <w:qFormat/>
    <w:rPr>
      <w:rFonts w:ascii="Arial" w:hAnsi="Arial" w:eastAsia="Arial" w:cs="Arial"/>
      <w:sz w:val="30"/>
      <w:szCs w:val="30"/>
    </w:rPr>
  </w:style>
  <w:style w:type="character" w:styleId="794" w:customStyle="1">
    <w:name w:val="Heading 4 Char"/>
    <w:basedOn w:val="729"/>
    <w:uiPriority w:val="9"/>
    <w:qFormat/>
    <w:rPr>
      <w:rFonts w:ascii="Arial" w:hAnsi="Arial" w:eastAsia="Arial" w:cs="Arial"/>
      <w:b/>
      <w:bCs/>
      <w:sz w:val="26"/>
      <w:szCs w:val="26"/>
    </w:rPr>
  </w:style>
  <w:style w:type="character" w:styleId="795" w:customStyle="1">
    <w:name w:val="Heading 5 Char"/>
    <w:basedOn w:val="729"/>
    <w:uiPriority w:val="9"/>
    <w:qFormat/>
    <w:rPr>
      <w:rFonts w:ascii="Arial" w:hAnsi="Arial" w:eastAsia="Arial" w:cs="Arial"/>
      <w:b/>
      <w:bCs/>
      <w:sz w:val="24"/>
      <w:szCs w:val="24"/>
    </w:rPr>
  </w:style>
  <w:style w:type="character" w:styleId="796" w:customStyle="1">
    <w:name w:val="Heading 6 Char"/>
    <w:basedOn w:val="729"/>
    <w:uiPriority w:val="9"/>
    <w:qFormat/>
    <w:rPr>
      <w:rFonts w:ascii="Arial" w:hAnsi="Arial" w:eastAsia="Arial" w:cs="Arial"/>
      <w:b/>
      <w:bCs/>
      <w:sz w:val="22"/>
      <w:szCs w:val="22"/>
    </w:rPr>
  </w:style>
  <w:style w:type="character" w:styleId="797" w:customStyle="1">
    <w:name w:val="Heading 7 Char"/>
    <w:basedOn w:val="729"/>
    <w:uiPriority w:val="9"/>
    <w:qFormat/>
    <w:rPr>
      <w:rFonts w:ascii="Arial" w:hAnsi="Arial" w:eastAsia="Arial" w:cs="Arial"/>
      <w:b/>
      <w:bCs/>
      <w:i/>
      <w:iCs/>
      <w:sz w:val="22"/>
      <w:szCs w:val="22"/>
    </w:rPr>
  </w:style>
  <w:style w:type="character" w:styleId="798" w:customStyle="1">
    <w:name w:val="Heading 8 Char"/>
    <w:basedOn w:val="729"/>
    <w:uiPriority w:val="9"/>
    <w:qFormat/>
    <w:rPr>
      <w:rFonts w:ascii="Arial" w:hAnsi="Arial" w:eastAsia="Arial" w:cs="Arial"/>
      <w:i/>
      <w:iCs/>
      <w:sz w:val="22"/>
      <w:szCs w:val="22"/>
    </w:rPr>
  </w:style>
  <w:style w:type="character" w:styleId="799" w:customStyle="1">
    <w:name w:val="Heading 9 Char"/>
    <w:basedOn w:val="729"/>
    <w:uiPriority w:val="9"/>
    <w:qFormat/>
    <w:rPr>
      <w:rFonts w:ascii="Arial" w:hAnsi="Arial" w:eastAsia="Arial" w:cs="Arial"/>
      <w:i/>
      <w:iCs/>
      <w:sz w:val="21"/>
      <w:szCs w:val="21"/>
    </w:rPr>
  </w:style>
  <w:style w:type="character" w:styleId="800" w:customStyle="1">
    <w:name w:val="Title Char"/>
    <w:basedOn w:val="729"/>
    <w:uiPriority w:val="10"/>
    <w:qFormat/>
    <w:rPr>
      <w:sz w:val="48"/>
      <w:szCs w:val="48"/>
    </w:rPr>
  </w:style>
  <w:style w:type="character" w:styleId="801" w:customStyle="1">
    <w:name w:val="Subtitle Char"/>
    <w:basedOn w:val="72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29"/>
    <w:uiPriority w:val="99"/>
    <w:qFormat/>
  </w:style>
  <w:style w:type="character" w:styleId="805" w:customStyle="1">
    <w:name w:val="Caption Char"/>
    <w:uiPriority w:val="99"/>
    <w:qFormat/>
  </w:style>
  <w:style w:type="table" w:styleId="806"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3 字符"/>
    <w:link w:val="722"/>
    <w:uiPriority w:val="9"/>
    <w:qFormat/>
    <w:rPr>
      <w:rFonts w:ascii="Arial" w:hAnsi="Arial" w:eastAsia="Arial" w:cs="Arial"/>
      <w:sz w:val="30"/>
      <w:szCs w:val="30"/>
    </w:rPr>
  </w:style>
  <w:style w:type="character" w:styleId="829" w:customStyle="1">
    <w:name w:val="标题 4 字符"/>
    <w:link w:val="723"/>
    <w:uiPriority w:val="9"/>
    <w:qFormat/>
    <w:rPr>
      <w:rFonts w:ascii="Arial" w:hAnsi="Arial" w:eastAsia="Arial" w:cs="Arial"/>
      <w:b/>
      <w:bCs/>
      <w:sz w:val="26"/>
      <w:szCs w:val="26"/>
    </w:rPr>
  </w:style>
  <w:style w:type="character" w:styleId="830" w:customStyle="1">
    <w:name w:val="标题 5 字符"/>
    <w:link w:val="724"/>
    <w:uiPriority w:val="9"/>
    <w:qFormat/>
    <w:rPr>
      <w:rFonts w:ascii="Arial" w:hAnsi="Arial" w:eastAsia="Arial" w:cs="Arial"/>
      <w:b/>
      <w:bCs/>
      <w:sz w:val="24"/>
      <w:szCs w:val="24"/>
    </w:rPr>
  </w:style>
  <w:style w:type="character" w:styleId="831" w:customStyle="1">
    <w:name w:val="标题 6 字符"/>
    <w:link w:val="725"/>
    <w:uiPriority w:val="9"/>
    <w:qFormat/>
    <w:rPr>
      <w:rFonts w:ascii="Arial" w:hAnsi="Arial" w:eastAsia="Arial" w:cs="Arial"/>
      <w:b/>
      <w:bCs/>
      <w:sz w:val="22"/>
      <w:szCs w:val="22"/>
    </w:rPr>
  </w:style>
  <w:style w:type="character" w:styleId="832" w:customStyle="1">
    <w:name w:val="标题 7 字符"/>
    <w:link w:val="726"/>
    <w:uiPriority w:val="9"/>
    <w:qFormat/>
    <w:rPr>
      <w:rFonts w:ascii="Arial" w:hAnsi="Arial" w:eastAsia="Arial" w:cs="Arial"/>
      <w:b/>
      <w:bCs/>
      <w:i/>
      <w:iCs/>
      <w:sz w:val="22"/>
      <w:szCs w:val="22"/>
    </w:rPr>
  </w:style>
  <w:style w:type="character" w:styleId="833" w:customStyle="1">
    <w:name w:val="标题 8 字符"/>
    <w:link w:val="727"/>
    <w:uiPriority w:val="9"/>
    <w:qFormat/>
    <w:rPr>
      <w:rFonts w:ascii="Arial" w:hAnsi="Arial" w:eastAsia="Arial" w:cs="Arial"/>
      <w:i/>
      <w:iCs/>
      <w:sz w:val="22"/>
      <w:szCs w:val="22"/>
    </w:rPr>
  </w:style>
  <w:style w:type="character" w:styleId="834" w:customStyle="1">
    <w:name w:val="标题 9 字符"/>
    <w:link w:val="728"/>
    <w:uiPriority w:val="9"/>
    <w:qFormat/>
    <w:rPr>
      <w:rFonts w:ascii="Arial" w:hAnsi="Arial" w:eastAsia="Arial" w:cs="Arial"/>
      <w:i/>
      <w:iCs/>
      <w:sz w:val="21"/>
      <w:szCs w:val="21"/>
    </w:rPr>
  </w:style>
  <w:style w:type="character" w:styleId="835" w:customStyle="1">
    <w:name w:val="标题 字符"/>
    <w:link w:val="757"/>
    <w:uiPriority w:val="10"/>
    <w:qFormat/>
    <w:rPr>
      <w:sz w:val="48"/>
      <w:szCs w:val="48"/>
    </w:rPr>
  </w:style>
  <w:style w:type="character" w:styleId="836" w:customStyle="1">
    <w:name w:val="副标题 字符"/>
    <w:link w:val="748"/>
    <w:uiPriority w:val="11"/>
    <w:qFormat/>
    <w:rPr>
      <w:sz w:val="24"/>
      <w:szCs w:val="24"/>
    </w:rPr>
  </w:style>
  <w:style w:type="paragraph" w:styleId="837">
    <w:name w:val="Quote"/>
    <w:basedOn w:val="719"/>
    <w:next w:val="719"/>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19"/>
    <w:next w:val="71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45"/>
    <w:uiPriority w:val="99"/>
    <w:qFormat/>
  </w:style>
  <w:style w:type="character" w:styleId="842" w:customStyle="1">
    <w:name w:val="Footer Char"/>
    <w:uiPriority w:val="99"/>
    <w:qFormat/>
  </w:style>
  <w:style w:type="character" w:styleId="843" w:customStyle="1">
    <w:name w:val="页脚 字符"/>
    <w:link w:val="744"/>
    <w:uiPriority w:val="99"/>
    <w:qFormat/>
  </w:style>
  <w:style w:type="table" w:styleId="84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49"/>
    <w:uiPriority w:val="99"/>
    <w:qFormat/>
    <w:rPr>
      <w:sz w:val="18"/>
    </w:rPr>
  </w:style>
  <w:style w:type="character" w:styleId="951" w:customStyle="1">
    <w:name w:val="尾注文本 字符"/>
    <w:link w:val="743"/>
    <w:uiPriority w:val="99"/>
    <w:qFormat/>
    <w:rPr>
      <w:sz w:val="20"/>
    </w:rPr>
  </w:style>
  <w:style w:type="paragraph" w:styleId="952"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3">
    <w:name w:val="No Spacing"/>
    <w:basedOn w:val="719"/>
    <w:uiPriority w:val="1"/>
    <w:qFormat/>
    <w:pPr>
      <w:spacing w:after="0" w:line="240" w:lineRule="auto"/>
    </w:pPr>
  </w:style>
  <w:style w:type="paragraph" w:styleId="954">
    <w:name w:val="List Paragraph"/>
    <w:basedOn w:val="719"/>
    <w:uiPriority w:val="34"/>
    <w:qFormat/>
    <w:pPr>
      <w:contextualSpacing/>
      <w:ind w:left="720"/>
    </w:pPr>
  </w:style>
  <w:style w:type="paragraph" w:styleId="955" w:customStyle="1">
    <w:name w:val="正文首行缩进 21"/>
    <w:basedOn w:val="956"/>
    <w:next w:val="719"/>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
    <w:basedOn w:val="719"/>
    <w:next w:val="957"/>
    <w:uiPriority w:val="0"/>
    <w:unhideWhenUsed/>
    <w:qFormat/>
    <w:pPr>
      <w:ind w:left="420"/>
      <w:spacing w:after="120"/>
    </w:pPr>
  </w:style>
  <w:style w:type="paragraph" w:styleId="957" w:customStyle="1">
    <w:name w:val="寄信人地址1"/>
    <w:basedOn w:val="719"/>
    <w:next w:val="958"/>
    <w:uiPriority w:val="99"/>
    <w:unhideWhenUsed/>
    <w:qFormat/>
    <w:rPr>
      <w:rFonts w:ascii="Arial" w:hAnsi="Arial"/>
    </w:rPr>
  </w:style>
  <w:style w:type="paragraph" w:styleId="958" w:customStyle="1">
    <w:name w:val="目录 71"/>
    <w:basedOn w:val="719"/>
    <w:next w:val="719"/>
    <w:uiPriority w:val="0"/>
    <w:semiHidden/>
    <w:qFormat/>
    <w:pPr>
      <w:ind w:left="1260"/>
    </w:pPr>
    <w:rPr>
      <w:rFonts w:ascii="Times New Roman" w:hAnsi="Times New Roman" w:eastAsia="宋体" w:cs="Times New Roman"/>
      <w:szCs w:val="21"/>
    </w:rPr>
  </w:style>
  <w:style w:type="character" w:styleId="959" w:customStyle="1">
    <w:name w:val="批注文字 字符"/>
    <w:basedOn w:val="729"/>
    <w:link w:val="734"/>
    <w:uiPriority w:val="99"/>
    <w:qFormat/>
    <w:rPr>
      <w:rFonts w:asciiTheme="minorHAnsi" w:hAnsiTheme="minorHAnsi" w:eastAsiaTheme="minorHAnsi" w:cstheme="minorBidi"/>
      <w:sz w:val="22"/>
      <w:szCs w:val="22"/>
      <w:lang w:eastAsia="en-US"/>
    </w:rPr>
  </w:style>
  <w:style w:type="character" w:styleId="960" w:customStyle="1">
    <w:name w:val="批注主题 字符"/>
    <w:basedOn w:val="959"/>
    <w:link w:val="758"/>
    <w:uiPriority w:val="99"/>
    <w:semiHidden/>
    <w:qFormat/>
    <w:rPr>
      <w:rFonts w:asciiTheme="minorHAnsi" w:hAnsiTheme="minorHAnsi" w:eastAsiaTheme="minorHAnsi" w:cstheme="minorBidi"/>
      <w:b/>
      <w:bCs/>
      <w:sz w:val="22"/>
      <w:szCs w:val="22"/>
      <w:lang w:eastAsia="en-US"/>
    </w:rPr>
  </w:style>
  <w:style w:type="paragraph" w:styleId="961" w:customStyle="1">
    <w:name w:val="正文文本11"/>
    <w:basedOn w:val="719"/>
    <w:next w:val="719"/>
    <w:uiPriority w:val="0"/>
    <w:qFormat/>
    <w:rPr>
      <w:rFonts w:ascii="楷体_GB2312" w:hAnsi="Arial" w:eastAsia="楷体_GB2312" w:cs="Times New Roman"/>
      <w:sz w:val="28"/>
      <w:szCs w:val="28"/>
    </w:rPr>
  </w:style>
  <w:style w:type="paragraph" w:styleId="962" w:customStyle="1">
    <w:name w:val="p0"/>
    <w:basedOn w:val="719"/>
    <w:uiPriority w:val="0"/>
    <w:qFormat/>
    <w:rPr>
      <w:szCs w:val="21"/>
    </w:rPr>
  </w:style>
  <w:style w:type="paragraph" w:styleId="963" w:customStyle="1">
    <w:name w:val="UserStyle_18"/>
    <w:uiPriority w:val="0"/>
    <w:qFormat/>
    <w:rPr>
      <w:rFonts w:ascii="MS Mincho" w:hAnsi="等线 Light" w:eastAsia="宋体" w:cs="Times New Roman"/>
      <w:color w:val="000000"/>
      <w:sz w:val="24"/>
      <w:szCs w:val="24"/>
      <w:lang w:val="en-US" w:eastAsia="zh-CN" w:bidi="ar-SA"/>
    </w:rPr>
  </w:style>
  <w:style w:type="character" w:styleId="964" w:customStyle="1">
    <w:name w:val="NormalCharacter"/>
    <w:uiPriority w:val="0"/>
    <w:qFormat/>
  </w:style>
  <w:style w:type="character" w:styleId="965" w:customStyle="1">
    <w:name w:val="font11"/>
    <w:basedOn w:val="729"/>
    <w:uiPriority w:val="0"/>
    <w:qFormat/>
    <w:rPr>
      <w:rFonts w:hint="eastAsia" w:ascii="仿宋" w:hAnsi="仿宋" w:eastAsia="仿宋" w:cs="仿宋"/>
      <w:b/>
      <w:bCs/>
      <w:color w:val="000000"/>
      <w:sz w:val="24"/>
      <w:szCs w:val="24"/>
      <w:u w:val="none"/>
    </w:rPr>
  </w:style>
  <w:style w:type="paragraph" w:styleId="966" w:customStyle="1">
    <w:name w:val="普通(网站) Char"/>
    <w:basedOn w:val="71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7" w:customStyle="1">
    <w:name w:val="纯文本1"/>
    <w:basedOn w:val="719"/>
    <w:uiPriority w:val="0"/>
    <w:qFormat/>
    <w:rPr>
      <w:rFonts w:ascii="宋体" w:hAnsi="Courier New" w:eastAsia="宋体" w:cs="宋体"/>
      <w:szCs w:val="21"/>
    </w:rPr>
  </w:style>
  <w:style w:type="paragraph" w:styleId="968" w:customStyle="1">
    <w:name w:val="列出段落1"/>
    <w:basedOn w:val="719"/>
    <w:uiPriority w:val="99"/>
    <w:qFormat/>
    <w:pPr>
      <w:ind w:firstLine="420"/>
      <w:spacing w:line="420" w:lineRule="exact"/>
      <w:tabs>
        <w:tab w:val="left" w:pos="1004" w:leader="none"/>
      </w:tabs>
    </w:pPr>
    <w:rPr>
      <w:rFonts w:ascii="宋体" w:hAnsi="宋体" w:eastAsia="宋体"/>
      <w:bCs/>
      <w:sz w:val="24"/>
    </w:rPr>
  </w:style>
  <w:style w:type="paragraph" w:styleId="969" w:customStyle="1">
    <w:name w:val="列出段落"/>
    <w:basedOn w:val="719"/>
    <w:uiPriority w:val="0"/>
    <w:qFormat/>
    <w:pPr>
      <w:ind w:firstLine="420"/>
    </w:pPr>
  </w:style>
  <w:style w:type="paragraph" w:styleId="970" w:customStyle="1">
    <w:name w:val="正文_1_0"/>
    <w:uiPriority w:val="0"/>
    <w:qFormat/>
    <w:pPr>
      <w:jc w:val="both"/>
      <w:widowControl w:val="off"/>
    </w:pPr>
    <w:rPr>
      <w:rFonts w:hint="default" w:ascii="Times New Roman" w:hAnsi="Times New Roman" w:eastAsia="宋体" w:cs="Times New Roman"/>
      <w:sz w:val="21"/>
      <w:szCs w:val="24"/>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26</cp:revision>
  <dcterms:created xsi:type="dcterms:W3CDTF">2024-06-09T09:02:00Z</dcterms:created>
  <dcterms:modified xsi:type="dcterms:W3CDTF">2026-05-29T02:08:56Z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B60FA78B0C814EAAB9FD31575F453E37_13</vt:lpwstr>
  </property>
  <property fmtid="{D5CDD505-2E9C-101B-9397-08002B2CF9AE}" pid="4" name="KSOTemplateDocerSaveRecord">
    <vt:lpwstr>eyJoZGlkIjoiNmFkM2Y3ZTNlMjZkYjVhZjcxMmZkMGNlMzY2NGY0M2UiLCJ1c2VySWQiOiI0Mzk4OTE0MjgifQ==</vt:lpwstr>
  </property>
</Properties>
</file>