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0"/>
        <w:jc w:val="center"/>
        <w:shd w:val="clear" w:color="auto" w:fill="auto"/>
        <w:rPr>
          <w:rFonts w:hint="eastAsia"/>
          <w:b/>
          <w:bCs/>
          <w:color w:val="000000"/>
          <w:sz w:val="60"/>
          <w:szCs w:val="60"/>
          <w:highlight w:val="none"/>
        </w:rPr>
      </w:pPr>
      <w:r>
        <w:rPr>
          <w:rFonts w:hint="eastAsia"/>
          <w:b/>
          <w:bCs/>
          <w:color w:val="000000"/>
          <w:sz w:val="60"/>
          <w:szCs w:val="60"/>
          <w:highlight w:val="none"/>
        </w:rPr>
      </w:r>
      <w:r/>
    </w:p>
    <w:p>
      <w:pPr>
        <w:pStyle w:val="1160"/>
        <w:jc w:val="center"/>
        <w:shd w:val="clear" w:color="auto" w:fill="auto"/>
        <w:rPr>
          <w:rFonts w:hint="eastAsia"/>
          <w:b/>
          <w:bCs/>
          <w:color w:val="000000"/>
          <w:sz w:val="60"/>
          <w:szCs w:val="60"/>
          <w:highlight w:val="none"/>
        </w:rPr>
      </w:pPr>
      <w:r>
        <w:rPr>
          <w:rFonts w:hint="eastAsia"/>
          <w:b/>
          <w:bCs/>
          <w:color w:val="000000"/>
          <w:sz w:val="60"/>
          <w:szCs w:val="60"/>
          <w:highlight w:val="none"/>
        </w:rPr>
      </w:r>
      <w:r/>
    </w:p>
    <w:p>
      <w:pPr>
        <w:pStyle w:val="1160"/>
        <w:jc w:val="center"/>
        <w:shd w:val="clear" w:color="auto" w:fill="auto"/>
        <w:rPr>
          <w:rFonts w:hint="eastAsia" w:eastAsia="宋体"/>
          <w:b/>
          <w:bCs/>
          <w:color w:val="000000"/>
          <w:sz w:val="60"/>
          <w:szCs w:val="60"/>
          <w:highlight w:val="none"/>
          <w:lang w:eastAsia="zh-CN"/>
        </w:rPr>
      </w:pPr>
      <w:r>
        <w:rPr>
          <w:rFonts w:hint="eastAsia"/>
          <w:b/>
          <w:bCs/>
          <w:color w:val="000000"/>
          <w:sz w:val="60"/>
          <w:szCs w:val="60"/>
          <w:highlight w:val="none"/>
          <w:lang w:eastAsia="zh-CN"/>
        </w:rPr>
        <w:t xml:space="preserve">武进人民医院南院一批办公家具采购项目</w:t>
      </w:r>
      <w:r>
        <w:rPr>
          <w:rFonts w:hint="eastAsia" w:eastAsia="宋体"/>
          <w:b/>
          <w:bCs/>
          <w:color w:val="000000"/>
          <w:sz w:val="60"/>
          <w:szCs w:val="60"/>
          <w:highlight w:val="none"/>
          <w:lang w:eastAsia="zh-CN"/>
        </w:rPr>
      </w:r>
      <w:r/>
    </w:p>
    <w:p>
      <w:pPr>
        <w:pStyle w:val="1160"/>
        <w:jc w:val="center"/>
        <w:shd w:val="clear" w:color="auto" w:fill="auto"/>
        <w:rPr>
          <w:rFonts w:hint="eastAsia"/>
          <w:b/>
          <w:bCs/>
          <w:color w:val="000000"/>
          <w:sz w:val="60"/>
          <w:szCs w:val="60"/>
          <w:highlight w:val="none"/>
        </w:rPr>
      </w:pPr>
      <w:r>
        <w:rPr>
          <w:rFonts w:hint="eastAsia"/>
          <w:b/>
          <w:bCs/>
          <w:color w:val="000000"/>
          <w:sz w:val="60"/>
          <w:szCs w:val="60"/>
          <w:highlight w:val="none"/>
        </w:rPr>
        <w:t xml:space="preserve">公开招标文件</w:t>
      </w:r>
      <w:r>
        <w:rPr>
          <w:rFonts w:hint="eastAsia"/>
          <w:b/>
          <w:bCs/>
          <w:color w:val="000000"/>
          <w:sz w:val="60"/>
          <w:szCs w:val="60"/>
          <w:highlight w:val="none"/>
        </w:rPr>
      </w:r>
      <w:r/>
    </w:p>
    <w:p>
      <w:pPr>
        <w:pStyle w:val="1160"/>
        <w:spacing w:line="360" w:lineRule="auto"/>
        <w:shd w:val="clear" w:color="auto" w:fill="auto"/>
        <w:rPr>
          <w:rFonts w:hint="eastAsia"/>
          <w:color w:val="000000"/>
          <w:sz w:val="60"/>
          <w:szCs w:val="60"/>
          <w:highlight w:val="none"/>
        </w:rPr>
      </w:pPr>
      <w:r>
        <w:rPr>
          <w:rFonts w:hint="eastAsia"/>
          <w:color w:val="000000"/>
          <w:sz w:val="60"/>
          <w:szCs w:val="60"/>
          <w:highlight w:val="none"/>
        </w:rPr>
      </w:r>
      <w:r/>
    </w:p>
    <w:p>
      <w:pPr>
        <w:pStyle w:val="1160"/>
        <w:ind w:left="2832" w:hanging="1900"/>
        <w:jc w:val="left"/>
        <w:spacing w:line="360" w:lineRule="auto"/>
        <w:shd w:val="clear" w:color="auto" w:fill="auto"/>
        <w:tabs>
          <w:tab w:val="left" w:pos="3240" w:leader="none"/>
          <w:tab w:val="left" w:pos="3420" w:leader="none"/>
        </w:tabs>
        <w:rPr>
          <w:bCs/>
          <w:color w:val="000000"/>
          <w:sz w:val="36"/>
          <w:szCs w:val="36"/>
          <w:highlight w:val="none"/>
        </w:rPr>
      </w:pPr>
      <w:r>
        <w:rPr>
          <w:bCs/>
          <w:color w:val="000000"/>
          <w:sz w:val="36"/>
          <w:szCs w:val="36"/>
          <w:highlight w:val="none"/>
        </w:rPr>
      </w:r>
      <w:r/>
    </w:p>
    <w:p>
      <w:pPr>
        <w:pStyle w:val="1160"/>
        <w:ind w:left="2832" w:hanging="1900"/>
        <w:jc w:val="left"/>
        <w:spacing w:line="360" w:lineRule="auto"/>
        <w:shd w:val="clear" w:color="auto" w:fill="auto"/>
        <w:tabs>
          <w:tab w:val="left" w:pos="3240" w:leader="none"/>
          <w:tab w:val="left" w:pos="3420" w:leader="none"/>
        </w:tabs>
        <w:rPr>
          <w:bCs/>
          <w:color w:val="000000"/>
          <w:sz w:val="36"/>
          <w:szCs w:val="36"/>
          <w:highlight w:val="none"/>
        </w:rPr>
      </w:pPr>
      <w:r>
        <w:rPr>
          <w:bCs/>
          <w:color w:val="000000"/>
          <w:sz w:val="36"/>
          <w:szCs w:val="36"/>
          <w:highlight w:val="none"/>
        </w:rPr>
      </w:r>
      <w:r/>
    </w:p>
    <w:p>
      <w:pPr>
        <w:pStyle w:val="1160"/>
        <w:ind w:left="2832" w:hanging="1900"/>
        <w:jc w:val="left"/>
        <w:spacing w:line="360" w:lineRule="auto"/>
        <w:shd w:val="clear" w:color="auto" w:fill="auto"/>
        <w:tabs>
          <w:tab w:val="left" w:pos="3240" w:leader="none"/>
          <w:tab w:val="left" w:pos="3420" w:leader="none"/>
        </w:tabs>
        <w:rPr>
          <w:bCs/>
          <w:color w:val="000000"/>
          <w:sz w:val="36"/>
          <w:szCs w:val="36"/>
          <w:highlight w:val="none"/>
        </w:rPr>
      </w:pPr>
      <w:r>
        <w:rPr>
          <w:bCs/>
          <w:color w:val="000000"/>
          <w:sz w:val="36"/>
          <w:szCs w:val="36"/>
          <w:highlight w:val="none"/>
        </w:rPr>
      </w:r>
      <w:r/>
    </w:p>
    <w:p>
      <w:pPr>
        <w:pStyle w:val="1160"/>
        <w:ind w:left="2832" w:hanging="1900"/>
        <w:jc w:val="left"/>
        <w:spacing w:line="360" w:lineRule="auto"/>
        <w:shd w:val="clear" w:color="auto" w:fill="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项目名称：</w:t>
      </w:r>
      <w:r>
        <w:rPr>
          <w:rFonts w:hint="eastAsia"/>
          <w:bCs/>
          <w:color w:val="000000"/>
          <w:sz w:val="36"/>
          <w:szCs w:val="36"/>
          <w:highlight w:val="none"/>
          <w:lang w:eastAsia="zh-CN"/>
        </w:rPr>
        <w:t xml:space="preserve">武进人民医院南院一批办公家具采购项目</w:t>
      </w:r>
      <w:r>
        <w:rPr>
          <w:rFonts w:hint="eastAsia" w:eastAsia="宋体"/>
          <w:bCs/>
          <w:color w:val="000000"/>
          <w:sz w:val="36"/>
          <w:szCs w:val="36"/>
          <w:highlight w:val="none"/>
          <w:lang w:eastAsia="zh-CN"/>
        </w:rPr>
      </w:r>
      <w:r/>
    </w:p>
    <w:p>
      <w:pPr>
        <w:pStyle w:val="1160"/>
        <w:ind w:left="2832" w:hanging="1900"/>
        <w:jc w:val="left"/>
        <w:spacing w:line="360" w:lineRule="auto"/>
        <w:shd w:val="clear" w:color="auto" w:fill="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JSZC-320412-SYZB-G2026-0029</w:t>
      </w:r>
      <w:r>
        <w:rPr>
          <w:rFonts w:hint="eastAsia" w:eastAsia="宋体"/>
          <w:bCs/>
          <w:color w:val="000000"/>
          <w:sz w:val="36"/>
          <w:szCs w:val="36"/>
          <w:highlight w:val="none"/>
          <w:lang w:eastAsia="zh-CN"/>
        </w:rPr>
      </w:r>
      <w:r/>
    </w:p>
    <w:p>
      <w:pPr>
        <w:pStyle w:val="1160"/>
        <w:ind w:left="2832" w:hanging="1900"/>
        <w:jc w:val="left"/>
        <w:spacing w:line="360" w:lineRule="auto"/>
        <w:shd w:val="clear" w:color="auto" w:fill="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采 购 人：</w:t>
      </w:r>
      <w:r>
        <w:rPr>
          <w:rFonts w:hint="eastAsia"/>
          <w:bCs/>
          <w:color w:val="000000"/>
          <w:sz w:val="36"/>
          <w:szCs w:val="36"/>
          <w:highlight w:val="none"/>
          <w:lang w:eastAsia="zh-CN"/>
        </w:rPr>
        <w:t xml:space="preserve">常州市武进人民医院</w:t>
      </w:r>
      <w:r>
        <w:rPr>
          <w:rFonts w:hint="eastAsia" w:eastAsia="宋体"/>
          <w:bCs/>
          <w:color w:val="000000"/>
          <w:sz w:val="36"/>
          <w:szCs w:val="36"/>
          <w:highlight w:val="none"/>
          <w:lang w:eastAsia="zh-CN"/>
        </w:rPr>
      </w:r>
      <w:r/>
    </w:p>
    <w:p>
      <w:pPr>
        <w:pStyle w:val="1160"/>
        <w:ind w:left="2832" w:hanging="1900"/>
        <w:jc w:val="left"/>
        <w:spacing w:line="360" w:lineRule="auto"/>
        <w:shd w:val="clear" w:color="auto" w:fill="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江苏尚阳工程管理有限公司</w:t>
      </w:r>
      <w:r>
        <w:rPr>
          <w:bCs/>
          <w:color w:val="000000"/>
          <w:sz w:val="36"/>
          <w:szCs w:val="36"/>
          <w:highlight w:val="none"/>
        </w:rPr>
      </w:r>
      <w:r/>
    </w:p>
    <w:p>
      <w:pPr>
        <w:pStyle w:val="1160"/>
        <w:jc w:val="center"/>
        <w:spacing w:line="360" w:lineRule="auto"/>
        <w:shd w:val="clear" w:color="auto" w:fill="auto"/>
        <w:rPr>
          <w:b/>
          <w:bCs/>
          <w:color w:val="000000"/>
          <w:sz w:val="44"/>
          <w:highlight w:val="none"/>
        </w:rPr>
      </w:pPr>
      <w:r>
        <w:rPr>
          <w:b/>
          <w:bCs/>
          <w:color w:val="000000"/>
          <w:sz w:val="44"/>
          <w:highlight w:val="none"/>
        </w:rPr>
        <w:br w:type="page" w:clear="all"/>
      </w:r>
      <w:bookmarkStart w:id="0" w:name="_Toc99301418"/>
      <w:r>
        <w:rPr>
          <w:b/>
          <w:bCs/>
          <w:color w:val="000000"/>
          <w:sz w:val="44"/>
          <w:highlight w:val="none"/>
        </w:rPr>
      </w:r>
      <w:r/>
    </w:p>
    <w:p>
      <w:pPr>
        <w:pStyle w:val="1160"/>
        <w:jc w:val="center"/>
        <w:spacing w:line="360" w:lineRule="auto"/>
        <w:shd w:val="clear" w:color="auto" w:fill="auto"/>
        <w:rPr>
          <w:b/>
          <w:bCs/>
          <w:color w:val="000000"/>
          <w:sz w:val="44"/>
          <w:highlight w:val="none"/>
        </w:rPr>
      </w:pPr>
      <w:r>
        <w:rPr>
          <w:b/>
          <w:bCs/>
          <w:color w:val="000000"/>
          <w:sz w:val="44"/>
          <w:highlight w:val="none"/>
        </w:rPr>
        <w:t xml:space="preserve">目      录</w:t>
      </w:r>
      <w:bookmarkEnd w:id="0"/>
      <w:r>
        <w:rPr>
          <w:b/>
          <w:bCs/>
          <w:color w:val="000000"/>
          <w:sz w:val="44"/>
          <w:highlight w:val="none"/>
        </w:rPr>
      </w:r>
      <w:r/>
    </w:p>
    <w:p>
      <w:pPr>
        <w:pStyle w:val="1160"/>
        <w:spacing w:line="360" w:lineRule="auto"/>
        <w:shd w:val="clear" w:color="auto" w:fill="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212"/>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TOC \o "1-1" \h \z \u </w:instrText>
      </w:r>
      <w:r>
        <w:rPr>
          <w:rFonts w:hint="eastAsia" w:cs="宋体"/>
          <w:color w:val="000000"/>
          <w:sz w:val="32"/>
          <w:szCs w:val="32"/>
          <w:highlight w:val="none"/>
        </w:rPr>
        <w:fldChar w:fldCharType="separate"/>
      </w: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_Toc8819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第一章   投标邀请</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_Toc8819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3</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1212"/>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_Toc5570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第二章   投标人须知</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_Toc5570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8</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1212"/>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_Toc21989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第三章   资格审查</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_Toc21989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24</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1212"/>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_Toc13243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第四章   评标程序、评标方法和评标标准</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_Toc13243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26</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1212"/>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_Toc14891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第五章   采购需求</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_Toc14891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33</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1212"/>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_Toc5874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第六章   拟签订的合同文本</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_Toc5874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37</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1212"/>
        <w:spacing w:line="360" w:lineRule="auto"/>
        <w:shd w:val="clear" w:color="auto" w:fill="auto"/>
        <w:tabs>
          <w:tab w:val="left" w:pos="1050" w:leader="none"/>
          <w:tab w:val="right" w:pos="8937" w:leader="dot"/>
        </w:tabs>
        <w:rPr>
          <w:rFonts w:hint="eastAsia" w:cs="宋体"/>
          <w:color w:val="000000"/>
          <w:sz w:val="32"/>
          <w:szCs w:val="32"/>
          <w:highlight w:val="none"/>
        </w:rPr>
      </w:pPr>
      <w:r>
        <w:rPr>
          <w:rFonts w:hint="eastAsia" w:cs="宋体"/>
          <w:color w:val="000000"/>
          <w:sz w:val="32"/>
          <w:szCs w:val="32"/>
          <w:highlight w:val="none"/>
        </w:rPr>
        <w:fldChar w:fldCharType="begin"/>
      </w:r>
      <w:r>
        <w:rPr>
          <w:rFonts w:hint="eastAsia" w:cs="宋体"/>
          <w:color w:val="000000"/>
          <w:sz w:val="32"/>
          <w:szCs w:val="32"/>
          <w:highlight w:val="none"/>
        </w:rPr>
        <w:instrText xml:space="preserve"> HYPERLINK \l _Toc137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第七章   投标文件格式</w:t>
      </w:r>
      <w:r>
        <w:rPr>
          <w:rFonts w:hint="eastAsia" w:cs="宋体"/>
          <w:color w:val="000000"/>
          <w:sz w:val="32"/>
          <w:szCs w:val="32"/>
          <w:highlight w:val="none"/>
        </w:rPr>
        <w:tab/>
      </w:r>
      <w:r>
        <w:rPr>
          <w:rFonts w:hint="eastAsia" w:cs="宋体"/>
          <w:color w:val="000000"/>
          <w:sz w:val="32"/>
          <w:szCs w:val="32"/>
          <w:highlight w:val="none"/>
        </w:rPr>
        <w:fldChar w:fldCharType="begin"/>
      </w:r>
      <w:r>
        <w:rPr>
          <w:rFonts w:hint="eastAsia" w:cs="宋体"/>
          <w:color w:val="000000"/>
          <w:sz w:val="32"/>
          <w:szCs w:val="32"/>
          <w:highlight w:val="none"/>
        </w:rPr>
        <w:instrText xml:space="preserve"> PAGEREF _Toc137 \h </w:instrText>
      </w:r>
      <w:r>
        <w:rPr>
          <w:rFonts w:hint="eastAsia" w:cs="宋体"/>
          <w:color w:val="000000"/>
          <w:sz w:val="32"/>
          <w:szCs w:val="32"/>
          <w:highlight w:val="none"/>
        </w:rPr>
        <w:fldChar w:fldCharType="separate"/>
      </w:r>
      <w:r>
        <w:rPr>
          <w:rFonts w:hint="eastAsia" w:cs="宋体"/>
          <w:color w:val="000000"/>
          <w:sz w:val="32"/>
          <w:szCs w:val="32"/>
          <w:highlight w:val="none"/>
        </w:rPr>
        <w:t xml:space="preserve">45</w:t>
      </w:r>
      <w:r>
        <w:rPr>
          <w:rFonts w:hint="eastAsia" w:cs="宋体"/>
          <w:color w:val="000000"/>
          <w:sz w:val="32"/>
          <w:szCs w:val="32"/>
          <w:highlight w:val="none"/>
        </w:rPr>
        <w:fldChar w:fldCharType="end"/>
      </w:r>
      <w:r>
        <w:rPr>
          <w:rFonts w:hint="eastAsia" w:cs="宋体"/>
          <w:color w:val="000000"/>
          <w:sz w:val="32"/>
          <w:szCs w:val="32"/>
          <w:highlight w:val="none"/>
        </w:rPr>
        <w:fldChar w:fldCharType="end"/>
      </w:r>
      <w:r>
        <w:rPr>
          <w:rFonts w:hint="eastAsia" w:cs="宋体"/>
          <w:color w:val="000000"/>
          <w:sz w:val="32"/>
          <w:szCs w:val="32"/>
          <w:highlight w:val="none"/>
        </w:rPr>
      </w:r>
      <w:r/>
    </w:p>
    <w:p>
      <w:pPr>
        <w:pStyle w:val="1212"/>
        <w:spacing w:line="360" w:lineRule="auto"/>
        <w:shd w:val="clear" w:color="auto" w:fill="auto"/>
        <w:tabs>
          <w:tab w:val="left" w:pos="1050" w:leader="none"/>
          <w:tab w:val="right" w:pos="8937" w:leader="dot"/>
        </w:tabs>
        <w:rPr>
          <w:rFonts w:hint="eastAsia" w:cs="宋体"/>
          <w:b w:val="0"/>
          <w:color w:val="000000"/>
          <w:sz w:val="32"/>
          <w:szCs w:val="32"/>
          <w:highlight w:val="none"/>
        </w:rPr>
      </w:pPr>
      <w:r>
        <w:rPr>
          <w:rFonts w:hint="eastAsia" w:cs="宋体"/>
          <w:color w:val="000000"/>
          <w:sz w:val="32"/>
          <w:szCs w:val="32"/>
          <w:highlight w:val="none"/>
        </w:rPr>
        <w:fldChar w:fldCharType="end"/>
      </w:r>
      <w:r>
        <w:rPr>
          <w:rFonts w:hint="eastAsia" w:cs="宋体"/>
          <w:b w:val="0"/>
          <w:color w:val="000000"/>
          <w:sz w:val="32"/>
          <w:szCs w:val="32"/>
          <w:highlight w:val="none"/>
        </w:rPr>
      </w:r>
      <w:r/>
    </w:p>
    <w:p>
      <w:pPr>
        <w:pStyle w:val="1160"/>
        <w:jc w:val="center"/>
        <w:spacing w:line="360" w:lineRule="auto"/>
        <w:shd w:val="clear" w:color="auto" w:fill="auto"/>
        <w:rPr>
          <w:rFonts w:hint="eastAsia" w:ascii="宋体" w:hAnsi="宋体" w:cs="宋体"/>
          <w:color w:val="000000"/>
          <w:sz w:val="32"/>
          <w:szCs w:val="32"/>
          <w:highlight w:val="none"/>
        </w:rPr>
        <w:sectPr>
          <w:headerReference w:type="default" r:id="rId9"/>
          <w:headerReference w:type="first" r:id="rId10"/>
          <w:footerReference w:type="default" r:id="rId17"/>
          <w:footerReference w:type="first" r:id="rId18"/>
          <w:footnotePr/>
          <w:endnotePr/>
          <w:type w:val="nextColumn"/>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color w:val="000000"/>
          <w:sz w:val="32"/>
          <w:szCs w:val="32"/>
          <w:highlight w:val="none"/>
        </w:rPr>
        <w:br w:type="page" w:clear="all"/>
      </w:r>
      <w:r/>
    </w:p>
    <w:p>
      <w:pPr>
        <w:pStyle w:val="1160"/>
        <w:jc w:val="center"/>
        <w:spacing w:line="360" w:lineRule="auto"/>
        <w:shd w:val="clear" w:color="auto" w:fill="auto"/>
        <w:rPr>
          <w:b/>
          <w:color w:val="000000"/>
          <w:sz w:val="36"/>
          <w:szCs w:val="36"/>
          <w:highlight w:val="none"/>
        </w:rPr>
        <w:outlineLvl w:val="0"/>
      </w:pPr>
      <w:r/>
      <w:bookmarkStart w:id="1" w:name="_Toc8819"/>
      <w:r>
        <w:rPr>
          <w:b/>
          <w:color w:val="000000"/>
          <w:sz w:val="36"/>
          <w:szCs w:val="36"/>
          <w:highlight w:val="none"/>
        </w:rPr>
        <w:t xml:space="preserve">第一章   投标邀请</w:t>
      </w:r>
      <w:bookmarkEnd w:id="1"/>
      <w:r>
        <w:rPr>
          <w:b/>
          <w:color w:val="000000"/>
          <w:sz w:val="36"/>
          <w:szCs w:val="36"/>
          <w:highlight w:val="none"/>
        </w:rPr>
      </w:r>
      <w:r/>
    </w:p>
    <w:p>
      <w:pPr>
        <w:pStyle w:val="1160"/>
        <w:spacing w:line="360" w:lineRule="auto"/>
        <w:shd w:val="clear" w:color="auto" w:fill="auto"/>
        <w:rPr>
          <w:rFonts w:hint="eastAsia" w:ascii="宋体" w:hAnsi="宋体"/>
          <w:b/>
          <w:bCs/>
          <w:color w:val="000000"/>
          <w:sz w:val="24"/>
          <w:highlight w:val="none"/>
        </w:rPr>
      </w:pPr>
      <w:r/>
      <w:bookmarkStart w:id="2" w:name="_Toc28359002"/>
      <w:r/>
      <w:bookmarkStart w:id="3" w:name="_Toc35393621"/>
      <w:r/>
      <w:bookmarkStart w:id="4" w:name="_Toc35393790"/>
      <w:r/>
      <w:bookmarkStart w:id="5" w:name="_Toc28359079"/>
      <w:r/>
      <w:bookmarkStart w:id="6" w:name="_Hlk24379207"/>
      <w:r>
        <w:rPr>
          <w:rFonts w:hint="eastAsia" w:ascii="宋体" w:hAnsi="宋体"/>
          <w:b/>
          <w:bCs/>
          <w:color w:val="000000"/>
          <w:sz w:val="24"/>
          <w:highlight w:val="none"/>
        </w:rPr>
        <w:t xml:space="preserve">一、项目基本情况</w:t>
      </w:r>
      <w:bookmarkEnd w:id="2"/>
      <w:r/>
      <w:bookmarkEnd w:id="3"/>
      <w:r/>
      <w:bookmarkEnd w:id="4"/>
      <w:r/>
      <w:bookmarkEnd w:id="5"/>
      <w:r>
        <w:rPr>
          <w:rFonts w:hint="eastAsia" w:ascii="宋体" w:hAnsi="宋体"/>
          <w:b/>
          <w:bCs/>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JSZC-320412-SYZB-G2026-0029</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武进人民医院南院一批办公家具采购项目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160"/>
        <w:ind w:firstLine="480"/>
        <w:spacing w:line="360" w:lineRule="auto"/>
        <w:shd w:val="clear" w:color="auto" w:fill="auto"/>
        <w:rPr>
          <w:rFonts w:ascii="宋体" w:hAnsi="宋体" w:cs="宋体"/>
          <w:color w:val="000000"/>
          <w:sz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highlight w:val="none"/>
        </w:rPr>
        <w:t xml:space="preserve">项目预算金额</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u w:val="single"/>
          <w:lang w:val="en-US" w:eastAsia="zh-CN"/>
        </w:rPr>
        <w:t xml:space="preserve"> 145 </w:t>
      </w:r>
      <w:r>
        <w:rPr>
          <w:rFonts w:hint="eastAsia" w:ascii="宋体" w:hAnsi="宋体" w:cs="宋体"/>
          <w:color w:val="000000"/>
          <w:sz w:val="24"/>
          <w:highlight w:val="none"/>
        </w:rPr>
        <w:t xml:space="preserve">万元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项目最高限价：</w:t>
      </w:r>
      <w:r>
        <w:rPr>
          <w:rFonts w:hint="eastAsia" w:ascii="宋体" w:hAnsi="宋体" w:cs="宋体"/>
          <w:color w:val="000000"/>
          <w:sz w:val="24"/>
          <w:highlight w:val="none"/>
          <w:u w:val="single"/>
          <w:lang w:val="en-US" w:eastAsia="zh-CN"/>
        </w:rPr>
        <w:t xml:space="preserve"> 143 </w:t>
      </w:r>
      <w:r>
        <w:rPr>
          <w:rFonts w:hint="eastAsia" w:ascii="宋体" w:hAnsi="宋体" w:cs="宋体"/>
          <w:color w:val="000000"/>
          <w:sz w:val="24"/>
          <w:highlight w:val="none"/>
        </w:rPr>
        <w:t xml:space="preserve">万元</w:t>
      </w:r>
      <w:r>
        <w:rPr>
          <w:rFonts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4.采购需求：</w:t>
      </w:r>
      <w:r>
        <w:rPr>
          <w:rFonts w:hint="eastAsia" w:ascii="宋体" w:hAnsi="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1"/>
        <w:gridCol w:w="1567"/>
        <w:gridCol w:w="681"/>
        <w:gridCol w:w="4308"/>
      </w:tblGrid>
      <w:tr>
        <w:trPr>
          <w:trHeight w:val="454"/>
        </w:trPr>
        <w:tc>
          <w:tcPr>
            <w:tcW w:w="2041" w:type="dxa"/>
            <w:vAlign w:val="center"/>
            <w:textDirection w:val="lrTb"/>
            <w:noWrap w:val="false"/>
          </w:tcPr>
          <w:p>
            <w:pPr>
              <w:pStyle w:val="1160"/>
              <w:jc w:val="center"/>
              <w:rPr>
                <w:rFonts w:hint="eastAsia" w:ascii="宋体" w:hAnsi="宋体" w:cs="宋体"/>
                <w:bCs/>
                <w:color w:val="000000"/>
                <w:sz w:val="24"/>
                <w:highlight w:val="none"/>
              </w:rPr>
            </w:pPr>
            <w:r/>
            <w:bookmarkEnd w:id="6"/>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1567" w:type="dxa"/>
            <w:vAlign w:val="center"/>
            <w:textDirection w:val="lrTb"/>
            <w:noWrap w:val="false"/>
          </w:tcPr>
          <w:p>
            <w:pPr>
              <w:pStyle w:val="116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预算金额（万元）</w:t>
            </w:r>
            <w:r>
              <w:rPr>
                <w:rFonts w:hint="eastAsia" w:ascii="宋体" w:hAnsi="宋体" w:cs="宋体"/>
                <w:bCs/>
                <w:color w:val="000000"/>
                <w:sz w:val="24"/>
                <w:highlight w:val="none"/>
              </w:rPr>
            </w:r>
            <w:r/>
          </w:p>
        </w:tc>
        <w:tc>
          <w:tcPr>
            <w:tcW w:w="681" w:type="dxa"/>
            <w:vAlign w:val="center"/>
            <w:textDirection w:val="lrTb"/>
            <w:noWrap w:val="false"/>
          </w:tcPr>
          <w:p>
            <w:pPr>
              <w:pStyle w:val="116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4308" w:type="dxa"/>
            <w:vAlign w:val="center"/>
            <w:textDirection w:val="lrTb"/>
            <w:noWrap w:val="false"/>
          </w:tcPr>
          <w:p>
            <w:pPr>
              <w:pStyle w:val="116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简要技术需求或服务要求</w:t>
            </w:r>
            <w:r>
              <w:rPr>
                <w:rFonts w:hint="eastAsia" w:ascii="宋体" w:hAnsi="宋体" w:cs="宋体"/>
                <w:bCs/>
                <w:color w:val="000000"/>
                <w:sz w:val="24"/>
                <w:highlight w:val="none"/>
              </w:rPr>
            </w:r>
            <w:r/>
          </w:p>
        </w:tc>
      </w:tr>
      <w:tr>
        <w:trPr>
          <w:trHeight w:val="454"/>
        </w:trPr>
        <w:tc>
          <w:tcPr>
            <w:tcW w:w="2041" w:type="dxa"/>
            <w:vAlign w:val="center"/>
            <w:textDirection w:val="lrTb"/>
            <w:noWrap w:val="false"/>
          </w:tcPr>
          <w:p>
            <w:pPr>
              <w:pStyle w:val="1160"/>
              <w:jc w:val="center"/>
              <w:rPr>
                <w:rFonts w:ascii="宋体" w:hAnsi="宋体" w:cs="宋体"/>
                <w:bCs/>
                <w:color w:val="000000"/>
                <w:sz w:val="24"/>
                <w:highlight w:val="none"/>
              </w:rPr>
            </w:pPr>
            <w:r>
              <w:rPr>
                <w:rFonts w:hint="eastAsia" w:ascii="宋体" w:hAnsi="宋体" w:cs="宋体"/>
                <w:bCs/>
                <w:color w:val="000000"/>
                <w:sz w:val="24"/>
                <w:highlight w:val="none"/>
              </w:rPr>
              <w:t xml:space="preserve">详见第五章采购需求</w:t>
            </w:r>
            <w:r>
              <w:rPr>
                <w:rFonts w:ascii="宋体" w:hAnsi="宋体" w:cs="宋体"/>
                <w:bCs/>
                <w:color w:val="000000"/>
                <w:sz w:val="24"/>
                <w:highlight w:val="none"/>
              </w:rPr>
            </w:r>
            <w:r/>
          </w:p>
        </w:tc>
        <w:tc>
          <w:tcPr>
            <w:tcW w:w="1567" w:type="dxa"/>
            <w:vAlign w:val="center"/>
            <w:textDirection w:val="lrTb"/>
            <w:noWrap w:val="false"/>
          </w:tcPr>
          <w:p>
            <w:pPr>
              <w:pStyle w:val="1160"/>
              <w:jc w:val="center"/>
              <w:rPr>
                <w:rFonts w:ascii="宋体" w:hAnsi="宋体" w:eastAsia="宋体" w:cs="宋体"/>
                <w:bCs/>
                <w:color w:val="000000"/>
                <w:sz w:val="24"/>
                <w:highlight w:val="none"/>
                <w:lang w:val="en-US" w:eastAsia="zh-CN"/>
              </w:rPr>
            </w:pPr>
            <w:r>
              <w:rPr>
                <w:rFonts w:hint="eastAsia" w:ascii="宋体" w:hAnsi="宋体" w:cs="宋体"/>
                <w:color w:val="000000"/>
                <w:sz w:val="24"/>
                <w:highlight w:val="none"/>
                <w:u w:val="none"/>
                <w:lang w:val="en-US" w:eastAsia="zh-CN"/>
              </w:rPr>
              <w:t xml:space="preserve"> 145</w:t>
            </w:r>
            <w:r>
              <w:rPr>
                <w:rFonts w:ascii="宋体" w:hAnsi="宋体" w:eastAsia="宋体" w:cs="宋体"/>
                <w:bCs/>
                <w:color w:val="000000"/>
                <w:sz w:val="24"/>
                <w:highlight w:val="none"/>
                <w:lang w:val="en-US" w:eastAsia="zh-CN"/>
              </w:rPr>
            </w:r>
            <w:r/>
          </w:p>
        </w:tc>
        <w:tc>
          <w:tcPr>
            <w:tcW w:w="681" w:type="dxa"/>
            <w:vAlign w:val="center"/>
            <w:textDirection w:val="lrTb"/>
            <w:noWrap w:val="false"/>
          </w:tcPr>
          <w:p>
            <w:pPr>
              <w:pStyle w:val="116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4308" w:type="dxa"/>
            <w:vAlign w:val="center"/>
            <w:textDirection w:val="lrTb"/>
            <w:noWrap w:val="false"/>
          </w:tcPr>
          <w:p>
            <w:pPr>
              <w:pStyle w:val="1160"/>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本项目是</w:t>
            </w:r>
            <w:r>
              <w:rPr>
                <w:rFonts w:hint="eastAsia" w:ascii="宋体" w:hAnsi="宋体" w:cs="宋体"/>
                <w:bCs/>
                <w:color w:val="000000"/>
                <w:sz w:val="24"/>
                <w:highlight w:val="none"/>
                <w:lang w:eastAsia="zh-CN"/>
              </w:rPr>
              <w:t xml:space="preserve">武进人民医院南院一批办公家具采购项目</w:t>
            </w:r>
            <w:r>
              <w:rPr>
                <w:rFonts w:hint="eastAsia" w:ascii="宋体" w:hAnsi="宋体" w:cs="宋体"/>
                <w:bCs/>
                <w:color w:val="000000"/>
                <w:sz w:val="24"/>
                <w:highlight w:val="none"/>
              </w:rPr>
              <w:t xml:space="preserve">，包括但不限于采购、运输、装卸、安装、调试、测试、技术培训、设计等，直至通过采购人及其他相关部门的验收以及质量保修、免费维保等全部工作。</w:t>
            </w:r>
            <w:r>
              <w:rPr>
                <w:rFonts w:hint="eastAsia" w:ascii="宋体" w:hAnsi="宋体" w:cs="宋体"/>
                <w:bCs/>
                <w:color w:val="000000"/>
                <w:sz w:val="24"/>
                <w:highlight w:val="none"/>
              </w:rPr>
            </w:r>
            <w:r/>
          </w:p>
        </w:tc>
      </w:tr>
    </w:tbl>
    <w:p>
      <w:pPr>
        <w:pStyle w:val="1160"/>
        <w:ind w:firstLine="480"/>
        <w:keepLines w:val="0"/>
        <w:keepNext w:val="0"/>
        <w:pageBreakBefore w:val="0"/>
        <w:spacing w:before="233" w:line="360" w:lineRule="auto"/>
        <w:shd w:val="clear" w:color="auto" w:fill="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合同签订后35日历天内将所有家具送至采购人指定地点，并安装调试到位至验收合格。</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6.本项目是否接受联合体投标：□是  ■否。</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7.本项目是否接受进口产品投标：□是  ■否。</w:t>
      </w:r>
      <w:r>
        <w:rPr>
          <w:rFonts w:hint="eastAsia" w:ascii="宋体" w:hAnsi="宋体" w:cs="宋体"/>
          <w:color w:val="000000"/>
          <w:sz w:val="24"/>
          <w:highlight w:val="none"/>
        </w:rPr>
      </w:r>
      <w:r/>
    </w:p>
    <w:p>
      <w:pPr>
        <w:pStyle w:val="1160"/>
        <w:spacing w:line="360" w:lineRule="auto"/>
        <w:shd w:val="clear" w:color="auto" w:fill="auto"/>
        <w:rPr>
          <w:rFonts w:hint="eastAsia" w:ascii="宋体" w:hAnsi="宋体"/>
          <w:b/>
          <w:bCs/>
          <w:color w:val="000000"/>
          <w:sz w:val="24"/>
          <w:highlight w:val="none"/>
        </w:rPr>
      </w:pPr>
      <w:r/>
      <w:bookmarkStart w:id="7" w:name="_Toc28359080"/>
      <w:r/>
      <w:bookmarkStart w:id="8" w:name="_Toc35393791"/>
      <w:r/>
      <w:bookmarkStart w:id="9" w:name="_Toc28359003"/>
      <w:r/>
      <w:bookmarkStart w:id="10" w:name="_Toc35393622"/>
      <w:r>
        <w:rPr>
          <w:rFonts w:hint="eastAsia" w:ascii="宋体" w:hAnsi="宋体"/>
          <w:b/>
          <w:bCs/>
          <w:color w:val="000000"/>
          <w:sz w:val="24"/>
          <w:highlight w:val="none"/>
        </w:rPr>
        <w:t xml:space="preserve">二、申请人的资格要求（须同时满足）</w:t>
      </w:r>
      <w:bookmarkEnd w:id="7"/>
      <w:r/>
      <w:bookmarkEnd w:id="8"/>
      <w:r/>
      <w:bookmarkEnd w:id="9"/>
      <w:r/>
      <w:bookmarkEnd w:id="10"/>
      <w:r>
        <w:rPr>
          <w:rFonts w:hint="eastAsia" w:ascii="宋体" w:hAnsi="宋体"/>
          <w:b/>
          <w:bCs/>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1.满足《中华人民共和国政府采购法》第二十二条规定以及下列情形：</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bookmarkStart w:id="11" w:name="_Toc28359004"/>
      <w:r/>
      <w:bookmarkStart w:id="12" w:name="_Toc28359081"/>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2.1 中小企业政策</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本项目不专门面向中小企业预留采购份额。</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本项目专门面向   </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中小 □小微企业  采购。即：提供的货物全部由符合政策要求的中小企业制造。</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□本项目预留部分采购项目预算专门面向中小企业采购。对于预留份额，提供的货物由符合政策要求的中小企业制造。预留份额通过以下措施进行</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2.2 其它落实政府采购政策的资格要求：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i/>
          <w:iCs/>
          <w:color w:val="000000"/>
          <w:sz w:val="24"/>
          <w:highlight w:val="none"/>
          <w:u w:val="single"/>
        </w:rPr>
      </w:pPr>
      <w:r>
        <w:rPr>
          <w:rFonts w:hint="eastAsia" w:ascii="宋体" w:hAnsi="宋体" w:cs="宋体"/>
          <w:color w:val="000000"/>
          <w:sz w:val="24"/>
          <w:highlight w:val="none"/>
        </w:rPr>
        <w:t xml:space="preserve">3.本项目的特定资格要求：</w:t>
      </w:r>
      <w:r>
        <w:rPr>
          <w:rFonts w:hint="eastAsia" w:ascii="宋体" w:hAnsi="宋体" w:cs="宋体"/>
          <w:i/>
          <w:iCs/>
          <w:color w:val="000000"/>
          <w:sz w:val="24"/>
          <w:highlight w:val="none"/>
          <w:u w:val="single"/>
        </w:rPr>
      </w:r>
      <w:r/>
    </w:p>
    <w:p>
      <w:pPr>
        <w:pStyle w:val="1160"/>
        <w:ind w:firstLine="480"/>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3.1本项目是否接受分支机构参与投标：□是   ■否；</w:t>
      </w:r>
      <w:r>
        <w:rPr>
          <w:rFonts w:hint="eastAsia" w:ascii="宋体" w:hAnsi="宋体" w:cs="宋体"/>
          <w:color w:val="000000"/>
          <w:sz w:val="24"/>
          <w:highlight w:val="none"/>
        </w:rPr>
      </w:r>
      <w:r/>
    </w:p>
    <w:p>
      <w:pPr>
        <w:pStyle w:val="1160"/>
        <w:ind w:firstLine="480"/>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 本项目是否属于政府购买服务：</w:t>
      </w:r>
      <w:r>
        <w:rPr>
          <w:rFonts w:hint="eastAsia" w:ascii="宋体" w:hAnsi="宋体" w:cs="宋体"/>
          <w:color w:val="000000"/>
          <w:sz w:val="24"/>
          <w:highlight w:val="none"/>
        </w:rPr>
      </w:r>
      <w:r/>
    </w:p>
    <w:p>
      <w:pPr>
        <w:pStyle w:val="1160"/>
        <w:ind w:left="991" w:firstLine="2"/>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p>
      <w:pPr>
        <w:pStyle w:val="1160"/>
        <w:ind w:left="991" w:firstLine="2"/>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□是，公益一类事业单位、使用事业编制且由财政拨款保障的群团组织，不得作为承接主体；</w:t>
      </w:r>
      <w:r>
        <w:rPr>
          <w:rFonts w:hint="eastAsia" w:ascii="宋体" w:hAnsi="宋体" w:cs="宋体"/>
          <w:color w:val="000000"/>
          <w:sz w:val="24"/>
          <w:highlight w:val="none"/>
        </w:rPr>
      </w:r>
      <w:r/>
    </w:p>
    <w:p>
      <w:pPr>
        <w:pStyle w:val="1160"/>
        <w:ind w:firstLine="480"/>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u w:val="single"/>
          <w:lang w:val="en-US" w:eastAsia="zh-CN"/>
        </w:rPr>
      </w:pPr>
      <w:r>
        <w:rPr>
          <w:rFonts w:hint="eastAsia" w:ascii="宋体" w:hAnsi="宋体" w:cs="宋体"/>
          <w:color w:val="000000"/>
          <w:sz w:val="24"/>
          <w:highlight w:val="none"/>
        </w:rPr>
        <w:t xml:space="preserve">3.3其他特定资格要求：</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lang w:val="en-US" w:eastAsia="zh-CN"/>
        </w:rPr>
      </w:r>
      <w:r/>
    </w:p>
    <w:p>
      <w:pPr>
        <w:pStyle w:val="1160"/>
        <w:spacing w:line="360" w:lineRule="auto"/>
        <w:shd w:val="clear" w:color="auto" w:fill="auto"/>
        <w:rPr>
          <w:rFonts w:hint="eastAsia" w:ascii="宋体" w:hAnsi="宋体"/>
          <w:b/>
          <w:bCs/>
          <w:color w:val="000000"/>
          <w:sz w:val="24"/>
          <w:highlight w:val="none"/>
        </w:rPr>
      </w:pPr>
      <w:r/>
      <w:bookmarkEnd w:id="11"/>
      <w:r/>
      <w:bookmarkEnd w:id="12"/>
      <w:r/>
      <w:bookmarkStart w:id="13" w:name="_Toc35393792"/>
      <w:r/>
      <w:bookmarkStart w:id="14" w:name="_Toc35393623"/>
      <w:r>
        <w:rPr>
          <w:rFonts w:hint="eastAsia" w:ascii="宋体" w:hAnsi="宋体"/>
          <w:b/>
          <w:bCs/>
          <w:color w:val="000000"/>
          <w:sz w:val="24"/>
          <w:highlight w:val="none"/>
        </w:rPr>
        <w:t xml:space="preserve">三、获取招标文件</w:t>
      </w:r>
      <w:bookmarkEnd w:id="13"/>
      <w:r/>
      <w:bookmarkEnd w:id="14"/>
      <w:r>
        <w:rPr>
          <w:rFonts w:hint="eastAsia" w:ascii="宋体" w:hAnsi="宋体"/>
          <w:b/>
          <w:bCs/>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u w:val="none"/>
          <w:lang w:bidi="ar"/>
        </w:rPr>
      </w:pPr>
      <w:r>
        <w:rPr>
          <w:rFonts w:hint="eastAsia" w:ascii="宋体" w:hAnsi="宋体" w:cs="宋体"/>
          <w:color w:val="000000"/>
          <w:sz w:val="24"/>
          <w:highlight w:val="none"/>
          <w:u w:val="none"/>
          <w:lang w:bidi="ar"/>
        </w:rPr>
        <w:t xml:space="preserve">1.时间：</w:t>
      </w:r>
      <w:r>
        <w:rPr>
          <w:rFonts w:hint="eastAsia" w:ascii="宋体" w:hAnsi="宋体" w:cs="宋体"/>
          <w:color w:val="000000"/>
          <w:sz w:val="24"/>
          <w:highlight w:val="none"/>
          <w:u w:val="none"/>
        </w:rPr>
        <w:t xml:space="preserve">自招标文件公告发布之日起5个工作日。</w:t>
      </w:r>
      <w:r>
        <w:rPr>
          <w:rFonts w:hint="eastAsia" w:ascii="宋体" w:hAnsi="宋体" w:cs="宋体"/>
          <w:color w:val="000000"/>
          <w:sz w:val="24"/>
          <w:highlight w:val="none"/>
          <w:u w:val="none"/>
          <w:lang w:bidi="ar"/>
        </w:rPr>
      </w:r>
      <w:r/>
    </w:p>
    <w:p>
      <w:pPr>
        <w:pStyle w:val="1160"/>
        <w:ind w:firstLine="480"/>
        <w:spacing w:line="360" w:lineRule="auto"/>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2.地点：</w:t>
      </w:r>
      <w:r>
        <w:rPr>
          <w:rFonts w:hint="eastAsia" w:ascii="宋体" w:hAnsi="宋体" w:cs="宋体"/>
          <w:color w:val="000000"/>
          <w:sz w:val="24"/>
          <w:highlight w:val="none"/>
        </w:rPr>
        <w:t xml:space="preserve">“苏采云”政府采购一体化平台。</w:t>
      </w:r>
      <w:r>
        <w:rPr>
          <w:rFonts w:hint="eastAsia" w:ascii="宋体" w:hAnsi="宋体" w:cs="宋体"/>
          <w:color w:val="000000"/>
          <w:sz w:val="24"/>
          <w:highlight w:val="none"/>
          <w:lang w:bidi="ar"/>
        </w:rPr>
      </w:r>
      <w:r/>
    </w:p>
    <w:p>
      <w:pPr>
        <w:pStyle w:val="1160"/>
        <w:ind w:firstLine="480"/>
        <w:spacing w:line="360" w:lineRule="auto"/>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3.方式：投标人</w:t>
      </w:r>
      <w:r>
        <w:rPr>
          <w:rFonts w:hint="eastAsia" w:ascii="宋体" w:hAnsi="宋体" w:cs="宋体"/>
          <w:color w:val="000000"/>
          <w:sz w:val="24"/>
          <w:highlight w:val="none"/>
          <w:lang w:eastAsia="zh-CN" w:bidi="ar"/>
        </w:rPr>
        <w:t xml:space="preserve">登录</w:t>
      </w:r>
      <w:r>
        <w:rPr>
          <w:rFonts w:hint="eastAsia" w:ascii="宋体" w:hAnsi="宋体" w:cs="宋体"/>
          <w:color w:val="000000"/>
          <w:sz w:val="24"/>
          <w:highlight w:val="none"/>
          <w:lang w:bidi="ar"/>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highlight w:val="none"/>
          <w:lang w:bidi="ar"/>
        </w:rPr>
      </w:r>
      <w:r/>
    </w:p>
    <w:p>
      <w:pPr>
        <w:pStyle w:val="1160"/>
        <w:ind w:firstLine="480"/>
        <w:spacing w:line="360" w:lineRule="auto"/>
        <w:shd w:val="clear" w:color="auto" w:fill="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4.售价：</w:t>
      </w:r>
      <w:r>
        <w:rPr>
          <w:rFonts w:hint="eastAsia" w:ascii="宋体" w:hAnsi="宋体" w:cs="宋体"/>
          <w:color w:val="000000"/>
          <w:sz w:val="24"/>
          <w:highlight w:val="none"/>
          <w:u w:val="single"/>
          <w:lang w:bidi="ar"/>
        </w:rPr>
        <w:t xml:space="preserve"> 0 </w:t>
      </w:r>
      <w:r>
        <w:rPr>
          <w:rFonts w:hint="eastAsia" w:ascii="宋体" w:hAnsi="宋体" w:cs="宋体"/>
          <w:color w:val="000000"/>
          <w:sz w:val="24"/>
          <w:highlight w:val="none"/>
          <w:lang w:bidi="ar"/>
        </w:rPr>
        <w:t xml:space="preserve">元。</w:t>
      </w:r>
      <w:r>
        <w:rPr>
          <w:rFonts w:hint="eastAsia" w:ascii="宋体" w:hAnsi="宋体" w:cs="宋体"/>
          <w:color w:val="000000"/>
          <w:sz w:val="24"/>
          <w:highlight w:val="none"/>
          <w:lang w:bidi="ar"/>
        </w:rPr>
      </w:r>
      <w:r/>
    </w:p>
    <w:p>
      <w:pPr>
        <w:pStyle w:val="1160"/>
        <w:spacing w:line="360" w:lineRule="auto"/>
        <w:shd w:val="clear" w:color="auto" w:fill="auto"/>
        <w:rPr>
          <w:rFonts w:hint="eastAsia" w:ascii="宋体" w:hAnsi="宋体"/>
          <w:b/>
          <w:bCs/>
          <w:color w:val="000000"/>
          <w:sz w:val="24"/>
          <w:highlight w:val="none"/>
        </w:rPr>
      </w:pPr>
      <w:r/>
      <w:bookmarkStart w:id="15" w:name="_Toc28359082"/>
      <w:r/>
      <w:bookmarkStart w:id="16" w:name="_Toc28359005"/>
      <w:r/>
      <w:bookmarkStart w:id="17" w:name="_Toc35393624"/>
      <w:r/>
      <w:bookmarkStart w:id="18" w:name="_Toc35393793"/>
      <w:r>
        <w:rPr>
          <w:rFonts w:hint="eastAsia" w:ascii="宋体" w:hAnsi="宋体"/>
          <w:b/>
          <w:bCs/>
          <w:color w:val="000000"/>
          <w:sz w:val="24"/>
          <w:highlight w:val="none"/>
        </w:rPr>
        <w:t xml:space="preserve">四、提交投标文件</w:t>
      </w:r>
      <w:bookmarkEnd w:id="15"/>
      <w:r/>
      <w:bookmarkEnd w:id="16"/>
      <w:r>
        <w:rPr>
          <w:rFonts w:hint="eastAsia" w:ascii="宋体" w:hAnsi="宋体"/>
          <w:b/>
          <w:bCs/>
          <w:color w:val="000000"/>
          <w:sz w:val="24"/>
          <w:highlight w:val="none"/>
        </w:rPr>
        <w:t xml:space="preserve">截止时间、开标时间和地点</w:t>
      </w:r>
      <w:bookmarkEnd w:id="17"/>
      <w:r/>
      <w:bookmarkEnd w:id="18"/>
      <w:r>
        <w:rPr>
          <w:rFonts w:hint="eastAsia" w:ascii="宋体" w:hAnsi="宋体"/>
          <w:b/>
          <w:bCs/>
          <w:color w:val="000000"/>
          <w:sz w:val="24"/>
          <w:highlight w:val="none"/>
        </w:rPr>
      </w:r>
      <w:r/>
    </w:p>
    <w:p>
      <w:pPr>
        <w:pStyle w:val="1160"/>
        <w:ind w:firstLine="480"/>
        <w:spacing w:line="360" w:lineRule="auto"/>
        <w:shd w:val="clear" w:color="auto" w:fill="auto"/>
        <w:rPr>
          <w:rFonts w:hint="eastAsia" w:ascii="宋体" w:hAnsi="宋体" w:eastAsia="宋体" w:cs="宋体"/>
          <w:iCs/>
          <w:color w:val="000000"/>
          <w:sz w:val="24"/>
          <w:highlight w:val="none"/>
          <w:lang w:bidi="ar"/>
        </w:rPr>
        <w:outlineLvl w:val="9"/>
      </w:pPr>
      <w:r/>
      <w:bookmarkStart w:id="19" w:name="_Toc28359007"/>
      <w:r/>
      <w:bookmarkStart w:id="20" w:name="_Toc35393625"/>
      <w:r/>
      <w:bookmarkStart w:id="21" w:name="_Toc35393794"/>
      <w:r/>
      <w:bookmarkStart w:id="22" w:name="_Toc28359084"/>
      <w:r>
        <w:rPr>
          <w:color w:val="000000"/>
          <w:sz w:val="24"/>
          <w:highlight w:val="none"/>
          <w:lang w:bidi="ar"/>
        </w:rPr>
        <w:t xml:space="preserve">投标截止时间、开标时间：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2026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val="en-US" w:eastAsia="zh-CN"/>
        </w:rPr>
        <w:t xml:space="preserve"> 5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val="en-US" w:eastAsia="zh-CN"/>
        </w:rPr>
        <w:t xml:space="preserve"> 13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u w:val="single"/>
          <w:lang w:val="en-US" w:eastAsia="zh-CN"/>
        </w:rPr>
        <w:t xml:space="preserve"> 9 </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val="en-US" w:eastAsia="zh-CN" w:bidi="ar"/>
        </w:rPr>
        <w:t xml:space="preserve">00</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bidi="ar"/>
        </w:rPr>
        <w:t xml:space="preserve">分</w:t>
      </w:r>
      <w:r>
        <w:rPr>
          <w:rFonts w:hint="eastAsia" w:ascii="宋体" w:hAnsi="宋体" w:eastAsia="宋体" w:cs="宋体"/>
          <w:bCs/>
          <w:color w:val="000000"/>
          <w:sz w:val="24"/>
          <w:highlight w:val="none"/>
          <w:lang w:bidi="ar"/>
        </w:rPr>
        <w:t xml:space="preserve">（北京时间）</w:t>
      </w:r>
      <w:r>
        <w:rPr>
          <w:rFonts w:hint="eastAsia" w:ascii="宋体" w:hAnsi="宋体" w:eastAsia="宋体" w:cs="宋体"/>
          <w:iCs/>
          <w:color w:val="000000"/>
          <w:sz w:val="24"/>
          <w:highlight w:val="none"/>
          <w:lang w:bidi="ar"/>
        </w:rPr>
        <w:t xml:space="preserve">。</w:t>
      </w:r>
      <w:r>
        <w:rPr>
          <w:rFonts w:hint="eastAsia" w:ascii="宋体" w:hAnsi="宋体" w:eastAsia="宋体" w:cs="宋体"/>
          <w:iCs/>
          <w:color w:val="000000"/>
          <w:sz w:val="24"/>
          <w:highlight w:val="none"/>
          <w:lang w:bidi="ar"/>
        </w:rPr>
      </w:r>
      <w:r/>
    </w:p>
    <w:p>
      <w:pPr>
        <w:pStyle w:val="1160"/>
        <w:ind w:firstLine="480"/>
        <w:spacing w:line="360" w:lineRule="auto"/>
        <w:shd w:val="clear" w:color="auto" w:fill="auto"/>
        <w:rPr>
          <w:rFonts w:hint="eastAsia" w:ascii="宋体" w:hAnsi="宋体" w:cs="宋体"/>
          <w:color w:val="000000"/>
          <w:sz w:val="24"/>
          <w:highlight w:val="none"/>
          <w:u w:val="single"/>
          <w:lang w:bidi="ar"/>
        </w:rPr>
      </w:pPr>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u w:val="single"/>
          <w:lang w:bidi="ar"/>
        </w:rPr>
        <w:t xml:space="preserve">“苏采云”政府采购交易系统网上开标大厅。</w:t>
      </w:r>
      <w:r>
        <w:rPr>
          <w:rFonts w:hint="eastAsia" w:ascii="宋体" w:hAnsi="宋体" w:cs="宋体"/>
          <w:color w:val="000000"/>
          <w:sz w:val="24"/>
          <w:highlight w:val="none"/>
          <w:u w:val="single"/>
          <w:lang w:bidi="ar"/>
        </w:rPr>
      </w:r>
      <w:r/>
    </w:p>
    <w:p>
      <w:pPr>
        <w:pStyle w:val="1160"/>
        <w:spacing w:line="360" w:lineRule="auto"/>
        <w:shd w:val="clear" w:color="auto" w:fill="auto"/>
        <w:rPr>
          <w:rFonts w:hint="eastAsia" w:ascii="宋体" w:hAnsi="宋体"/>
          <w:b/>
          <w:bCs/>
          <w:color w:val="000000"/>
          <w:sz w:val="24"/>
          <w:highlight w:val="none"/>
        </w:rPr>
      </w:pPr>
      <w:r>
        <w:rPr>
          <w:rFonts w:hint="eastAsia" w:ascii="宋体" w:hAnsi="宋体"/>
          <w:b/>
          <w:bCs/>
          <w:color w:val="000000"/>
          <w:sz w:val="24"/>
          <w:highlight w:val="none"/>
        </w:rPr>
        <w:t xml:space="preserve">五、公告期限</w:t>
      </w:r>
      <w:bookmarkEnd w:id="19"/>
      <w:r/>
      <w:bookmarkEnd w:id="20"/>
      <w:r/>
      <w:bookmarkEnd w:id="21"/>
      <w:r/>
      <w:bookmarkEnd w:id="22"/>
      <w:r>
        <w:rPr>
          <w:rFonts w:hint="eastAsia" w:ascii="宋体" w:hAnsi="宋体"/>
          <w:b/>
          <w:bCs/>
          <w:color w:val="000000"/>
          <w:sz w:val="24"/>
          <w:highlight w:val="none"/>
        </w:rPr>
      </w:r>
      <w:r/>
    </w:p>
    <w:p>
      <w:pPr>
        <w:pStyle w:val="1160"/>
        <w:ind w:firstLine="480"/>
        <w:spacing w:line="360" w:lineRule="auto"/>
        <w:shd w:val="clear" w:color="auto" w:fill="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1160"/>
        <w:spacing w:line="360" w:lineRule="auto"/>
        <w:shd w:val="clear" w:color="auto" w:fill="auto"/>
        <w:rPr>
          <w:rFonts w:hint="eastAsia" w:ascii="宋体" w:hAnsi="宋体"/>
          <w:b/>
          <w:bCs/>
          <w:color w:val="000000"/>
          <w:sz w:val="24"/>
          <w:highlight w:val="none"/>
        </w:rPr>
      </w:pPr>
      <w:r/>
      <w:bookmarkStart w:id="23" w:name="_Toc35393795"/>
      <w:r/>
      <w:bookmarkStart w:id="24" w:name="_Toc35393626"/>
      <w:r/>
      <w:bookmarkStart w:id="25" w:name="_Toc28359008"/>
      <w:r/>
      <w:bookmarkStart w:id="26" w:name="_Toc28359085"/>
      <w:r/>
      <w:bookmarkStart w:id="27" w:name="_Toc35393796"/>
      <w:r/>
      <w:bookmarkStart w:id="28" w:name="_Toc35393627"/>
      <w:r>
        <w:rPr>
          <w:rFonts w:hint="eastAsia" w:ascii="宋体" w:hAnsi="宋体"/>
          <w:b/>
          <w:bCs/>
          <w:color w:val="000000"/>
          <w:sz w:val="24"/>
          <w:highlight w:val="none"/>
        </w:rPr>
        <w:t xml:space="preserve">六、其他补充事宜</w:t>
      </w:r>
      <w:bookmarkEnd w:id="23"/>
      <w:r/>
      <w:bookmarkEnd w:id="24"/>
      <w:r>
        <w:rPr>
          <w:rFonts w:hint="eastAsia" w:ascii="宋体" w:hAnsi="宋体"/>
          <w:b/>
          <w:bCs/>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1.本项目需要落实的政府采购政策：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4.本项目采用远程“不见面”交易方式，无需到现场提交，请投标人在提交时间截止前提前登入“苏采云”，通过系统在线提交电子投标文件。</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5.有关本次招标的事项若存在变动或修改，敬请及时关注“江苏政府采购网”、“常州市政府采购网”发布的更正公告。</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6.本次招标不收取投标保证金。</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7.注意事项</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投标</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在开标前应当使用“验证CA”功能验证本地计算机的控件环境是否正常，并且在开标、评审过程中不可随意更换计算机，必须使用验证成功的计算机进行操作，否则造成相应后果由投标</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自行承担。</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8.投标</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可以在“江苏政府采购网”或者“常州市政府采购网”自行免费下载采购文件，但本项目通过“苏采云”系统采用电子化不见面交易的模式，投标</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通过“江苏政府采购网”或“常州市政府采购网”下载采购文件后，还必须登录“苏采云”系统按照获取采购文件方式要求进行登记、参与及下载电子采购文件方可通过系统进行投标文件的编制和提交。</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，视为未参与该项政府采购活动，不具备对该政府采购项目提出质疑的法定权利，但因</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资格条件或报名时间设定不符合有关法律法规规定等原因使</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权益受损的除外。</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10.如潜在</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未按上述要求操作，将自行承担所产生的风险。</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11.关于常州市中小企业政府采购信用融资：</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12.关于深入开展常州市政府采购线上合同信用融资：</w:t>
      </w:r>
      <w:r>
        <w:rPr>
          <w:rFonts w:hint="eastAsia" w:ascii="宋体" w:hAnsi="宋体" w:cs="宋体"/>
          <w:color w:val="000000"/>
          <w:sz w:val="24"/>
          <w:highlight w:val="none"/>
        </w:rPr>
      </w:r>
      <w:r/>
    </w:p>
    <w:p>
      <w:pPr>
        <w:pStyle w:val="1160"/>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hint="eastAsia" w:ascii="宋体" w:hAnsi="宋体" w:cs="宋体"/>
          <w:color w:val="000000"/>
          <w:sz w:val="24"/>
          <w:highlight w:val="none"/>
        </w:rPr>
      </w:r>
      <w:r/>
    </w:p>
    <w:p>
      <w:pPr>
        <w:pStyle w:val="1160"/>
        <w:spacing w:line="360" w:lineRule="auto"/>
        <w:shd w:val="clear" w:color="auto" w:fill="auto"/>
        <w:rPr>
          <w:rFonts w:hint="eastAsia" w:ascii="宋体" w:hAnsi="宋体"/>
          <w:b/>
          <w:bCs/>
          <w:color w:val="000000"/>
          <w:sz w:val="24"/>
          <w:highlight w:val="none"/>
        </w:rPr>
      </w:pPr>
      <w:r>
        <w:rPr>
          <w:rFonts w:hint="eastAsia" w:ascii="宋体" w:hAnsi="宋体"/>
          <w:b/>
          <w:bCs/>
          <w:color w:val="000000"/>
          <w:sz w:val="24"/>
          <w:highlight w:val="none"/>
        </w:rPr>
        <w:t xml:space="preserve">七、对本次招标提出询问，请按以下方式联系。</w:t>
      </w:r>
      <w:bookmarkEnd w:id="25"/>
      <w:r/>
      <w:bookmarkEnd w:id="26"/>
      <w:r/>
      <w:bookmarkEnd w:id="27"/>
      <w:r/>
      <w:bookmarkEnd w:id="28"/>
      <w:r>
        <w:rPr>
          <w:rFonts w:hint="eastAsia" w:ascii="宋体" w:hAnsi="宋体"/>
          <w:b/>
          <w:bCs/>
          <w:color w:val="000000"/>
          <w:sz w:val="24"/>
          <w:highlight w:val="none"/>
        </w:rPr>
      </w:r>
      <w:r/>
    </w:p>
    <w:p>
      <w:pPr>
        <w:pStyle w:val="1160"/>
        <w:ind w:firstLine="482"/>
        <w:jc w:val="left"/>
        <w:spacing w:line="360" w:lineRule="auto"/>
        <w:shd w:val="clear" w:color="auto" w:fill="auto"/>
        <w:widowControl/>
        <w:rPr>
          <w:rFonts w:hint="eastAsia" w:ascii="宋体" w:hAnsi="宋体" w:cs="宋体"/>
          <w:b/>
          <w:bCs/>
          <w:color w:val="000000"/>
          <w:sz w:val="24"/>
          <w:highlight w:val="none"/>
          <w:lang w:val="zh-TW" w:bidi="ar"/>
        </w:rPr>
      </w:pPr>
      <w:r/>
      <w:bookmarkStart w:id="29" w:name="_Toc265228423"/>
      <w:r/>
      <w:bookmarkStart w:id="30" w:name="_Toc305158854"/>
      <w:r/>
      <w:bookmarkStart w:id="31" w:name="_Toc264969275"/>
      <w:r/>
      <w:bookmarkStart w:id="32" w:name="_Toc195842950"/>
      <w:r/>
      <w:bookmarkStart w:id="33" w:name="_Toc353825548"/>
      <w:r/>
      <w:bookmarkStart w:id="34" w:name="_Toc150774783"/>
      <w:r/>
      <w:bookmarkStart w:id="35" w:name="_Toc127151777"/>
      <w:r/>
      <w:bookmarkStart w:id="36" w:name="_Toc353873938"/>
      <w:r/>
      <w:bookmarkStart w:id="37" w:name="_Toc226965856"/>
      <w:r/>
      <w:bookmarkStart w:id="38" w:name="_Toc512937850"/>
      <w:r/>
      <w:bookmarkStart w:id="39" w:name="_Toc305158928"/>
      <w:r/>
      <w:bookmarkStart w:id="40" w:name="_Toc127161488"/>
      <w:r>
        <w:rPr>
          <w:rFonts w:hint="eastAsia" w:ascii="宋体" w:hAnsi="宋体" w:cs="宋体"/>
          <w:b/>
          <w:bCs/>
          <w:color w:val="000000"/>
          <w:sz w:val="24"/>
          <w:highlight w:val="none"/>
          <w:lang w:val="zh-TW" w:bidi="ar"/>
        </w:rPr>
        <w:t xml:space="preserve">1.</w:t>
      </w:r>
      <w:r>
        <w:rPr>
          <w:rFonts w:hint="eastAsia" w:ascii="宋体" w:hAnsi="宋体" w:cs="宋体"/>
          <w:b/>
          <w:bCs/>
          <w:color w:val="000000"/>
          <w:sz w:val="24"/>
          <w:highlight w:val="none"/>
          <w:lang w:val="en-US" w:eastAsia="zh-CN" w:bidi="ar"/>
        </w:rPr>
        <w:t xml:space="preserve">采购</w:t>
      </w:r>
      <w:r>
        <w:rPr>
          <w:rFonts w:hint="eastAsia" w:ascii="宋体" w:hAnsi="宋体" w:cs="宋体"/>
          <w:b/>
          <w:bCs/>
          <w:color w:val="000000"/>
          <w:sz w:val="24"/>
          <w:highlight w:val="none"/>
          <w:lang w:bidi="ar"/>
        </w:rPr>
        <w:t xml:space="preserve">人</w:t>
      </w:r>
      <w:r>
        <w:rPr>
          <w:rFonts w:hint="eastAsia" w:ascii="宋体" w:hAnsi="宋体" w:cs="宋体"/>
          <w:b/>
          <w:bCs/>
          <w:color w:val="000000"/>
          <w:sz w:val="24"/>
          <w:highlight w:val="none"/>
          <w:lang w:val="zh-TW" w:bidi="ar"/>
        </w:rPr>
        <w:t xml:space="preserve">信息</w:t>
      </w:r>
      <w:r>
        <w:rPr>
          <w:rFonts w:hint="eastAsia" w:ascii="宋体" w:hAnsi="宋体" w:cs="宋体"/>
          <w:b/>
          <w:bCs/>
          <w:color w:val="000000"/>
          <w:sz w:val="24"/>
          <w:highlight w:val="none"/>
          <w:lang w:val="zh-TW" w:bidi="ar"/>
        </w:rPr>
      </w:r>
      <w:r/>
    </w:p>
    <w:p>
      <w:pPr>
        <w:pStyle w:val="1160"/>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名    称：</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eastAsia="zh-CN" w:bidi="ar"/>
        </w:rPr>
        <w:t xml:space="preserve">常州市武进人民医院</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1160"/>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地    址：</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val="zh-TW" w:bidi="ar"/>
        </w:rPr>
        <w:t xml:space="preserve">常州市永宁北路2号</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1160"/>
        <w:ind w:firstLine="480"/>
        <w:jc w:val="left"/>
        <w:spacing w:line="360" w:lineRule="auto"/>
        <w:shd w:val="clear" w:color="auto" w:fill="auto"/>
        <w:widowControl/>
        <w:rPr>
          <w:rFonts w:ascii="宋体" w:hAnsi="宋体" w:eastAsia="宋体" w:cs="宋体"/>
          <w:color w:val="000000"/>
          <w:sz w:val="24"/>
          <w:highlight w:val="none"/>
          <w:u w:val="single"/>
          <w:lang w:val="en-US" w:eastAsia="zh-CN" w:bidi="ar"/>
        </w:rPr>
      </w:pPr>
      <w:r>
        <w:rPr>
          <w:rFonts w:hint="eastAsia" w:ascii="宋体" w:hAnsi="宋体" w:cs="宋体"/>
          <w:color w:val="000000"/>
          <w:sz w:val="24"/>
          <w:highlight w:val="none"/>
          <w:lang w:val="zh-TW" w:bidi="ar"/>
        </w:rPr>
        <w:t xml:space="preserve">联系方式：</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val="en-US" w:eastAsia="zh-CN" w:bidi="ar"/>
        </w:rPr>
        <w:t xml:space="preserve">李先生、0519-85579010  </w:t>
      </w:r>
      <w:r>
        <w:rPr>
          <w:rFonts w:ascii="宋体" w:hAnsi="宋体" w:eastAsia="宋体" w:cs="宋体"/>
          <w:color w:val="000000"/>
          <w:sz w:val="24"/>
          <w:highlight w:val="none"/>
          <w:u w:val="single"/>
          <w:lang w:val="en-US" w:eastAsia="zh-CN" w:bidi="ar"/>
        </w:rPr>
      </w:r>
      <w:r/>
    </w:p>
    <w:p>
      <w:pPr>
        <w:pStyle w:val="1160"/>
        <w:ind w:firstLine="482"/>
        <w:jc w:val="left"/>
        <w:spacing w:line="360" w:lineRule="auto"/>
        <w:shd w:val="clear" w:color="auto" w:fill="auto"/>
        <w:widowControl/>
        <w:rPr>
          <w:rFonts w:hint="eastAsia" w:ascii="宋体" w:hAnsi="宋体" w:cs="宋体"/>
          <w:b/>
          <w:bCs/>
          <w:color w:val="000000"/>
          <w:sz w:val="24"/>
          <w:highlight w:val="none"/>
          <w:lang w:val="zh-TW" w:bidi="ar"/>
        </w:rPr>
      </w:pPr>
      <w:r>
        <w:rPr>
          <w:rFonts w:hint="eastAsia" w:ascii="宋体" w:hAnsi="宋体" w:cs="宋体"/>
          <w:b/>
          <w:bCs/>
          <w:color w:val="000000"/>
          <w:sz w:val="24"/>
          <w:highlight w:val="none"/>
          <w:lang w:val="zh-TW" w:bidi="ar"/>
        </w:rPr>
        <w:t xml:space="preserve">2.采购代理机构信息</w:t>
      </w:r>
      <w:r>
        <w:rPr>
          <w:rFonts w:hint="eastAsia" w:ascii="宋体" w:hAnsi="宋体" w:cs="宋体"/>
          <w:b/>
          <w:bCs/>
          <w:color w:val="000000"/>
          <w:sz w:val="24"/>
          <w:highlight w:val="none"/>
          <w:lang w:val="zh-TW" w:bidi="ar"/>
        </w:rPr>
      </w:r>
      <w:r/>
    </w:p>
    <w:p>
      <w:pPr>
        <w:pStyle w:val="1160"/>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名    称：</w:t>
      </w:r>
      <w:r>
        <w:rPr>
          <w:rFonts w:hint="eastAsia" w:ascii="宋体" w:hAnsi="宋体" w:cs="宋体"/>
          <w:color w:val="000000"/>
          <w:sz w:val="24"/>
          <w:highlight w:val="none"/>
          <w:u w:val="single"/>
          <w:lang w:val="zh-TW" w:bidi="ar"/>
        </w:rPr>
        <w:t xml:space="preserve"> 江苏尚阳工程管理有限公司</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1160"/>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地    址：</w:t>
      </w:r>
      <w:r>
        <w:rPr>
          <w:rFonts w:hint="eastAsia" w:ascii="宋体" w:hAnsi="宋体" w:cs="宋体"/>
          <w:color w:val="000000"/>
          <w:sz w:val="24"/>
          <w:highlight w:val="none"/>
          <w:u w:val="single"/>
          <w:lang w:val="zh-TW" w:bidi="ar"/>
        </w:rPr>
        <w:t xml:space="preserve"> 常州市新北区嵩山路1-301号（太湖明珠苑综合市场3楼）</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1160"/>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联系方式：</w:t>
      </w:r>
      <w:r>
        <w:rPr>
          <w:rFonts w:hint="eastAsia" w:ascii="宋体" w:hAnsi="宋体" w:cs="宋体"/>
          <w:color w:val="000000"/>
          <w:sz w:val="24"/>
          <w:highlight w:val="none"/>
          <w:u w:val="single"/>
          <w:lang w:val="zh-TW" w:bidi="ar"/>
        </w:rPr>
        <w:t xml:space="preserve"> 0519-88818225</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1160"/>
        <w:ind w:firstLine="482"/>
        <w:jc w:val="left"/>
        <w:spacing w:line="360" w:lineRule="auto"/>
        <w:shd w:val="clear" w:color="auto" w:fill="auto"/>
        <w:widowControl/>
        <w:rPr>
          <w:rFonts w:hint="eastAsia" w:ascii="宋体" w:hAnsi="宋体" w:cs="宋体"/>
          <w:b/>
          <w:bCs/>
          <w:color w:val="000000"/>
          <w:sz w:val="24"/>
          <w:highlight w:val="none"/>
          <w:lang w:val="zh-TW" w:bidi="ar"/>
        </w:rPr>
      </w:pPr>
      <w:r>
        <w:rPr>
          <w:rFonts w:hint="eastAsia" w:ascii="宋体" w:hAnsi="宋体" w:cs="宋体"/>
          <w:b/>
          <w:bCs/>
          <w:color w:val="000000"/>
          <w:sz w:val="24"/>
          <w:highlight w:val="none"/>
          <w:lang w:val="zh-TW" w:bidi="ar"/>
        </w:rPr>
        <w:t xml:space="preserve">3.项目联系方式</w:t>
      </w:r>
      <w:r>
        <w:rPr>
          <w:rFonts w:hint="eastAsia" w:ascii="宋体" w:hAnsi="宋体" w:cs="宋体"/>
          <w:b/>
          <w:bCs/>
          <w:color w:val="000000"/>
          <w:sz w:val="24"/>
          <w:highlight w:val="none"/>
          <w:lang w:val="zh-TW" w:bidi="ar"/>
        </w:rPr>
      </w:r>
      <w:r/>
    </w:p>
    <w:p>
      <w:pPr>
        <w:pStyle w:val="1160"/>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项目联系人：</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val="en-US" w:eastAsia="zh-CN" w:bidi="ar"/>
        </w:rPr>
        <w:t xml:space="preserve">王涛</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1160"/>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电      话：</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val="zh-TW" w:eastAsia="zh-CN" w:bidi="ar"/>
        </w:rPr>
        <w:t xml:space="preserve">0519-88818292（8000）</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1160"/>
        <w:jc w:val="center"/>
        <w:spacing w:line="360" w:lineRule="auto"/>
        <w:shd w:val="clear" w:color="auto" w:fill="auto"/>
        <w:rPr>
          <w:rFonts w:hint="eastAsia" w:ascii="宋体" w:hAnsi="宋体" w:cs="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r>
      <w:r/>
    </w:p>
    <w:p>
      <w:pPr>
        <w:pStyle w:val="1160"/>
        <w:jc w:val="center"/>
        <w:spacing w:line="360" w:lineRule="auto"/>
        <w:shd w:val="clear" w:color="auto" w:fill="auto"/>
        <w:rPr>
          <w:b/>
          <w:color w:val="000000"/>
          <w:sz w:val="36"/>
          <w:szCs w:val="36"/>
          <w:highlight w:val="none"/>
        </w:rPr>
        <w:outlineLvl w:val="0"/>
      </w:pPr>
      <w:r/>
      <w:bookmarkStart w:id="41" w:name="_Toc5570"/>
      <w:r>
        <w:rPr>
          <w:b/>
          <w:color w:val="000000"/>
          <w:sz w:val="36"/>
          <w:szCs w:val="36"/>
          <w:highlight w:val="none"/>
        </w:rPr>
        <w:t xml:space="preserve">第二章   投标人须知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Pr>
          <w:b/>
          <w:color w:val="000000"/>
          <w:sz w:val="36"/>
          <w:szCs w:val="36"/>
          <w:highlight w:val="none"/>
        </w:rPr>
      </w:r>
      <w:r/>
    </w:p>
    <w:p>
      <w:pPr>
        <w:pStyle w:val="1160"/>
        <w:jc w:val="center"/>
        <w:spacing w:line="360" w:lineRule="auto"/>
        <w:shd w:val="clear" w:color="auto" w:fill="auto"/>
        <w:rPr>
          <w:rFonts w:hint="eastAsia" w:ascii="宋体" w:hAnsi="宋体"/>
          <w:b/>
          <w:bCs/>
          <w:color w:val="000000"/>
          <w:sz w:val="28"/>
          <w:szCs w:val="28"/>
          <w:highlight w:val="none"/>
        </w:rPr>
      </w:pPr>
      <w:r/>
      <w:bookmarkStart w:id="42" w:name="_Toc150509270"/>
      <w:r/>
      <w:bookmarkStart w:id="43" w:name="_Toc149720812"/>
      <w:r/>
      <w:bookmarkStart w:id="44" w:name="_Toc226337215"/>
      <w:r/>
      <w:bookmarkStart w:id="45" w:name="_Toc150480757"/>
      <w:r/>
      <w:bookmarkStart w:id="46" w:name="_Toc226965709"/>
      <w:r/>
      <w:bookmarkStart w:id="47" w:name="_Toc164229360"/>
      <w:r/>
      <w:bookmarkStart w:id="48" w:name="_Toc164229214"/>
      <w:r/>
      <w:bookmarkStart w:id="49" w:name="_Toc520356144"/>
      <w:r/>
      <w:bookmarkStart w:id="50" w:name="_Toc164608788"/>
      <w:r/>
      <w:bookmarkStart w:id="51" w:name="_Toc142311021"/>
      <w:r/>
      <w:bookmarkStart w:id="52" w:name="_Toc151193833"/>
      <w:r/>
      <w:bookmarkStart w:id="53" w:name="_Toc164608633"/>
      <w:r/>
      <w:bookmarkStart w:id="54" w:name="_Toc151190146"/>
      <w:r/>
      <w:bookmarkStart w:id="55" w:name="_Toc151193617"/>
      <w:r/>
      <w:bookmarkStart w:id="56" w:name="_Toc151193689"/>
      <w:r/>
      <w:bookmarkStart w:id="57" w:name="_Toc151193761"/>
      <w:r/>
      <w:bookmarkStart w:id="58" w:name="_Toc127151519"/>
      <w:r/>
      <w:bookmarkStart w:id="59" w:name="_Toc164351613"/>
      <w:r/>
      <w:bookmarkStart w:id="60" w:name="_Toc150774619"/>
      <w:r/>
      <w:bookmarkStart w:id="61" w:name="_Toc195842884"/>
      <w:r/>
      <w:bookmarkStart w:id="62" w:name="_Toc127161433"/>
      <w:r/>
      <w:bookmarkStart w:id="63" w:name="_Toc151193907"/>
      <w:r/>
      <w:bookmarkStart w:id="64" w:name="_Toc150774724"/>
      <w:r/>
      <w:bookmarkStart w:id="65" w:name="_Toc226965792"/>
      <w:r/>
      <w:bookmarkStart w:id="66" w:name="_Toc226309763"/>
      <w:r/>
      <w:bookmarkStart w:id="67" w:name="_Toc127151720"/>
      <w:r>
        <w:rPr>
          <w:rFonts w:hint="eastAsia" w:ascii="宋体" w:hAnsi="宋体"/>
          <w:b/>
          <w:bCs/>
          <w:color w:val="000000"/>
          <w:sz w:val="28"/>
          <w:szCs w:val="28"/>
          <w:highlight w:val="none"/>
        </w:rPr>
        <w:t xml:space="preserve">投标人须知资料表</w:t>
      </w:r>
      <w:r>
        <w:rPr>
          <w:rFonts w:hint="eastAsia" w:ascii="宋体" w:hAnsi="宋体"/>
          <w:b/>
          <w:bCs/>
          <w:color w:val="000000"/>
          <w:sz w:val="28"/>
          <w:szCs w:val="28"/>
          <w:highlight w:val="none"/>
        </w:rPr>
      </w:r>
      <w:r/>
    </w:p>
    <w:p>
      <w:pPr>
        <w:pStyle w:val="1160"/>
        <w:jc w:val="center"/>
        <w:shd w:val="clear" w:color="auto" w:fill="auto"/>
        <w:rPr>
          <w:b/>
          <w:color w:val="000000"/>
          <w:sz w:val="28"/>
          <w:szCs w:val="28"/>
          <w:highlight w:val="none"/>
        </w:rPr>
      </w:pPr>
      <w:r>
        <w:rPr>
          <w:b/>
          <w:color w:val="000000"/>
          <w:sz w:val="28"/>
          <w:szCs w:val="28"/>
          <w:highlight w:val="none"/>
        </w:rPr>
      </w:r>
      <w:r/>
    </w:p>
    <w:p>
      <w:pPr>
        <w:pStyle w:val="1160"/>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本表是对投标人须知的具体补充和修改，如有矛盾，均以本资料表为准。</w:t>
      </w:r>
      <w:r>
        <w:rPr>
          <w:rFonts w:hint="eastAsia" w:ascii="宋体" w:hAnsi="宋体" w:cs="宋体"/>
          <w:color w:val="000000"/>
          <w:sz w:val="24"/>
          <w:highlight w:val="none"/>
          <w:lang w:val="zh-TW" w:bidi="ar"/>
        </w:rPr>
      </w:r>
      <w:r/>
    </w:p>
    <w:p>
      <w:pPr>
        <w:pStyle w:val="1160"/>
        <w:ind w:firstLine="480"/>
        <w:jc w:val="left"/>
        <w:spacing w:line="360" w:lineRule="auto"/>
        <w:shd w:val="clear" w:color="auto" w:fill="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标记“■”的选项意为适用于本项目，标记“□”的选项意为不适用于本项目。</w:t>
      </w:r>
      <w:r>
        <w:rPr>
          <w:rFonts w:hint="eastAsia" w:ascii="宋体" w:hAnsi="宋体" w:cs="宋体"/>
          <w:color w:val="000000"/>
          <w:sz w:val="24"/>
          <w:highlight w:val="none"/>
          <w:lang w:val="zh-TW" w:bidi="ar"/>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519"/>
        <w:gridCol w:w="7722"/>
      </w:tblGrid>
      <w:tr>
        <w:trPr>
          <w:trHeight w:val="594"/>
          <w:tblHeader/>
        </w:trPr>
        <w:tc>
          <w:tcPr>
            <w:tcW w:w="988" w:type="dxa"/>
            <w:vAlign w:val="center"/>
            <w:textDirection w:val="lrTb"/>
            <w:noWrap w:val="false"/>
          </w:tcPr>
          <w:p>
            <w:pPr>
              <w:pStyle w:val="1160"/>
              <w:jc w:val="center"/>
              <w:shd w:val="clear" w:color="auto" w:fill="auto"/>
              <w:rPr>
                <w:b/>
                <w:bCs/>
                <w:color w:val="000000"/>
                <w:sz w:val="24"/>
                <w:highlight w:val="none"/>
              </w:rPr>
            </w:pPr>
            <w:r>
              <w:rPr>
                <w:b/>
                <w:color w:val="000000"/>
                <w:sz w:val="24"/>
                <w:highlight w:val="none"/>
              </w:rPr>
              <w:t xml:space="preserve">条款号</w:t>
            </w:r>
            <w:r>
              <w:rPr>
                <w:b/>
                <w:bCs/>
                <w:color w:val="000000"/>
                <w:sz w:val="24"/>
                <w:highlight w:val="none"/>
              </w:rPr>
            </w:r>
            <w:r/>
          </w:p>
        </w:tc>
        <w:tc>
          <w:tcPr>
            <w:tcW w:w="1519" w:type="dxa"/>
            <w:vAlign w:val="center"/>
            <w:textDirection w:val="lrTb"/>
            <w:noWrap w:val="false"/>
          </w:tcPr>
          <w:p>
            <w:pPr>
              <w:pStyle w:val="1160"/>
              <w:jc w:val="center"/>
              <w:shd w:val="clear" w:color="auto" w:fill="auto"/>
              <w:rPr>
                <w:b/>
                <w:bCs/>
                <w:color w:val="000000"/>
                <w:sz w:val="24"/>
                <w:highlight w:val="none"/>
              </w:rPr>
            </w:pPr>
            <w:r>
              <w:rPr>
                <w:b/>
                <w:bCs/>
                <w:color w:val="000000"/>
                <w:sz w:val="24"/>
                <w:highlight w:val="none"/>
              </w:rPr>
              <w:t xml:space="preserve">条目</w:t>
            </w:r>
            <w:r>
              <w:rPr>
                <w:b/>
                <w:bCs/>
                <w:color w:val="000000"/>
                <w:sz w:val="24"/>
                <w:highlight w:val="none"/>
              </w:rPr>
            </w:r>
            <w:r/>
          </w:p>
        </w:tc>
        <w:tc>
          <w:tcPr>
            <w:tcW w:w="7722" w:type="dxa"/>
            <w:vAlign w:val="center"/>
            <w:textDirection w:val="lrTb"/>
            <w:noWrap w:val="false"/>
          </w:tcPr>
          <w:p>
            <w:pPr>
              <w:pStyle w:val="1160"/>
              <w:jc w:val="center"/>
              <w:shd w:val="clear" w:color="auto" w:fill="auto"/>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119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519"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t xml:space="preserve">项目属性</w:t>
            </w:r>
            <w:r>
              <w:rPr>
                <w:color w:val="000000"/>
                <w:sz w:val="24"/>
                <w:highlight w:val="none"/>
              </w:rPr>
            </w:r>
            <w:r/>
          </w:p>
        </w:tc>
        <w:tc>
          <w:tcPr>
            <w:tcW w:w="7722" w:type="dxa"/>
            <w:vAlign w:val="center"/>
            <w:textDirection w:val="lrTb"/>
            <w:noWrap w:val="false"/>
          </w:tcPr>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■货物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9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519"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t xml:space="preserve">科研仪器设备</w:t>
            </w:r>
            <w:r>
              <w:rPr>
                <w:color w:val="000000"/>
                <w:sz w:val="24"/>
                <w:highlight w:val="none"/>
              </w:rPr>
            </w:r>
            <w:r/>
          </w:p>
        </w:tc>
        <w:tc>
          <w:tcPr>
            <w:tcW w:w="7722" w:type="dxa"/>
            <w:vAlign w:val="center"/>
            <w:textDirection w:val="lrTb"/>
            <w:noWrap w:val="false"/>
          </w:tcPr>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878"/>
        </w:trPr>
        <w:tc>
          <w:tcPr>
            <w:tcW w:w="988" w:type="dxa"/>
            <w:vAlign w:val="center"/>
            <w:textDirection w:val="lrTb"/>
            <w:noWrap w:val="false"/>
          </w:tcPr>
          <w:p>
            <w:pPr>
              <w:pStyle w:val="119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519"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t xml:space="preserve">核心产品</w:t>
            </w:r>
            <w:r>
              <w:rPr>
                <w:color w:val="000000"/>
                <w:sz w:val="24"/>
                <w:highlight w:val="none"/>
              </w:rPr>
            </w:r>
            <w:r/>
          </w:p>
        </w:tc>
        <w:tc>
          <w:tcPr>
            <w:tcW w:w="7722" w:type="dxa"/>
            <w:vAlign w:val="center"/>
            <w:textDirection w:val="lrTb"/>
            <w:noWrap w:val="false"/>
          </w:tcPr>
          <w:p>
            <w:pPr>
              <w:pStyle w:val="1199"/>
              <w:shd w:val="clear" w:color="auto" w:fill="auto"/>
              <w:rPr>
                <w:rFonts w:hAnsi="宋体" w:cs="宋体"/>
                <w:color w:val="000000"/>
                <w:sz w:val="24"/>
                <w:szCs w:val="24"/>
                <w:highlight w:val="none"/>
              </w:rPr>
            </w:pPr>
            <w:r>
              <w:rPr>
                <w:rFonts w:hAnsi="宋体" w:cs="宋体"/>
                <w:color w:val="000000"/>
                <w:sz w:val="24"/>
                <w:szCs w:val="24"/>
                <w:highlight w:val="none"/>
              </w:rPr>
              <w:t xml:space="preserve">□关于核心产品本项目</w:t>
            </w:r>
            <w:r>
              <w:rPr>
                <w:rFonts w:hint="eastAsia" w:ascii="宋体" w:hAnsi="宋体" w:cs="宋体"/>
                <w:color w:val="000000"/>
                <w:sz w:val="24"/>
                <w:highlight w:val="none"/>
                <w:u w:val="single"/>
              </w:rPr>
              <w:t xml:space="preserve"> / </w:t>
            </w:r>
            <w:r>
              <w:rPr>
                <w:rFonts w:hAnsi="宋体" w:cs="宋体"/>
                <w:color w:val="000000"/>
                <w:sz w:val="24"/>
                <w:szCs w:val="24"/>
                <w:highlight w:val="none"/>
              </w:rPr>
              <w:t xml:space="preserve">包不适用。</w:t>
            </w:r>
            <w:r>
              <w:rPr>
                <w:rFonts w:hAnsi="宋体" w:cs="宋体"/>
                <w:color w:val="000000"/>
                <w:sz w:val="24"/>
                <w:szCs w:val="24"/>
                <w:highlight w:val="none"/>
              </w:rPr>
            </w:r>
            <w:r/>
          </w:p>
          <w:p>
            <w:pPr>
              <w:pStyle w:val="1199"/>
              <w:shd w:val="clear" w:color="auto" w:fill="auto"/>
              <w:rPr>
                <w:rFonts w:hAnsi="宋体" w:cs="宋体"/>
                <w:color w:val="000000"/>
                <w:sz w:val="24"/>
                <w:szCs w:val="24"/>
                <w:highlight w:val="none"/>
              </w:rPr>
            </w:pPr>
            <w:r>
              <w:rPr>
                <w:rFonts w:hint="eastAsia" w:hAnsi="宋体" w:cs="宋体"/>
                <w:color w:val="000000"/>
                <w:sz w:val="24"/>
                <w:szCs w:val="24"/>
                <w:highlight w:val="none"/>
                <w:lang w:eastAsia="zh-CN"/>
              </w:rPr>
              <w:t xml:space="preserve">□</w:t>
            </w:r>
            <w:r>
              <w:rPr>
                <w:rFonts w:hAnsi="宋体" w:cs="宋体"/>
                <w:color w:val="000000"/>
                <w:sz w:val="24"/>
                <w:szCs w:val="24"/>
                <w:highlight w:val="none"/>
              </w:rPr>
              <w:t xml:space="preserve">本项目为单一产品采购项目。</w:t>
            </w:r>
            <w:r>
              <w:rPr>
                <w:rFonts w:hAnsi="宋体" w:cs="宋体"/>
                <w:color w:val="000000"/>
                <w:sz w:val="24"/>
                <w:szCs w:val="24"/>
                <w:highlight w:val="none"/>
              </w:rPr>
            </w:r>
            <w:r/>
          </w:p>
          <w:p>
            <w:pPr>
              <w:pStyle w:val="1199"/>
              <w:shd w:val="clear" w:color="auto" w:fill="auto"/>
              <w:rPr>
                <w:rFonts w:hAnsi="宋体" w:cs="宋体"/>
                <w:color w:val="000000"/>
                <w:sz w:val="24"/>
                <w:szCs w:val="24"/>
                <w:highlight w:val="none"/>
              </w:rPr>
            </w:pPr>
            <w:r>
              <w:rPr>
                <w:rFonts w:hAnsi="宋体" w:cs="宋体"/>
                <w:color w:val="000000"/>
                <w:sz w:val="24"/>
                <w:szCs w:val="24"/>
                <w:highlight w:val="none"/>
              </w:rPr>
              <w:t xml:space="preserve">■</w:t>
            </w:r>
            <w:r>
              <w:rPr>
                <w:rFonts w:hAnsi="宋体" w:cs="宋体"/>
                <w:color w:val="000000"/>
                <w:sz w:val="24"/>
                <w:szCs w:val="24"/>
                <w:highlight w:val="none"/>
              </w:rPr>
              <w:t xml:space="preserve">本项目为非单一产品采购项目，核心产品为：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序号46.实验台</w:t>
            </w:r>
            <w:r>
              <w:rPr>
                <w:rFonts w:hint="eastAsia" w:ascii="宋体" w:hAnsi="宋体" w:cs="宋体"/>
                <w:color w:val="000000"/>
                <w:sz w:val="24"/>
                <w:highlight w:val="none"/>
                <w:u w:val="single"/>
              </w:rPr>
              <w:t xml:space="preserve"> </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restart"/>
            <w:textDirection w:val="lrTb"/>
            <w:noWrap w:val="false"/>
          </w:tcPr>
          <w:p>
            <w:pPr>
              <w:pStyle w:val="119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519"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t xml:space="preserve">现场考察</w:t>
            </w:r>
            <w:r>
              <w:rPr>
                <w:color w:val="000000"/>
                <w:sz w:val="24"/>
                <w:highlight w:val="none"/>
              </w:rPr>
            </w:r>
            <w:r/>
          </w:p>
        </w:tc>
        <w:tc>
          <w:tcPr>
            <w:tcW w:w="7722" w:type="dxa"/>
            <w:vAlign w:val="center"/>
            <w:textDirection w:val="lrTb"/>
            <w:noWrap w:val="false"/>
          </w:tcPr>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160"/>
              <w:jc w:val="left"/>
              <w:shd w:val="clear" w:color="auto" w:fill="auto"/>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99"/>
              <w:shd w:val="clear" w:color="auto" w:fill="auto"/>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szCs w:val="24"/>
                <w:highlight w:val="none"/>
                <w:u w:val="single"/>
              </w:rPr>
              <w:t xml:space="preserve">  /  </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9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519"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t xml:space="preserve">开标前答疑会</w:t>
            </w:r>
            <w:r>
              <w:rPr>
                <w:color w:val="000000"/>
                <w:sz w:val="24"/>
                <w:highlight w:val="none"/>
              </w:rPr>
            </w:r>
            <w:r/>
          </w:p>
        </w:tc>
        <w:tc>
          <w:tcPr>
            <w:tcW w:w="7722" w:type="dxa"/>
            <w:vAlign w:val="center"/>
            <w:textDirection w:val="lrTb"/>
            <w:noWrap w:val="false"/>
          </w:tcPr>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9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4.1</w:t>
            </w:r>
            <w:r>
              <w:rPr>
                <w:rFonts w:ascii="Times New Roman" w:hAnsi="Times New Roman"/>
                <w:color w:val="000000"/>
                <w:sz w:val="24"/>
                <w:szCs w:val="24"/>
                <w:highlight w:val="none"/>
              </w:rPr>
            </w:r>
            <w:r/>
          </w:p>
        </w:tc>
        <w:tc>
          <w:tcPr>
            <w:tcW w:w="1519"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t xml:space="preserve">样品</w:t>
            </w:r>
            <w:r>
              <w:rPr>
                <w:color w:val="000000"/>
                <w:sz w:val="24"/>
                <w:highlight w:val="none"/>
              </w:rPr>
            </w:r>
            <w:r/>
          </w:p>
        </w:tc>
        <w:tc>
          <w:tcPr>
            <w:tcW w:w="7722" w:type="dxa"/>
            <w:vAlign w:val="center"/>
            <w:textDirection w:val="lrTb"/>
            <w:noWrap w:val="false"/>
          </w:tcPr>
          <w:p>
            <w:pPr>
              <w:pStyle w:val="1160"/>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投标样品递交：</w:t>
            </w:r>
            <w:r>
              <w:rPr>
                <w:rFonts w:hint="eastAsia" w:ascii="宋体" w:hAnsi="宋体" w:eastAsia="宋体" w:cs="宋体"/>
                <w:color w:val="000000"/>
                <w:sz w:val="24"/>
                <w:szCs w:val="24"/>
                <w:highlight w:val="none"/>
                <w:lang w:val="en-US" w:eastAsia="zh-CN" w:bidi="ar-SA"/>
              </w:rPr>
            </w:r>
            <w:r/>
          </w:p>
          <w:p>
            <w:pPr>
              <w:pStyle w:val="1160"/>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不需要</w:t>
            </w:r>
            <w:r>
              <w:rPr>
                <w:rFonts w:hint="eastAsia" w:ascii="宋体" w:hAnsi="宋体" w:eastAsia="宋体" w:cs="宋体"/>
                <w:color w:val="000000"/>
                <w:sz w:val="24"/>
                <w:szCs w:val="24"/>
                <w:highlight w:val="none"/>
                <w:lang w:val="en-US" w:eastAsia="zh-CN" w:bidi="ar-SA"/>
              </w:rPr>
            </w:r>
            <w:r/>
          </w:p>
          <w:p>
            <w:pPr>
              <w:pStyle w:val="1160"/>
              <w:jc w:val="left"/>
              <w:shd w:val="clear" w:color="auto" w:fill="auto"/>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需要，具体要求如下：</w:t>
            </w:r>
            <w:r>
              <w:rPr>
                <w:rFonts w:hint="eastAsia" w:ascii="宋体" w:hAnsi="宋体" w:eastAsia="宋体" w:cs="宋体"/>
                <w:color w:val="000000"/>
                <w:sz w:val="24"/>
                <w:szCs w:val="24"/>
                <w:highlight w:val="none"/>
                <w:lang w:val="en-US" w:eastAsia="zh-CN" w:bidi="ar-SA"/>
              </w:rPr>
            </w:r>
            <w:r/>
          </w:p>
          <w:p>
            <w:pPr>
              <w:pStyle w:val="1160"/>
              <w:jc w:val="left"/>
              <w:rPr>
                <w:rFonts w:hint="eastAsia" w:ascii="宋体" w:hAnsi="宋体" w:cs="宋体"/>
                <w:color w:val="000000"/>
                <w:sz w:val="24"/>
                <w:highlight w:val="none"/>
              </w:rPr>
            </w:pPr>
            <w:r>
              <w:rPr>
                <w:rFonts w:hint="eastAsia" w:ascii="宋体" w:hAnsi="宋体" w:cs="宋体"/>
                <w:color w:val="000000"/>
                <w:sz w:val="24"/>
                <w:highlight w:val="none"/>
              </w:rPr>
              <w:t xml:space="preserve">（1）样品制作的标准和要求：</w:t>
            </w:r>
            <w:r>
              <w:rPr>
                <w:rFonts w:hint="eastAsia" w:ascii="宋体" w:hAnsi="宋体" w:cs="宋体"/>
                <w:color w:val="000000"/>
                <w:sz w:val="24"/>
                <w:highlight w:val="none"/>
                <w:u w:val="single"/>
              </w:rPr>
              <w:t xml:space="preserve"> 详见第</w:t>
            </w:r>
            <w:r>
              <w:rPr>
                <w:rFonts w:hint="eastAsia" w:ascii="宋体" w:hAnsi="宋体" w:cs="宋体"/>
                <w:color w:val="000000"/>
                <w:sz w:val="24"/>
                <w:highlight w:val="none"/>
                <w:u w:val="single"/>
                <w:lang w:val="en-US" w:eastAsia="zh-CN"/>
              </w:rPr>
              <w:t xml:space="preserve">五</w:t>
            </w:r>
            <w:r>
              <w:rPr>
                <w:rFonts w:hint="eastAsia" w:ascii="宋体" w:hAnsi="宋体" w:cs="宋体"/>
                <w:color w:val="000000"/>
                <w:sz w:val="24"/>
                <w:highlight w:val="none"/>
                <w:u w:val="single"/>
              </w:rPr>
              <w:t xml:space="preserve">章采购需求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jc w:val="left"/>
              <w:rPr>
                <w:rFonts w:hint="eastAsia" w:ascii="宋体" w:hAnsi="宋体" w:cs="宋体"/>
                <w:color w:val="000000"/>
                <w:sz w:val="24"/>
                <w:highlight w:val="none"/>
              </w:rPr>
            </w:pPr>
            <w:r>
              <w:rPr>
                <w:rFonts w:hint="eastAsia" w:ascii="宋体" w:hAnsi="宋体" w:cs="宋体"/>
                <w:color w:val="000000"/>
                <w:sz w:val="24"/>
                <w:highlight w:val="none"/>
              </w:rPr>
              <w:t xml:space="preserve">（2）是否需要随样品提交相关检测报告：</w:t>
            </w:r>
            <w:r>
              <w:rPr>
                <w:rFonts w:hint="eastAsia" w:ascii="宋体" w:hAnsi="宋体" w:cs="宋体"/>
                <w:color w:val="000000"/>
                <w:sz w:val="24"/>
                <w:highlight w:val="none"/>
              </w:rPr>
            </w:r>
            <w:r/>
          </w:p>
          <w:p>
            <w:pPr>
              <w:pStyle w:val="116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■不需要</w:t>
            </w:r>
            <w:r>
              <w:rPr>
                <w:rFonts w:hint="eastAsia" w:ascii="宋体" w:hAnsi="宋体" w:eastAsia="宋体" w:cs="宋体"/>
                <w:color w:val="000000"/>
                <w:sz w:val="24"/>
                <w:szCs w:val="24"/>
                <w:highlight w:val="none"/>
                <w:lang w:val="en-US" w:eastAsia="zh-CN" w:bidi="ar-SA"/>
              </w:rPr>
            </w:r>
            <w:r/>
          </w:p>
          <w:p>
            <w:pPr>
              <w:pStyle w:val="1160"/>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□需要</w:t>
            </w:r>
            <w:r>
              <w:rPr>
                <w:rFonts w:hint="eastAsia" w:ascii="宋体" w:hAnsi="宋体" w:eastAsia="宋体" w:cs="宋体"/>
                <w:color w:val="000000"/>
                <w:sz w:val="24"/>
                <w:szCs w:val="24"/>
                <w:highlight w:val="none"/>
                <w:lang w:val="en-US" w:eastAsia="zh-CN" w:bidi="ar-SA"/>
              </w:rPr>
            </w:r>
            <w:r/>
          </w:p>
          <w:p>
            <w:pPr>
              <w:pStyle w:val="1160"/>
              <w:jc w:val="left"/>
              <w:rPr>
                <w:rFonts w:hint="eastAsia" w:ascii="宋体" w:hAnsi="宋体" w:cs="宋体"/>
                <w:color w:val="000000"/>
                <w:sz w:val="24"/>
                <w:highlight w:val="none"/>
              </w:rPr>
            </w:pPr>
            <w:r>
              <w:rPr>
                <w:rFonts w:hint="eastAsia" w:ascii="宋体" w:hAnsi="宋体" w:cs="宋体"/>
                <w:color w:val="000000"/>
                <w:sz w:val="24"/>
                <w:highlight w:val="none"/>
              </w:rPr>
              <w:t xml:space="preserve">（3）样品递交要求：</w:t>
            </w:r>
            <w:r>
              <w:rPr>
                <w:rFonts w:hint="eastAsia" w:ascii="宋体" w:hAnsi="宋体" w:cs="宋体"/>
                <w:color w:val="000000"/>
                <w:sz w:val="24"/>
                <w:highlight w:val="none"/>
                <w:u w:val="single"/>
              </w:rPr>
              <w:t xml:space="preserve"> 详见第</w:t>
            </w:r>
            <w:r>
              <w:rPr>
                <w:rFonts w:hint="eastAsia" w:ascii="宋体" w:hAnsi="宋体" w:cs="宋体"/>
                <w:color w:val="000000"/>
                <w:sz w:val="24"/>
                <w:highlight w:val="none"/>
                <w:u w:val="single"/>
                <w:lang w:val="en-US" w:eastAsia="zh-CN"/>
              </w:rPr>
              <w:t xml:space="preserve">五</w:t>
            </w:r>
            <w:r>
              <w:rPr>
                <w:rFonts w:hint="eastAsia" w:ascii="宋体" w:hAnsi="宋体" w:cs="宋体"/>
                <w:color w:val="000000"/>
                <w:sz w:val="24"/>
                <w:highlight w:val="none"/>
                <w:u w:val="single"/>
              </w:rPr>
              <w:t xml:space="preserve">章采购需求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jc w:val="left"/>
              <w:rPr>
                <w:rFonts w:hint="eastAsia" w:ascii="宋体" w:hAnsi="宋体" w:cs="宋体"/>
                <w:color w:val="000000"/>
                <w:sz w:val="24"/>
                <w:highlight w:val="none"/>
              </w:rPr>
            </w:pPr>
            <w:r>
              <w:rPr>
                <w:rFonts w:hint="eastAsia" w:ascii="宋体" w:hAnsi="宋体" w:cs="宋体"/>
                <w:color w:val="000000"/>
                <w:sz w:val="24"/>
                <w:highlight w:val="none"/>
              </w:rPr>
              <w:t xml:space="preserve">（4）未中标人样品退还：</w:t>
            </w:r>
            <w:r>
              <w:rPr>
                <w:rFonts w:hint="eastAsia" w:ascii="宋体" w:hAnsi="宋体" w:cs="宋体"/>
                <w:color w:val="000000"/>
                <w:sz w:val="24"/>
                <w:highlight w:val="none"/>
                <w:u w:val="single"/>
              </w:rPr>
              <w:t xml:space="preserve"> 详见第</w:t>
            </w:r>
            <w:r>
              <w:rPr>
                <w:rFonts w:hint="eastAsia" w:ascii="宋体" w:hAnsi="宋体" w:cs="宋体"/>
                <w:color w:val="000000"/>
                <w:sz w:val="24"/>
                <w:highlight w:val="none"/>
                <w:u w:val="single"/>
                <w:lang w:val="en-US" w:eastAsia="zh-CN"/>
              </w:rPr>
              <w:t xml:space="preserve">五</w:t>
            </w:r>
            <w:r>
              <w:rPr>
                <w:rFonts w:hint="eastAsia" w:ascii="宋体" w:hAnsi="宋体" w:cs="宋体"/>
                <w:color w:val="000000"/>
                <w:sz w:val="24"/>
                <w:highlight w:val="none"/>
                <w:u w:val="single"/>
              </w:rPr>
              <w:t xml:space="preserve">章采购需求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jc w:val="left"/>
              <w:rPr>
                <w:rFonts w:hint="eastAsia" w:ascii="宋体" w:hAnsi="宋体" w:cs="宋体"/>
                <w:color w:val="000000"/>
                <w:sz w:val="24"/>
                <w:highlight w:val="none"/>
              </w:rPr>
            </w:pPr>
            <w:r>
              <w:rPr>
                <w:rFonts w:hint="eastAsia" w:ascii="宋体" w:hAnsi="宋体" w:cs="宋体"/>
                <w:color w:val="000000"/>
                <w:sz w:val="24"/>
                <w:highlight w:val="none"/>
              </w:rPr>
              <w:t xml:space="preserve">（5）中标人样品保管、封存及退还：</w:t>
            </w:r>
            <w:r>
              <w:rPr>
                <w:rFonts w:hint="eastAsia" w:ascii="宋体" w:hAnsi="宋体" w:cs="宋体"/>
                <w:color w:val="000000"/>
                <w:sz w:val="24"/>
                <w:highlight w:val="none"/>
                <w:u w:val="single"/>
              </w:rPr>
              <w:t xml:space="preserve"> 详见第</w:t>
            </w:r>
            <w:r>
              <w:rPr>
                <w:rFonts w:hint="eastAsia" w:ascii="宋体" w:hAnsi="宋体" w:cs="宋体"/>
                <w:color w:val="000000"/>
                <w:sz w:val="24"/>
                <w:highlight w:val="none"/>
                <w:u w:val="single"/>
                <w:lang w:val="en-US" w:eastAsia="zh-CN"/>
              </w:rPr>
              <w:t xml:space="preserve">五</w:t>
            </w:r>
            <w:r>
              <w:rPr>
                <w:rFonts w:hint="eastAsia" w:ascii="宋体" w:hAnsi="宋体" w:cs="宋体"/>
                <w:color w:val="000000"/>
                <w:sz w:val="24"/>
                <w:highlight w:val="none"/>
                <w:u w:val="single"/>
              </w:rPr>
              <w:t xml:space="preserve">章采购需求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（6）其他要求（如有）：</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67"/>
        </w:trPr>
        <w:tc>
          <w:tcPr>
            <w:tcW w:w="988" w:type="dxa"/>
            <w:vAlign w:val="center"/>
            <w:textDirection w:val="lrTb"/>
            <w:noWrap w:val="false"/>
          </w:tcPr>
          <w:p>
            <w:pPr>
              <w:pStyle w:val="119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5.2.5</w:t>
            </w:r>
            <w:r>
              <w:rPr>
                <w:rFonts w:ascii="Times New Roman" w:hAnsi="Times New Roman"/>
                <w:color w:val="000000"/>
                <w:sz w:val="24"/>
                <w:szCs w:val="24"/>
                <w:highlight w:val="none"/>
              </w:rPr>
            </w:r>
            <w:r/>
          </w:p>
        </w:tc>
        <w:tc>
          <w:tcPr>
            <w:tcW w:w="1519"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t xml:space="preserve">标的所属行业</w:t>
            </w:r>
            <w:r>
              <w:rPr>
                <w:color w:val="000000"/>
                <w:sz w:val="24"/>
                <w:highlight w:val="none"/>
              </w:rPr>
            </w:r>
            <w:r/>
          </w:p>
        </w:tc>
        <w:tc>
          <w:tcPr>
            <w:tcW w:w="7722" w:type="dxa"/>
            <w:vAlign w:val="center"/>
            <w:textDirection w:val="lrTb"/>
            <w:noWrap w:val="false"/>
          </w:tcPr>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color w:val="000000"/>
                <w:sz w:val="24"/>
                <w:highlight w:val="none"/>
                <w:u w:val="single"/>
              </w:rPr>
              <w:t xml:space="preserve">  工业  </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9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519" w:type="dxa"/>
            <w:vAlign w:val="center"/>
            <w:textDirection w:val="lrTb"/>
            <w:noWrap w:val="false"/>
          </w:tcPr>
          <w:p>
            <w:pPr>
              <w:pStyle w:val="1160"/>
              <w:jc w:val="center"/>
              <w:shd w:val="clear" w:color="auto" w:fill="auto"/>
              <w:rPr>
                <w:color w:val="000000"/>
                <w:sz w:val="24"/>
                <w:highlight w:val="none"/>
              </w:rPr>
            </w:pPr>
            <w:r>
              <w:rPr>
                <w:rFonts w:hint="eastAsia"/>
                <w:color w:val="000000"/>
                <w:sz w:val="24"/>
                <w:highlight w:val="none"/>
              </w:rPr>
              <w:t xml:space="preserve">投标报价</w:t>
            </w:r>
            <w:r>
              <w:rPr>
                <w:color w:val="000000"/>
                <w:sz w:val="24"/>
                <w:highlight w:val="none"/>
              </w:rPr>
            </w:r>
            <w:r/>
          </w:p>
        </w:tc>
        <w:tc>
          <w:tcPr>
            <w:tcW w:w="7722" w:type="dxa"/>
            <w:vAlign w:val="center"/>
            <w:textDirection w:val="lrTb"/>
            <w:noWrap w:val="false"/>
          </w:tcPr>
          <w:p>
            <w:pPr>
              <w:pStyle w:val="116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160"/>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□有，具体情形：</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9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519" w:type="dxa"/>
            <w:vAlign w:val="center"/>
            <w:textDirection w:val="lrTb"/>
            <w:noWrap w:val="false"/>
          </w:tcPr>
          <w:p>
            <w:pPr>
              <w:pStyle w:val="1160"/>
              <w:jc w:val="center"/>
              <w:shd w:val="clear" w:color="auto" w:fill="auto"/>
              <w:rPr>
                <w:color w:val="000000"/>
                <w:sz w:val="24"/>
                <w:highlight w:val="none"/>
              </w:rPr>
            </w:pPr>
            <w:r>
              <w:rPr>
                <w:rFonts w:hint="eastAsia"/>
                <w:color w:val="000000"/>
                <w:sz w:val="24"/>
                <w:highlight w:val="none"/>
              </w:rPr>
              <w:t xml:space="preserve">投标保证金</w:t>
            </w:r>
            <w:r>
              <w:rPr>
                <w:color w:val="000000"/>
                <w:sz w:val="24"/>
                <w:highlight w:val="none"/>
              </w:rPr>
            </w:r>
            <w:r/>
          </w:p>
        </w:tc>
        <w:tc>
          <w:tcPr>
            <w:tcW w:w="7722" w:type="dxa"/>
            <w:vAlign w:val="center"/>
            <w:textDirection w:val="lrTb"/>
            <w:noWrap w:val="false"/>
          </w:tcPr>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9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13.1</w:t>
            </w:r>
            <w:r>
              <w:rPr>
                <w:rFonts w:ascii="Times New Roman" w:hAnsi="Times New Roman"/>
                <w:color w:val="000000"/>
                <w:sz w:val="24"/>
                <w:szCs w:val="24"/>
                <w:highlight w:val="none"/>
              </w:rPr>
            </w:r>
            <w:r/>
          </w:p>
        </w:tc>
        <w:tc>
          <w:tcPr>
            <w:tcW w:w="1519"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t xml:space="preserve">投标有效期</w:t>
            </w:r>
            <w:r>
              <w:rPr>
                <w:color w:val="000000"/>
                <w:sz w:val="24"/>
                <w:highlight w:val="none"/>
              </w:rPr>
            </w:r>
            <w:r/>
          </w:p>
        </w:tc>
        <w:tc>
          <w:tcPr>
            <w:tcW w:w="7722" w:type="dxa"/>
            <w:vAlign w:val="center"/>
            <w:textDirection w:val="lrTb"/>
            <w:noWrap w:val="false"/>
          </w:tcPr>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w:t>
            </w:r>
            <w:r>
              <w:rPr>
                <w:rFonts w:hint="eastAsia" w:ascii="宋体" w:hAnsi="宋体" w:cs="宋体"/>
                <w:color w:val="000000"/>
                <w:sz w:val="24"/>
                <w:highlight w:val="none"/>
                <w:u w:val="single"/>
              </w:rPr>
              <w:t xml:space="preserve"> 60 </w:t>
            </w:r>
            <w:r>
              <w:rPr>
                <w:rFonts w:hint="eastAsia" w:ascii="宋体" w:hAnsi="宋体" w:cs="宋体"/>
                <w:color w:val="000000"/>
                <w:sz w:val="24"/>
                <w:highlight w:val="none"/>
              </w:rPr>
              <w:t xml:space="preserve">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9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25.5</w:t>
            </w:r>
            <w:r>
              <w:rPr>
                <w:rFonts w:ascii="Times New Roman" w:hAnsi="Times New Roman"/>
                <w:color w:val="000000"/>
                <w:sz w:val="24"/>
                <w:szCs w:val="24"/>
                <w:highlight w:val="none"/>
              </w:rPr>
            </w:r>
            <w:r/>
          </w:p>
        </w:tc>
        <w:tc>
          <w:tcPr>
            <w:tcW w:w="1519"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t xml:space="preserve">分包</w:t>
            </w:r>
            <w:r>
              <w:rPr>
                <w:color w:val="000000"/>
                <w:sz w:val="24"/>
                <w:highlight w:val="none"/>
              </w:rPr>
            </w:r>
            <w:r/>
          </w:p>
        </w:tc>
        <w:tc>
          <w:tcPr>
            <w:tcW w:w="7722" w:type="dxa"/>
            <w:vAlign w:val="center"/>
            <w:textDirection w:val="lrTb"/>
            <w:noWrap w:val="false"/>
          </w:tcPr>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9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26.1.1</w:t>
            </w:r>
            <w:r>
              <w:rPr>
                <w:rFonts w:ascii="Times New Roman" w:hAnsi="Times New Roman"/>
                <w:color w:val="000000"/>
                <w:sz w:val="24"/>
                <w:szCs w:val="24"/>
                <w:highlight w:val="none"/>
              </w:rPr>
            </w:r>
            <w:r/>
          </w:p>
        </w:tc>
        <w:tc>
          <w:tcPr>
            <w:tcW w:w="1519"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t xml:space="preserve">询问</w:t>
            </w:r>
            <w:r>
              <w:rPr>
                <w:color w:val="000000"/>
                <w:sz w:val="24"/>
                <w:highlight w:val="none"/>
              </w:rPr>
            </w:r>
            <w:r/>
          </w:p>
        </w:tc>
        <w:tc>
          <w:tcPr>
            <w:tcW w:w="7722" w:type="dxa"/>
            <w:vAlign w:val="center"/>
            <w:textDirection w:val="lrTb"/>
            <w:noWrap w:val="false"/>
          </w:tcPr>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w:t>
            </w:r>
            <w:r>
              <w:rPr>
                <w:rFonts w:hint="eastAsia" w:ascii="宋体" w:hAnsi="宋体" w:cs="宋体"/>
                <w:color w:val="000000"/>
                <w:sz w:val="24"/>
                <w:highlight w:val="none"/>
                <w:u w:val="single"/>
              </w:rPr>
              <w:t xml:space="preserve"> 于202</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rPr>
              <w:t xml:space="preserve">年</w:t>
            </w:r>
            <w:r>
              <w:rPr>
                <w:rFonts w:hint="eastAsia" w:ascii="宋体" w:hAnsi="宋体" w:cs="宋体"/>
                <w:color w:val="000000"/>
                <w:sz w:val="24"/>
                <w:highlight w:val="none"/>
                <w:u w:val="single"/>
                <w:lang w:val="en-US" w:eastAsia="zh-CN"/>
              </w:rPr>
              <w:t xml:space="preserve">4</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30</w:t>
            </w:r>
            <w:r>
              <w:rPr>
                <w:rFonts w:hint="eastAsia" w:ascii="宋体" w:hAnsi="宋体" w:cs="宋体"/>
                <w:color w:val="000000"/>
                <w:sz w:val="24"/>
                <w:highlight w:val="none"/>
                <w:u w:val="single"/>
              </w:rPr>
              <w:t xml:space="preserve">日11:00（北京时间）前以书面形式递交至江苏尚阳工程管理有限公司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9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26.3</w:t>
            </w:r>
            <w:r>
              <w:rPr>
                <w:rFonts w:ascii="Times New Roman" w:hAnsi="Times New Roman"/>
                <w:color w:val="000000"/>
                <w:sz w:val="24"/>
                <w:szCs w:val="24"/>
                <w:highlight w:val="none"/>
              </w:rPr>
            </w:r>
            <w:r/>
          </w:p>
        </w:tc>
        <w:tc>
          <w:tcPr>
            <w:tcW w:w="1519"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t xml:space="preserve">联系方式</w:t>
            </w:r>
            <w:r>
              <w:rPr>
                <w:color w:val="000000"/>
                <w:sz w:val="24"/>
                <w:highlight w:val="none"/>
              </w:rPr>
            </w:r>
            <w:r/>
          </w:p>
        </w:tc>
        <w:tc>
          <w:tcPr>
            <w:tcW w:w="7722" w:type="dxa"/>
            <w:vAlign w:val="center"/>
            <w:textDirection w:val="lrTb"/>
            <w:noWrap w:val="false"/>
          </w:tcPr>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联系部门：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王涛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0519-88818292（8000）</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通讯地址：</w:t>
            </w:r>
            <w:r>
              <w:rPr>
                <w:rFonts w:hint="eastAsia" w:ascii="宋体" w:hAnsi="宋体" w:cs="宋体"/>
                <w:color w:val="000000"/>
                <w:sz w:val="24"/>
                <w:highlight w:val="none"/>
                <w:u w:val="single"/>
              </w:rPr>
              <w:t xml:space="preserve">  常州市新北区嵩山路1-301号（太湖明珠苑综合市场3楼）</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99"/>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27</w:t>
            </w:r>
            <w:r>
              <w:rPr>
                <w:rFonts w:ascii="Times New Roman" w:hAnsi="Times New Roman"/>
                <w:color w:val="000000"/>
                <w:sz w:val="24"/>
                <w:szCs w:val="24"/>
                <w:highlight w:val="none"/>
              </w:rPr>
            </w:r>
            <w:r/>
          </w:p>
        </w:tc>
        <w:tc>
          <w:tcPr>
            <w:tcW w:w="1519"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t xml:space="preserve">代理费</w:t>
            </w:r>
            <w:r>
              <w:rPr>
                <w:color w:val="000000"/>
                <w:sz w:val="24"/>
                <w:highlight w:val="none"/>
              </w:rPr>
            </w:r>
            <w:r/>
          </w:p>
        </w:tc>
        <w:tc>
          <w:tcPr>
            <w:tcW w:w="7722" w:type="dxa"/>
            <w:vAlign w:val="center"/>
            <w:textDirection w:val="lrTb"/>
            <w:noWrap w:val="false"/>
          </w:tcPr>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收费对象：</w:t>
            </w:r>
            <w:r>
              <w:rPr>
                <w:rFonts w:hint="eastAsia" w:ascii="宋体" w:hAnsi="宋体" w:cs="宋体"/>
                <w:color w:val="000000"/>
                <w:sz w:val="24"/>
                <w:highlight w:val="none"/>
              </w:rPr>
            </w:r>
            <w:r/>
          </w:p>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160"/>
              <w:jc w:val="left"/>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收费标准：</w:t>
            </w:r>
            <w:r>
              <w:rPr>
                <w:rFonts w:hint="eastAsia" w:ascii="宋体" w:hAnsi="宋体" w:cs="宋体"/>
                <w:color w:val="000000"/>
                <w:sz w:val="24"/>
                <w:highlight w:val="none"/>
                <w:u w:val="single"/>
              </w:rPr>
              <w:t xml:space="preserve"> 收费比例按差额定率分档累进法计算，收费差额费率：中标金额在100万元(含)以下的为1.5%，中标金额在100万元（不含）至500万元（含）的为1.1%，中标金额在500万元（不含）至1000万元（含）的为0.8%，中标服务收费按上述计算方法不足人民币3000元的，按人民币3000元收取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缴纳时间：</w:t>
            </w:r>
            <w:r>
              <w:rPr>
                <w:rFonts w:hint="eastAsia" w:ascii="宋体" w:hAnsi="宋体" w:cs="宋体"/>
                <w:color w:val="000000"/>
                <w:sz w:val="24"/>
                <w:highlight w:val="none"/>
                <w:u w:val="single"/>
              </w:rPr>
              <w:t xml:space="preserve"> 中标人应在领取中标通知书时将中标服务费付至采购代理机构的账户并备注项目编号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jc w:val="left"/>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收款单位：江苏尚阳工程管理有限公司</w:t>
            </w:r>
            <w:r>
              <w:rPr>
                <w:rFonts w:hint="eastAsia" w:ascii="宋体" w:hAnsi="宋体" w:cs="宋体"/>
                <w:color w:val="000000"/>
                <w:sz w:val="24"/>
                <w:highlight w:val="none"/>
                <w:u w:val="single"/>
              </w:rPr>
            </w:r>
            <w:r/>
          </w:p>
          <w:p>
            <w:pPr>
              <w:pStyle w:val="1160"/>
              <w:jc w:val="left"/>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银行账号：406010100100626575</w:t>
            </w:r>
            <w:r>
              <w:rPr>
                <w:rFonts w:hint="eastAsia" w:ascii="宋体" w:hAnsi="宋体" w:cs="宋体"/>
                <w:color w:val="000000"/>
                <w:sz w:val="24"/>
                <w:highlight w:val="none"/>
                <w:u w:val="single"/>
              </w:rPr>
            </w:r>
            <w:r/>
          </w:p>
          <w:p>
            <w:pPr>
              <w:pStyle w:val="1160"/>
              <w:jc w:val="left"/>
              <w:shd w:val="clear" w:color="auto" w:fill="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开户银行：兴业银行股份有限公司常州分行</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99"/>
              <w:jc w:val="center"/>
              <w:shd w:val="clear" w:color="auto" w:fill="auto"/>
              <w:rPr>
                <w:rFonts w:ascii="Times New Roman" w:hAnsi="Times New Roman"/>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28</w:t>
            </w:r>
            <w:r>
              <w:rPr>
                <w:rFonts w:ascii="Times New Roman" w:hAnsi="Times New Roman"/>
                <w:color w:val="000000"/>
                <w:sz w:val="24"/>
                <w:szCs w:val="24"/>
                <w:highlight w:val="none"/>
                <w:lang w:val="en-US" w:eastAsia="zh-CN" w:bidi="ar-SA"/>
              </w:rPr>
            </w:r>
            <w:r/>
          </w:p>
        </w:tc>
        <w:tc>
          <w:tcPr>
            <w:tcW w:w="1519" w:type="dxa"/>
            <w:vAlign w:val="center"/>
            <w:textDirection w:val="lrTb"/>
            <w:noWrap w:val="false"/>
          </w:tcPr>
          <w:p>
            <w:pPr>
              <w:pStyle w:val="1199"/>
              <w:jc w:val="center"/>
              <w:shd w:val="clear" w:color="auto" w:fill="auto"/>
              <w:rPr>
                <w:rFonts w:hint="eastAsia" w:ascii="Times New Roman" w:hAnsi="Times New Roman" w:eastAsia="宋体"/>
                <w:color w:val="000000"/>
                <w:sz w:val="24"/>
                <w:szCs w:val="24"/>
                <w:highlight w:val="none"/>
                <w:lang w:val="en-US" w:eastAsia="zh-CN" w:bidi="ar-SA"/>
              </w:rPr>
            </w:pPr>
            <w:r>
              <w:rPr>
                <w:rFonts w:hint="eastAsia" w:ascii="Times New Roman" w:hAnsi="Times New Roman" w:eastAsia="宋体"/>
                <w:color w:val="000000"/>
                <w:sz w:val="24"/>
                <w:szCs w:val="24"/>
                <w:highlight w:val="none"/>
                <w:lang w:val="en-US" w:eastAsia="zh-CN"/>
              </w:rPr>
              <w:t xml:space="preserve">电子系统意外情况处理条款</w:t>
            </w:r>
            <w:r>
              <w:rPr>
                <w:rFonts w:hint="eastAsia" w:ascii="Times New Roman" w:hAnsi="Times New Roman" w:eastAsia="宋体"/>
                <w:color w:val="000000"/>
                <w:sz w:val="24"/>
                <w:szCs w:val="24"/>
                <w:highlight w:val="none"/>
                <w:lang w:val="en-US" w:eastAsia="zh-CN" w:bidi="ar-SA"/>
              </w:rPr>
            </w:r>
            <w:r/>
          </w:p>
        </w:tc>
        <w:tc>
          <w:tcPr>
            <w:tcW w:w="7722" w:type="dxa"/>
            <w:vAlign w:val="center"/>
            <w:textDirection w:val="lrTb"/>
            <w:noWrap w:val="false"/>
          </w:tcPr>
          <w:p>
            <w:pPr>
              <w:pStyle w:val="1160"/>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为确保本项目电子化采购活动顺利进行，防范化解采购风险，特制定相关情形处置举措。所有潜在投标人及参与各方均应知悉并遵守以下规定：</w:t>
            </w:r>
            <w:r>
              <w:rPr>
                <w:rFonts w:hint="eastAsia" w:ascii="宋体" w:hAnsi="宋体" w:cs="宋体"/>
                <w:color w:val="000000"/>
                <w:sz w:val="24"/>
                <w:highlight w:val="none"/>
                <w:u w:val="none"/>
              </w:rPr>
            </w:r>
            <w:r/>
          </w:p>
          <w:p>
            <w:pPr>
              <w:pStyle w:val="1160"/>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rPr>
                <w:rFonts w:hint="eastAsia" w:ascii="宋体" w:hAnsi="宋体" w:cs="宋体"/>
                <w:color w:val="000000"/>
                <w:sz w:val="24"/>
                <w:highlight w:val="none"/>
                <w:u w:val="none"/>
              </w:rPr>
            </w:r>
            <w:r/>
          </w:p>
          <w:p>
            <w:pPr>
              <w:pStyle w:val="1160"/>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2.开标前环节故障处置：在供应商报名、投标（响应）文件上传、投标（响应）文件解密及唱标环节等开标活动开始前的任何环节出现系统无法访问的情形，采购代理机构将按照以下原则处置：</w:t>
            </w:r>
            <w:r>
              <w:rPr>
                <w:rFonts w:hint="eastAsia" w:ascii="宋体" w:hAnsi="宋体" w:cs="宋体"/>
                <w:color w:val="000000"/>
                <w:sz w:val="24"/>
                <w:highlight w:val="none"/>
                <w:u w:val="none"/>
              </w:rPr>
            </w:r>
            <w:r/>
          </w:p>
          <w:p>
            <w:pPr>
              <w:pStyle w:val="1160"/>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（一）若故障可在短时间内排除，采购代理机构将等待系统修复后，继续开展采购活动。</w:t>
            </w:r>
            <w:r>
              <w:rPr>
                <w:rFonts w:hint="eastAsia" w:ascii="宋体" w:hAnsi="宋体" w:cs="宋体"/>
                <w:color w:val="000000"/>
                <w:sz w:val="24"/>
                <w:highlight w:val="none"/>
                <w:u w:val="none"/>
              </w:rPr>
            </w:r>
            <w:r/>
          </w:p>
          <w:p>
            <w:pPr>
              <w:pStyle w:val="1160"/>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（二）若故障无法在预定开标时间前排除，或故障情况严重影响公平竞争，采购代理机构将通过发布更正公告推迟开标。</w:t>
            </w:r>
            <w:r>
              <w:rPr>
                <w:rFonts w:hint="eastAsia" w:ascii="宋体" w:hAnsi="宋体" w:cs="宋体"/>
                <w:color w:val="000000"/>
                <w:sz w:val="24"/>
                <w:highlight w:val="none"/>
                <w:u w:val="none"/>
              </w:rPr>
            </w:r>
            <w:r/>
          </w:p>
          <w:p>
            <w:pPr>
              <w:pStyle w:val="1160"/>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（三）若因故障导致有效投标人不足法定家数或出现其他法定废标情形，采购代理机构将发布废标（终止）公告，重新开展采购活动。</w:t>
            </w:r>
            <w:r>
              <w:rPr>
                <w:rFonts w:hint="eastAsia" w:ascii="宋体" w:hAnsi="宋体" w:cs="宋体"/>
                <w:color w:val="000000"/>
                <w:sz w:val="24"/>
                <w:highlight w:val="none"/>
                <w:u w:val="none"/>
              </w:rPr>
            </w:r>
            <w:r/>
          </w:p>
          <w:p>
            <w:pPr>
              <w:pStyle w:val="1160"/>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特别说明：本项目投标（响应）文件递交方式以招标文件载明为准。在电子系统发生故障时，采购代理机构仅依据上述程序处理，不接受任何现场提交的纸质、U盘等非招标文件规定的投标（响应）文件。</w:t>
            </w:r>
            <w:r>
              <w:rPr>
                <w:rFonts w:hint="eastAsia" w:ascii="宋体" w:hAnsi="宋体" w:cs="宋体"/>
                <w:color w:val="000000"/>
                <w:sz w:val="24"/>
                <w:highlight w:val="none"/>
                <w:u w:val="none"/>
              </w:rPr>
            </w:r>
            <w:r/>
          </w:p>
          <w:p>
            <w:pPr>
              <w:pStyle w:val="1160"/>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3.评审过程中故障处置：在评审委员会组建后至评审报告出具前的评审过程中出现系统无法访问的情形，采购代理机构将按照以下原则处置：</w:t>
            </w:r>
            <w:r>
              <w:rPr>
                <w:rFonts w:hint="eastAsia" w:ascii="宋体" w:hAnsi="宋体" w:cs="宋体"/>
                <w:color w:val="000000"/>
                <w:sz w:val="24"/>
                <w:highlight w:val="none"/>
                <w:u w:val="none"/>
              </w:rPr>
            </w:r>
            <w:r/>
          </w:p>
          <w:p>
            <w:pPr>
              <w:pStyle w:val="1160"/>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（一）立即暂停评审：采购代理机构将立即宣布暂停评审活动，并采取必要措施封存所有投标（响应）文件及评审记录。</w:t>
            </w:r>
            <w:r>
              <w:rPr>
                <w:rFonts w:hint="eastAsia" w:ascii="宋体" w:hAnsi="宋体" w:cs="宋体"/>
                <w:color w:val="000000"/>
                <w:sz w:val="24"/>
                <w:highlight w:val="none"/>
                <w:u w:val="none"/>
              </w:rPr>
            </w:r>
            <w:r/>
          </w:p>
          <w:p>
            <w:pPr>
              <w:pStyle w:val="1160"/>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（二）处置方案：视故障排除情况，采购代理机构将选择：</w:t>
            </w:r>
            <w:r>
              <w:rPr>
                <w:rFonts w:hint="eastAsia" w:ascii="宋体" w:hAnsi="宋体" w:cs="宋体"/>
                <w:color w:val="000000"/>
                <w:sz w:val="24"/>
                <w:highlight w:val="none"/>
                <w:u w:val="none"/>
              </w:rPr>
            </w:r>
            <w:r/>
          </w:p>
          <w:p>
            <w:pPr>
              <w:pStyle w:val="1160"/>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1.若故障可在短时间内排除，采购代理机构将等待系统修复后，由原评审委员会继续完成评审；</w:t>
            </w:r>
            <w:r>
              <w:rPr>
                <w:rFonts w:hint="eastAsia" w:ascii="宋体" w:hAnsi="宋体" w:cs="宋体"/>
                <w:color w:val="000000"/>
                <w:sz w:val="24"/>
                <w:highlight w:val="none"/>
                <w:u w:val="none"/>
              </w:rPr>
            </w:r>
            <w:r/>
          </w:p>
          <w:p>
            <w:pPr>
              <w:pStyle w:val="1160"/>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2.若故障无法在当日排除，或故障导致评审无法公正进行，将发布废标（终止）公告，重新开展采购活动；</w:t>
            </w:r>
            <w:r>
              <w:rPr>
                <w:rFonts w:hint="eastAsia" w:ascii="宋体" w:hAnsi="宋体" w:cs="宋体"/>
                <w:color w:val="000000"/>
                <w:sz w:val="24"/>
                <w:highlight w:val="none"/>
                <w:u w:val="none"/>
              </w:rPr>
            </w:r>
            <w:r/>
          </w:p>
          <w:p>
            <w:pPr>
              <w:pStyle w:val="1160"/>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3.若需在第二日继续评审，采购代理机构将重新从政府采购评审专家库中抽取专家，组建新的评审委员会，在系统修复后继续评审活动。</w:t>
            </w:r>
            <w:r>
              <w:rPr>
                <w:rFonts w:hint="eastAsia" w:ascii="宋体" w:hAnsi="宋体" w:cs="宋体"/>
                <w:color w:val="000000"/>
                <w:sz w:val="24"/>
                <w:highlight w:val="none"/>
                <w:u w:val="none"/>
              </w:rPr>
            </w:r>
            <w:r/>
          </w:p>
          <w:p>
            <w:pPr>
              <w:pStyle w:val="1160"/>
              <w:jc w:val="left"/>
              <w:shd w:val="clear" w:color="auto" w:fill="auto"/>
              <w:rPr>
                <w:rFonts w:hint="eastAsia" w:ascii="宋体" w:hAnsi="宋体" w:cs="宋体"/>
                <w:color w:val="000000"/>
                <w:sz w:val="24"/>
                <w:highlight w:val="none"/>
                <w:u w:val="none"/>
              </w:rPr>
            </w:pPr>
            <w:r>
              <w:rPr>
                <w:rFonts w:hint="eastAsia" w:ascii="宋体" w:hAnsi="宋体" w:cs="宋体"/>
                <w:color w:val="000000"/>
                <w:sz w:val="24"/>
                <w:highlight w:val="none"/>
                <w:u w:val="none"/>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r>
              <w:rPr>
                <w:rFonts w:hint="eastAsia" w:ascii="宋体" w:hAnsi="宋体" w:cs="宋体"/>
                <w:color w:val="000000"/>
                <w:sz w:val="24"/>
                <w:highlight w:val="none"/>
                <w:u w:val="none"/>
              </w:rPr>
            </w:r>
            <w:r/>
          </w:p>
          <w:p>
            <w:pPr>
              <w:pStyle w:val="1160"/>
              <w:jc w:val="left"/>
              <w:shd w:val="clear" w:color="auto" w:fill="auto"/>
              <w:rPr>
                <w:rFonts w:hint="eastAsia" w:ascii="宋体" w:hAnsi="宋体" w:cs="宋体"/>
                <w:color w:val="000000"/>
                <w:sz w:val="24"/>
                <w:szCs w:val="24"/>
                <w:highlight w:val="none"/>
                <w:u w:val="single"/>
                <w:lang w:val="en-US" w:eastAsia="zh-CN" w:bidi="ar-SA"/>
              </w:rPr>
            </w:pPr>
            <w:r>
              <w:rPr>
                <w:rFonts w:hint="eastAsia" w:ascii="宋体" w:hAnsi="宋体" w:cs="宋体"/>
                <w:color w:val="000000"/>
                <w:sz w:val="24"/>
                <w:highlight w:val="none"/>
                <w:u w:val="none"/>
              </w:rPr>
              <w:t xml:space="preserve">（四）供应商责任：供应商有责任确保自身网络环境、设备及数字证书（CA）的正常，并在招标文件规定的期限内完成文件上传、解密等操作。因供应商自身原因导致的操作失败，不适用本意外情况处理条款。</w:t>
            </w:r>
            <w:r>
              <w:rPr>
                <w:rFonts w:hint="eastAsia" w:ascii="宋体" w:hAnsi="宋体" w:cs="宋体"/>
                <w:color w:val="000000"/>
                <w:sz w:val="24"/>
                <w:szCs w:val="24"/>
                <w:highlight w:val="none"/>
                <w:u w:val="single"/>
                <w:lang w:val="en-US" w:eastAsia="zh-CN" w:bidi="ar-SA"/>
              </w:rPr>
            </w:r>
            <w:r/>
          </w:p>
        </w:tc>
      </w:tr>
    </w:tbl>
    <w:p>
      <w:pPr>
        <w:pStyle w:val="1160"/>
        <w:jc w:val="both"/>
        <w:spacing w:line="360" w:lineRule="auto"/>
        <w:shd w:val="clear" w:color="auto" w:fill="auto"/>
        <w:tabs>
          <w:tab w:val="left" w:pos="5580" w:leader="none"/>
        </w:tabs>
        <w:rPr>
          <w:color w:val="000000"/>
          <w:sz w:val="24"/>
          <w:highlight w:val="none"/>
        </w:rPr>
        <w:sectPr>
          <w:headerReference w:type="default" r:id="rId11"/>
          <w:headerReference w:type="first" r:id="rId12"/>
          <w:footerReference w:type="default" r:id="rId19"/>
          <w:footerReference w:type="first" r:id="rId20"/>
          <w:footnotePr/>
          <w:endnotePr/>
          <w:type w:val="nextColumn"/>
          <w:pgSz w:w="11907" w:h="16840" w:orient="portrait"/>
          <w:pgMar w:top="1418" w:right="1134" w:bottom="1418" w:left="1701" w:header="851" w:footer="851" w:gutter="0"/>
          <w:cols w:num="1" w:sep="0" w:space="1701" w:equalWidth="1"/>
          <w:docGrid w:linePitch="360"/>
          <w:titlePg/>
        </w:sectPr>
      </w:pPr>
      <w:r>
        <w:rPr>
          <w:color w:val="000000"/>
          <w:sz w:val="24"/>
          <w:highlight w:val="none"/>
        </w:rPr>
        <w:br w:type="page" w:clear="all"/>
      </w:r>
      <w:r/>
    </w:p>
    <w:p>
      <w:pPr>
        <w:pStyle w:val="1160"/>
        <w:jc w:val="center"/>
        <w:spacing w:before="240" w:after="240"/>
        <w:shd w:val="clear" w:color="auto" w:fill="auto"/>
        <w:rPr>
          <w:b/>
          <w:color w:val="000000"/>
          <w:sz w:val="28"/>
          <w:szCs w:val="28"/>
          <w:highlight w:val="none"/>
        </w:rPr>
      </w:pPr>
      <w:r/>
      <w:bookmarkStart w:id="68" w:name="_Toc226965790"/>
      <w:r/>
      <w:bookmarkStart w:id="69" w:name="_Toc226337213"/>
      <w:r/>
      <w:bookmarkStart w:id="70" w:name="_Toc142311019"/>
      <w:r/>
      <w:bookmarkStart w:id="71" w:name="_Toc195842882"/>
      <w:r/>
      <w:bookmarkStart w:id="72" w:name="_Toc305158859"/>
      <w:r/>
      <w:bookmarkStart w:id="73" w:name="_Toc265228355"/>
      <w:r/>
      <w:bookmarkStart w:id="74" w:name="_Toc150774722"/>
      <w:r/>
      <w:bookmarkStart w:id="75" w:name="_Toc305158785"/>
      <w:r/>
      <w:bookmarkStart w:id="76" w:name="_Toc127151517"/>
      <w:r/>
      <w:bookmarkStart w:id="77" w:name="_Toc353825542"/>
      <w:r/>
      <w:bookmarkStart w:id="78" w:name="_Toc264969207"/>
      <w:r/>
      <w:bookmarkStart w:id="79" w:name="_Toc353873662"/>
      <w:r/>
      <w:bookmarkStart w:id="80" w:name="_Toc353873932"/>
      <w:r/>
      <w:bookmarkStart w:id="81" w:name="_Toc150480755"/>
      <w:r>
        <w:rPr>
          <w:b/>
          <w:color w:val="000000"/>
          <w:sz w:val="28"/>
          <w:szCs w:val="28"/>
          <w:highlight w:val="none"/>
        </w:rPr>
        <w:t xml:space="preserve">投标人须知</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b/>
          <w:color w:val="000000"/>
          <w:sz w:val="28"/>
          <w:szCs w:val="28"/>
          <w:highlight w:val="none"/>
        </w:rPr>
      </w:r>
      <w:r/>
    </w:p>
    <w:p>
      <w:pPr>
        <w:pStyle w:val="1160"/>
        <w:jc w:val="center"/>
        <w:spacing w:line="360" w:lineRule="auto"/>
        <w:shd w:val="clear" w:color="auto" w:fill="auto"/>
        <w:rPr>
          <w:rFonts w:hint="eastAsia" w:ascii="宋体" w:hAnsi="宋体"/>
          <w:b/>
          <w:bCs/>
          <w:color w:val="000000"/>
          <w:sz w:val="28"/>
          <w:szCs w:val="28"/>
          <w:highlight w:val="none"/>
        </w:rPr>
      </w:pPr>
      <w:r/>
      <w:bookmarkStart w:id="82" w:name="_Toc151193906"/>
      <w:r/>
      <w:bookmarkStart w:id="83" w:name="_Toc195842883"/>
      <w:r/>
      <w:bookmarkStart w:id="84" w:name="_Toc305158786"/>
      <w:r/>
      <w:bookmarkStart w:id="85" w:name="_Toc264969208"/>
      <w:r/>
      <w:bookmarkStart w:id="86" w:name="_Toc226965791"/>
      <w:r/>
      <w:bookmarkStart w:id="87" w:name="_Toc226309762"/>
      <w:r/>
      <w:bookmarkStart w:id="88" w:name="_Toc151190145"/>
      <w:r/>
      <w:bookmarkStart w:id="89" w:name="_Toc226965708"/>
      <w:r/>
      <w:bookmarkStart w:id="90" w:name="_Toc520356143"/>
      <w:r/>
      <w:bookmarkStart w:id="91" w:name="_Toc150774723"/>
      <w:r/>
      <w:bookmarkStart w:id="92" w:name="_Toc151193760"/>
      <w:r/>
      <w:bookmarkStart w:id="93" w:name="_Toc265228356"/>
      <w:r/>
      <w:bookmarkStart w:id="94" w:name="_Toc226337214"/>
      <w:r/>
      <w:bookmarkStart w:id="95" w:name="_Toc150480756"/>
      <w:r/>
      <w:bookmarkStart w:id="96" w:name="_Toc142311020"/>
      <w:r/>
      <w:bookmarkStart w:id="97" w:name="_Toc150509269"/>
      <w:r/>
      <w:bookmarkStart w:id="98" w:name="_Toc150774618"/>
      <w:r/>
      <w:bookmarkStart w:id="99" w:name="_Toc151193616"/>
      <w:r/>
      <w:bookmarkStart w:id="100" w:name="_Toc127151518"/>
      <w:r/>
      <w:bookmarkStart w:id="101" w:name="_Toc151193688"/>
      <w:r/>
      <w:bookmarkStart w:id="102" w:name="_Toc151193832"/>
      <w:r/>
      <w:bookmarkStart w:id="103" w:name="_Toc305158860"/>
      <w:r>
        <w:rPr>
          <w:rFonts w:hint="eastAsia" w:ascii="宋体" w:hAnsi="宋体"/>
          <w:b/>
          <w:bCs/>
          <w:color w:val="000000"/>
          <w:sz w:val="28"/>
          <w:szCs w:val="28"/>
          <w:highlight w:val="none"/>
        </w:rPr>
        <w:t xml:space="preserve">一   说  明</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hint="eastAsia" w:ascii="宋体" w:hAnsi="宋体"/>
          <w:b/>
          <w:bCs/>
          <w:color w:val="000000"/>
          <w:sz w:val="28"/>
          <w:szCs w:val="28"/>
          <w:highlight w:val="none"/>
        </w:rPr>
      </w:r>
      <w:r/>
    </w:p>
    <w:p>
      <w:pPr>
        <w:pStyle w:val="1160"/>
        <w:numPr>
          <w:ilvl w:val="0"/>
          <w:numId w:val="8"/>
        </w:numPr>
        <w:ind w:left="357" w:hanging="357"/>
        <w:spacing w:line="360" w:lineRule="auto"/>
        <w:shd w:val="clear" w:color="auto" w:fill="auto"/>
        <w:tabs>
          <w:tab w:val="left" w:pos="360" w:leader="none"/>
        </w:tabs>
        <w:rPr>
          <w:rFonts w:hint="eastAsia" w:ascii="宋体" w:hAnsi="宋体" w:cs="宋体"/>
          <w:color w:val="000000"/>
          <w:sz w:val="24"/>
          <w:highlight w:val="none"/>
        </w:rPr>
      </w:pPr>
      <w:r/>
      <w:bookmarkStart w:id="104" w:name="_Toc264969209"/>
      <w:r/>
      <w:bookmarkStart w:id="105" w:name="_Toc265228357"/>
      <w:r/>
      <w:bookmarkStart w:id="106" w:name="_Toc305158861"/>
      <w:r/>
      <w:bookmarkStart w:id="107" w:name="_Toc305158787"/>
      <w:r>
        <w:rPr>
          <w:rFonts w:hint="eastAsia" w:ascii="宋体" w:hAnsi="宋体" w:cs="宋体"/>
          <w:color w:val="000000"/>
          <w:sz w:val="24"/>
          <w:highlight w:val="none"/>
        </w:rPr>
        <w:t xml:space="preserve">采购人、采购代理机构、投标人</w:t>
      </w:r>
      <w:bookmarkEnd w:id="104"/>
      <w:r/>
      <w:bookmarkEnd w:id="105"/>
      <w:r/>
      <w:bookmarkEnd w:id="106"/>
      <w:r/>
      <w:bookmarkEnd w:id="107"/>
      <w:r>
        <w:rPr>
          <w:rFonts w:hint="eastAsia" w:ascii="宋体" w:hAnsi="宋体" w:cs="宋体"/>
          <w:color w:val="000000"/>
          <w:sz w:val="24"/>
          <w:highlight w:val="none"/>
        </w:rPr>
        <w:t xml:space="preserve">、联合体</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联合体：指两个以上的自然人、法人或者其他组织组成一个联合体，以一个投标人的身份共同参加政府采购。</w:t>
      </w:r>
      <w:r>
        <w:rPr>
          <w:rFonts w:hint="eastAsia" w:ascii="宋体" w:hAnsi="宋体" w:cs="宋体"/>
          <w:color w:val="000000"/>
          <w:sz w:val="24"/>
          <w:highlight w:val="none"/>
        </w:rPr>
      </w:r>
      <w:r/>
    </w:p>
    <w:p>
      <w:pPr>
        <w:pStyle w:val="1160"/>
        <w:numPr>
          <w:ilvl w:val="0"/>
          <w:numId w:val="8"/>
        </w:numPr>
        <w:ind w:left="357" w:hanging="357"/>
        <w:spacing w:line="360" w:lineRule="auto"/>
        <w:shd w:val="clear" w:color="auto" w:fill="auto"/>
        <w:tabs>
          <w:tab w:val="left" w:pos="360" w:leader="none"/>
        </w:tabs>
        <w:rPr>
          <w:rFonts w:hint="eastAsia" w:ascii="宋体" w:hAnsi="宋体" w:cs="宋体"/>
          <w:color w:val="000000"/>
          <w:sz w:val="24"/>
          <w:highlight w:val="none"/>
        </w:rPr>
      </w:pPr>
      <w:r/>
      <w:bookmarkStart w:id="108" w:name="_Toc127151721"/>
      <w:r/>
      <w:bookmarkStart w:id="109" w:name="_Toc195842885"/>
      <w:r/>
      <w:bookmarkStart w:id="110" w:name="_Toc265228358"/>
      <w:r/>
      <w:bookmarkStart w:id="111" w:name="_Toc151193762"/>
      <w:r/>
      <w:bookmarkStart w:id="112" w:name="_Toc305158862"/>
      <w:r/>
      <w:bookmarkStart w:id="113" w:name="_Toc164608634"/>
      <w:r/>
      <w:bookmarkStart w:id="114" w:name="_Toc150774620"/>
      <w:r/>
      <w:bookmarkStart w:id="115" w:name="_Toc150480758"/>
      <w:r/>
      <w:bookmarkStart w:id="116" w:name="_Toc142311022"/>
      <w:r/>
      <w:bookmarkStart w:id="117" w:name="_Toc151193618"/>
      <w:r/>
      <w:bookmarkStart w:id="118" w:name="_Toc164351614"/>
      <w:r/>
      <w:bookmarkStart w:id="119" w:name="_Toc264969210"/>
      <w:r/>
      <w:bookmarkStart w:id="120" w:name="_Toc127151520"/>
      <w:r/>
      <w:bookmarkStart w:id="121" w:name="_Toc151190147"/>
      <w:r/>
      <w:bookmarkStart w:id="122" w:name="_Toc226965710"/>
      <w:r/>
      <w:bookmarkStart w:id="123" w:name="_Toc151193834"/>
      <w:r/>
      <w:bookmarkStart w:id="124" w:name="_Toc151193908"/>
      <w:r/>
      <w:bookmarkStart w:id="125" w:name="_Toc164608789"/>
      <w:r/>
      <w:bookmarkStart w:id="126" w:name="_Toc226965793"/>
      <w:r/>
      <w:bookmarkStart w:id="127" w:name="_Toc164229215"/>
      <w:r/>
      <w:bookmarkStart w:id="128" w:name="_Toc226309764"/>
      <w:r/>
      <w:bookmarkStart w:id="129" w:name="_Toc226337216"/>
      <w:r/>
      <w:bookmarkStart w:id="130" w:name="_Toc127161434"/>
      <w:r/>
      <w:bookmarkStart w:id="131" w:name="_Toc149720813"/>
      <w:r/>
      <w:bookmarkStart w:id="132" w:name="_Toc150774725"/>
      <w:r/>
      <w:bookmarkStart w:id="133" w:name="_Toc150509271"/>
      <w:r/>
      <w:bookmarkStart w:id="134" w:name="_Toc151193690"/>
      <w:r/>
      <w:bookmarkStart w:id="135" w:name="_Toc305158788"/>
      <w:r/>
      <w:bookmarkStart w:id="136" w:name="_Toc164229361"/>
      <w:r>
        <w:rPr>
          <w:rFonts w:hint="eastAsia" w:ascii="宋体" w:hAnsi="宋体" w:cs="宋体"/>
          <w:color w:val="000000"/>
          <w:sz w:val="24"/>
          <w:highlight w:val="none"/>
        </w:rPr>
        <w:t xml:space="preserve">资金来源</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cs="宋体"/>
          <w:color w:val="000000"/>
          <w:sz w:val="24"/>
          <w:highlight w:val="none"/>
        </w:rPr>
        <w:t xml:space="preserve">、项目属性、科研仪器设备采购、核心产品</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160"/>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现场考察、开标前答疑会</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37" w:name="_Toc151193692"/>
      <w:r/>
      <w:bookmarkStart w:id="138" w:name="_Toc226965795"/>
      <w:r/>
      <w:bookmarkStart w:id="139" w:name="_Toc127151522"/>
      <w:r/>
      <w:bookmarkStart w:id="140" w:name="_Toc520356146"/>
      <w:r/>
      <w:bookmarkStart w:id="141" w:name="_Toc151193836"/>
      <w:r/>
      <w:bookmarkStart w:id="142" w:name="_Toc151193910"/>
      <w:r/>
      <w:bookmarkStart w:id="143" w:name="_Toc151193620"/>
      <w:r/>
      <w:bookmarkStart w:id="144" w:name="_Toc150509273"/>
      <w:r/>
      <w:bookmarkStart w:id="145" w:name="_Toc151190149"/>
      <w:r/>
      <w:bookmarkStart w:id="146" w:name="_Toc226309766"/>
      <w:r/>
      <w:bookmarkStart w:id="147" w:name="_Toc226965712"/>
      <w:r/>
      <w:bookmarkStart w:id="148" w:name="_Toc195842887"/>
      <w:r/>
      <w:bookmarkStart w:id="149" w:name="_Toc264969212"/>
      <w:r/>
      <w:bookmarkStart w:id="150" w:name="_Toc142311024"/>
      <w:r/>
      <w:bookmarkStart w:id="151" w:name="_Toc150774622"/>
      <w:r/>
      <w:bookmarkStart w:id="152" w:name="_Toc305158790"/>
      <w:r/>
      <w:bookmarkStart w:id="153" w:name="_Toc150774727"/>
      <w:r/>
      <w:bookmarkStart w:id="154" w:name="_Toc226337218"/>
      <w:r/>
      <w:bookmarkStart w:id="155" w:name="_Toc150480760"/>
      <w:r/>
      <w:bookmarkStart w:id="156" w:name="_Toc151193764"/>
      <w:r/>
      <w:bookmarkStart w:id="157" w:name="_Toc265228360"/>
      <w:r/>
      <w:bookmarkStart w:id="158" w:name="_Toc305158864"/>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160"/>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样品（本项目不涉及）</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160"/>
        <w:numPr>
          <w:ilvl w:val="0"/>
          <w:numId w:val="8"/>
        </w:numPr>
        <w:ind w:left="357" w:hanging="357"/>
        <w:spacing w:line="360" w:lineRule="auto"/>
        <w:shd w:val="clear" w:color="auto" w:fill="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政府采购政策（包括但不限于下列具体政策要求）</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政府采购中实施本国产品标准及相关政策</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本项目对采购本国产品给予政策支持，具体内容见招标文件“评标标准”。</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进口产品（本项目不涉及）</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 w:val="left" w:pos="20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中小企业、监狱企业及残疾人福利性单位</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264"/>
        <w:numPr>
          <w:ilvl w:val="0"/>
          <w:numId w:val="9"/>
        </w:numPr>
        <w:spacing w:line="360" w:lineRule="auto"/>
        <w:shd w:val="clear" w:color="auto" w:fill="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264"/>
        <w:numPr>
          <w:ilvl w:val="0"/>
          <w:numId w:val="9"/>
        </w:numPr>
        <w:spacing w:line="360" w:lineRule="auto"/>
        <w:shd w:val="clear" w:color="auto" w:fill="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264"/>
        <w:numPr>
          <w:ilvl w:val="0"/>
          <w:numId w:val="9"/>
        </w:numPr>
        <w:spacing w:line="360" w:lineRule="auto"/>
        <w:shd w:val="clear" w:color="auto" w:fill="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264"/>
        <w:numPr>
          <w:ilvl w:val="0"/>
          <w:numId w:val="9"/>
        </w:numPr>
        <w:spacing w:line="360" w:lineRule="auto"/>
        <w:shd w:val="clear" w:color="auto" w:fill="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264"/>
        <w:numPr>
          <w:ilvl w:val="0"/>
          <w:numId w:val="9"/>
        </w:numPr>
        <w:spacing w:line="360" w:lineRule="auto"/>
        <w:shd w:val="clear" w:color="auto" w:fill="auto"/>
        <w:tabs>
          <w:tab w:val="left" w:pos="900"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264"/>
        <w:numPr>
          <w:ilvl w:val="1"/>
          <w:numId w:val="9"/>
        </w:numPr>
        <w:spacing w:line="360" w:lineRule="auto"/>
        <w:shd w:val="clear" w:color="auto" w:fill="auto"/>
        <w:tabs>
          <w:tab w:val="left" w:pos="1589"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264"/>
        <w:numPr>
          <w:ilvl w:val="1"/>
          <w:numId w:val="9"/>
        </w:numPr>
        <w:spacing w:line="360" w:lineRule="auto"/>
        <w:shd w:val="clear" w:color="auto" w:fill="auto"/>
        <w:tabs>
          <w:tab w:val="left" w:pos="1589"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264"/>
        <w:numPr>
          <w:ilvl w:val="2"/>
          <w:numId w:val="9"/>
        </w:numPr>
        <w:spacing w:line="360" w:lineRule="auto"/>
        <w:shd w:val="clear" w:color="auto" w:fill="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0"/>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160"/>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投标人提供的货物、工程或者服务符合下列情形的，享受中小企业扶持政策：</w:t>
      </w:r>
      <w:r>
        <w:rPr>
          <w:rFonts w:hint="eastAsia" w:ascii="宋体" w:hAnsi="宋体" w:cs="宋体"/>
          <w:color w:val="000000"/>
          <w:sz w:val="24"/>
          <w:highlight w:val="none"/>
        </w:rPr>
      </w:r>
      <w:r/>
    </w:p>
    <w:p>
      <w:pPr>
        <w:pStyle w:val="1160"/>
        <w:ind w:left="2835"/>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160"/>
        <w:ind w:left="2835"/>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160"/>
        <w:ind w:left="2835"/>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160"/>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在货物采购项目中，投标人提供的货物既有中小企业制造货物，也有大型企业制造货物的，不享受中小企业扶持政策。</w:t>
      </w:r>
      <w:r>
        <w:rPr>
          <w:rFonts w:hint="eastAsia" w:ascii="宋体" w:hAnsi="宋体" w:cs="宋体"/>
          <w:color w:val="000000"/>
          <w:sz w:val="24"/>
          <w:highlight w:val="none"/>
        </w:rPr>
      </w:r>
      <w:r/>
    </w:p>
    <w:p>
      <w:pPr>
        <w:pStyle w:val="1160"/>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264"/>
        <w:numPr>
          <w:ilvl w:val="2"/>
          <w:numId w:val="9"/>
        </w:numPr>
        <w:spacing w:line="360" w:lineRule="auto"/>
        <w:shd w:val="clear" w:color="auto" w:fill="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264"/>
        <w:numPr>
          <w:ilvl w:val="2"/>
          <w:numId w:val="9"/>
        </w:numPr>
        <w:spacing w:line="360" w:lineRule="auto"/>
        <w:shd w:val="clear" w:color="auto" w:fill="auto"/>
        <w:tabs>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0"/>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160"/>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160"/>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160"/>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160"/>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160"/>
        <w:numPr>
          <w:ilvl w:val="3"/>
          <w:numId w:val="9"/>
        </w:numPr>
        <w:ind w:left="2885"/>
        <w:spacing w:line="360" w:lineRule="auto"/>
        <w:shd w:val="clear" w:color="auto" w:fill="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依据《关于印发〈商品包装政府采购需求标准（试行）〉、〈快递包装政府采购需求标准（试行）〉的通知》（财办库〔2020〕123号）、财政部 生态环境部 工业和信息化部关于印发《绿色数据中心政府采购需求标准(试行)》的通知 (财库(2023)7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支持乡村产业振兴管理（本项目不涉及）</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正版软件（本项目不涉及）</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政府采购创新产品政策（本项目不涉及）</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有相应销售业绩，参加政府采购活动时业绩分值为满分。</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绿色采购政策</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hint="eastAsia" w:ascii="宋体" w:hAnsi="宋体" w:cs="宋体"/>
          <w:color w:val="000000"/>
          <w:sz w:val="24"/>
          <w:highlight w:val="none"/>
        </w:rPr>
      </w:r>
      <w:r/>
    </w:p>
    <w:p>
      <w:pPr>
        <w:pStyle w:val="1160"/>
        <w:ind w:left="1080"/>
        <w:spacing w:line="360" w:lineRule="auto"/>
        <w:shd w:val="clear" w:color="auto" w:fill="auto"/>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hint="eastAsia" w:ascii="宋体" w:hAnsi="宋体" w:cs="宋体"/>
          <w:color w:val="000000"/>
          <w:sz w:val="24"/>
          <w:highlight w:val="none"/>
        </w:rPr>
      </w:r>
      <w:r/>
    </w:p>
    <w:p>
      <w:pPr>
        <w:pStyle w:val="1160"/>
        <w:ind w:left="1080"/>
        <w:spacing w:line="360" w:lineRule="auto"/>
        <w:shd w:val="clear" w:color="auto" w:fill="auto"/>
        <w:tabs>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优先使用低挥发性有机化合物产品</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color w:val="000000"/>
          <w:sz w:val="24"/>
          <w:highlight w:val="none"/>
        </w:rPr>
      </w:r>
      <w:r/>
    </w:p>
    <w:p>
      <w:pPr>
        <w:pStyle w:val="1160"/>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投标费用</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160"/>
        <w:jc w:val="center"/>
        <w:spacing w:line="360" w:lineRule="auto"/>
        <w:shd w:val="clear" w:color="auto" w:fill="auto"/>
        <w:rPr>
          <w:rFonts w:hint="eastAsia" w:ascii="宋体" w:hAnsi="宋体"/>
          <w:b/>
          <w:bCs/>
          <w:color w:val="000000"/>
          <w:sz w:val="28"/>
          <w:szCs w:val="28"/>
          <w:highlight w:val="none"/>
        </w:rPr>
      </w:pPr>
      <w:r/>
      <w:bookmarkStart w:id="159" w:name="_1.8_计量单位"/>
      <w:r/>
      <w:bookmarkEnd w:id="159"/>
      <w:r>
        <w:rPr>
          <w:rFonts w:hint="eastAsia" w:ascii="宋体" w:hAnsi="宋体"/>
          <w:b/>
          <w:bCs/>
          <w:color w:val="000000"/>
          <w:sz w:val="28"/>
          <w:szCs w:val="28"/>
          <w:highlight w:val="none"/>
        </w:rPr>
      </w:r>
      <w:r/>
    </w:p>
    <w:p>
      <w:pPr>
        <w:pStyle w:val="1160"/>
        <w:jc w:val="center"/>
        <w:spacing w:line="360" w:lineRule="auto"/>
        <w:shd w:val="clear" w:color="auto" w:fill="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二   招标文件</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b/>
          <w:bCs/>
          <w:color w:val="000000"/>
          <w:sz w:val="28"/>
          <w:szCs w:val="28"/>
          <w:highlight w:val="none"/>
        </w:rPr>
      </w:r>
      <w:r/>
    </w:p>
    <w:p>
      <w:pPr>
        <w:pStyle w:val="1160"/>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160" w:name="_Toc151193693"/>
      <w:r/>
      <w:bookmarkStart w:id="161" w:name="_Toc164608792"/>
      <w:r/>
      <w:bookmarkStart w:id="162" w:name="_Toc520356147"/>
      <w:r/>
      <w:bookmarkStart w:id="163" w:name="_Toc150480761"/>
      <w:r/>
      <w:bookmarkStart w:id="164" w:name="_Toc127161437"/>
      <w:r/>
      <w:bookmarkStart w:id="165" w:name="_Toc164229218"/>
      <w:r/>
      <w:bookmarkStart w:id="166" w:name="_Toc195842888"/>
      <w:r/>
      <w:bookmarkStart w:id="167" w:name="_Toc226337219"/>
      <w:r/>
      <w:bookmarkStart w:id="168" w:name="_Toc305158791"/>
      <w:r/>
      <w:bookmarkStart w:id="169" w:name="_Toc264969213"/>
      <w:r/>
      <w:bookmarkStart w:id="170" w:name="_Toc226965713"/>
      <w:r/>
      <w:bookmarkStart w:id="171" w:name="_Toc265228361"/>
      <w:r/>
      <w:bookmarkStart w:id="172" w:name="_Toc164351617"/>
      <w:r/>
      <w:bookmarkStart w:id="173" w:name="_Toc150774623"/>
      <w:r/>
      <w:bookmarkStart w:id="174" w:name="_Toc150774728"/>
      <w:r/>
      <w:bookmarkStart w:id="175" w:name="_Toc151190150"/>
      <w:r/>
      <w:bookmarkStart w:id="176" w:name="_Toc305158865"/>
      <w:r/>
      <w:bookmarkStart w:id="177" w:name="_Toc151193837"/>
      <w:r/>
      <w:bookmarkStart w:id="178" w:name="_Toc151193621"/>
      <w:r/>
      <w:bookmarkStart w:id="179" w:name="_Toc164229364"/>
      <w:r/>
      <w:bookmarkStart w:id="180" w:name="_Toc226309767"/>
      <w:r/>
      <w:bookmarkStart w:id="181" w:name="_Toc149720816"/>
      <w:r/>
      <w:bookmarkStart w:id="182" w:name="_Toc142311025"/>
      <w:r/>
      <w:bookmarkStart w:id="183" w:name="_Toc127151523"/>
      <w:r/>
      <w:bookmarkStart w:id="184" w:name="_Toc164608637"/>
      <w:r/>
      <w:bookmarkStart w:id="185" w:name="_Toc151193911"/>
      <w:r/>
      <w:bookmarkStart w:id="186" w:name="_Toc150509274"/>
      <w:r/>
      <w:bookmarkStart w:id="187" w:name="_Toc226965796"/>
      <w:r/>
      <w:bookmarkStart w:id="188" w:name="_Toc151193765"/>
      <w:r/>
      <w:bookmarkStart w:id="189" w:name="_Toc127151724"/>
      <w:r>
        <w:rPr>
          <w:rFonts w:hint="eastAsia" w:ascii="宋体" w:hAnsi="宋体" w:cs="宋体"/>
          <w:color w:val="000000"/>
          <w:sz w:val="24"/>
          <w:highlight w:val="none"/>
        </w:rPr>
        <w:t xml:space="preserve">招标文件构</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cs="宋体"/>
          <w:color w:val="000000"/>
          <w:sz w:val="24"/>
          <w:highlight w:val="none"/>
        </w:rPr>
        <w:t xml:space="preserve">成</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160"/>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160"/>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160"/>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160"/>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160"/>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160"/>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160"/>
        <w:numPr>
          <w:ilvl w:val="0"/>
          <w:numId w:val="10"/>
        </w:numPr>
        <w:ind w:left="1440" w:firstLine="5"/>
        <w:spacing w:line="360" w:lineRule="auto"/>
        <w:shd w:val="clear" w:color="auto" w:fill="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numPr>
          <w:ilvl w:val="0"/>
          <w:numId w:val="8"/>
        </w:numPr>
        <w:ind w:left="357" w:hanging="357"/>
        <w:spacing w:line="360" w:lineRule="auto"/>
        <w:shd w:val="clear" w:color="auto" w:fill="auto"/>
        <w:tabs>
          <w:tab w:val="left" w:pos="900" w:leader="none"/>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对招标文件的澄清或修改</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160"/>
        <w:jc w:val="center"/>
        <w:spacing w:line="360" w:lineRule="auto"/>
        <w:shd w:val="clear" w:color="auto" w:fill="auto"/>
        <w:rPr>
          <w:rFonts w:hint="eastAsia" w:ascii="宋体" w:hAnsi="宋体"/>
          <w:b/>
          <w:bCs/>
          <w:color w:val="000000"/>
          <w:sz w:val="28"/>
          <w:szCs w:val="28"/>
          <w:highlight w:val="none"/>
        </w:rPr>
      </w:pPr>
      <w:r/>
      <w:bookmarkStart w:id="190" w:name="_Toc142311028"/>
      <w:r/>
      <w:bookmarkStart w:id="191" w:name="_Toc151193840"/>
      <w:r/>
      <w:bookmarkStart w:id="192" w:name="_Toc305158794"/>
      <w:r/>
      <w:bookmarkStart w:id="193" w:name="_Toc305158868"/>
      <w:r/>
      <w:bookmarkStart w:id="194" w:name="_Toc151193914"/>
      <w:r/>
      <w:bookmarkStart w:id="195" w:name="_Toc264969216"/>
      <w:r/>
      <w:bookmarkStart w:id="196" w:name="_Toc226965799"/>
      <w:r/>
      <w:bookmarkStart w:id="197" w:name="_Toc516367020"/>
      <w:r/>
      <w:bookmarkStart w:id="198" w:name="_Toc151193696"/>
      <w:r/>
      <w:bookmarkStart w:id="199" w:name="_Toc150480764"/>
      <w:r/>
      <w:bookmarkStart w:id="200" w:name="_Toc151193768"/>
      <w:r/>
      <w:bookmarkStart w:id="201" w:name="_Toc150509277"/>
      <w:r/>
      <w:bookmarkStart w:id="202" w:name="_Toc226309770"/>
      <w:r/>
      <w:bookmarkStart w:id="203" w:name="_Toc127151526"/>
      <w:r/>
      <w:bookmarkStart w:id="204" w:name="_Toc226337222"/>
      <w:r/>
      <w:bookmarkStart w:id="205" w:name="_Toc520356150"/>
      <w:r/>
      <w:bookmarkStart w:id="206" w:name="_Toc151193624"/>
      <w:r/>
      <w:bookmarkStart w:id="207" w:name="_Toc150774731"/>
      <w:r/>
      <w:bookmarkStart w:id="208" w:name="_Toc195842891"/>
      <w:r/>
      <w:bookmarkStart w:id="209" w:name="_Toc265228364"/>
      <w:r/>
      <w:bookmarkStart w:id="210" w:name="_Toc226965716"/>
      <w:r/>
      <w:bookmarkStart w:id="211" w:name="_Toc150774626"/>
      <w:r/>
      <w:bookmarkStart w:id="212" w:name="_Toc151190153"/>
      <w:r>
        <w:rPr>
          <w:rFonts w:hint="eastAsia" w:ascii="宋体" w:hAnsi="宋体"/>
          <w:b/>
          <w:bCs/>
          <w:color w:val="000000"/>
          <w:sz w:val="28"/>
          <w:szCs w:val="28"/>
          <w:highlight w:val="none"/>
        </w:rPr>
      </w:r>
      <w:r/>
    </w:p>
    <w:p>
      <w:pPr>
        <w:pStyle w:val="1160"/>
        <w:jc w:val="center"/>
        <w:spacing w:line="360" w:lineRule="auto"/>
        <w:shd w:val="clear" w:color="auto" w:fill="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三   投标文件</w:t>
      </w:r>
      <w:bookmarkEnd w:id="197"/>
      <w:r>
        <w:rPr>
          <w:rFonts w:hint="eastAsia" w:ascii="宋体" w:hAnsi="宋体"/>
          <w:b/>
          <w:bCs/>
          <w:color w:val="000000"/>
          <w:sz w:val="28"/>
          <w:szCs w:val="28"/>
          <w:highlight w:val="none"/>
        </w:rPr>
        <w:t xml:space="preserve">的编制</w:t>
      </w:r>
      <w:bookmarkEnd w:id="190"/>
      <w:r/>
      <w:bookmarkEnd w:id="191"/>
      <w:r/>
      <w:bookmarkEnd w:id="192"/>
      <w:r/>
      <w:bookmarkEnd w:id="193"/>
      <w:r/>
      <w:bookmarkEnd w:id="194"/>
      <w:r/>
      <w:bookmarkEnd w:id="195"/>
      <w:r/>
      <w:bookmarkEnd w:id="196"/>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Pr>
          <w:rFonts w:hint="eastAsia" w:ascii="宋体" w:hAnsi="宋体"/>
          <w:b/>
          <w:bCs/>
          <w:color w:val="000000"/>
          <w:sz w:val="28"/>
          <w:szCs w:val="28"/>
          <w:highlight w:val="none"/>
        </w:rPr>
      </w:r>
      <w:r/>
    </w:p>
    <w:p>
      <w:pPr>
        <w:pStyle w:val="1160"/>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213" w:name="_Toc164229368"/>
      <w:r/>
      <w:bookmarkStart w:id="214" w:name="_Toc305158869"/>
      <w:r/>
      <w:bookmarkStart w:id="215" w:name="_Toc127161441"/>
      <w:r/>
      <w:bookmarkStart w:id="216" w:name="_Toc264969217"/>
      <w:r/>
      <w:bookmarkStart w:id="217" w:name="_Toc151193841"/>
      <w:r/>
      <w:bookmarkStart w:id="218" w:name="_Toc305158795"/>
      <w:r/>
      <w:bookmarkStart w:id="219" w:name="_Toc151190154"/>
      <w:r/>
      <w:bookmarkStart w:id="220" w:name="_Toc151193769"/>
      <w:r/>
      <w:bookmarkStart w:id="221" w:name="_Toc520356151"/>
      <w:r/>
      <w:bookmarkStart w:id="222" w:name="_Toc127151527"/>
      <w:r/>
      <w:bookmarkStart w:id="223" w:name="_Toc164608641"/>
      <w:r/>
      <w:bookmarkStart w:id="224" w:name="_Toc151193915"/>
      <w:r/>
      <w:bookmarkStart w:id="225" w:name="_Toc150774732"/>
      <w:r/>
      <w:bookmarkStart w:id="226" w:name="_Toc150509278"/>
      <w:r/>
      <w:bookmarkStart w:id="227" w:name="_Toc226965717"/>
      <w:r/>
      <w:bookmarkStart w:id="228" w:name="_Toc164608796"/>
      <w:r/>
      <w:bookmarkStart w:id="229" w:name="_Toc516367021"/>
      <w:r/>
      <w:bookmarkStart w:id="230" w:name="_Toc151193625"/>
      <w:r/>
      <w:bookmarkStart w:id="231" w:name="_Toc226965800"/>
      <w:r/>
      <w:bookmarkStart w:id="232" w:name="_Toc127151728"/>
      <w:r/>
      <w:bookmarkStart w:id="233" w:name="_Toc150774627"/>
      <w:r/>
      <w:bookmarkStart w:id="234" w:name="_Toc195842892"/>
      <w:r/>
      <w:bookmarkStart w:id="235" w:name="_Toc265228365"/>
      <w:r/>
      <w:bookmarkStart w:id="236" w:name="_Toc226337223"/>
      <w:r/>
      <w:bookmarkStart w:id="237" w:name="_Toc149720820"/>
      <w:r/>
      <w:bookmarkStart w:id="238" w:name="_Toc226309771"/>
      <w:r/>
      <w:bookmarkStart w:id="239" w:name="_Toc164229222"/>
      <w:r/>
      <w:bookmarkStart w:id="240" w:name="_Toc164351621"/>
      <w:r/>
      <w:bookmarkStart w:id="241" w:name="_Toc151193697"/>
      <w:r/>
      <w:bookmarkStart w:id="242" w:name="_Toc150480765"/>
      <w:r/>
      <w:bookmarkStart w:id="243" w:name="_Toc142311029"/>
      <w:r>
        <w:rPr>
          <w:rFonts w:hint="eastAsia" w:ascii="宋体" w:hAnsi="宋体" w:cs="宋体"/>
          <w:color w:val="000000"/>
          <w:sz w:val="24"/>
          <w:highlight w:val="none"/>
        </w:rPr>
        <w:t xml:space="preserve">投标范围、投标文件中计量单位的使用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cs="宋体"/>
          <w:color w:val="000000"/>
          <w:sz w:val="24"/>
          <w:highlight w:val="none"/>
        </w:rPr>
        <w:t xml:space="preserve">及投标语言</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160"/>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244" w:name="_Toc195842893"/>
      <w:r/>
      <w:bookmarkStart w:id="245" w:name="_Toc305158796"/>
      <w:r/>
      <w:bookmarkStart w:id="246" w:name="_Toc151190155"/>
      <w:r/>
      <w:bookmarkStart w:id="247" w:name="_Toc264969218"/>
      <w:r/>
      <w:bookmarkStart w:id="248" w:name="_Toc151193916"/>
      <w:r/>
      <w:bookmarkStart w:id="249" w:name="_Toc520356152"/>
      <w:r/>
      <w:bookmarkStart w:id="250" w:name="_Toc151193698"/>
      <w:r/>
      <w:bookmarkStart w:id="251" w:name="_Toc151193626"/>
      <w:r/>
      <w:bookmarkStart w:id="252" w:name="_Toc164608642"/>
      <w:r/>
      <w:bookmarkStart w:id="253" w:name="_Toc149720821"/>
      <w:r/>
      <w:bookmarkStart w:id="254" w:name="_Toc164229223"/>
      <w:r/>
      <w:bookmarkStart w:id="255" w:name="_Toc127151729"/>
      <w:r/>
      <w:bookmarkStart w:id="256" w:name="_Toc305158870"/>
      <w:r/>
      <w:bookmarkStart w:id="257" w:name="_Ref467306676"/>
      <w:r/>
      <w:bookmarkStart w:id="258" w:name="_Ref467306195"/>
      <w:r/>
      <w:bookmarkStart w:id="259" w:name="_Toc265228366"/>
      <w:r/>
      <w:bookmarkStart w:id="260" w:name="_Toc516367022"/>
      <w:r/>
      <w:bookmarkStart w:id="261" w:name="_Toc150509279"/>
      <w:r/>
      <w:bookmarkStart w:id="262" w:name="_Toc226337224"/>
      <w:r/>
      <w:bookmarkStart w:id="263" w:name="_Toc127151528"/>
      <w:r/>
      <w:bookmarkStart w:id="264" w:name="_Toc151193770"/>
      <w:r/>
      <w:bookmarkStart w:id="265" w:name="_Toc226965801"/>
      <w:r/>
      <w:bookmarkStart w:id="266" w:name="_Toc142311030"/>
      <w:r/>
      <w:bookmarkStart w:id="267" w:name="_Toc164608797"/>
      <w:r/>
      <w:bookmarkStart w:id="268" w:name="_Toc150774733"/>
      <w:r/>
      <w:bookmarkStart w:id="269" w:name="_Toc150480766"/>
      <w:r/>
      <w:bookmarkStart w:id="270" w:name="_Toc226309772"/>
      <w:r/>
      <w:bookmarkStart w:id="271" w:name="_Toc226965718"/>
      <w:r/>
      <w:bookmarkStart w:id="272" w:name="_Toc151193842"/>
      <w:r/>
      <w:bookmarkStart w:id="273" w:name="_Toc150774628"/>
      <w:r/>
      <w:bookmarkStart w:id="274" w:name="_Toc127161442"/>
      <w:r/>
      <w:bookmarkStart w:id="275" w:name="_Toc164351622"/>
      <w:r/>
      <w:bookmarkStart w:id="276" w:name="_Toc164229369"/>
      <w:r>
        <w:rPr>
          <w:rFonts w:hint="eastAsia" w:ascii="宋体" w:hAnsi="宋体" w:cs="宋体"/>
          <w:color w:val="000000"/>
          <w:sz w:val="24"/>
          <w:highlight w:val="none"/>
        </w:rPr>
        <w:t xml:space="preserve">投标文件</w:t>
      </w:r>
      <w:bookmarkEnd w:id="257"/>
      <w:r/>
      <w:bookmarkEnd w:id="258"/>
      <w:r/>
      <w:bookmarkEnd w:id="260"/>
      <w:r>
        <w:rPr>
          <w:rFonts w:hint="eastAsia" w:ascii="宋体" w:hAnsi="宋体" w:cs="宋体"/>
          <w:color w:val="000000"/>
          <w:sz w:val="24"/>
          <w:highlight w:val="none"/>
        </w:rPr>
        <w:t xml:space="preserve">构成</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9"/>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bookmarkStart w:id="277"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77"/>
      <w:r>
        <w:rPr>
          <w:rFonts w:hint="eastAsia" w:ascii="宋体" w:hAnsi="宋体" w:cs="宋体"/>
          <w:color w:val="000000"/>
          <w:sz w:val="24"/>
          <w:highlight w:val="none"/>
        </w:rPr>
      </w:r>
      <w:r/>
    </w:p>
    <w:p>
      <w:pPr>
        <w:pStyle w:val="1160"/>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278" w:name="_Toc150774630"/>
      <w:r/>
      <w:bookmarkStart w:id="279" w:name="_Toc151193628"/>
      <w:r/>
      <w:bookmarkStart w:id="280" w:name="_Toc127151731"/>
      <w:r/>
      <w:bookmarkStart w:id="281" w:name="_Toc151193844"/>
      <w:r/>
      <w:bookmarkStart w:id="282" w:name="_Toc151190157"/>
      <w:r/>
      <w:bookmarkStart w:id="283" w:name="_Toc164351624"/>
      <w:r/>
      <w:bookmarkStart w:id="284" w:name="_Toc150509281"/>
      <w:r/>
      <w:bookmarkStart w:id="285" w:name="_Toc127151530"/>
      <w:r/>
      <w:bookmarkStart w:id="286" w:name="_Toc151193772"/>
      <w:r/>
      <w:bookmarkStart w:id="287" w:name="_Toc520356155"/>
      <w:r/>
      <w:bookmarkStart w:id="288" w:name="_Toc127161444"/>
      <w:r/>
      <w:bookmarkStart w:id="289" w:name="_Toc164608799"/>
      <w:r/>
      <w:bookmarkStart w:id="290" w:name="_Toc150774735"/>
      <w:r/>
      <w:bookmarkStart w:id="291" w:name="_Toc195842895"/>
      <w:r/>
      <w:bookmarkStart w:id="292" w:name="_Toc151193918"/>
      <w:r/>
      <w:bookmarkStart w:id="293" w:name="_Toc151193700"/>
      <w:r/>
      <w:bookmarkStart w:id="294" w:name="_Toc164229225"/>
      <w:r/>
      <w:bookmarkStart w:id="295" w:name="_Toc149720823"/>
      <w:r/>
      <w:bookmarkStart w:id="296" w:name="_Toc150480768"/>
      <w:r/>
      <w:bookmarkStart w:id="297" w:name="_Toc142311032"/>
      <w:r/>
      <w:bookmarkStart w:id="298" w:name="_Toc164608644"/>
      <w:r/>
      <w:bookmarkStart w:id="299" w:name="_Toc164229371"/>
      <w:r>
        <w:rPr>
          <w:rFonts w:hint="eastAsia" w:ascii="宋体" w:hAnsi="宋体" w:cs="宋体"/>
          <w:color w:val="000000"/>
          <w:sz w:val="24"/>
          <w:highlight w:val="none"/>
        </w:rPr>
        <w:t xml:space="preserve">投标报价</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投标人的报价应包括为完成本项目所发生的一切费用和税费，采购人将不再支付报价以外的任何费用。投标人的报价应包括但不限于下列内容，《投标人须知资料表》中有特殊规定的，从其规定。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投标货物及标准附件、备品备件、耗材和运至最终目的地的运输费和保险费，检验、安装、调试、测试、技术服务、培训、质量保证、售后服务、税费等按照招标文件要求完成本项目的全部相关费用；</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按照招标文件要求完成本项目的全部相关费用。 </w:t>
      </w:r>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采购人不得向投标人索要或者接受其给予的赠品、回扣或者与采购无关的其他商品、服务。</w:t>
      </w:r>
      <w:r>
        <w:rPr>
          <w:rFonts w:hint="eastAsia" w:ascii="宋体" w:hAnsi="宋体" w:cs="宋体"/>
          <w:color w:val="000000"/>
          <w:sz w:val="24"/>
          <w:highlight w:val="none"/>
        </w:rPr>
      </w:r>
      <w:r/>
    </w:p>
    <w:p>
      <w:pPr>
        <w:pStyle w:val="1160"/>
        <w:numPr>
          <w:ilvl w:val="1"/>
          <w:numId w:val="8"/>
        </w:numPr>
        <w:ind w:left="1080"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300" w:name="_Toc265228369"/>
      <w:r/>
      <w:bookmarkStart w:id="301" w:name="_Toc226965721"/>
      <w:r/>
      <w:bookmarkStart w:id="302" w:name="_Toc164229372"/>
      <w:r/>
      <w:bookmarkStart w:id="303" w:name="_Toc164608645"/>
      <w:r/>
      <w:bookmarkStart w:id="304" w:name="_Toc305158799"/>
      <w:r/>
      <w:bookmarkStart w:id="305" w:name="_Toc150509282"/>
      <w:r/>
      <w:bookmarkStart w:id="306" w:name="_Toc151193919"/>
      <w:r/>
      <w:bookmarkStart w:id="307" w:name="_Toc151193629"/>
      <w:r/>
      <w:bookmarkStart w:id="308" w:name="_Toc150480769"/>
      <w:r/>
      <w:bookmarkStart w:id="309" w:name="_Toc151193773"/>
      <w:r/>
      <w:bookmarkStart w:id="310" w:name="_Toc226309775"/>
      <w:r/>
      <w:bookmarkStart w:id="311" w:name="_Toc149720824"/>
      <w:r/>
      <w:bookmarkStart w:id="312" w:name="_Toc226965804"/>
      <w:r/>
      <w:bookmarkStart w:id="313" w:name="_Toc150774631"/>
      <w:r/>
      <w:bookmarkStart w:id="314" w:name="_Ref467306513"/>
      <w:r/>
      <w:bookmarkStart w:id="315" w:name="_Toc520356156"/>
      <w:r/>
      <w:bookmarkStart w:id="316" w:name="_Toc151193845"/>
      <w:r/>
      <w:bookmarkStart w:id="317" w:name="_Toc151190158"/>
      <w:r/>
      <w:bookmarkStart w:id="318" w:name="_Toc164351625"/>
      <w:r/>
      <w:bookmarkStart w:id="319" w:name="_Toc151193701"/>
      <w:r/>
      <w:bookmarkStart w:id="320" w:name="_Toc164608800"/>
      <w:r/>
      <w:bookmarkStart w:id="321" w:name="_Toc305158873"/>
      <w:r/>
      <w:bookmarkStart w:id="322" w:name="_Toc142311033"/>
      <w:r/>
      <w:bookmarkStart w:id="323" w:name="_Toc150774736"/>
      <w:r/>
      <w:bookmarkStart w:id="324" w:name="_Toc127151732"/>
      <w:r/>
      <w:bookmarkStart w:id="325" w:name="_Toc226337227"/>
      <w:r/>
      <w:bookmarkStart w:id="326" w:name="_Toc164229226"/>
      <w:r/>
      <w:bookmarkStart w:id="327" w:name="_Toc127161445"/>
      <w:r/>
      <w:bookmarkStart w:id="328" w:name="_Toc127151531"/>
      <w:r/>
      <w:bookmarkStart w:id="329" w:name="_Toc195842896"/>
      <w:r/>
      <w:bookmarkStart w:id="330" w:name="_Toc264969221"/>
      <w:r>
        <w:rPr>
          <w:rFonts w:hint="eastAsia" w:ascii="宋体" w:hAnsi="宋体" w:cs="宋体"/>
          <w:color w:val="000000"/>
          <w:sz w:val="24"/>
          <w:highlight w:val="none"/>
        </w:rPr>
        <w:t xml:space="preserve">投标保证金</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rFonts w:hint="eastAsia" w:ascii="宋体" w:hAnsi="宋体" w:cs="宋体"/>
          <w:color w:val="000000"/>
          <w:sz w:val="24"/>
          <w:highlight w:val="none"/>
        </w:rPr>
      </w:r>
      <w:r/>
    </w:p>
    <w:p>
      <w:pPr>
        <w:pStyle w:val="1160"/>
        <w:ind w:left="357"/>
        <w:spacing w:line="360" w:lineRule="auto"/>
        <w:shd w:val="clear" w:color="auto" w:fill="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160"/>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331" w:name="_Toc150774632"/>
      <w:r/>
      <w:bookmarkStart w:id="332" w:name="_Toc305158874"/>
      <w:r/>
      <w:bookmarkStart w:id="333" w:name="_Toc151193920"/>
      <w:r/>
      <w:bookmarkStart w:id="334" w:name="_Toc127151733"/>
      <w:r/>
      <w:bookmarkStart w:id="335" w:name="_Toc226309776"/>
      <w:r/>
      <w:bookmarkStart w:id="336" w:name="_Toc150774737"/>
      <w:r/>
      <w:bookmarkStart w:id="337" w:name="_Toc164229373"/>
      <w:r/>
      <w:bookmarkStart w:id="338" w:name="_Toc151193846"/>
      <w:r/>
      <w:bookmarkStart w:id="339" w:name="_Toc142311034"/>
      <w:r/>
      <w:bookmarkStart w:id="340" w:name="_Toc265228370"/>
      <w:r/>
      <w:bookmarkStart w:id="341" w:name="_Toc150509283"/>
      <w:r/>
      <w:bookmarkStart w:id="342" w:name="_Toc151193630"/>
      <w:r/>
      <w:bookmarkStart w:id="343" w:name="_Toc151190159"/>
      <w:r/>
      <w:bookmarkStart w:id="344" w:name="_Toc149720825"/>
      <w:r/>
      <w:bookmarkStart w:id="345" w:name="_Toc127151532"/>
      <w:r/>
      <w:bookmarkStart w:id="346" w:name="_Toc226337228"/>
      <w:r/>
      <w:bookmarkStart w:id="347" w:name="_Toc164229227"/>
      <w:r/>
      <w:bookmarkStart w:id="348" w:name="_Toc150480770"/>
      <w:r/>
      <w:bookmarkStart w:id="349" w:name="_Toc520356157"/>
      <w:r/>
      <w:bookmarkStart w:id="350" w:name="_Toc195842897"/>
      <w:r/>
      <w:bookmarkStart w:id="351" w:name="_Toc226965722"/>
      <w:r/>
      <w:bookmarkStart w:id="352" w:name="_Toc164608801"/>
      <w:r/>
      <w:bookmarkStart w:id="353" w:name="_Toc151193702"/>
      <w:r/>
      <w:bookmarkStart w:id="354" w:name="_Toc151193774"/>
      <w:r/>
      <w:bookmarkStart w:id="355" w:name="_Toc305158800"/>
      <w:r/>
      <w:bookmarkStart w:id="356" w:name="_Toc127161446"/>
      <w:r/>
      <w:bookmarkStart w:id="357" w:name="_Toc164608646"/>
      <w:r/>
      <w:bookmarkStart w:id="358" w:name="_Toc226965805"/>
      <w:r/>
      <w:bookmarkStart w:id="359" w:name="_Toc164351626"/>
      <w:r/>
      <w:bookmarkStart w:id="360" w:name="_Toc264969222"/>
      <w:r>
        <w:rPr>
          <w:rFonts w:hint="eastAsia" w:ascii="宋体" w:hAnsi="宋体" w:cs="宋体"/>
          <w:color w:val="000000"/>
          <w:sz w:val="24"/>
          <w:highlight w:val="none"/>
        </w:rPr>
        <w:t xml:space="preserve">投标有效期</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投标文件的签署、加盖公章</w:t>
      </w:r>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bookmarkStart w:id="361" w:name="_Toc305158876"/>
      <w:r/>
      <w:bookmarkStart w:id="362" w:name="_Toc142311036"/>
      <w:r/>
      <w:bookmarkStart w:id="363" w:name="_Toc127151534"/>
      <w:r/>
      <w:bookmarkStart w:id="364" w:name="_Toc520356159"/>
      <w:r/>
      <w:bookmarkStart w:id="365" w:name="_Toc226337230"/>
      <w:r/>
      <w:bookmarkStart w:id="366" w:name="_Toc151193632"/>
      <w:r/>
      <w:bookmarkStart w:id="367" w:name="_Toc151193704"/>
      <w:r/>
      <w:bookmarkStart w:id="368" w:name="_Toc150774739"/>
      <w:r/>
      <w:bookmarkStart w:id="369" w:name="_Toc226965724"/>
      <w:r/>
      <w:bookmarkStart w:id="370" w:name="_Toc150480772"/>
      <w:r/>
      <w:bookmarkStart w:id="371" w:name="_Toc150774634"/>
      <w:r/>
      <w:bookmarkStart w:id="372" w:name="_Toc151193922"/>
      <w:r/>
      <w:bookmarkStart w:id="373" w:name="_Toc305158802"/>
      <w:r/>
      <w:bookmarkStart w:id="374" w:name="_Toc151193776"/>
      <w:r/>
      <w:bookmarkStart w:id="375" w:name="_Toc150509285"/>
      <w:r/>
      <w:bookmarkStart w:id="376" w:name="_Toc264969224"/>
      <w:r/>
      <w:bookmarkStart w:id="377" w:name="_Toc151193848"/>
      <w:r/>
      <w:bookmarkStart w:id="378" w:name="_Toc226965807"/>
      <w:r/>
      <w:bookmarkStart w:id="379" w:name="_Toc195842899"/>
      <w:r/>
      <w:bookmarkStart w:id="380" w:name="_Toc265228372"/>
      <w:r/>
      <w:bookmarkStart w:id="381" w:name="_Toc226309778"/>
      <w:r/>
      <w:bookmarkStart w:id="382" w:name="_Toc151190161"/>
      <w:r>
        <w:rPr>
          <w:color w:val="000000"/>
          <w:sz w:val="24"/>
          <w:highlight w:val="none"/>
        </w:rPr>
        <w:t xml:space="preserve">招标文件要求签字的内容（如授权委托书等），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rPr>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招标文件要求加盖公章的内容，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1160"/>
        <w:jc w:val="center"/>
        <w:spacing w:line="360" w:lineRule="auto"/>
        <w:shd w:val="clear" w:color="auto" w:fill="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1160"/>
        <w:jc w:val="center"/>
        <w:spacing w:line="360" w:lineRule="auto"/>
        <w:shd w:val="clear" w:color="auto" w:fill="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四   投标文件的提交</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rFonts w:hint="eastAsia" w:ascii="宋体" w:hAnsi="宋体"/>
          <w:b/>
          <w:bCs/>
          <w:color w:val="000000"/>
          <w:sz w:val="28"/>
          <w:szCs w:val="28"/>
          <w:highlight w:val="none"/>
        </w:rPr>
      </w:r>
      <w:r/>
    </w:p>
    <w:p>
      <w:pPr>
        <w:pStyle w:val="1160"/>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383" w:name="_Toc149720828"/>
      <w:r/>
      <w:bookmarkStart w:id="384" w:name="_Toc305158877"/>
      <w:r/>
      <w:bookmarkStart w:id="385" w:name="_Toc151190162"/>
      <w:r/>
      <w:bookmarkStart w:id="386" w:name="_Toc226965808"/>
      <w:r/>
      <w:bookmarkStart w:id="387" w:name="_Toc150509286"/>
      <w:r/>
      <w:bookmarkStart w:id="388" w:name="_Toc164229376"/>
      <w:r/>
      <w:bookmarkStart w:id="389" w:name="_Toc264969225"/>
      <w:r/>
      <w:bookmarkStart w:id="390" w:name="_Toc151193633"/>
      <w:r/>
      <w:bookmarkStart w:id="391" w:name="_Toc150774740"/>
      <w:r/>
      <w:bookmarkStart w:id="392" w:name="_Toc164229230"/>
      <w:r/>
      <w:bookmarkStart w:id="393" w:name="_Toc265228373"/>
      <w:r/>
      <w:bookmarkStart w:id="394" w:name="_Toc151193777"/>
      <w:r/>
      <w:bookmarkStart w:id="395" w:name="_Toc164608649"/>
      <w:r/>
      <w:bookmarkStart w:id="396" w:name="_Toc151193923"/>
      <w:r/>
      <w:bookmarkStart w:id="397" w:name="_Toc164608804"/>
      <w:r/>
      <w:bookmarkStart w:id="398" w:name="_Toc150774635"/>
      <w:r/>
      <w:bookmarkStart w:id="399" w:name="_Toc150480773"/>
      <w:r/>
      <w:bookmarkStart w:id="400" w:name="_Toc195842900"/>
      <w:r/>
      <w:bookmarkStart w:id="401" w:name="_Toc142311037"/>
      <w:r/>
      <w:bookmarkStart w:id="402" w:name="_Toc226337231"/>
      <w:r/>
      <w:bookmarkStart w:id="403" w:name="_Toc151193705"/>
      <w:r/>
      <w:bookmarkStart w:id="404" w:name="_Toc520356160"/>
      <w:r/>
      <w:bookmarkStart w:id="405" w:name="_Toc164351629"/>
      <w:r/>
      <w:bookmarkStart w:id="406" w:name="_Toc151193849"/>
      <w:r/>
      <w:bookmarkStart w:id="407" w:name="_Toc226965725"/>
      <w:r/>
      <w:bookmarkStart w:id="408" w:name="_Toc226309779"/>
      <w:r/>
      <w:bookmarkStart w:id="409" w:name="_Toc127161449"/>
      <w:r/>
      <w:bookmarkStart w:id="410" w:name="_Toc305158803"/>
      <w:r/>
      <w:bookmarkStart w:id="411" w:name="_Toc127151736"/>
      <w:r/>
      <w:bookmarkStart w:id="412" w:name="_Toc127151535"/>
      <w:r>
        <w:rPr>
          <w:rFonts w:hint="eastAsia" w:ascii="宋体" w:hAnsi="宋体" w:cs="宋体"/>
          <w:color w:val="000000"/>
          <w:sz w:val="24"/>
          <w:highlight w:val="none"/>
        </w:rPr>
        <w:t xml:space="preserve">投标文件的</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cs="宋体"/>
          <w:color w:val="000000"/>
          <w:sz w:val="24"/>
          <w:highlight w:val="none"/>
        </w:rPr>
        <w:t xml:space="preserve">提交</w:t>
      </w:r>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bookmarkStart w:id="413" w:name="_Toc151193850"/>
      <w:r/>
      <w:bookmarkStart w:id="414" w:name="_Toc151193706"/>
      <w:r/>
      <w:bookmarkStart w:id="415" w:name="_Toc226965809"/>
      <w:r/>
      <w:bookmarkStart w:id="416" w:name="_Toc150774636"/>
      <w:r/>
      <w:bookmarkStart w:id="417" w:name="_Toc151193924"/>
      <w:r/>
      <w:bookmarkStart w:id="418" w:name="_Toc265228374"/>
      <w:r/>
      <w:bookmarkStart w:id="419" w:name="_Toc149720829"/>
      <w:r/>
      <w:bookmarkStart w:id="420" w:name="_Toc127151737"/>
      <w:r/>
      <w:bookmarkStart w:id="421" w:name="_Toc150509287"/>
      <w:r/>
      <w:bookmarkStart w:id="422" w:name="_Toc142311038"/>
      <w:r/>
      <w:bookmarkStart w:id="423" w:name="_Toc151193778"/>
      <w:r/>
      <w:bookmarkStart w:id="424" w:name="_Toc151190163"/>
      <w:r/>
      <w:bookmarkStart w:id="425" w:name="_Toc305158804"/>
      <w:r/>
      <w:bookmarkStart w:id="426" w:name="_Toc164608805"/>
      <w:r/>
      <w:bookmarkStart w:id="427" w:name="_Toc164229231"/>
      <w:r/>
      <w:bookmarkStart w:id="428" w:name="_Toc127151536"/>
      <w:r/>
      <w:bookmarkStart w:id="429" w:name="_Toc127161450"/>
      <w:r/>
      <w:bookmarkStart w:id="430" w:name="_Toc164608650"/>
      <w:r/>
      <w:bookmarkStart w:id="431" w:name="_Toc164229377"/>
      <w:r/>
      <w:bookmarkStart w:id="432" w:name="_Toc226337232"/>
      <w:r/>
      <w:bookmarkStart w:id="433" w:name="_Toc195842901"/>
      <w:r/>
      <w:bookmarkStart w:id="434" w:name="_Toc305158878"/>
      <w:r/>
      <w:bookmarkStart w:id="435" w:name="_Toc264969226"/>
      <w:r/>
      <w:bookmarkStart w:id="436" w:name="_Toc150480774"/>
      <w:r/>
      <w:bookmarkStart w:id="437" w:name="_Toc226309780"/>
      <w:r/>
      <w:bookmarkStart w:id="438" w:name="_Toc164351630"/>
      <w:r/>
      <w:bookmarkStart w:id="439" w:name="_Toc226965726"/>
      <w:r/>
      <w:bookmarkStart w:id="440" w:name="_Toc150774741"/>
      <w:r/>
      <w:bookmarkStart w:id="441" w:name="_Toc151193634"/>
      <w:r/>
      <w:bookmarkStart w:id="442" w:name="_Toc520356161"/>
      <w:r>
        <w:rPr>
          <w:color w:val="000000"/>
          <w:sz w:val="24"/>
          <w:highlight w:val="none"/>
        </w:rPr>
        <w:t xml:space="preserve">本项目使用</w:t>
      </w:r>
      <w:r>
        <w:rPr>
          <w:rFonts w:hint="eastAsia"/>
          <w:color w:val="000000"/>
          <w:sz w:val="24"/>
          <w:highlight w:val="none"/>
          <w:lang w:bidi="ar"/>
        </w:rPr>
        <w:t xml:space="preserve">“苏采云”政府采购一体化平台</w:t>
      </w:r>
      <w:r>
        <w:rPr>
          <w:color w:val="000000"/>
          <w:sz w:val="24"/>
          <w:highlight w:val="none"/>
        </w:rPr>
        <w:t xml:space="preserve">。投标人根据招标文件及</w:t>
      </w:r>
      <w:r>
        <w:rPr>
          <w:rFonts w:hint="eastAsia"/>
          <w:color w:val="000000"/>
          <w:sz w:val="24"/>
          <w:highlight w:val="none"/>
          <w:lang w:bidi="ar"/>
        </w:rPr>
        <w:t xml:space="preserve">“苏采云”政府采购一体化平台</w:t>
      </w:r>
      <w:r>
        <w:rPr>
          <w:rFonts w:hint="eastAsia" w:ascii="宋体" w:hAnsi="宋体" w:cs="宋体"/>
          <w:color w:val="000000"/>
          <w:sz w:val="24"/>
          <w:highlight w:val="none"/>
        </w:rPr>
        <w:t xml:space="preserve">供应商</w:t>
      </w:r>
      <w:r>
        <w:rPr>
          <w:color w:val="000000"/>
          <w:sz w:val="24"/>
          <w:highlight w:val="none"/>
        </w:rPr>
        <w:t xml:space="preserve">操作手册要求编制、生成并提交电子投标文件。</w:t>
      </w:r>
      <w:r>
        <w:rPr>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w:t>
      </w:r>
      <w:r>
        <w:rPr>
          <w:rFonts w:hint="eastAsia"/>
          <w:color w:val="000000"/>
          <w:sz w:val="24"/>
          <w:highlight w:val="none"/>
        </w:rPr>
        <w:t xml:space="preserve">“苏采云”政府采购一体化平台</w:t>
      </w:r>
      <w:r>
        <w:rPr>
          <w:color w:val="000000"/>
          <w:sz w:val="24"/>
          <w:highlight w:val="none"/>
        </w:rPr>
        <w:t xml:space="preserve">以外任何形式提交的投标文件。</w:t>
      </w:r>
      <w:r>
        <w:rPr>
          <w:color w:val="000000"/>
          <w:sz w:val="24"/>
          <w:highlight w:val="none"/>
        </w:rPr>
      </w:r>
      <w:r/>
    </w:p>
    <w:p>
      <w:pPr>
        <w:pStyle w:val="1160"/>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cs="宋体"/>
          <w:color w:val="000000"/>
          <w:sz w:val="24"/>
          <w:highlight w:val="none"/>
        </w:rPr>
        <w:t xml:space="preserve">时间</w:t>
      </w:r>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bookmarkStart w:id="443" w:name="_Toc226965727"/>
      <w:r/>
      <w:bookmarkStart w:id="444" w:name="_Toc305158879"/>
      <w:r/>
      <w:bookmarkStart w:id="445" w:name="_Toc226965810"/>
      <w:r/>
      <w:bookmarkStart w:id="446" w:name="_Toc127151738"/>
      <w:r/>
      <w:bookmarkStart w:id="447" w:name="_Toc151190164"/>
      <w:r/>
      <w:bookmarkStart w:id="448" w:name="_Toc149720830"/>
      <w:r/>
      <w:bookmarkStart w:id="449" w:name="_Toc164351631"/>
      <w:r/>
      <w:bookmarkStart w:id="450" w:name="_Toc164229378"/>
      <w:r/>
      <w:bookmarkStart w:id="451" w:name="_Toc226309781"/>
      <w:r/>
      <w:bookmarkStart w:id="452" w:name="_Toc151193925"/>
      <w:r/>
      <w:bookmarkStart w:id="453" w:name="_Toc127161451"/>
      <w:r/>
      <w:bookmarkStart w:id="454" w:name="_Toc520356162"/>
      <w:r/>
      <w:bookmarkStart w:id="455" w:name="_Toc127151537"/>
      <w:r/>
      <w:bookmarkStart w:id="456" w:name="_Toc151193707"/>
      <w:r/>
      <w:bookmarkStart w:id="457" w:name="_Toc164608806"/>
      <w:r/>
      <w:bookmarkStart w:id="458" w:name="_Toc151193635"/>
      <w:r/>
      <w:bookmarkStart w:id="459" w:name="_Toc150774742"/>
      <w:r/>
      <w:bookmarkStart w:id="460" w:name="_Toc164608651"/>
      <w:r/>
      <w:bookmarkStart w:id="461" w:name="_Toc265228375"/>
      <w:r/>
      <w:bookmarkStart w:id="462" w:name="_Toc264969227"/>
      <w:r/>
      <w:bookmarkStart w:id="463" w:name="_Toc164229232"/>
      <w:r/>
      <w:bookmarkStart w:id="464" w:name="_Toc151193779"/>
      <w:r/>
      <w:bookmarkStart w:id="465" w:name="_Toc150509288"/>
      <w:r/>
      <w:bookmarkStart w:id="466" w:name="_Toc151193851"/>
      <w:r/>
      <w:bookmarkStart w:id="467" w:name="_Toc226337233"/>
      <w:r/>
      <w:bookmarkStart w:id="468" w:name="_Toc142311039"/>
      <w:r/>
      <w:bookmarkStart w:id="469" w:name="_Toc305158805"/>
      <w:r/>
      <w:bookmarkStart w:id="470" w:name="_Toc150480775"/>
      <w:r/>
      <w:bookmarkStart w:id="471" w:name="_Toc150774637"/>
      <w:r/>
      <w:bookmarkStart w:id="472" w:name="_Toc195842902"/>
      <w:r>
        <w:rPr>
          <w:color w:val="000000"/>
          <w:sz w:val="24"/>
          <w:highlight w:val="none"/>
        </w:rPr>
        <w:t xml:space="preserve">投标人应在招标文件要求提交投标文件截止时间前，将电子投标文件提交至</w:t>
      </w:r>
      <w:r>
        <w:rPr>
          <w:rFonts w:hint="eastAsia"/>
          <w:color w:val="000000"/>
          <w:sz w:val="24"/>
          <w:highlight w:val="none"/>
        </w:rPr>
        <w:t xml:space="preserve">“苏采云”政府采购一体化平台</w:t>
      </w:r>
      <w:r>
        <w:rPr>
          <w:color w:val="000000"/>
          <w:sz w:val="24"/>
          <w:highlight w:val="none"/>
        </w:rPr>
        <w:t xml:space="preserve">。</w:t>
      </w:r>
      <w:r>
        <w:rPr>
          <w:color w:val="000000"/>
          <w:sz w:val="24"/>
          <w:highlight w:val="none"/>
        </w:rPr>
      </w:r>
      <w:r/>
    </w:p>
    <w:p>
      <w:pPr>
        <w:pStyle w:val="1160"/>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投标文件的修改与撤回</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投标截止时间前，投标人可以通过</w:t>
      </w:r>
      <w:r>
        <w:rPr>
          <w:rFonts w:hint="eastAsia"/>
          <w:color w:val="000000"/>
          <w:sz w:val="24"/>
          <w:highlight w:val="none"/>
        </w:rPr>
        <w:t xml:space="preserve">“苏采云”政府采购一体化平台</w:t>
      </w:r>
      <w:r>
        <w:rPr>
          <w:color w:val="000000"/>
          <w:sz w:val="24"/>
          <w:highlight w:val="none"/>
        </w:rPr>
        <w:t xml:space="preserve">对所提交的投标文件进行补充、修改或者撤回。</w:t>
      </w:r>
      <w:r>
        <w:rPr>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r>
        <w:rPr>
          <w:color w:val="000000"/>
          <w:sz w:val="24"/>
          <w:highlight w:val="none"/>
        </w:rPr>
      </w:r>
      <w:r/>
    </w:p>
    <w:p>
      <w:pPr>
        <w:pStyle w:val="1160"/>
        <w:jc w:val="center"/>
        <w:spacing w:line="360" w:lineRule="auto"/>
        <w:shd w:val="clear" w:color="auto" w:fill="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1160"/>
        <w:jc w:val="center"/>
        <w:spacing w:line="360" w:lineRule="auto"/>
        <w:shd w:val="clear" w:color="auto" w:fill="auto"/>
        <w:rPr>
          <w:rFonts w:hint="eastAsia" w:ascii="宋体" w:hAnsi="宋体"/>
          <w:b/>
          <w:bCs/>
          <w:color w:val="000000"/>
          <w:sz w:val="28"/>
          <w:szCs w:val="28"/>
          <w:highlight w:val="none"/>
        </w:rPr>
      </w:pPr>
      <w:r/>
      <w:bookmarkStart w:id="473" w:name="_Toc226965811"/>
      <w:r/>
      <w:bookmarkStart w:id="474" w:name="_Toc151190165"/>
      <w:r/>
      <w:bookmarkStart w:id="475" w:name="_Toc226337234"/>
      <w:r/>
      <w:bookmarkStart w:id="476" w:name="_Toc151193926"/>
      <w:r/>
      <w:bookmarkStart w:id="477" w:name="_Toc226965728"/>
      <w:r/>
      <w:bookmarkStart w:id="478" w:name="_Toc127151538"/>
      <w:r/>
      <w:bookmarkStart w:id="479" w:name="_Toc305158806"/>
      <w:r/>
      <w:bookmarkStart w:id="480" w:name="_Toc150480776"/>
      <w:r/>
      <w:bookmarkStart w:id="481" w:name="_Toc150774638"/>
      <w:r/>
      <w:bookmarkStart w:id="482" w:name="_Toc305158880"/>
      <w:r/>
      <w:bookmarkStart w:id="483" w:name="_Toc150774743"/>
      <w:r/>
      <w:bookmarkStart w:id="484" w:name="_Toc195842903"/>
      <w:r/>
      <w:bookmarkStart w:id="485" w:name="_Toc226309782"/>
      <w:r/>
      <w:bookmarkStart w:id="486" w:name="_Toc265228376"/>
      <w:r/>
      <w:bookmarkStart w:id="487" w:name="_Toc151193708"/>
      <w:r/>
      <w:bookmarkStart w:id="488" w:name="_Toc264969228"/>
      <w:r/>
      <w:bookmarkStart w:id="489" w:name="_Toc142311040"/>
      <w:r/>
      <w:bookmarkStart w:id="490" w:name="_Toc151193852"/>
      <w:r/>
      <w:bookmarkStart w:id="491" w:name="_Toc520356163"/>
      <w:r/>
      <w:bookmarkStart w:id="492" w:name="_Toc151193780"/>
      <w:r/>
      <w:bookmarkStart w:id="493" w:name="_Toc151193636"/>
      <w:r/>
      <w:bookmarkStart w:id="494" w:name="_Toc150509289"/>
      <w:r>
        <w:rPr>
          <w:rFonts w:hint="eastAsia" w:ascii="宋体" w:hAnsi="宋体"/>
          <w:b/>
          <w:bCs/>
          <w:color w:val="000000"/>
          <w:sz w:val="28"/>
          <w:szCs w:val="28"/>
          <w:highlight w:val="none"/>
        </w:rPr>
        <w:t xml:space="preserve">五   开标、资格审查及评标</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hint="eastAsia" w:ascii="宋体" w:hAnsi="宋体"/>
          <w:b/>
          <w:bCs/>
          <w:color w:val="000000"/>
          <w:sz w:val="28"/>
          <w:szCs w:val="28"/>
          <w:highlight w:val="none"/>
        </w:rPr>
      </w:r>
      <w:r/>
    </w:p>
    <w:p>
      <w:pPr>
        <w:pStyle w:val="1160"/>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495" w:name="_Toc164608653"/>
      <w:r/>
      <w:bookmarkStart w:id="496" w:name="_Toc149720832"/>
      <w:r/>
      <w:bookmarkStart w:id="497" w:name="_Toc151193781"/>
      <w:r/>
      <w:bookmarkStart w:id="498" w:name="_Toc150774744"/>
      <w:r/>
      <w:bookmarkStart w:id="499" w:name="_Toc195842904"/>
      <w:r/>
      <w:bookmarkStart w:id="500" w:name="_Toc151193927"/>
      <w:r/>
      <w:bookmarkStart w:id="501" w:name="_Toc226965729"/>
      <w:r/>
      <w:bookmarkStart w:id="502" w:name="_Toc151193853"/>
      <w:r/>
      <w:bookmarkStart w:id="503" w:name="_Toc265228377"/>
      <w:r/>
      <w:bookmarkStart w:id="504" w:name="_Toc305158807"/>
      <w:r/>
      <w:bookmarkStart w:id="505" w:name="_Toc264969229"/>
      <w:r/>
      <w:bookmarkStart w:id="506" w:name="_Toc164608808"/>
      <w:r/>
      <w:bookmarkStart w:id="507" w:name="_Toc164351633"/>
      <w:r/>
      <w:bookmarkStart w:id="508" w:name="_Toc226309783"/>
      <w:r/>
      <w:bookmarkStart w:id="509" w:name="_Toc151193637"/>
      <w:r/>
      <w:bookmarkStart w:id="510" w:name="_Toc164229234"/>
      <w:r/>
      <w:bookmarkStart w:id="511" w:name="_Toc127151740"/>
      <w:r/>
      <w:bookmarkStart w:id="512" w:name="_Toc142311041"/>
      <w:r/>
      <w:bookmarkStart w:id="513" w:name="_Toc150480777"/>
      <w:r/>
      <w:bookmarkStart w:id="514" w:name="_Toc226965812"/>
      <w:r/>
      <w:bookmarkStart w:id="515" w:name="_Toc520356164"/>
      <w:r/>
      <w:bookmarkStart w:id="516" w:name="_Toc151193709"/>
      <w:r/>
      <w:bookmarkStart w:id="517" w:name="_Toc226337235"/>
      <w:r/>
      <w:bookmarkStart w:id="518" w:name="_Toc150509290"/>
      <w:r/>
      <w:bookmarkStart w:id="519" w:name="_Toc305158881"/>
      <w:r/>
      <w:bookmarkStart w:id="520" w:name="_Toc164229380"/>
      <w:r/>
      <w:bookmarkStart w:id="521" w:name="_Toc127161453"/>
      <w:r/>
      <w:bookmarkStart w:id="522" w:name="_Toc151190166"/>
      <w:r/>
      <w:bookmarkStart w:id="523" w:name="_Toc127151539"/>
      <w:r/>
      <w:bookmarkStart w:id="524" w:name="_Toc150774639"/>
      <w:r>
        <w:rPr>
          <w:rFonts w:hint="eastAsia" w:ascii="宋体" w:hAnsi="宋体" w:cs="宋体"/>
          <w:color w:val="000000"/>
          <w:sz w:val="24"/>
          <w:highlight w:val="none"/>
        </w:rPr>
        <w:t xml:space="preserve">开标</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bookmarkStart w:id="525" w:name="_Toc520356165"/>
      <w:r>
        <w:rPr>
          <w:color w:val="000000"/>
          <w:sz w:val="24"/>
          <w:highlight w:val="none"/>
        </w:rPr>
        <w:t xml:space="preserve">采购人或采购代理机构将按招标文件的规定，在投标截止时间的同一时间和招标文件预先确定的地点组织开标。</w:t>
      </w:r>
      <w:r>
        <w:rPr>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开标过程将使用</w:t>
      </w:r>
      <w:r>
        <w:rPr>
          <w:rFonts w:hint="eastAsia"/>
          <w:color w:val="000000"/>
          <w:sz w:val="24"/>
          <w:highlight w:val="none"/>
        </w:rPr>
        <w:t xml:space="preserve">“苏采云”政府采购一体化平台公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投标人不足3家的，不予开标。</w:t>
      </w:r>
      <w:r>
        <w:rPr>
          <w:rFonts w:hint="eastAsia"/>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投标人</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bidi="ar"/>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1160"/>
        <w:ind w:left="357" w:firstLine="840"/>
        <w:spacing w:line="360" w:lineRule="auto"/>
        <w:shd w:val="clear" w:color="auto" w:fill="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1160"/>
        <w:ind w:left="357" w:firstLine="840"/>
        <w:spacing w:line="360" w:lineRule="auto"/>
        <w:shd w:val="clear" w:color="auto" w:fill="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1160"/>
        <w:ind w:left="357" w:firstLine="840"/>
        <w:spacing w:line="360" w:lineRule="auto"/>
        <w:shd w:val="clear" w:color="auto" w:fill="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1160"/>
        <w:ind w:left="357" w:firstLine="840"/>
        <w:spacing w:line="360" w:lineRule="auto"/>
        <w:shd w:val="clear" w:color="auto" w:fill="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1160"/>
        <w:ind w:left="1134"/>
        <w:spacing w:line="360" w:lineRule="auto"/>
        <w:shd w:val="clear" w:color="auto" w:fill="auto"/>
        <w:tabs>
          <w:tab w:val="left" w:pos="1080"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1160"/>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160"/>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End w:id="525"/>
      <w:r/>
      <w:bookmarkStart w:id="526" w:name="_Toc150774640"/>
      <w:r/>
      <w:bookmarkStart w:id="527" w:name="_Toc164351634"/>
      <w:r/>
      <w:bookmarkStart w:id="528" w:name="_Toc226337236"/>
      <w:r/>
      <w:bookmarkStart w:id="529" w:name="_Toc151193928"/>
      <w:r/>
      <w:bookmarkStart w:id="530" w:name="_Toc150480778"/>
      <w:r/>
      <w:bookmarkStart w:id="531" w:name="_Toc264969230"/>
      <w:r/>
      <w:bookmarkStart w:id="532" w:name="_Toc265228378"/>
      <w:r/>
      <w:bookmarkStart w:id="533" w:name="_Toc151193710"/>
      <w:r/>
      <w:bookmarkStart w:id="534" w:name="_Toc226965813"/>
      <w:r/>
      <w:bookmarkStart w:id="535" w:name="_Toc127151741"/>
      <w:r/>
      <w:bookmarkStart w:id="536" w:name="_Toc164229381"/>
      <w:r/>
      <w:bookmarkStart w:id="537" w:name="_Toc127151540"/>
      <w:r/>
      <w:bookmarkStart w:id="538" w:name="_Toc164229235"/>
      <w:r/>
      <w:bookmarkStart w:id="539" w:name="_Toc305158808"/>
      <w:r/>
      <w:bookmarkStart w:id="540" w:name="_Toc142311042"/>
      <w:r/>
      <w:bookmarkStart w:id="541" w:name="_Toc151193638"/>
      <w:r/>
      <w:bookmarkStart w:id="542" w:name="_Toc127161454"/>
      <w:r/>
      <w:bookmarkStart w:id="543" w:name="_Toc151193854"/>
      <w:r/>
      <w:bookmarkStart w:id="544" w:name="_Toc226965730"/>
      <w:r/>
      <w:bookmarkStart w:id="545" w:name="_Toc151193782"/>
      <w:r/>
      <w:bookmarkStart w:id="546" w:name="_Toc150774745"/>
      <w:r/>
      <w:bookmarkStart w:id="547" w:name="_Toc149720833"/>
      <w:r/>
      <w:bookmarkStart w:id="548" w:name="_Toc164608654"/>
      <w:r/>
      <w:bookmarkStart w:id="549" w:name="_Toc164608809"/>
      <w:r/>
      <w:bookmarkStart w:id="550" w:name="_Toc305158882"/>
      <w:r/>
      <w:bookmarkStart w:id="551" w:name="_Toc151190167"/>
      <w:r/>
      <w:bookmarkStart w:id="552" w:name="_Toc226309784"/>
      <w:r/>
      <w:bookmarkStart w:id="553" w:name="_Toc195842905"/>
      <w:r/>
      <w:bookmarkStart w:id="554" w:name="_Toc150509291"/>
      <w:r>
        <w:rPr>
          <w:rFonts w:hint="eastAsia" w:ascii="宋体" w:hAnsi="宋体" w:cs="宋体"/>
          <w:color w:val="000000"/>
          <w:sz w:val="24"/>
          <w:highlight w:val="none"/>
        </w:rPr>
        <w:t xml:space="preserve">评标委员会</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55" w:name="_Toc520356166"/>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55"/>
      <w:r/>
      <w:bookmarkStart w:id="556" w:name="_Toc520356169"/>
      <w:r>
        <w:rPr>
          <w:rFonts w:hint="eastAsia" w:ascii="宋体" w:hAnsi="宋体" w:cs="宋体"/>
          <w:color w:val="000000"/>
          <w:sz w:val="24"/>
          <w:highlight w:val="none"/>
        </w:rPr>
      </w:r>
      <w:r/>
    </w:p>
    <w:p>
      <w:pPr>
        <w:pStyle w:val="1160"/>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160"/>
        <w:jc w:val="center"/>
        <w:spacing w:line="360" w:lineRule="auto"/>
        <w:shd w:val="clear" w:color="auto" w:fill="auto"/>
        <w:rPr>
          <w:rFonts w:hint="eastAsia" w:ascii="宋体" w:hAnsi="宋体"/>
          <w:b/>
          <w:bCs/>
          <w:color w:val="000000"/>
          <w:sz w:val="28"/>
          <w:szCs w:val="28"/>
          <w:highlight w:val="none"/>
        </w:rPr>
      </w:pPr>
      <w:r/>
      <w:bookmarkStart w:id="557" w:name="_Toc264969235"/>
      <w:r/>
      <w:bookmarkStart w:id="558" w:name="_Toc265228383"/>
      <w:r/>
      <w:bookmarkStart w:id="559" w:name="_Toc226965735"/>
      <w:r/>
      <w:bookmarkStart w:id="560" w:name="_Toc151193933"/>
      <w:r/>
      <w:bookmarkStart w:id="561" w:name="_Toc151193787"/>
      <w:r/>
      <w:bookmarkStart w:id="562" w:name="_Toc142311047"/>
      <w:r/>
      <w:bookmarkStart w:id="563" w:name="_Toc151193859"/>
      <w:r/>
      <w:bookmarkStart w:id="564" w:name="_Toc151193643"/>
      <w:r/>
      <w:bookmarkStart w:id="565" w:name="_Toc150480783"/>
      <w:r/>
      <w:bookmarkStart w:id="566" w:name="_Toc150774750"/>
      <w:r/>
      <w:bookmarkStart w:id="567" w:name="_Toc151193715"/>
      <w:r/>
      <w:bookmarkStart w:id="568" w:name="_Toc150774645"/>
      <w:r/>
      <w:bookmarkStart w:id="569" w:name="_Toc226965818"/>
      <w:r/>
      <w:bookmarkStart w:id="570" w:name="_Toc127151545"/>
      <w:r/>
      <w:bookmarkStart w:id="571" w:name="_Toc305158813"/>
      <w:r/>
      <w:bookmarkStart w:id="572" w:name="_Toc226337241"/>
      <w:r/>
      <w:bookmarkStart w:id="573" w:name="_Toc151190172"/>
      <w:r/>
      <w:bookmarkStart w:id="574" w:name="_Toc195842910"/>
      <w:r/>
      <w:bookmarkStart w:id="575" w:name="_Toc226309789"/>
      <w:r/>
      <w:bookmarkStart w:id="576" w:name="_Toc150509296"/>
      <w:r/>
      <w:bookmarkStart w:id="577" w:name="_Toc305158887"/>
      <w:r>
        <w:rPr>
          <w:rFonts w:hint="eastAsia" w:ascii="宋体" w:hAnsi="宋体"/>
          <w:b/>
          <w:bCs/>
          <w:color w:val="000000"/>
          <w:sz w:val="28"/>
          <w:szCs w:val="28"/>
          <w:highlight w:val="none"/>
        </w:rPr>
      </w:r>
      <w:r/>
    </w:p>
    <w:p>
      <w:pPr>
        <w:pStyle w:val="1162"/>
        <w:spacing w:before="0" w:line="360" w:lineRule="auto"/>
        <w:shd w:val="clear" w:color="auto" w:fill="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六   确定中标</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rPr>
          <w:rFonts w:ascii="Times New Roman" w:hAnsi="Times New Roman" w:eastAsia="宋体"/>
          <w:color w:val="000000"/>
          <w:sz w:val="28"/>
          <w:highlight w:val="none"/>
        </w:rPr>
      </w:r>
      <w:r/>
    </w:p>
    <w:p>
      <w:pPr>
        <w:pStyle w:val="1160"/>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End w:id="556"/>
      <w:r/>
      <w:bookmarkStart w:id="578" w:name="_Toc142311051"/>
      <w:r/>
      <w:bookmarkStart w:id="579" w:name="_Toc149720842"/>
      <w:r/>
      <w:bookmarkStart w:id="580" w:name="_Toc195842914"/>
      <w:r/>
      <w:bookmarkStart w:id="581" w:name="_Toc264969239"/>
      <w:r/>
      <w:bookmarkStart w:id="582" w:name="_Toc164351643"/>
      <w:r/>
      <w:bookmarkStart w:id="583" w:name="_Toc151190176"/>
      <w:r/>
      <w:bookmarkStart w:id="584" w:name="_Toc164608818"/>
      <w:r/>
      <w:bookmarkStart w:id="585" w:name="_Ref467307090"/>
      <w:r/>
      <w:bookmarkStart w:id="586" w:name="_Toc150774754"/>
      <w:r/>
      <w:bookmarkStart w:id="587" w:name="_Toc226337245"/>
      <w:r/>
      <w:bookmarkStart w:id="588" w:name="_Toc265228387"/>
      <w:r/>
      <w:bookmarkStart w:id="589" w:name="_Toc164229390"/>
      <w:r/>
      <w:bookmarkStart w:id="590" w:name="_Toc150509300"/>
      <w:r/>
      <w:bookmarkStart w:id="591" w:name="_Toc151193647"/>
      <w:r/>
      <w:bookmarkStart w:id="592" w:name="_Toc164608663"/>
      <w:r/>
      <w:bookmarkStart w:id="593" w:name="_Toc226309793"/>
      <w:r/>
      <w:bookmarkStart w:id="594" w:name="_Toc150774649"/>
      <w:r/>
      <w:bookmarkStart w:id="595" w:name="_Toc151193863"/>
      <w:r/>
      <w:bookmarkStart w:id="596" w:name="_Toc151193937"/>
      <w:r/>
      <w:bookmarkStart w:id="597" w:name="_Toc127161463"/>
      <w:r/>
      <w:bookmarkStart w:id="598" w:name="_Ref467306425"/>
      <w:r/>
      <w:bookmarkStart w:id="599" w:name="_Toc226965822"/>
      <w:r/>
      <w:bookmarkStart w:id="600" w:name="_Toc127151750"/>
      <w:r/>
      <w:bookmarkStart w:id="601" w:name="_Toc151193719"/>
      <w:r/>
      <w:bookmarkStart w:id="602" w:name="_Toc226965739"/>
      <w:r/>
      <w:bookmarkStart w:id="603" w:name="_Toc164229244"/>
      <w:r/>
      <w:bookmarkStart w:id="604" w:name="_Toc150480787"/>
      <w:r/>
      <w:bookmarkStart w:id="605" w:name="_Toc127151549"/>
      <w:r/>
      <w:bookmarkStart w:id="606" w:name="_Toc520356176"/>
      <w:r/>
      <w:bookmarkStart w:id="607" w:name="_Toc151193791"/>
      <w:r>
        <w:rPr>
          <w:rFonts w:hint="eastAsia" w:ascii="宋体" w:hAnsi="宋体" w:cs="宋体"/>
          <w:color w:val="000000"/>
          <w:sz w:val="24"/>
          <w:highlight w:val="none"/>
        </w:rPr>
        <w:t xml:space="preserve">确定中标人</w:t>
      </w:r>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160"/>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bookmarkStart w:id="608" w:name="_Toc305158891"/>
      <w:r/>
      <w:bookmarkStart w:id="609" w:name="_Toc305158817"/>
      <w:r>
        <w:rPr>
          <w:rFonts w:hint="eastAsia" w:ascii="宋体" w:hAnsi="宋体" w:cs="宋体"/>
          <w:color w:val="000000"/>
          <w:sz w:val="24"/>
          <w:highlight w:val="none"/>
        </w:rPr>
        <w:t xml:space="preserve">中标公告与中标通知书</w:t>
      </w:r>
      <w:bookmarkEnd w:id="608"/>
      <w:r/>
      <w:bookmarkEnd w:id="609"/>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在江苏政府采购网、常州市政府采购网</w:t>
      </w:r>
      <w:r>
        <w:rPr>
          <w:rFonts w:hint="eastAsia" w:ascii="宋体" w:hAnsi="宋体" w:cs="宋体"/>
          <w:color w:val="000000"/>
          <w:sz w:val="24"/>
          <w:highlight w:val="none"/>
        </w:rPr>
        <w:t xml:space="preserve">和江苏尚阳工程管理有限公司网</w:t>
      </w:r>
      <w:r>
        <w:rPr>
          <w:rFonts w:hint="eastAsia" w:ascii="宋体" w:hAnsi="宋体" w:cs="宋体"/>
          <w:color w:val="000000"/>
          <w:sz w:val="24"/>
          <w:highlight w:val="none"/>
        </w:rPr>
        <w:t xml:space="preserve">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中标通知书对采购人和中标人均具有法律效力。中标通知书发出后，采购人改变中标结果的，或者中标人放弃中标项目的，应当依法承担法律责任。</w:t>
      </w:r>
      <w:r>
        <w:rPr>
          <w:rFonts w:hint="eastAsia" w:ascii="宋体" w:hAnsi="宋体" w:cs="宋体"/>
          <w:color w:val="000000"/>
          <w:sz w:val="24"/>
          <w:highlight w:val="none"/>
        </w:rPr>
      </w:r>
      <w:r/>
    </w:p>
    <w:p>
      <w:pPr>
        <w:pStyle w:val="1160"/>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w:t>
      </w:r>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符合专业条件的投标人或者对招标文件作实质响应的投标人不足三家的；</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color w:val="000000"/>
          <w:sz w:val="24"/>
          <w:highlight w:val="none"/>
        </w:rPr>
      </w:pPr>
      <w:r>
        <w:rPr>
          <w:rFonts w:hint="eastAsia" w:ascii="宋体" w:hAnsi="宋体" w:cs="宋体"/>
          <w:color w:val="000000"/>
          <w:sz w:val="24"/>
          <w:highlight w:val="none"/>
        </w:rPr>
        <w:t xml:space="preserve">因重大变故，采购任务取消的。</w:t>
      </w:r>
      <w:r>
        <w:rPr>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160"/>
        <w:numPr>
          <w:ilvl w:val="0"/>
          <w:numId w:val="8"/>
        </w:numPr>
        <w:ind w:left="357" w:hanging="357"/>
        <w:spacing w:line="360" w:lineRule="auto"/>
        <w:shd w:val="clear" w:color="auto" w:fill="auto"/>
        <w:tabs>
          <w:tab w:val="left" w:pos="360" w:leader="none"/>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签订合同</w:t>
      </w:r>
      <w:r>
        <w:rPr>
          <w:rFonts w:hint="eastAsia" w:ascii="宋体" w:hAnsi="宋体" w:eastAsia="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Pr>
          <w:rFonts w:hint="eastAsia" w:ascii="宋体" w:hAnsi="宋体" w:cs="宋体"/>
          <w:color w:val="000000"/>
          <w:sz w:val="24"/>
          <w:highlight w:val="none"/>
        </w:rPr>
        <w:t xml:space="preserve">中标供应商、采购人应当自中标通知书发出之日起30日内，按照招标文件和中标供应商投标文件的规定签订书面合同。所签订的合同不得对招标文件确定的事项和中标供应商的投标文件作实质性修改。</w:t>
      </w:r>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中标供应商拒绝与采购人签订合同的，采购人可以按照评标报告推荐的中标候选人名单排序，确定下一候选人为中标供应商，也可以重新开展政府采购活动。</w:t>
      </w:r>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本项目的非主体、非关键性工作是否允许分包，见《投标人须知资料表》。</w:t>
      </w:r>
      <w:r>
        <w:rPr>
          <w:rFonts w:hint="eastAsia" w:ascii="宋体" w:hAnsi="宋体" w:cs="宋体"/>
          <w:color w:val="000000"/>
          <w:sz w:val="24"/>
          <w:highlight w:val="none"/>
        </w:rPr>
      </w:r>
      <w:r/>
    </w:p>
    <w:p>
      <w:pPr>
        <w:pStyle w:val="1160"/>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询问与质疑</w:t>
      </w:r>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采购人或采购代理机构对投标人依法提出的询问，在3个工作日内作出答复，但答复的内容不得涉及商业秘密。</w:t>
      </w:r>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招标文件中采购需求以及相关部分（第四章评标方法及标准、第五章以及投标人资格要求）由采购人负责制定和管理，对该部分内容有询问或者质疑的，投标人应当向采购人书面提出，由采购人负责接收和回复。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"http://gks.mof.gov.cn/ztztz/zhengfucaigouguanli/201802/t20180201_2804589.htm" </w:instrText>
      </w:r>
      <w:r>
        <w:rPr>
          <w:rFonts w:hint="eastAsia" w:ascii="宋体" w:hAnsi="宋体" w:cs="宋体"/>
          <w:color w:val="000000"/>
          <w:sz w:val="24"/>
          <w:highlight w:val="none"/>
        </w:rPr>
        <w:fldChar w:fldCharType="separate"/>
      </w:r>
      <w:r>
        <w:rPr>
          <w:rStyle w:val="1235"/>
          <w:rFonts w:hint="eastAsia" w:ascii="宋体" w:hAnsi="宋体" w:cs="宋体"/>
          <w:color w:val="000000"/>
          <w:sz w:val="24"/>
          <w:highlight w:val="none"/>
        </w:rPr>
        <w:t xml:space="preserve">http://gk</w:t>
      </w:r>
      <w:bookmarkStart w:id="610" w:name="_Hlt100654014"/>
      <w:r>
        <w:rPr>
          <w:rStyle w:val="1235"/>
          <w:rFonts w:hint="eastAsia" w:ascii="宋体" w:hAnsi="宋体" w:cs="宋体"/>
          <w:color w:val="000000"/>
          <w:sz w:val="24"/>
          <w:highlight w:val="none"/>
        </w:rPr>
        <w:t xml:space="preserve">s</w:t>
      </w:r>
      <w:bookmarkEnd w:id="610"/>
      <w:r>
        <w:rPr>
          <w:rStyle w:val="1235"/>
          <w:rFonts w:hint="eastAsia" w:ascii="宋体" w:hAnsi="宋体" w:cs="宋体"/>
          <w:color w:val="000000"/>
          <w:sz w:val="24"/>
          <w:highlight w:val="none"/>
        </w:rPr>
        <w:t xml:space="preserve">.m</w:t>
      </w:r>
      <w:bookmarkStart w:id="611" w:name="_Hlt100653993"/>
      <w:r/>
      <w:bookmarkStart w:id="612" w:name="_Hlt100653994"/>
      <w:r>
        <w:rPr>
          <w:rStyle w:val="1235"/>
          <w:rFonts w:hint="eastAsia" w:ascii="宋体" w:hAnsi="宋体" w:cs="宋体"/>
          <w:color w:val="000000"/>
          <w:sz w:val="24"/>
          <w:highlight w:val="none"/>
        </w:rPr>
        <w:t xml:space="preserve">o</w:t>
      </w:r>
      <w:bookmarkEnd w:id="611"/>
      <w:r/>
      <w:bookmarkEnd w:id="612"/>
      <w:r>
        <w:rPr>
          <w:rStyle w:val="1235"/>
          <w:rFonts w:hint="eastAsia" w:ascii="宋体" w:hAnsi="宋体" w:cs="宋体"/>
          <w:color w:val="000000"/>
          <w:sz w:val="24"/>
          <w:highlight w:val="none"/>
        </w:rPr>
        <w:t xml:space="preserve">f.gov.cn/ztztz/zhengfucaigouguanli/201802/t20180201_2804589.htm</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160"/>
        <w:numPr>
          <w:ilvl w:val="2"/>
          <w:numId w:val="8"/>
        </w:numPr>
        <w:spacing w:line="360" w:lineRule="auto"/>
        <w:shd w:val="clear" w:color="auto" w:fill="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160"/>
        <w:numPr>
          <w:ilvl w:val="0"/>
          <w:numId w:val="8"/>
        </w:numPr>
        <w:ind w:left="357" w:hanging="357"/>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p>
      <w:pPr>
        <w:pStyle w:val="1160"/>
        <w:numPr>
          <w:ilvl w:val="1"/>
          <w:numId w:val="8"/>
        </w:numPr>
        <w:ind w:left="1077" w:hanging="720"/>
        <w:spacing w:line="360" w:lineRule="auto"/>
        <w:shd w:val="clear" w:color="auto" w:fill="auto"/>
        <w:tabs>
          <w:tab w:val="left" w:pos="1080" w:leader="none"/>
          <w:tab w:val="left" w:pos="1589" w:leader="none"/>
          <w:tab w:val="left" w:pos="2014" w:leader="none"/>
        </w:tabs>
        <w:rPr>
          <w:rFonts w:hint="eastAsia" w:ascii="宋体" w:hAnsi="宋体" w:cs="宋体"/>
          <w:color w:val="000000"/>
          <w:sz w:val="24"/>
          <w:highlight w:val="none"/>
        </w:rPr>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t xml:space="preserve">收费对象、收费标准及缴纳时间见《投标人须知资料表》。由中标</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支付的，中标供应商须一次性向采购代理机构缴纳代理费，投标报价应包含代理费用。</w:t>
      </w:r>
      <w:r>
        <w:rPr>
          <w:rFonts w:hint="eastAsia" w:ascii="宋体" w:hAnsi="宋体" w:cs="宋体"/>
          <w:color w:val="000000"/>
          <w:sz w:val="24"/>
          <w:highlight w:val="none"/>
        </w:rPr>
      </w:r>
      <w:r/>
    </w:p>
    <w:p>
      <w:pPr>
        <w:pStyle w:val="1160"/>
        <w:jc w:val="center"/>
        <w:spacing w:line="360" w:lineRule="auto"/>
        <w:shd w:val="clear" w:color="auto" w:fill="auto"/>
        <w:rPr>
          <w:b/>
          <w:color w:val="000000"/>
          <w:sz w:val="36"/>
          <w:szCs w:val="36"/>
          <w:highlight w:val="none"/>
        </w:rPr>
        <w:outlineLvl w:val="0"/>
      </w:pPr>
      <w:r/>
      <w:bookmarkStart w:id="613" w:name="_Toc142311056"/>
      <w:r/>
      <w:bookmarkStart w:id="614" w:name="_Toc353873664"/>
      <w:r/>
      <w:bookmarkStart w:id="615" w:name="_Toc150480792"/>
      <w:r/>
      <w:bookmarkStart w:id="616" w:name="_Toc265228392"/>
      <w:r/>
      <w:bookmarkStart w:id="617" w:name="_Toc305158896"/>
      <w:r/>
      <w:bookmarkStart w:id="618" w:name="_Toc353825544"/>
      <w:r/>
      <w:bookmarkStart w:id="619" w:name="_Toc353873934"/>
      <w:r/>
      <w:bookmarkStart w:id="620" w:name="_Toc226337250"/>
      <w:r/>
      <w:bookmarkStart w:id="621" w:name="_Toc264969244"/>
      <w:r/>
      <w:bookmarkStart w:id="622" w:name="_Toc226965827"/>
      <w:r/>
      <w:bookmarkStart w:id="623" w:name="_Toc127151554"/>
      <w:r/>
      <w:bookmarkStart w:id="624" w:name="_Toc150774759"/>
      <w:r/>
      <w:bookmarkStart w:id="625" w:name="_Toc305158822"/>
      <w:r/>
      <w:bookmarkStart w:id="626" w:name="_Toc21989"/>
      <w:r>
        <w:rPr>
          <w:b/>
          <w:color w:val="000000"/>
          <w:sz w:val="36"/>
          <w:szCs w:val="36"/>
          <w:highlight w:val="none"/>
        </w:rPr>
        <w:t xml:space="preserve">第三章   </w:t>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rPr>
          <w:b/>
          <w:color w:val="000000"/>
          <w:sz w:val="36"/>
          <w:szCs w:val="36"/>
          <w:highlight w:val="none"/>
        </w:rPr>
        <w:t xml:space="preserve">资格审查</w:t>
      </w:r>
      <w:bookmarkEnd w:id="626"/>
      <w:r/>
      <w:bookmarkStart w:id="627" w:name="_Toc487900382"/>
      <w:r>
        <w:rPr>
          <w:b/>
          <w:color w:val="000000"/>
          <w:sz w:val="36"/>
          <w:szCs w:val="36"/>
          <w:highlight w:val="none"/>
        </w:rPr>
      </w:r>
      <w:r/>
    </w:p>
    <w:p>
      <w:pPr>
        <w:pStyle w:val="1160"/>
        <w:jc w:val="center"/>
        <w:spacing w:line="360" w:lineRule="auto"/>
        <w:shd w:val="clear" w:color="auto" w:fill="auto"/>
        <w:rPr>
          <w:rFonts w:hint="eastAsia" w:ascii="宋体" w:hAnsi="宋体"/>
          <w:b/>
          <w:bCs/>
          <w:color w:val="000000"/>
          <w:sz w:val="28"/>
          <w:szCs w:val="28"/>
          <w:highlight w:val="none"/>
        </w:rPr>
      </w:pPr>
      <w:r/>
      <w:bookmarkStart w:id="628" w:name="_Toc99301422"/>
      <w:r>
        <w:rPr>
          <w:rFonts w:hint="eastAsia" w:ascii="宋体" w:hAnsi="宋体"/>
          <w:b/>
          <w:bCs/>
          <w:color w:val="000000"/>
          <w:sz w:val="28"/>
          <w:szCs w:val="28"/>
          <w:highlight w:val="none"/>
        </w:rPr>
        <w:t xml:space="preserve">一、资格审查程序</w:t>
      </w:r>
      <w:bookmarkEnd w:id="628"/>
      <w:r>
        <w:rPr>
          <w:rFonts w:hint="eastAsia" w:ascii="宋体" w:hAnsi="宋体"/>
          <w:b/>
          <w:bCs/>
          <w:color w:val="000000"/>
          <w:sz w:val="28"/>
          <w:szCs w:val="28"/>
          <w:highlight w:val="none"/>
        </w:rPr>
      </w:r>
      <w:r/>
    </w:p>
    <w:p>
      <w:pPr>
        <w:pStyle w:val="1160"/>
        <w:numPr>
          <w:ilvl w:val="0"/>
          <w:numId w:val="11"/>
        </w:numPr>
        <w:ind w:left="425" w:hanging="425"/>
        <w:spacing w:line="360" w:lineRule="auto"/>
        <w:shd w:val="clear" w:color="auto" w:fill="auto"/>
        <w:tabs>
          <w:tab w:val="left" w:pos="426" w:leader="none"/>
          <w:tab w:val="left" w:pos="85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160"/>
        <w:numPr>
          <w:ilvl w:val="0"/>
          <w:numId w:val="11"/>
        </w:numPr>
        <w:ind w:left="425" w:hanging="425"/>
        <w:spacing w:line="360" w:lineRule="auto"/>
        <w:shd w:val="clear" w:color="auto" w:fill="auto"/>
        <w:tabs>
          <w:tab w:val="left" w:pos="426" w:leader="none"/>
          <w:tab w:val="left" w:pos="85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160"/>
        <w:numPr>
          <w:ilvl w:val="0"/>
          <w:numId w:val="11"/>
        </w:numPr>
        <w:ind w:left="425" w:hanging="425"/>
        <w:spacing w:line="360" w:lineRule="auto"/>
        <w:shd w:val="clear" w:color="auto" w:fill="auto"/>
        <w:tabs>
          <w:tab w:val="left" w:pos="426" w:leader="none"/>
          <w:tab w:val="left" w:pos="85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numPr>
          <w:ilvl w:val="0"/>
          <w:numId w:val="11"/>
        </w:numPr>
        <w:ind w:left="425" w:hanging="425"/>
        <w:spacing w:line="360" w:lineRule="auto"/>
        <w:shd w:val="clear" w:color="auto" w:fill="auto"/>
        <w:tabs>
          <w:tab w:val="left" w:pos="426" w:leader="none"/>
          <w:tab w:val="left" w:pos="85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160"/>
        <w:jc w:val="center"/>
        <w:spacing w:line="360" w:lineRule="auto"/>
        <w:shd w:val="clear" w:color="auto" w:fill="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二、资格审查要求</w:t>
      </w:r>
      <w:r>
        <w:rPr>
          <w:rFonts w:hint="eastAsia" w:ascii="宋体" w:hAnsi="宋体"/>
          <w:b/>
          <w:bCs/>
          <w:color w:val="000000"/>
          <w:sz w:val="28"/>
          <w:szCs w:val="28"/>
          <w:highlight w:val="none"/>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846" w:type="dxa"/>
            <w:vAlign w:val="center"/>
            <w:textDirection w:val="lrTb"/>
            <w:noWrap w:val="false"/>
          </w:tcPr>
          <w:p>
            <w:pPr>
              <w:pStyle w:val="1160"/>
              <w:jc w:val="center"/>
              <w:spacing w:line="360" w:lineRule="exact"/>
              <w:shd w:val="clear" w:color="auto" w:fill="auto"/>
              <w:tabs>
                <w:tab w:val="left" w:pos="1080" w:leader="none"/>
              </w:tabs>
              <w:rPr>
                <w:b/>
                <w:color w:val="000000"/>
                <w:sz w:val="24"/>
                <w:highlight w:val="none"/>
              </w:rPr>
            </w:pPr>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27"/>
            <w:r/>
            <w:bookmarkStart w:id="629" w:name="_Hlt487972895"/>
            <w:r/>
            <w:bookmarkEnd w:id="629"/>
            <w:r/>
            <w:bookmarkStart w:id="630" w:name="_Toc127161490"/>
            <w:r/>
            <w:bookmarkStart w:id="631" w:name="_Toc226965858"/>
            <w:r/>
            <w:bookmarkStart w:id="632" w:name="_Toc127151779"/>
            <w:r/>
            <w:bookmarkStart w:id="633" w:name="_Toc353825550"/>
            <w:r/>
            <w:bookmarkStart w:id="634" w:name="_Toc353873940"/>
            <w:r>
              <w:rPr>
                <w:b/>
                <w:color w:val="000000"/>
                <w:sz w:val="24"/>
                <w:highlight w:val="none"/>
              </w:rPr>
              <w:t xml:space="preserve">序号</w:t>
            </w:r>
            <w:r>
              <w:rPr>
                <w:b/>
                <w:color w:val="000000"/>
                <w:sz w:val="24"/>
                <w:highlight w:val="none"/>
              </w:rPr>
            </w:r>
            <w:r/>
          </w:p>
        </w:tc>
        <w:tc>
          <w:tcPr>
            <w:tcW w:w="1982" w:type="dxa"/>
            <w:vAlign w:val="center"/>
            <w:textDirection w:val="lrTb"/>
            <w:noWrap w:val="false"/>
          </w:tcPr>
          <w:p>
            <w:pPr>
              <w:pStyle w:val="1160"/>
              <w:jc w:val="center"/>
              <w:spacing w:line="360" w:lineRule="exact"/>
              <w:shd w:val="clear" w:color="auto" w:fill="auto"/>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822" w:type="dxa"/>
            <w:vAlign w:val="center"/>
            <w:textDirection w:val="lrTb"/>
            <w:noWrap w:val="false"/>
          </w:tcPr>
          <w:p>
            <w:pPr>
              <w:pStyle w:val="1160"/>
              <w:jc w:val="center"/>
              <w:spacing w:line="360" w:lineRule="exact"/>
              <w:shd w:val="clear" w:color="auto" w:fill="auto"/>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638" w:type="dxa"/>
            <w:vAlign w:val="center"/>
            <w:textDirection w:val="lrTb"/>
            <w:noWrap w:val="false"/>
          </w:tcPr>
          <w:p>
            <w:pPr>
              <w:pStyle w:val="1160"/>
              <w:jc w:val="center"/>
              <w:spacing w:line="360" w:lineRule="exact"/>
              <w:shd w:val="clear" w:color="auto" w:fill="auto"/>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846" w:type="dxa"/>
            <w:vAlign w:val="center"/>
            <w:textDirection w:val="lrTb"/>
            <w:noWrap w:val="false"/>
          </w:tcPr>
          <w:p>
            <w:pPr>
              <w:pStyle w:val="1160"/>
              <w:jc w:val="center"/>
              <w:spacing w:line="360" w:lineRule="exact"/>
              <w:shd w:val="clear" w:color="auto" w:fill="auto"/>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982" w:type="dxa"/>
            <w:vAlign w:val="center"/>
            <w:textDirection w:val="lrTb"/>
            <w:noWrap w:val="false"/>
          </w:tcPr>
          <w:p>
            <w:pPr>
              <w:pStyle w:val="1160"/>
              <w:spacing w:line="360" w:lineRule="exact"/>
              <w:shd w:val="clear" w:color="auto" w:fill="auto"/>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4822" w:type="dxa"/>
            <w:vAlign w:val="center"/>
            <w:textDirection w:val="lrTb"/>
            <w:noWrap w:val="false"/>
          </w:tcPr>
          <w:p>
            <w:pPr>
              <w:pStyle w:val="1160"/>
              <w:spacing w:line="360" w:lineRule="exact"/>
              <w:shd w:val="clear" w:color="auto" w:fill="auto"/>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1638" w:type="dxa"/>
            <w:vAlign w:val="center"/>
            <w:textDirection w:val="lrTb"/>
            <w:noWrap w:val="false"/>
          </w:tcPr>
          <w:p>
            <w:pPr>
              <w:pStyle w:val="1160"/>
              <w:spacing w:line="360" w:lineRule="exact"/>
              <w:shd w:val="clear" w:color="auto" w:fill="auto"/>
              <w:tabs>
                <w:tab w:val="left" w:pos="1080" w:leader="none"/>
              </w:tabs>
              <w:rPr>
                <w:color w:val="000000"/>
                <w:sz w:val="24"/>
                <w:highlight w:val="none"/>
              </w:rPr>
            </w:pPr>
            <w:r>
              <w:rPr>
                <w:color w:val="000000"/>
                <w:sz w:val="24"/>
                <w:highlight w:val="none"/>
              </w:rPr>
            </w:r>
            <w:r/>
          </w:p>
        </w:tc>
      </w:tr>
      <w:tr>
        <w:trPr>
          <w:cantSplit/>
          <w:trHeight w:val="312"/>
        </w:trPr>
        <w:tc>
          <w:tcPr>
            <w:tcW w:w="846" w:type="dxa"/>
            <w:vAlign w:val="center"/>
            <w:textDirection w:val="lrTb"/>
            <w:noWrap w:val="false"/>
          </w:tcPr>
          <w:p>
            <w:pPr>
              <w:pStyle w:val="1160"/>
              <w:jc w:val="center"/>
              <w:spacing w:line="360" w:lineRule="exact"/>
              <w:shd w:val="clear" w:color="auto" w:fill="auto"/>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982" w:type="dxa"/>
            <w:vAlign w:val="center"/>
            <w:textDirection w:val="lrTb"/>
            <w:noWrap w:val="false"/>
          </w:tcPr>
          <w:p>
            <w:pPr>
              <w:pStyle w:val="1160"/>
              <w:spacing w:line="360" w:lineRule="exact"/>
              <w:shd w:val="clear" w:color="auto" w:fill="auto"/>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4822" w:type="dxa"/>
            <w:vAlign w:val="center"/>
            <w:textDirection w:val="lrTb"/>
            <w:noWrap w:val="false"/>
          </w:tcPr>
          <w:p>
            <w:pPr>
              <w:pStyle w:val="1160"/>
              <w:spacing w:line="360" w:lineRule="exact"/>
              <w:shd w:val="clear" w:color="auto" w:fill="auto"/>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1638" w:type="dxa"/>
            <w:vAlign w:val="center"/>
            <w:textDirection w:val="lrTb"/>
            <w:noWrap w:val="false"/>
          </w:tcPr>
          <w:p>
            <w:pPr>
              <w:pStyle w:val="1160"/>
              <w:spacing w:line="360" w:lineRule="exact"/>
              <w:shd w:val="clear" w:color="auto" w:fill="auto"/>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846" w:type="dxa"/>
            <w:vAlign w:val="center"/>
            <w:textDirection w:val="lrTb"/>
            <w:noWrap w:val="false"/>
          </w:tcPr>
          <w:p>
            <w:pPr>
              <w:pStyle w:val="1160"/>
              <w:jc w:val="center"/>
              <w:spacing w:line="360" w:lineRule="exact"/>
              <w:shd w:val="clear" w:color="auto" w:fill="auto"/>
              <w:tabs>
                <w:tab w:val="left" w:pos="1080" w:leader="none"/>
              </w:tabs>
              <w:rPr>
                <w:color w:val="000000"/>
                <w:sz w:val="24"/>
                <w:highlight w:val="none"/>
              </w:rPr>
            </w:pPr>
            <w:r>
              <w:rPr>
                <w:rFonts w:hint="eastAsia"/>
                <w:color w:val="000000"/>
                <w:sz w:val="24"/>
                <w:highlight w:val="none"/>
              </w:rPr>
              <w:t xml:space="preserve">1-2</w:t>
            </w:r>
            <w:r>
              <w:rPr>
                <w:color w:val="000000"/>
                <w:sz w:val="24"/>
                <w:highlight w:val="none"/>
              </w:rPr>
            </w:r>
            <w:r/>
          </w:p>
        </w:tc>
        <w:tc>
          <w:tcPr>
            <w:tcW w:w="1982" w:type="dxa"/>
            <w:vAlign w:val="center"/>
            <w:textDirection w:val="lrTb"/>
            <w:noWrap w:val="false"/>
          </w:tcPr>
          <w:p>
            <w:pPr>
              <w:pStyle w:val="1160"/>
              <w:spacing w:line="360" w:lineRule="exact"/>
              <w:shd w:val="clear" w:color="auto" w:fill="auto"/>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4822" w:type="dxa"/>
            <w:vAlign w:val="center"/>
            <w:textDirection w:val="lrTb"/>
            <w:noWrap w:val="false"/>
          </w:tcPr>
          <w:p>
            <w:pPr>
              <w:pStyle w:val="1160"/>
              <w:spacing w:line="360" w:lineRule="exact"/>
              <w:shd w:val="clear" w:color="auto" w:fill="auto"/>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1160"/>
              <w:spacing w:line="360" w:lineRule="exact"/>
              <w:shd w:val="clear" w:color="auto" w:fill="auto"/>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1160"/>
              <w:spacing w:line="360" w:lineRule="exact"/>
              <w:shd w:val="clear" w:color="auto" w:fill="auto"/>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1160"/>
              <w:spacing w:line="360" w:lineRule="exact"/>
              <w:shd w:val="clear" w:color="auto" w:fill="auto"/>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w:t>
            </w:r>
            <w:r>
              <w:rPr>
                <w:color w:val="000000"/>
                <w:sz w:val="24"/>
                <w:highlight w:val="none"/>
              </w:rPr>
            </w:r>
            <w:r/>
          </w:p>
        </w:tc>
        <w:tc>
          <w:tcPr>
            <w:tcW w:w="1638" w:type="dxa"/>
            <w:vAlign w:val="center"/>
            <w:textDirection w:val="lrTb"/>
            <w:noWrap w:val="false"/>
          </w:tcPr>
          <w:p>
            <w:pPr>
              <w:pStyle w:val="1160"/>
              <w:spacing w:line="360" w:lineRule="exact"/>
              <w:shd w:val="clear" w:color="auto" w:fill="auto"/>
              <w:tabs>
                <w:tab w:val="left" w:pos="1080" w:leader="none"/>
              </w:tabs>
              <w:rPr>
                <w:color w:val="000000"/>
                <w:sz w:val="24"/>
                <w:highlight w:val="none"/>
              </w:rPr>
            </w:pPr>
            <w:r>
              <w:rPr>
                <w:color w:val="000000"/>
                <w:sz w:val="24"/>
                <w:highlight w:val="none"/>
              </w:rPr>
              <w:t xml:space="preserve">无须投标人提供，由采购人</w:t>
            </w:r>
            <w:r>
              <w:rPr>
                <w:rFonts w:hint="eastAsia" w:ascii="宋体" w:hAnsi="宋体" w:cs="宋体"/>
                <w:color w:val="000000"/>
                <w:sz w:val="24"/>
                <w:highlight w:val="none"/>
              </w:rPr>
              <w:t xml:space="preserve">查询。</w:t>
            </w:r>
            <w:r>
              <w:rPr>
                <w:color w:val="000000"/>
                <w:sz w:val="24"/>
                <w:highlight w:val="none"/>
              </w:rPr>
            </w:r>
            <w:r/>
          </w:p>
        </w:tc>
      </w:tr>
      <w:tr>
        <w:trPr>
          <w:cantSplit/>
          <w:trHeight w:val="468"/>
        </w:trPr>
        <w:tc>
          <w:tcPr>
            <w:tcW w:w="846" w:type="dxa"/>
            <w:vAlign w:val="center"/>
            <w:textDirection w:val="lrTb"/>
            <w:noWrap w:val="false"/>
          </w:tcPr>
          <w:p>
            <w:pPr>
              <w:pStyle w:val="1160"/>
              <w:jc w:val="center"/>
              <w:spacing w:line="360" w:lineRule="exact"/>
              <w:shd w:val="clear" w:color="auto" w:fill="auto"/>
              <w:tabs>
                <w:tab w:val="left" w:pos="1080"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lang w:val="en-US" w:eastAsia="zh-CN"/>
              </w:rPr>
            </w:r>
            <w:r/>
          </w:p>
        </w:tc>
        <w:tc>
          <w:tcPr>
            <w:tcW w:w="1982" w:type="dxa"/>
            <w:vAlign w:val="center"/>
            <w:textDirection w:val="lrTb"/>
            <w:noWrap w:val="false"/>
          </w:tcPr>
          <w:p>
            <w:pPr>
              <w:pStyle w:val="1160"/>
              <w:shd w:val="clear" w:color="auto" w:fill="auto"/>
              <w:tabs>
                <w:tab w:val="left" w:pos="1080" w:leader="none"/>
              </w:tabs>
              <w:rPr>
                <w:rFonts w:hint="eastAsia" w:ascii="Times New Roman" w:hAnsi="Times New Roman" w:eastAsia="宋体" w:cs="Times New Roman"/>
                <w:color w:val="000000"/>
                <w:sz w:val="24"/>
                <w:szCs w:val="24"/>
                <w:highlight w:val="none"/>
                <w:lang w:val="en-US" w:eastAsia="zh-CN" w:bidi="ar-SA"/>
              </w:rPr>
            </w:pPr>
            <w:r>
              <w:rPr>
                <w:rFonts w:hint="eastAsia" w:ascii="宋体" w:hAnsi="宋体" w:cs="宋体"/>
                <w:color w:val="000000"/>
                <w:sz w:val="24"/>
                <w:highlight w:val="none"/>
              </w:rPr>
              <w:t xml:space="preserve">落实政府采购政策需满足的资格要求</w:t>
            </w:r>
            <w:r>
              <w:rPr>
                <w:rFonts w:hint="eastAsia" w:ascii="Times New Roman" w:hAnsi="Times New Roman" w:eastAsia="宋体" w:cs="Times New Roman"/>
                <w:color w:val="000000"/>
                <w:sz w:val="24"/>
                <w:szCs w:val="24"/>
                <w:highlight w:val="none"/>
                <w:lang w:val="en-US" w:eastAsia="zh-CN" w:bidi="ar-SA"/>
              </w:rPr>
            </w:r>
            <w:r/>
          </w:p>
        </w:tc>
        <w:tc>
          <w:tcPr>
            <w:tcW w:w="4822" w:type="dxa"/>
            <w:vAlign w:val="center"/>
            <w:textDirection w:val="lrTb"/>
            <w:noWrap w:val="false"/>
          </w:tcPr>
          <w:p>
            <w:pPr>
              <w:pStyle w:val="1160"/>
              <w:shd w:val="clear" w:color="auto" w:fill="auto"/>
              <w:tabs>
                <w:tab w:val="left" w:pos="1080" w:leader="none"/>
              </w:tabs>
              <w:rPr>
                <w:rFonts w:hint="eastAsia" w:ascii="Times New Roman" w:hAnsi="Times New Roman" w:eastAsia="宋体" w:cs="Times New Roman"/>
                <w:color w:val="000000"/>
                <w:sz w:val="24"/>
                <w:szCs w:val="24"/>
                <w:highlight w:val="none"/>
                <w:lang w:val="en-US" w:eastAsia="zh-CN" w:bidi="ar-SA"/>
              </w:rPr>
            </w:pPr>
            <w:r>
              <w:rPr>
                <w:rFonts w:hint="eastAsia" w:ascii="宋体" w:hAnsi="宋体" w:cs="宋体"/>
                <w:color w:val="000000"/>
                <w:sz w:val="24"/>
                <w:highlight w:val="none"/>
              </w:rPr>
              <w:t xml:space="preserve">具体要求见第一章《采购邀请》</w:t>
            </w:r>
            <w:r>
              <w:rPr>
                <w:rFonts w:hint="eastAsia" w:ascii="Times New Roman" w:hAnsi="Times New Roman" w:eastAsia="宋体" w:cs="Times New Roman"/>
                <w:color w:val="000000"/>
                <w:sz w:val="24"/>
                <w:szCs w:val="24"/>
                <w:highlight w:val="none"/>
                <w:lang w:val="en-US" w:eastAsia="zh-CN" w:bidi="ar-SA"/>
              </w:rPr>
            </w:r>
            <w:r/>
          </w:p>
        </w:tc>
        <w:tc>
          <w:tcPr>
            <w:tcW w:w="1638" w:type="dxa"/>
            <w:vAlign w:val="center"/>
            <w:textDirection w:val="lrTb"/>
            <w:noWrap w:val="false"/>
          </w:tcPr>
          <w:p>
            <w:pPr>
              <w:pStyle w:val="1160"/>
              <w:shd w:val="clear" w:color="auto" w:fill="auto"/>
              <w:tabs>
                <w:tab w:val="left" w:pos="1080" w:leader="none"/>
              </w:tabs>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tc>
      </w:tr>
      <w:tr>
        <w:trPr>
          <w:cantSplit/>
          <w:trHeight w:val="468"/>
        </w:trPr>
        <w:tc>
          <w:tcPr>
            <w:tcW w:w="846" w:type="dxa"/>
            <w:vAlign w:val="center"/>
            <w:textDirection w:val="lrTb"/>
            <w:noWrap w:val="false"/>
          </w:tcPr>
          <w:p>
            <w:pPr>
              <w:pStyle w:val="1160"/>
              <w:jc w:val="center"/>
              <w:spacing w:line="360" w:lineRule="exact"/>
              <w:shd w:val="clear" w:color="auto" w:fill="auto"/>
              <w:tabs>
                <w:tab w:val="left" w:pos="1080" w:leader="none"/>
              </w:tabs>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2-1</w:t>
            </w:r>
            <w:r>
              <w:rPr>
                <w:rFonts w:ascii="Times New Roman" w:hAnsi="Times New Roman" w:eastAsia="宋体" w:cs="Times New Roman"/>
                <w:color w:val="000000"/>
                <w:sz w:val="24"/>
                <w:highlight w:val="none"/>
                <w:lang w:val="en-US" w:eastAsia="zh-CN"/>
              </w:rPr>
            </w:r>
            <w:r/>
          </w:p>
        </w:tc>
        <w:tc>
          <w:tcPr>
            <w:tcW w:w="1982" w:type="dxa"/>
            <w:vAlign w:val="center"/>
            <w:textDirection w:val="lrTb"/>
            <w:noWrap w:val="false"/>
          </w:tcPr>
          <w:p>
            <w:pPr>
              <w:pStyle w:val="1160"/>
              <w:spacing w:line="360" w:lineRule="exact"/>
              <w:shd w:val="clear" w:color="auto" w:fill="auto"/>
              <w:tabs>
                <w:tab w:val="left" w:pos="1080" w:leader="none"/>
              </w:tabs>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中小企业声明函</w:t>
            </w:r>
            <w:r>
              <w:rPr>
                <w:rFonts w:ascii="Times New Roman" w:hAnsi="Times New Roman" w:eastAsia="宋体" w:cs="Times New Roman"/>
                <w:color w:val="000000"/>
                <w:sz w:val="24"/>
                <w:highlight w:val="none"/>
                <w:lang w:val="en-US" w:eastAsia="zh-CN"/>
              </w:rPr>
            </w:r>
            <w:r/>
          </w:p>
        </w:tc>
        <w:tc>
          <w:tcPr>
            <w:tcW w:w="4822" w:type="dxa"/>
            <w:vAlign w:val="center"/>
            <w:textDirection w:val="lrTb"/>
            <w:noWrap w:val="false"/>
          </w:tcPr>
          <w:p>
            <w:pPr>
              <w:pStyle w:val="1160"/>
              <w:shd w:val="clear" w:color="auto" w:fill="auto"/>
              <w:tabs>
                <w:tab w:val="left" w:pos="1080" w:leader="none"/>
              </w:tabs>
              <w:rPr>
                <w:rFonts w:ascii="宋体" w:hAnsi="宋体" w:cs="宋体"/>
                <w:bCs/>
                <w:color w:val="000000"/>
                <w:sz w:val="24"/>
                <w:highlight w:val="none"/>
              </w:rPr>
            </w:pPr>
            <w:r>
              <w:rPr>
                <w:rFonts w:hint="eastAsia" w:ascii="宋体" w:hAnsi="宋体" w:cs="宋体"/>
                <w:bCs/>
                <w:color w:val="000000"/>
                <w:sz w:val="24"/>
                <w:highlight w:val="none"/>
              </w:rPr>
              <w:t xml:space="preserve">投标人单独投标的，应提供中小企业声明函；如为监狱企业或残疾人福利性单位，不必提供中小企业声明函，但须按注1或注2要求提供证明材料。</w:t>
            </w:r>
            <w:r>
              <w:rPr>
                <w:rFonts w:ascii="宋体" w:hAnsi="宋体" w:cs="宋体"/>
                <w:bCs/>
                <w:color w:val="000000"/>
                <w:sz w:val="24"/>
                <w:highlight w:val="none"/>
              </w:rPr>
            </w:r>
            <w:r/>
          </w:p>
          <w:p>
            <w:pPr>
              <w:pStyle w:val="1160"/>
              <w:shd w:val="clear" w:color="auto" w:fill="auto"/>
              <w:tabs>
                <w:tab w:val="left" w:pos="1080" w:leader="none"/>
              </w:tabs>
              <w:rPr>
                <w:rFonts w:ascii="宋体" w:hAnsi="宋体" w:cs="宋体"/>
                <w:bCs/>
                <w:color w:val="000000"/>
                <w:sz w:val="24"/>
                <w:highlight w:val="none"/>
              </w:rPr>
            </w:pPr>
            <w:r>
              <w:rPr>
                <w:rFonts w:hint="eastAsia" w:ascii="宋体" w:hAnsi="宋体" w:cs="宋体"/>
                <w:bCs/>
                <w:color w:val="000000"/>
                <w:sz w:val="24"/>
                <w:highlight w:val="none"/>
              </w:rPr>
              <w:t xml:space="preserve">注1：监狱企业须提供由省级以上监狱管理局（常州市含教育矫治局）、戒毒管理局（含新疆生产建设兵团）出具的属于监狱企业的证明文件。</w:t>
            </w:r>
            <w:r>
              <w:rPr>
                <w:rFonts w:ascii="宋体" w:hAnsi="宋体" w:cs="宋体"/>
                <w:bCs/>
                <w:color w:val="000000"/>
                <w:sz w:val="24"/>
                <w:highlight w:val="none"/>
              </w:rPr>
            </w:r>
            <w:r/>
          </w:p>
          <w:p>
            <w:pPr>
              <w:pStyle w:val="1160"/>
              <w:shd w:val="clear" w:color="auto" w:fill="auto"/>
              <w:tabs>
                <w:tab w:val="left" w:pos="1080" w:leader="none"/>
              </w:tabs>
              <w:rPr>
                <w:rFonts w:ascii="Times New Roman" w:hAnsi="Times New Roman" w:eastAsia="宋体" w:cs="Times New Roman"/>
                <w:color w:val="000000"/>
                <w:sz w:val="24"/>
                <w:szCs w:val="24"/>
                <w:highlight w:val="none"/>
                <w:lang w:val="en-US" w:eastAsia="zh-CN" w:bidi="ar-SA"/>
              </w:rPr>
            </w:pPr>
            <w:r>
              <w:rPr>
                <w:rFonts w:hint="eastAsia" w:ascii="宋体" w:hAnsi="宋体" w:cs="宋体"/>
                <w:bCs/>
                <w:color w:val="000000"/>
                <w:sz w:val="24"/>
                <w:highlight w:val="none"/>
              </w:rPr>
              <w:t xml:space="preserve">注2：残疾人福利性单位须按招标文件要求提供《残疾人福利性单位声明函》。</w:t>
            </w:r>
            <w:r>
              <w:rPr>
                <w:rFonts w:ascii="Times New Roman" w:hAnsi="Times New Roman" w:eastAsia="宋体" w:cs="Times New Roman"/>
                <w:color w:val="000000"/>
                <w:sz w:val="24"/>
                <w:szCs w:val="24"/>
                <w:highlight w:val="none"/>
                <w:lang w:val="en-US" w:eastAsia="zh-CN" w:bidi="ar-SA"/>
              </w:rPr>
            </w:r>
            <w:r/>
          </w:p>
        </w:tc>
        <w:tc>
          <w:tcPr>
            <w:tcW w:w="1638" w:type="dxa"/>
            <w:vAlign w:val="center"/>
            <w:textDirection w:val="lrTb"/>
            <w:noWrap w:val="false"/>
          </w:tcPr>
          <w:p>
            <w:pPr>
              <w:pStyle w:val="1160"/>
              <w:shd w:val="clear" w:color="auto" w:fill="auto"/>
              <w:tabs>
                <w:tab w:val="left" w:pos="1080" w:leader="none"/>
              </w:tabs>
              <w:rPr>
                <w:rFonts w:hint="eastAsia" w:ascii="Times New Roman" w:hAnsi="Times New Roman" w:eastAsia="宋体" w:cs="Times New Roman"/>
                <w:color w:val="000000"/>
                <w:sz w:val="24"/>
                <w:szCs w:val="24"/>
                <w:highlight w:val="none"/>
                <w:lang w:val="en-US" w:eastAsia="zh-CN" w:bidi="ar-SA"/>
              </w:rPr>
            </w:pPr>
            <w:r>
              <w:rPr>
                <w:rFonts w:hint="eastAsia" w:ascii="宋体" w:hAnsi="宋体" w:cs="宋体"/>
                <w:color w:val="000000"/>
                <w:sz w:val="24"/>
                <w:highlight w:val="none"/>
              </w:rPr>
              <w:t xml:space="preserve">格式见《投标文件格式》</w:t>
            </w:r>
            <w:r>
              <w:rPr>
                <w:rFonts w:hint="eastAsia" w:ascii="Times New Roman" w:hAnsi="Times New Roman" w:eastAsia="宋体" w:cs="Times New Roman"/>
                <w:color w:val="000000"/>
                <w:sz w:val="24"/>
                <w:szCs w:val="24"/>
                <w:highlight w:val="none"/>
                <w:lang w:val="en-US" w:eastAsia="zh-CN" w:bidi="ar-SA"/>
              </w:rPr>
            </w:r>
            <w:r/>
          </w:p>
        </w:tc>
      </w:tr>
    </w:tbl>
    <w:p>
      <w:pPr>
        <w:pStyle w:val="1160"/>
        <w:jc w:val="center"/>
        <w:shd w:val="clear" w:color="auto" w:fill="auto"/>
        <w:widowControl/>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1160"/>
        <w:jc w:val="center"/>
        <w:shd w:val="clear" w:color="auto" w:fill="auto"/>
        <w:widowControl/>
        <w:rPr>
          <w:b/>
          <w:color w:val="000000"/>
          <w:sz w:val="36"/>
          <w:szCs w:val="36"/>
          <w:highlight w:val="none"/>
        </w:rPr>
        <w:outlineLvl w:val="0"/>
      </w:pPr>
      <w:r/>
      <w:bookmarkStart w:id="635" w:name="_Toc13243"/>
      <w:r>
        <w:rPr>
          <w:b/>
          <w:color w:val="000000"/>
          <w:sz w:val="36"/>
          <w:szCs w:val="36"/>
          <w:highlight w:val="none"/>
        </w:rPr>
        <w:t xml:space="preserve">第四章   </w:t>
      </w:r>
      <w:bookmarkEnd w:id="630"/>
      <w:r/>
      <w:bookmarkEnd w:id="631"/>
      <w:r/>
      <w:bookmarkEnd w:id="632"/>
      <w:r/>
      <w:bookmarkEnd w:id="633"/>
      <w:r/>
      <w:bookmarkEnd w:id="634"/>
      <w:r/>
      <w:bookmarkStart w:id="636" w:name="_Hlt164229061"/>
      <w:r/>
      <w:bookmarkEnd w:id="636"/>
      <w:r>
        <w:rPr>
          <w:b/>
          <w:color w:val="000000"/>
          <w:sz w:val="36"/>
          <w:szCs w:val="36"/>
          <w:highlight w:val="none"/>
        </w:rPr>
        <w:t xml:space="preserve">评标程序、评标方法和评标标准</w:t>
      </w:r>
      <w:bookmarkEnd w:id="635"/>
      <w:r>
        <w:rPr>
          <w:b/>
          <w:color w:val="000000"/>
          <w:sz w:val="36"/>
          <w:szCs w:val="36"/>
          <w:highlight w:val="none"/>
        </w:rPr>
      </w:r>
      <w:r/>
    </w:p>
    <w:p>
      <w:pPr>
        <w:pStyle w:val="1160"/>
        <w:jc w:val="center"/>
        <w:spacing w:line="360" w:lineRule="auto"/>
        <w:shd w:val="clear" w:color="auto" w:fill="auto"/>
        <w:tabs>
          <w:tab w:val="left" w:pos="360" w:leader="none"/>
          <w:tab w:val="left" w:pos="900" w:leader="none"/>
        </w:tabs>
        <w:rPr>
          <w:b/>
          <w:color w:val="000000"/>
          <w:highlight w:val="none"/>
        </w:rPr>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1160"/>
        <w:numPr>
          <w:ilvl w:val="0"/>
          <w:numId w:val="12"/>
        </w:numPr>
        <w:spacing w:line="360" w:lineRule="auto"/>
        <w:shd w:val="clear" w:color="auto" w:fill="auto"/>
        <w:tabs>
          <w:tab w:val="left" w:pos="360" w:leader="none"/>
          <w:tab w:val="left" w:pos="900" w:leader="none"/>
        </w:tabs>
        <w:rPr>
          <w:color w:val="000000"/>
          <w:sz w:val="24"/>
          <w:highlight w:val="none"/>
        </w:rPr>
      </w:pPr>
      <w:r/>
      <w:bookmarkStart w:id="637" w:name="_Toc305158809"/>
      <w:r/>
      <w:bookmarkStart w:id="638" w:name="_Toc164229236"/>
      <w:r/>
      <w:bookmarkStart w:id="639" w:name="_Toc150774746"/>
      <w:r/>
      <w:bookmarkStart w:id="640" w:name="_Toc151193855"/>
      <w:r/>
      <w:bookmarkStart w:id="641" w:name="_Toc149720834"/>
      <w:r/>
      <w:bookmarkStart w:id="642" w:name="_Toc150509292"/>
      <w:r/>
      <w:bookmarkStart w:id="643" w:name="_Toc151193929"/>
      <w:r/>
      <w:bookmarkStart w:id="644" w:name="_Toc151190168"/>
      <w:r/>
      <w:bookmarkStart w:id="645" w:name="_Toc265228379"/>
      <w:r/>
      <w:bookmarkStart w:id="646" w:name="_Toc164608655"/>
      <w:r/>
      <w:bookmarkStart w:id="647" w:name="_Toc150774641"/>
      <w:r/>
      <w:bookmarkStart w:id="648" w:name="_Toc151193783"/>
      <w:r/>
      <w:bookmarkStart w:id="649" w:name="_Toc164351635"/>
      <w:r/>
      <w:bookmarkStart w:id="650" w:name="_Toc226337237"/>
      <w:r/>
      <w:bookmarkStart w:id="651" w:name="_Toc226965814"/>
      <w:r/>
      <w:bookmarkStart w:id="652" w:name="_Toc127151742"/>
      <w:r/>
      <w:bookmarkStart w:id="653" w:name="_Toc164608810"/>
      <w:r/>
      <w:bookmarkStart w:id="654" w:name="_Toc195842906"/>
      <w:r/>
      <w:bookmarkStart w:id="655" w:name="_Toc142311043"/>
      <w:r/>
      <w:bookmarkStart w:id="656" w:name="_Toc264969231"/>
      <w:r/>
      <w:bookmarkStart w:id="657" w:name="_Toc164229382"/>
      <w:r/>
      <w:bookmarkStart w:id="658" w:name="_Toc226309785"/>
      <w:r/>
      <w:bookmarkStart w:id="659" w:name="_Toc150480779"/>
      <w:r/>
      <w:bookmarkStart w:id="660" w:name="_Toc305158883"/>
      <w:r/>
      <w:bookmarkStart w:id="661" w:name="_Toc151193711"/>
      <w:r/>
      <w:bookmarkStart w:id="662" w:name="_Toc127151541"/>
      <w:r/>
      <w:bookmarkStart w:id="663" w:name="_Toc226965731"/>
      <w:r/>
      <w:bookmarkStart w:id="664" w:name="_Toc151193639"/>
      <w:r/>
      <w:bookmarkStart w:id="665" w:name="_Toc127161455"/>
      <w:r/>
      <w:bookmarkStart w:id="666" w:name="_Toc353825551"/>
      <w:r/>
      <w:bookmarkStart w:id="667" w:name="_Toc353873941"/>
      <w:r/>
      <w:bookmarkStart w:id="668" w:name="_Toc353873665"/>
      <w:r/>
      <w:bookmarkStart w:id="669" w:name="_Toc142311057"/>
      <w:r/>
      <w:bookmarkStart w:id="670" w:name="_Toc195842920"/>
      <w:r/>
      <w:bookmarkStart w:id="671" w:name="_Toc226965828"/>
      <w:r/>
      <w:bookmarkStart w:id="672" w:name="_Toc305158823"/>
      <w:r/>
      <w:bookmarkStart w:id="673" w:name="_Toc127151555"/>
      <w:r/>
      <w:bookmarkStart w:id="674" w:name="_Toc150480793"/>
      <w:r/>
      <w:bookmarkStart w:id="675" w:name="_Toc226337251"/>
      <w:r/>
      <w:bookmarkStart w:id="676" w:name="_Toc264969245"/>
      <w:r/>
      <w:bookmarkStart w:id="677" w:name="_Toc353873935"/>
      <w:r/>
      <w:bookmarkStart w:id="678" w:name="_Toc265228393"/>
      <w:r/>
      <w:bookmarkStart w:id="679" w:name="_Toc150774760"/>
      <w:r/>
      <w:bookmarkStart w:id="680" w:name="_Toc353825545"/>
      <w:r/>
      <w:bookmarkStart w:id="681" w:name="_Toc305158897"/>
      <w:r>
        <w:rPr>
          <w:color w:val="000000"/>
          <w:sz w:val="24"/>
          <w:highlight w:val="none"/>
        </w:rPr>
        <w:t xml:space="preserve">投标文件的符合性审查</w:t>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rPr>
          <w:color w:val="000000"/>
          <w:sz w:val="24"/>
          <w:highlight w:val="none"/>
        </w:rPr>
      </w:r>
      <w:r/>
    </w:p>
    <w:p>
      <w:pPr>
        <w:pStyle w:val="1160"/>
        <w:numPr>
          <w:ilvl w:val="1"/>
          <w:numId w:val="12"/>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682" w:name="_Toc520356167"/>
      <w:r>
        <w:rPr>
          <w:color w:val="000000"/>
          <w:sz w:val="24"/>
          <w:highlight w:val="none"/>
        </w:rPr>
      </w:r>
      <w:r/>
    </w:p>
    <w:p>
      <w:pPr>
        <w:pStyle w:val="1160"/>
        <w:numPr>
          <w:ilvl w:val="1"/>
          <w:numId w:val="12"/>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682"/>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1160"/>
        <w:ind w:hanging="357"/>
        <w:jc w:val="center"/>
        <w:spacing w:line="360" w:lineRule="auto"/>
        <w:shd w:val="clear" w:color="auto" w:fill="auto"/>
        <w:tabs>
          <w:tab w:val="left" w:pos="900" w:leader="none"/>
          <w:tab w:val="left" w:pos="1080" w:leader="none"/>
          <w:tab w:val="left" w:pos="1589" w:leader="none"/>
        </w:tabs>
        <w:rPr>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160"/>
              <w:jc w:val="center"/>
              <w:shd w:val="clear" w:color="auto" w:fill="auto"/>
              <w:widowControl/>
              <w:rPr>
                <w:b/>
                <w:color w:val="000000"/>
                <w:sz w:val="24"/>
                <w:highlight w:val="none"/>
              </w:rPr>
            </w:pPr>
            <w:r>
              <w:rPr>
                <w:b/>
                <w:color w:val="000000"/>
                <w:sz w:val="24"/>
                <w:highlight w:val="none"/>
              </w:rPr>
              <w:t xml:space="preserve">序号</w:t>
            </w:r>
            <w:r>
              <w:rPr>
                <w:b/>
                <w:color w:val="000000"/>
                <w:sz w:val="24"/>
                <w:highlight w:val="none"/>
              </w:rPr>
            </w:r>
            <w:r/>
          </w:p>
        </w:tc>
        <w:tc>
          <w:tcPr>
            <w:tcW w:w="1813" w:type="dxa"/>
            <w:vAlign w:val="center"/>
            <w:textDirection w:val="lrTb"/>
            <w:noWrap w:val="false"/>
          </w:tcPr>
          <w:p>
            <w:pPr>
              <w:pStyle w:val="1160"/>
              <w:jc w:val="center"/>
              <w:shd w:val="clear" w:color="auto" w:fill="auto"/>
              <w:widowControl/>
              <w:rPr>
                <w:b/>
                <w:color w:val="000000"/>
                <w:sz w:val="24"/>
                <w:highlight w:val="none"/>
              </w:rPr>
            </w:pPr>
            <w:r>
              <w:rPr>
                <w:b/>
                <w:color w:val="000000"/>
                <w:sz w:val="24"/>
                <w:highlight w:val="none"/>
              </w:rPr>
              <w:t xml:space="preserve">审查因素</w:t>
            </w:r>
            <w:r>
              <w:rPr>
                <w:b/>
                <w:color w:val="000000"/>
                <w:sz w:val="24"/>
                <w:highlight w:val="none"/>
              </w:rPr>
            </w:r>
            <w:r/>
          </w:p>
        </w:tc>
        <w:tc>
          <w:tcPr>
            <w:tcW w:w="6725" w:type="dxa"/>
            <w:vAlign w:val="center"/>
            <w:textDirection w:val="lrTb"/>
            <w:noWrap w:val="false"/>
          </w:tcPr>
          <w:p>
            <w:pPr>
              <w:pStyle w:val="1160"/>
              <w:jc w:val="center"/>
              <w:shd w:val="clear" w:color="auto" w:fill="auto"/>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750" w:type="dxa"/>
            <w:vAlign w:val="center"/>
            <w:textDirection w:val="lrTb"/>
            <w:noWrap w:val="false"/>
          </w:tcPr>
          <w:p>
            <w:pPr>
              <w:pStyle w:val="1160"/>
              <w:jc w:val="center"/>
              <w:shd w:val="clear" w:color="auto" w:fill="auto"/>
              <w:widowControl/>
              <w:rPr>
                <w:color w:val="000000"/>
                <w:sz w:val="24"/>
                <w:highlight w:val="none"/>
              </w:rPr>
            </w:pPr>
            <w:r>
              <w:rPr>
                <w:color w:val="000000"/>
                <w:sz w:val="24"/>
                <w:highlight w:val="none"/>
              </w:rPr>
              <w:t xml:space="preserve">1</w:t>
            </w:r>
            <w:r>
              <w:rPr>
                <w:color w:val="000000"/>
                <w:sz w:val="24"/>
                <w:highlight w:val="none"/>
              </w:rPr>
            </w:r>
            <w:r/>
          </w:p>
        </w:tc>
        <w:tc>
          <w:tcPr>
            <w:tcW w:w="1813" w:type="dxa"/>
            <w:vAlign w:val="center"/>
            <w:textDirection w:val="lrTb"/>
            <w:noWrap w:val="false"/>
          </w:tcPr>
          <w:p>
            <w:pPr>
              <w:pStyle w:val="1160"/>
              <w:jc w:val="left"/>
              <w:shd w:val="clear" w:color="auto" w:fill="auto"/>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r>
            <w:r/>
          </w:p>
        </w:tc>
        <w:tc>
          <w:tcPr>
            <w:tcW w:w="6725" w:type="dxa"/>
            <w:vAlign w:val="center"/>
            <w:textDirection w:val="lrTb"/>
            <w:noWrap w:val="false"/>
          </w:tcPr>
          <w:p>
            <w:pPr>
              <w:pStyle w:val="1160"/>
              <w:jc w:val="left"/>
              <w:shd w:val="clear" w:color="auto" w:fill="auto"/>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1160"/>
              <w:jc w:val="center"/>
              <w:shd w:val="clear" w:color="auto" w:fill="auto"/>
              <w:widowControl/>
              <w:rPr>
                <w:color w:val="000000"/>
                <w:sz w:val="24"/>
                <w:highlight w:val="none"/>
              </w:rPr>
            </w:pPr>
            <w:r>
              <w:rPr>
                <w:color w:val="000000"/>
                <w:sz w:val="24"/>
                <w:highlight w:val="none"/>
              </w:rPr>
              <w:t xml:space="preserve">2</w:t>
            </w:r>
            <w:r>
              <w:rPr>
                <w:color w:val="000000"/>
                <w:sz w:val="24"/>
                <w:highlight w:val="none"/>
              </w:rPr>
            </w:r>
            <w:r/>
          </w:p>
        </w:tc>
        <w:tc>
          <w:tcPr>
            <w:tcW w:w="1813" w:type="dxa"/>
            <w:vAlign w:val="center"/>
            <w:textDirection w:val="lrTb"/>
            <w:noWrap w:val="false"/>
          </w:tcPr>
          <w:p>
            <w:pPr>
              <w:pStyle w:val="1160"/>
              <w:jc w:val="left"/>
              <w:shd w:val="clear" w:color="auto" w:fill="auto"/>
              <w:widowControl/>
              <w:rPr>
                <w:color w:val="000000"/>
                <w:sz w:val="24"/>
                <w:highlight w:val="none"/>
              </w:rPr>
            </w:pPr>
            <w:r>
              <w:rPr>
                <w:color w:val="000000"/>
                <w:sz w:val="24"/>
                <w:highlight w:val="none"/>
              </w:rPr>
              <w:t xml:space="preserve">投标完整性</w:t>
            </w:r>
            <w:r>
              <w:rPr>
                <w:color w:val="000000"/>
                <w:sz w:val="24"/>
                <w:highlight w:val="none"/>
              </w:rPr>
            </w:r>
            <w:r/>
          </w:p>
        </w:tc>
        <w:tc>
          <w:tcPr>
            <w:tcW w:w="6725" w:type="dxa"/>
            <w:vAlign w:val="center"/>
            <w:textDirection w:val="lrTb"/>
            <w:noWrap w:val="false"/>
          </w:tcPr>
          <w:p>
            <w:pPr>
              <w:pStyle w:val="1160"/>
              <w:jc w:val="left"/>
              <w:shd w:val="clear" w:color="auto" w:fill="auto"/>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w:t>
            </w:r>
            <w:r>
              <w:rPr>
                <w:rFonts w:hint="eastAsia"/>
                <w:color w:val="000000"/>
                <w:sz w:val="24"/>
                <w:highlight w:val="none"/>
              </w:rPr>
              <w:t xml:space="preserve">采购项目</w:t>
            </w:r>
            <w:r>
              <w:rPr>
                <w:color w:val="000000"/>
                <w:sz w:val="24"/>
                <w:highlight w:val="none"/>
              </w:rPr>
              <w:t xml:space="preserve">中的内容拆开投标；</w:t>
            </w:r>
            <w:r>
              <w:rPr>
                <w:color w:val="000000"/>
                <w:sz w:val="24"/>
                <w:highlight w:val="none"/>
              </w:rPr>
            </w:r>
            <w:r/>
          </w:p>
        </w:tc>
      </w:tr>
      <w:tr>
        <w:trPr>
          <w:trHeight w:val="685"/>
        </w:trPr>
        <w:tc>
          <w:tcPr>
            <w:tcW w:w="750" w:type="dxa"/>
            <w:vAlign w:val="center"/>
            <w:textDirection w:val="lrTb"/>
            <w:noWrap w:val="false"/>
          </w:tcPr>
          <w:p>
            <w:pPr>
              <w:pStyle w:val="1160"/>
              <w:jc w:val="center"/>
              <w:shd w:val="clear" w:color="auto" w:fill="auto"/>
              <w:widowControl/>
              <w:rPr>
                <w:color w:val="000000"/>
                <w:sz w:val="24"/>
                <w:highlight w:val="none"/>
              </w:rPr>
            </w:pPr>
            <w:r>
              <w:rPr>
                <w:color w:val="000000"/>
                <w:sz w:val="24"/>
                <w:highlight w:val="none"/>
              </w:rPr>
              <w:t xml:space="preserve">3</w:t>
            </w:r>
            <w:r>
              <w:rPr>
                <w:color w:val="000000"/>
                <w:sz w:val="24"/>
                <w:highlight w:val="none"/>
              </w:rPr>
            </w:r>
            <w:r/>
          </w:p>
        </w:tc>
        <w:tc>
          <w:tcPr>
            <w:tcW w:w="1813" w:type="dxa"/>
            <w:vAlign w:val="center"/>
            <w:textDirection w:val="lrTb"/>
            <w:noWrap w:val="false"/>
          </w:tcPr>
          <w:p>
            <w:pPr>
              <w:pStyle w:val="1160"/>
              <w:jc w:val="left"/>
              <w:shd w:val="clear" w:color="auto" w:fill="auto"/>
              <w:widowControl/>
              <w:rPr>
                <w:color w:val="000000"/>
                <w:sz w:val="24"/>
                <w:highlight w:val="none"/>
              </w:rPr>
            </w:pPr>
            <w:r>
              <w:rPr>
                <w:color w:val="000000"/>
                <w:sz w:val="24"/>
                <w:highlight w:val="none"/>
              </w:rPr>
              <w:t xml:space="preserve">投标报价</w:t>
            </w:r>
            <w:r>
              <w:rPr>
                <w:color w:val="000000"/>
                <w:sz w:val="24"/>
                <w:highlight w:val="none"/>
              </w:rPr>
            </w:r>
            <w:r/>
          </w:p>
        </w:tc>
        <w:tc>
          <w:tcPr>
            <w:tcW w:w="6725" w:type="dxa"/>
            <w:vAlign w:val="center"/>
            <w:textDirection w:val="lrTb"/>
            <w:noWrap w:val="false"/>
          </w:tcPr>
          <w:p>
            <w:pPr>
              <w:pStyle w:val="1160"/>
              <w:jc w:val="left"/>
              <w:shd w:val="clear" w:color="auto" w:fill="auto"/>
              <w:widowControl/>
              <w:rPr>
                <w:rFonts w:hint="eastAsia" w:eastAsia="宋体"/>
                <w:color w:val="000000"/>
                <w:sz w:val="24"/>
                <w:highlight w:val="none"/>
                <w:lang w:eastAsia="zh-CN"/>
              </w:rPr>
            </w:pPr>
            <w:r>
              <w:rPr>
                <w:rFonts w:hint="eastAsia"/>
                <w:color w:val="000000"/>
                <w:sz w:val="24"/>
                <w:highlight w:val="none"/>
              </w:rPr>
              <w:t xml:space="preserve">投标报价未超过招标文件中规定的项目预算金额或者项目最高限价</w:t>
            </w:r>
            <w:r>
              <w:rPr>
                <w:rFonts w:hint="eastAsia"/>
                <w:color w:val="000000"/>
                <w:sz w:val="24"/>
                <w:highlight w:val="none"/>
                <w:lang w:eastAsia="zh-CN"/>
              </w:rPr>
              <w:t xml:space="preserve">；</w:t>
            </w:r>
            <w:r>
              <w:rPr>
                <w:rFonts w:hint="eastAsia" w:eastAsia="宋体"/>
                <w:color w:val="000000"/>
                <w:sz w:val="24"/>
                <w:highlight w:val="none"/>
                <w:lang w:eastAsia="zh-CN"/>
              </w:rPr>
            </w:r>
            <w:r/>
          </w:p>
        </w:tc>
      </w:tr>
      <w:tr>
        <w:trPr>
          <w:trHeight w:val="685"/>
        </w:trPr>
        <w:tc>
          <w:tcPr>
            <w:tcW w:w="750" w:type="dxa"/>
            <w:vAlign w:val="center"/>
            <w:textDirection w:val="lrTb"/>
            <w:noWrap w:val="false"/>
          </w:tcPr>
          <w:p>
            <w:pPr>
              <w:pStyle w:val="1160"/>
              <w:jc w:val="center"/>
              <w:shd w:val="clear" w:color="auto" w:fill="auto"/>
              <w:widowControl/>
              <w:rPr>
                <w:color w:val="000000"/>
                <w:sz w:val="24"/>
                <w:highlight w:val="none"/>
              </w:rPr>
            </w:pPr>
            <w:r>
              <w:rPr>
                <w:color w:val="000000"/>
                <w:sz w:val="24"/>
                <w:highlight w:val="none"/>
              </w:rPr>
              <w:t xml:space="preserve">4</w:t>
            </w:r>
            <w:r>
              <w:rPr>
                <w:color w:val="000000"/>
                <w:sz w:val="24"/>
                <w:highlight w:val="none"/>
              </w:rPr>
            </w:r>
            <w:r/>
          </w:p>
        </w:tc>
        <w:tc>
          <w:tcPr>
            <w:tcW w:w="1813" w:type="dxa"/>
            <w:vAlign w:val="center"/>
            <w:textDirection w:val="lrTb"/>
            <w:noWrap w:val="false"/>
          </w:tcPr>
          <w:p>
            <w:pPr>
              <w:pStyle w:val="1160"/>
              <w:jc w:val="left"/>
              <w:shd w:val="clear" w:color="auto" w:fill="auto"/>
              <w:widowControl/>
              <w:rPr>
                <w:color w:val="000000"/>
                <w:sz w:val="24"/>
                <w:highlight w:val="none"/>
              </w:rPr>
            </w:pPr>
            <w:r>
              <w:rPr>
                <w:color w:val="000000"/>
                <w:sz w:val="24"/>
                <w:highlight w:val="none"/>
              </w:rPr>
              <w:t xml:space="preserve">报价唯一性</w:t>
            </w:r>
            <w:r>
              <w:rPr>
                <w:color w:val="000000"/>
                <w:sz w:val="24"/>
                <w:highlight w:val="none"/>
              </w:rPr>
            </w:r>
            <w:r/>
          </w:p>
        </w:tc>
        <w:tc>
          <w:tcPr>
            <w:tcW w:w="6725" w:type="dxa"/>
            <w:vAlign w:val="center"/>
            <w:textDirection w:val="lrTb"/>
            <w:noWrap w:val="false"/>
          </w:tcPr>
          <w:p>
            <w:pPr>
              <w:pStyle w:val="1160"/>
              <w:jc w:val="left"/>
              <w:shd w:val="clear" w:color="auto" w:fill="auto"/>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1160"/>
              <w:jc w:val="center"/>
              <w:shd w:val="clear" w:color="auto" w:fill="auto"/>
              <w:widowControl/>
              <w:rPr>
                <w:color w:val="000000"/>
                <w:sz w:val="24"/>
                <w:highlight w:val="none"/>
              </w:rPr>
            </w:pPr>
            <w:r>
              <w:rPr>
                <w:color w:val="000000"/>
                <w:sz w:val="24"/>
                <w:highlight w:val="none"/>
              </w:rPr>
              <w:t xml:space="preserve">5</w:t>
            </w:r>
            <w:r>
              <w:rPr>
                <w:color w:val="000000"/>
                <w:sz w:val="24"/>
                <w:highlight w:val="none"/>
              </w:rPr>
            </w:r>
            <w:r/>
          </w:p>
        </w:tc>
        <w:tc>
          <w:tcPr>
            <w:tcW w:w="1813" w:type="dxa"/>
            <w:vAlign w:val="center"/>
            <w:textDirection w:val="lrTb"/>
            <w:noWrap w:val="false"/>
          </w:tcPr>
          <w:p>
            <w:pPr>
              <w:pStyle w:val="1160"/>
              <w:jc w:val="left"/>
              <w:shd w:val="clear" w:color="auto" w:fill="auto"/>
              <w:widowControl/>
              <w:rPr>
                <w:color w:val="000000"/>
                <w:sz w:val="24"/>
                <w:highlight w:val="none"/>
              </w:rPr>
            </w:pPr>
            <w:r>
              <w:rPr>
                <w:color w:val="000000"/>
                <w:sz w:val="24"/>
                <w:highlight w:val="none"/>
              </w:rPr>
              <w:t xml:space="preserve">投标有效期</w:t>
            </w:r>
            <w:r>
              <w:rPr>
                <w:color w:val="000000"/>
                <w:sz w:val="24"/>
                <w:highlight w:val="none"/>
              </w:rPr>
            </w:r>
            <w:r/>
          </w:p>
        </w:tc>
        <w:tc>
          <w:tcPr>
            <w:tcW w:w="6725" w:type="dxa"/>
            <w:vAlign w:val="center"/>
            <w:textDirection w:val="lrTb"/>
            <w:noWrap w:val="false"/>
          </w:tcPr>
          <w:p>
            <w:pPr>
              <w:pStyle w:val="1160"/>
              <w:jc w:val="left"/>
              <w:shd w:val="clear" w:color="auto" w:fill="auto"/>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750" w:type="dxa"/>
            <w:vAlign w:val="center"/>
            <w:textDirection w:val="lrTb"/>
            <w:noWrap w:val="false"/>
          </w:tcPr>
          <w:p>
            <w:pPr>
              <w:pStyle w:val="1160"/>
              <w:jc w:val="center"/>
              <w:shd w:val="clear" w:color="auto" w:fill="auto"/>
              <w:widowControl/>
              <w:rPr>
                <w:color w:val="000000"/>
                <w:sz w:val="24"/>
                <w:highlight w:val="none"/>
              </w:rPr>
            </w:pPr>
            <w:r>
              <w:rPr>
                <w:color w:val="000000"/>
                <w:sz w:val="24"/>
                <w:highlight w:val="none"/>
              </w:rPr>
              <w:t xml:space="preserve">6</w:t>
            </w:r>
            <w:r>
              <w:rPr>
                <w:color w:val="000000"/>
                <w:sz w:val="24"/>
                <w:highlight w:val="none"/>
              </w:rPr>
            </w:r>
            <w:r/>
          </w:p>
        </w:tc>
        <w:tc>
          <w:tcPr>
            <w:tcW w:w="1813" w:type="dxa"/>
            <w:vAlign w:val="center"/>
            <w:textDirection w:val="lrTb"/>
            <w:noWrap w:val="false"/>
          </w:tcPr>
          <w:p>
            <w:pPr>
              <w:pStyle w:val="1160"/>
              <w:jc w:val="left"/>
              <w:shd w:val="clear" w:color="auto" w:fill="auto"/>
              <w:widowControl/>
              <w:rPr>
                <w:color w:val="000000"/>
                <w:sz w:val="24"/>
                <w:highlight w:val="none"/>
              </w:rPr>
            </w:pPr>
            <w:r>
              <w:rPr>
                <w:color w:val="000000"/>
                <w:sz w:val="24"/>
                <w:highlight w:val="none"/>
              </w:rPr>
              <w:t xml:space="preserve">签署、加盖公章</w:t>
            </w:r>
            <w:r>
              <w:rPr>
                <w:color w:val="000000"/>
                <w:sz w:val="24"/>
                <w:highlight w:val="none"/>
              </w:rPr>
            </w:r>
            <w:r/>
          </w:p>
        </w:tc>
        <w:tc>
          <w:tcPr>
            <w:tcW w:w="6725" w:type="dxa"/>
            <w:vAlign w:val="center"/>
            <w:textDirection w:val="lrTb"/>
            <w:noWrap w:val="false"/>
          </w:tcPr>
          <w:p>
            <w:pPr>
              <w:pStyle w:val="1160"/>
              <w:jc w:val="left"/>
              <w:shd w:val="clear" w:color="auto" w:fill="auto"/>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750" w:type="dxa"/>
            <w:vAlign w:val="center"/>
            <w:textDirection w:val="lrTb"/>
            <w:noWrap w:val="false"/>
          </w:tcPr>
          <w:p>
            <w:pPr>
              <w:pStyle w:val="1160"/>
              <w:jc w:val="center"/>
              <w:shd w:val="clear" w:color="auto" w:fill="auto"/>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1813" w:type="dxa"/>
            <w:vAlign w:val="center"/>
            <w:textDirection w:val="lrTb"/>
            <w:noWrap w:val="false"/>
          </w:tcPr>
          <w:p>
            <w:pPr>
              <w:pStyle w:val="1160"/>
              <w:jc w:val="left"/>
              <w:shd w:val="clear" w:color="auto" w:fill="auto"/>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6725" w:type="dxa"/>
            <w:vAlign w:val="center"/>
            <w:textDirection w:val="lrTb"/>
            <w:noWrap w:val="false"/>
          </w:tcPr>
          <w:p>
            <w:pPr>
              <w:pStyle w:val="1160"/>
              <w:jc w:val="left"/>
              <w:shd w:val="clear" w:color="auto" w:fill="auto"/>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r>
      <w:tr>
        <w:trPr>
          <w:trHeight w:val="685"/>
        </w:trPr>
        <w:tc>
          <w:tcPr>
            <w:tcW w:w="750" w:type="dxa"/>
            <w:vAlign w:val="center"/>
            <w:textDirection w:val="lrTb"/>
            <w:noWrap w:val="false"/>
          </w:tcPr>
          <w:p>
            <w:pPr>
              <w:pStyle w:val="1160"/>
              <w:jc w:val="center"/>
              <w:shd w:val="clear" w:color="auto" w:fill="auto"/>
              <w:widowControl/>
              <w:rPr>
                <w:color w:val="000000"/>
                <w:sz w:val="24"/>
                <w:highlight w:val="none"/>
              </w:rPr>
            </w:pPr>
            <w:r>
              <w:rPr>
                <w:color w:val="000000"/>
                <w:sz w:val="24"/>
                <w:highlight w:val="none"/>
              </w:rPr>
              <w:t xml:space="preserve">8</w:t>
            </w:r>
            <w:r>
              <w:rPr>
                <w:color w:val="000000"/>
                <w:sz w:val="24"/>
                <w:highlight w:val="none"/>
              </w:rPr>
            </w:r>
            <w:r/>
          </w:p>
        </w:tc>
        <w:tc>
          <w:tcPr>
            <w:tcW w:w="1813" w:type="dxa"/>
            <w:vAlign w:val="center"/>
            <w:textDirection w:val="lrTb"/>
            <w:noWrap w:val="false"/>
          </w:tcPr>
          <w:p>
            <w:pPr>
              <w:pStyle w:val="1160"/>
              <w:jc w:val="left"/>
              <w:shd w:val="clear" w:color="auto" w:fill="auto"/>
              <w:widowControl/>
              <w:rPr>
                <w:color w:val="000000"/>
                <w:sz w:val="24"/>
                <w:highlight w:val="none"/>
              </w:rPr>
            </w:pPr>
            <w:r>
              <w:rPr>
                <w:color w:val="000000"/>
                <w:sz w:val="24"/>
                <w:highlight w:val="none"/>
              </w:rPr>
              <w:t xml:space="preserve">报价的修正</w:t>
            </w:r>
            <w:r>
              <w:rPr>
                <w:color w:val="000000"/>
                <w:sz w:val="24"/>
                <w:highlight w:val="none"/>
              </w:rPr>
            </w:r>
            <w:r/>
          </w:p>
        </w:tc>
        <w:tc>
          <w:tcPr>
            <w:tcW w:w="6725" w:type="dxa"/>
            <w:vAlign w:val="center"/>
            <w:textDirection w:val="lrTb"/>
            <w:noWrap w:val="false"/>
          </w:tcPr>
          <w:p>
            <w:pPr>
              <w:pStyle w:val="1160"/>
              <w:jc w:val="left"/>
              <w:shd w:val="clear" w:color="auto" w:fill="auto"/>
              <w:widowControl/>
              <w:rPr>
                <w:color w:val="000000"/>
                <w:sz w:val="24"/>
                <w:highlight w:val="none"/>
              </w:rPr>
            </w:pPr>
            <w:r>
              <w:rPr>
                <w:color w:val="000000"/>
                <w:sz w:val="24"/>
                <w:highlight w:val="none"/>
              </w:rPr>
              <w:t xml:space="preserve">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rPr>
                <w:color w:val="000000"/>
                <w:sz w:val="24"/>
                <w:highlight w:val="none"/>
              </w:rPr>
            </w:r>
            <w:r/>
          </w:p>
        </w:tc>
      </w:tr>
      <w:tr>
        <w:trPr>
          <w:trHeight w:val="685"/>
        </w:trPr>
        <w:tc>
          <w:tcPr>
            <w:tcW w:w="750" w:type="dxa"/>
            <w:vAlign w:val="center"/>
            <w:textDirection w:val="lrTb"/>
            <w:noWrap w:val="false"/>
          </w:tcPr>
          <w:p>
            <w:pPr>
              <w:pStyle w:val="1160"/>
              <w:jc w:val="center"/>
              <w:shd w:val="clear" w:color="auto" w:fill="auto"/>
              <w:widowControl/>
              <w:rPr>
                <w:color w:val="000000"/>
                <w:sz w:val="24"/>
                <w:highlight w:val="none"/>
              </w:rPr>
            </w:pPr>
            <w:r>
              <w:rPr>
                <w:color w:val="000000"/>
                <w:sz w:val="24"/>
                <w:highlight w:val="none"/>
              </w:rPr>
              <w:t xml:space="preserve">9</w:t>
            </w:r>
            <w:r>
              <w:rPr>
                <w:color w:val="000000"/>
                <w:sz w:val="24"/>
                <w:highlight w:val="none"/>
              </w:rPr>
            </w:r>
            <w:r/>
          </w:p>
        </w:tc>
        <w:tc>
          <w:tcPr>
            <w:tcW w:w="1813" w:type="dxa"/>
            <w:vAlign w:val="center"/>
            <w:textDirection w:val="lrTb"/>
            <w:noWrap w:val="false"/>
          </w:tcPr>
          <w:p>
            <w:pPr>
              <w:pStyle w:val="1160"/>
              <w:jc w:val="left"/>
              <w:shd w:val="clear" w:color="auto" w:fill="auto"/>
              <w:widowControl/>
              <w:rPr>
                <w:color w:val="000000"/>
                <w:sz w:val="24"/>
                <w:highlight w:val="none"/>
              </w:rPr>
            </w:pPr>
            <w:r>
              <w:rPr>
                <w:color w:val="000000"/>
                <w:sz w:val="24"/>
                <w:highlight w:val="none"/>
              </w:rPr>
              <w:t xml:space="preserve">报价合理性</w:t>
            </w:r>
            <w:r>
              <w:rPr>
                <w:color w:val="000000"/>
                <w:sz w:val="24"/>
                <w:highlight w:val="none"/>
              </w:rPr>
            </w:r>
            <w:r/>
          </w:p>
        </w:tc>
        <w:tc>
          <w:tcPr>
            <w:tcW w:w="6725" w:type="dxa"/>
            <w:vAlign w:val="center"/>
            <w:textDirection w:val="lrTb"/>
            <w:noWrap w:val="false"/>
          </w:tcPr>
          <w:p>
            <w:pPr>
              <w:pStyle w:val="1160"/>
              <w:jc w:val="left"/>
              <w:shd w:val="clear" w:color="auto" w:fill="auto"/>
              <w:widowControl/>
              <w:rPr>
                <w:color w:val="000000"/>
                <w:sz w:val="24"/>
                <w:highlight w:val="none"/>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color w:val="000000"/>
                <w:sz w:val="24"/>
                <w:highlight w:val="none"/>
              </w:rPr>
            </w:r>
            <w:r/>
          </w:p>
        </w:tc>
      </w:tr>
      <w:tr>
        <w:trPr>
          <w:trHeight w:val="685"/>
        </w:trPr>
        <w:tc>
          <w:tcPr>
            <w:tcW w:w="750" w:type="dxa"/>
            <w:vAlign w:val="center"/>
            <w:textDirection w:val="lrTb"/>
            <w:noWrap w:val="false"/>
          </w:tcPr>
          <w:p>
            <w:pPr>
              <w:pStyle w:val="1160"/>
              <w:jc w:val="center"/>
              <w:shd w:val="clear" w:color="auto" w:fill="auto"/>
              <w:widowControl/>
              <w:rPr>
                <w:color w:val="000000"/>
                <w:sz w:val="24"/>
                <w:highlight w:val="none"/>
              </w:rPr>
            </w:pPr>
            <w:r>
              <w:rPr>
                <w:rFonts w:hint="eastAsia"/>
                <w:color w:val="000000"/>
                <w:sz w:val="24"/>
                <w:highlight w:val="none"/>
              </w:rPr>
              <w:t xml:space="preserve">10</w:t>
            </w:r>
            <w:r>
              <w:rPr>
                <w:color w:val="000000"/>
                <w:sz w:val="24"/>
                <w:highlight w:val="none"/>
              </w:rPr>
            </w:r>
            <w:r/>
          </w:p>
        </w:tc>
        <w:tc>
          <w:tcPr>
            <w:tcW w:w="1813" w:type="dxa"/>
            <w:vAlign w:val="center"/>
            <w:textDirection w:val="lrTb"/>
            <w:noWrap w:val="false"/>
          </w:tcPr>
          <w:p>
            <w:pPr>
              <w:pStyle w:val="1160"/>
              <w:jc w:val="left"/>
              <w:shd w:val="clear" w:color="auto" w:fill="auto"/>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6725" w:type="dxa"/>
            <w:vAlign w:val="center"/>
            <w:textDirection w:val="lrTb"/>
            <w:noWrap w:val="false"/>
          </w:tcPr>
          <w:p>
            <w:pPr>
              <w:pStyle w:val="1160"/>
              <w:jc w:val="left"/>
              <w:shd w:val="clear" w:color="auto" w:fill="auto"/>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，提供证明文件</w:t>
            </w:r>
            <w:r>
              <w:rPr>
                <w:rFonts w:ascii="宋体" w:hAnsi="宋体" w:cs="宋体"/>
                <w:color w:val="000000"/>
                <w:sz w:val="24"/>
                <w:highlight w:val="none"/>
              </w:rPr>
              <w:t xml:space="preserve">电子件</w:t>
            </w:r>
            <w:r>
              <w:rPr>
                <w:rFonts w:hint="eastAsia"/>
                <w:color w:val="000000"/>
                <w:sz w:val="24"/>
                <w:highlight w:val="none"/>
              </w:rPr>
              <w:t xml:space="preserve">加盖投标人公章：</w:t>
            </w:r>
            <w:r>
              <w:rPr>
                <w:color w:val="000000"/>
                <w:sz w:val="24"/>
                <w:highlight w:val="none"/>
              </w:rPr>
            </w:r>
            <w:r/>
          </w:p>
          <w:p>
            <w:pPr>
              <w:pStyle w:val="1160"/>
              <w:jc w:val="left"/>
              <w:shd w:val="clear" w:color="auto" w:fill="auto"/>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w:t>
            </w:r>
            <w:r>
              <w:rPr>
                <w:b/>
                <w:bCs/>
                <w:color w:val="000000"/>
                <w:sz w:val="24"/>
                <w:highlight w:val="none"/>
              </w:rPr>
              <w:t xml:space="preserve">若属于</w:t>
            </w:r>
            <w:r>
              <w:rPr>
                <w:color w:val="000000"/>
                <w:sz w:val="24"/>
                <w:highlight w:val="none"/>
              </w:rPr>
              <w:t xml:space="preserve">《节能产品政府采购品目清单》范围中政府强制采购产品，则投标人所报产品必须获得国家确定的认证机构出具的、处于有效期之内的节能产品认证证书；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1160"/>
              <w:jc w:val="left"/>
              <w:shd w:val="clear" w:color="auto" w:fill="auto"/>
              <w:widowControl/>
              <w:rPr>
                <w:color w:val="000000"/>
                <w:sz w:val="24"/>
                <w:highlight w:val="none"/>
              </w:rPr>
            </w:pPr>
            <w:r>
              <w:rPr>
                <w:rFonts w:hint="eastAsia"/>
                <w:color w:val="000000"/>
                <w:sz w:val="24"/>
                <w:highlight w:val="none"/>
                <w:lang w:val="en-US" w:eastAsia="zh-CN"/>
              </w:rPr>
              <w:t xml:space="preserve">2</w:t>
            </w:r>
            <w:r>
              <w:rPr>
                <w:rFonts w:hint="eastAsia"/>
                <w:color w:val="000000"/>
                <w:sz w:val="24"/>
                <w:highlight w:val="none"/>
              </w:rPr>
              <w:t xml:space="preserve">）</w:t>
            </w:r>
            <w:r>
              <w:rPr>
                <w:color w:val="000000"/>
                <w:sz w:val="24"/>
                <w:highlight w:val="none"/>
              </w:rPr>
              <w:t xml:space="preserve">国家有特殊信息安全要求的项目，采购产品</w:t>
            </w:r>
            <w:r>
              <w:rPr>
                <w:b/>
                <w:bCs/>
                <w:color w:val="000000"/>
                <w:sz w:val="24"/>
                <w:highlight w:val="none"/>
              </w:rPr>
              <w:t xml:space="preserve">涉及</w:t>
            </w:r>
            <w:r>
              <w:rPr>
                <w:color w:val="000000"/>
                <w:sz w:val="24"/>
                <w:highlight w:val="none"/>
              </w:rPr>
              <w:t xml:space="preserve">无线局域网产品和含有无线局域网功能的计算机、通信设备、打印机、复印机、投影仪等产品的，投标产品须为符合国家无线局域网安全标准并通过国家产品认证的产品；</w:t>
            </w:r>
            <w:r>
              <w:rPr>
                <w:color w:val="000000"/>
                <w:sz w:val="24"/>
                <w:highlight w:val="none"/>
              </w:rPr>
            </w:r>
            <w:r/>
          </w:p>
        </w:tc>
      </w:tr>
      <w:tr>
        <w:trPr>
          <w:trHeight w:val="685"/>
        </w:trPr>
        <w:tc>
          <w:tcPr>
            <w:tcW w:w="750" w:type="dxa"/>
            <w:vAlign w:val="center"/>
            <w:textDirection w:val="lrTb"/>
            <w:noWrap w:val="false"/>
          </w:tcPr>
          <w:p>
            <w:pPr>
              <w:pStyle w:val="1160"/>
              <w:jc w:val="center"/>
              <w:shd w:val="clear" w:color="auto" w:fill="auto"/>
              <w:widowControl/>
              <w:rPr>
                <w:color w:val="000000"/>
                <w:sz w:val="24"/>
                <w:highlight w:val="none"/>
              </w:rPr>
            </w:pPr>
            <w:r>
              <w:rPr>
                <w:color w:val="000000"/>
                <w:sz w:val="24"/>
                <w:highlight w:val="none"/>
              </w:rPr>
              <w:t xml:space="preserve">11</w:t>
            </w:r>
            <w:r>
              <w:rPr>
                <w:color w:val="000000"/>
                <w:sz w:val="24"/>
                <w:highlight w:val="none"/>
              </w:rPr>
            </w:r>
            <w:r/>
          </w:p>
        </w:tc>
        <w:tc>
          <w:tcPr>
            <w:tcW w:w="1813" w:type="dxa"/>
            <w:vAlign w:val="center"/>
            <w:textDirection w:val="lrTb"/>
            <w:noWrap w:val="false"/>
          </w:tcPr>
          <w:p>
            <w:pPr>
              <w:pStyle w:val="1160"/>
              <w:jc w:val="left"/>
              <w:shd w:val="clear" w:color="auto" w:fill="auto"/>
              <w:widowControl/>
              <w:rPr>
                <w:color w:val="000000"/>
                <w:sz w:val="24"/>
                <w:highlight w:val="none"/>
              </w:rPr>
            </w:pPr>
            <w:r>
              <w:rPr>
                <w:color w:val="000000"/>
                <w:sz w:val="24"/>
                <w:highlight w:val="none"/>
              </w:rPr>
              <w:t xml:space="preserve">公平竞争</w:t>
            </w:r>
            <w:r>
              <w:rPr>
                <w:color w:val="000000"/>
                <w:sz w:val="24"/>
                <w:highlight w:val="none"/>
              </w:rPr>
            </w:r>
            <w:r/>
          </w:p>
        </w:tc>
        <w:tc>
          <w:tcPr>
            <w:tcW w:w="6725" w:type="dxa"/>
            <w:vAlign w:val="center"/>
            <w:textDirection w:val="lrTb"/>
            <w:noWrap w:val="false"/>
          </w:tcPr>
          <w:p>
            <w:pPr>
              <w:pStyle w:val="1160"/>
              <w:jc w:val="left"/>
              <w:shd w:val="clear" w:color="auto" w:fill="auto"/>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750" w:type="dxa"/>
            <w:vAlign w:val="center"/>
            <w:textDirection w:val="lrTb"/>
            <w:noWrap w:val="false"/>
          </w:tcPr>
          <w:p>
            <w:pPr>
              <w:pStyle w:val="1160"/>
              <w:jc w:val="center"/>
              <w:shd w:val="clear" w:color="auto" w:fill="auto"/>
              <w:widowControl/>
              <w:rPr>
                <w:color w:val="000000"/>
                <w:sz w:val="24"/>
                <w:highlight w:val="none"/>
              </w:rPr>
            </w:pPr>
            <w:r>
              <w:rPr>
                <w:color w:val="000000"/>
                <w:sz w:val="24"/>
                <w:highlight w:val="none"/>
              </w:rPr>
              <w:t xml:space="preserve">12</w:t>
            </w:r>
            <w:r>
              <w:rPr>
                <w:color w:val="000000"/>
                <w:sz w:val="24"/>
                <w:highlight w:val="none"/>
              </w:rPr>
            </w:r>
            <w:r/>
          </w:p>
        </w:tc>
        <w:tc>
          <w:tcPr>
            <w:tcW w:w="1813" w:type="dxa"/>
            <w:vAlign w:val="center"/>
            <w:textDirection w:val="lrTb"/>
            <w:noWrap w:val="false"/>
          </w:tcPr>
          <w:p>
            <w:pPr>
              <w:pStyle w:val="1160"/>
              <w:jc w:val="left"/>
              <w:shd w:val="clear" w:color="auto" w:fill="auto"/>
              <w:widowControl/>
              <w:rPr>
                <w:color w:val="000000"/>
                <w:sz w:val="24"/>
                <w:highlight w:val="none"/>
              </w:rPr>
            </w:pPr>
            <w:r>
              <w:rPr>
                <w:color w:val="000000"/>
                <w:sz w:val="24"/>
                <w:highlight w:val="none"/>
              </w:rPr>
              <w:t xml:space="preserve">串通投标</w:t>
            </w:r>
            <w:r>
              <w:rPr>
                <w:color w:val="000000"/>
                <w:sz w:val="24"/>
                <w:highlight w:val="none"/>
              </w:rPr>
            </w:r>
            <w:r/>
          </w:p>
        </w:tc>
        <w:tc>
          <w:tcPr>
            <w:tcW w:w="6725" w:type="dxa"/>
            <w:vAlign w:val="center"/>
            <w:textDirection w:val="lrTb"/>
            <w:noWrap w:val="false"/>
          </w:tcPr>
          <w:p>
            <w:pPr>
              <w:pStyle w:val="1160"/>
              <w:jc w:val="left"/>
              <w:shd w:val="clear" w:color="auto" w:fill="auto"/>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（包含使用同一MAC地址的计算机制作电子投标文件的情形）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（包含使用同一MAC地址的计算机提交或者解密电子投标文件的情形）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w:t>
            </w:r>
            <w:r>
              <w:rPr>
                <w:color w:val="000000"/>
                <w:sz w:val="24"/>
                <w:highlight w:val="none"/>
              </w:rPr>
            </w:r>
            <w:r/>
          </w:p>
        </w:tc>
      </w:tr>
      <w:tr>
        <w:trPr>
          <w:trHeight w:val="685"/>
        </w:trPr>
        <w:tc>
          <w:tcPr>
            <w:tcW w:w="750" w:type="dxa"/>
            <w:vAlign w:val="center"/>
            <w:textDirection w:val="lrTb"/>
            <w:noWrap w:val="false"/>
          </w:tcPr>
          <w:p>
            <w:pPr>
              <w:pStyle w:val="1160"/>
              <w:jc w:val="center"/>
              <w:shd w:val="clear" w:color="auto" w:fill="auto"/>
              <w:widowControl/>
              <w:rPr>
                <w:color w:val="000000"/>
                <w:sz w:val="24"/>
                <w:highlight w:val="none"/>
              </w:rPr>
            </w:pPr>
            <w:r>
              <w:rPr>
                <w:color w:val="000000"/>
                <w:sz w:val="24"/>
                <w:highlight w:val="none"/>
              </w:rPr>
              <w:t xml:space="preserve">13</w:t>
            </w:r>
            <w:r>
              <w:rPr>
                <w:color w:val="000000"/>
                <w:sz w:val="24"/>
                <w:highlight w:val="none"/>
              </w:rPr>
            </w:r>
            <w:r/>
          </w:p>
        </w:tc>
        <w:tc>
          <w:tcPr>
            <w:tcW w:w="1813" w:type="dxa"/>
            <w:vAlign w:val="center"/>
            <w:textDirection w:val="lrTb"/>
            <w:noWrap w:val="false"/>
          </w:tcPr>
          <w:p>
            <w:pPr>
              <w:pStyle w:val="1160"/>
              <w:jc w:val="left"/>
              <w:shd w:val="clear" w:color="auto" w:fill="auto"/>
              <w:widowControl/>
              <w:rPr>
                <w:color w:val="000000"/>
                <w:sz w:val="24"/>
                <w:highlight w:val="none"/>
              </w:rPr>
            </w:pPr>
            <w:r>
              <w:rPr>
                <w:color w:val="000000"/>
                <w:sz w:val="24"/>
                <w:highlight w:val="none"/>
              </w:rPr>
              <w:t xml:space="preserve">附加条件</w:t>
            </w:r>
            <w:r>
              <w:rPr>
                <w:color w:val="000000"/>
                <w:sz w:val="24"/>
                <w:highlight w:val="none"/>
              </w:rPr>
            </w:r>
            <w:r/>
          </w:p>
        </w:tc>
        <w:tc>
          <w:tcPr>
            <w:tcW w:w="6725" w:type="dxa"/>
            <w:vAlign w:val="center"/>
            <w:textDirection w:val="lrTb"/>
            <w:noWrap w:val="false"/>
          </w:tcPr>
          <w:p>
            <w:pPr>
              <w:pStyle w:val="1160"/>
              <w:jc w:val="left"/>
              <w:shd w:val="clear" w:color="auto" w:fill="auto"/>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750" w:type="dxa"/>
            <w:vAlign w:val="center"/>
            <w:textDirection w:val="lrTb"/>
            <w:noWrap w:val="false"/>
          </w:tcPr>
          <w:p>
            <w:pPr>
              <w:pStyle w:val="1160"/>
              <w:jc w:val="center"/>
              <w:shd w:val="clear" w:color="auto" w:fill="auto"/>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rPr>
                <w:rFonts w:hint="eastAsia"/>
                <w:color w:val="000000"/>
                <w:sz w:val="24"/>
                <w:highlight w:val="none"/>
              </w:rPr>
            </w:r>
            <w:r/>
          </w:p>
        </w:tc>
        <w:tc>
          <w:tcPr>
            <w:tcW w:w="1813" w:type="dxa"/>
            <w:vAlign w:val="center"/>
            <w:textDirection w:val="lrTb"/>
            <w:noWrap w:val="false"/>
          </w:tcPr>
          <w:p>
            <w:pPr>
              <w:pStyle w:val="1160"/>
              <w:jc w:val="left"/>
              <w:shd w:val="clear" w:color="auto" w:fill="auto"/>
              <w:widowControl/>
              <w:rPr>
                <w:color w:val="000000"/>
                <w:sz w:val="24"/>
                <w:highlight w:val="none"/>
              </w:rPr>
            </w:pPr>
            <w:r>
              <w:rPr>
                <w:color w:val="000000"/>
                <w:sz w:val="24"/>
                <w:highlight w:val="none"/>
              </w:rPr>
              <w:t xml:space="preserve">其他无效情形</w:t>
            </w:r>
            <w:r>
              <w:rPr>
                <w:color w:val="000000"/>
                <w:sz w:val="24"/>
                <w:highlight w:val="none"/>
              </w:rPr>
            </w:r>
            <w:r/>
          </w:p>
        </w:tc>
        <w:tc>
          <w:tcPr>
            <w:tcW w:w="6725" w:type="dxa"/>
            <w:vAlign w:val="center"/>
            <w:textDirection w:val="lrTb"/>
            <w:noWrap w:val="false"/>
          </w:tcPr>
          <w:p>
            <w:pPr>
              <w:pStyle w:val="1160"/>
              <w:jc w:val="left"/>
              <w:shd w:val="clear" w:color="auto" w:fill="auto"/>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bl>
    <w:p>
      <w:pPr>
        <w:pStyle w:val="1160"/>
        <w:numPr>
          <w:ilvl w:val="0"/>
          <w:numId w:val="13"/>
        </w:numPr>
        <w:spacing w:line="360" w:lineRule="auto"/>
        <w:shd w:val="clear" w:color="auto" w:fill="auto"/>
        <w:tabs>
          <w:tab w:val="left" w:pos="900" w:leader="none"/>
          <w:tab w:val="left" w:pos="1080" w:leader="none"/>
          <w:tab w:val="left" w:pos="1589"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1160"/>
        <w:numPr>
          <w:ilvl w:val="0"/>
          <w:numId w:val="12"/>
        </w:numPr>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投标文件有关事项的澄清或者说明</w:t>
      </w:r>
      <w:r>
        <w:rPr>
          <w:rFonts w:hint="eastAsia" w:ascii="宋体" w:hAnsi="宋体" w:cs="宋体"/>
          <w:color w:val="000000"/>
          <w:sz w:val="24"/>
          <w:highlight w:val="none"/>
        </w:rPr>
      </w:r>
      <w:r/>
    </w:p>
    <w:p>
      <w:pPr>
        <w:pStyle w:val="1160"/>
        <w:numPr>
          <w:ilvl w:val="1"/>
          <w:numId w:val="12"/>
        </w:numPr>
        <w:ind w:left="1077" w:hanging="720"/>
        <w:spacing w:line="360" w:lineRule="auto"/>
        <w:shd w:val="clear" w:color="auto" w:fill="auto"/>
        <w:tabs>
          <w:tab w:val="left" w:pos="1080" w:leader="none"/>
          <w:tab w:val="left" w:pos="1589" w:leader="none"/>
        </w:tabs>
        <w:rPr>
          <w:color w:val="000000"/>
          <w:sz w:val="24"/>
          <w:highlight w:val="none"/>
        </w:rPr>
      </w:pPr>
      <w:r>
        <w:rPr>
          <w:color w:val="000000"/>
          <w:sz w:val="24"/>
          <w:highlight w:val="none"/>
        </w:rPr>
        <w:t xml:space="preserve">评标过程中，评标委员会将</w:t>
      </w:r>
      <w:r>
        <w:rPr>
          <w:rFonts w:hint="eastAsia"/>
          <w:color w:val="000000"/>
          <w:sz w:val="24"/>
          <w:highlight w:val="none"/>
        </w:rPr>
        <w:t xml:space="preserve">通过“苏采云”政府采购一体化平台系统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1160"/>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numPr>
          <w:ilvl w:val="2"/>
          <w:numId w:val="12"/>
        </w:numPr>
        <w:ind w:left="2035"/>
        <w:spacing w:line="360" w:lineRule="auto"/>
        <w:shd w:val="clear" w:color="auto" w:fill="auto"/>
        <w:tabs>
          <w:tab w:val="left" w:pos="1080" w:leader="none"/>
          <w:tab w:val="left" w:pos="1589" w:leader="none"/>
          <w:tab w:val="left" w:pos="1980" w:leader="none"/>
          <w:tab w:val="left" w:pos="2035" w:leader="none"/>
          <w:tab w:val="left" w:pos="211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实施政府采购异常低价审查的有关要求：具体按照财库〔2026〕2号《关于推动解决政府采购异常低价问题的通知》要求：</w:t>
      </w:r>
      <w:r>
        <w:rPr>
          <w:rFonts w:hint="eastAsia" w:ascii="宋体" w:hAnsi="宋体" w:eastAsia="宋体" w:cs="宋体"/>
          <w:color w:val="000000"/>
          <w:sz w:val="24"/>
          <w:highlight w:val="none"/>
        </w:rPr>
      </w:r>
      <w:r/>
    </w:p>
    <w:p>
      <w:pPr>
        <w:pStyle w:val="1160"/>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（一）政府采购评审中出现下列情形之一的，评审委员会应当启动异常低价投标（响应）审查程序：</w:t>
      </w:r>
      <w:r>
        <w:rPr>
          <w:rFonts w:hint="eastAsia" w:ascii="宋体" w:hAnsi="宋体" w:eastAsia="宋体" w:cs="宋体"/>
          <w:color w:val="000000"/>
          <w:sz w:val="24"/>
          <w:highlight w:val="none"/>
        </w:rPr>
      </w:r>
      <w:r/>
    </w:p>
    <w:p>
      <w:pPr>
        <w:pStyle w:val="1160"/>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highlight w:val="none"/>
        </w:rPr>
      </w:r>
      <w:r/>
    </w:p>
    <w:p>
      <w:pPr>
        <w:pStyle w:val="1160"/>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highlight w:val="none"/>
        </w:rPr>
      </w:r>
      <w:r/>
    </w:p>
    <w:p>
      <w:pPr>
        <w:pStyle w:val="1160"/>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3.投标（响应）报价低于采购项目最高限价45%的，即投标（响应）报价&lt;采购项目最高限价×45%；</w:t>
      </w:r>
      <w:r>
        <w:rPr>
          <w:rFonts w:hint="eastAsia" w:ascii="宋体" w:hAnsi="宋体" w:eastAsia="宋体" w:cs="宋体"/>
          <w:color w:val="000000"/>
          <w:sz w:val="24"/>
          <w:highlight w:val="none"/>
        </w:rPr>
      </w:r>
      <w:r/>
    </w:p>
    <w:p>
      <w:pPr>
        <w:pStyle w:val="1160"/>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 w:val="24"/>
          <w:highlight w:val="none"/>
        </w:rPr>
      </w:r>
      <w:r/>
    </w:p>
    <w:p>
      <w:pPr>
        <w:pStyle w:val="1160"/>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采购人可以结合具体项目实际情况，提高上述第1项至第3项中启动异常低价投标（响应）审查的数值标准，但是最高不得超过65%。</w:t>
      </w:r>
      <w:r>
        <w:rPr>
          <w:rFonts w:hint="eastAsia" w:ascii="宋体" w:hAnsi="宋体" w:eastAsia="宋体" w:cs="宋体"/>
          <w:color w:val="000000"/>
          <w:sz w:val="24"/>
          <w:highlight w:val="none"/>
        </w:rPr>
      </w:r>
      <w:r/>
    </w:p>
    <w:p>
      <w:pPr>
        <w:pStyle w:val="1160"/>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相关法律法规对供应商报价有规定的，从其规定。</w:t>
      </w:r>
      <w:r>
        <w:rPr>
          <w:rFonts w:hint="eastAsia" w:ascii="宋体" w:hAnsi="宋体" w:eastAsia="宋体" w:cs="宋体"/>
          <w:color w:val="000000"/>
          <w:sz w:val="24"/>
          <w:highlight w:val="none"/>
        </w:rPr>
      </w:r>
      <w:r/>
    </w:p>
    <w:p>
      <w:pPr>
        <w:pStyle w:val="1160"/>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highlight w:val="none"/>
        </w:rPr>
      </w:r>
      <w:r/>
    </w:p>
    <w:p>
      <w:pPr>
        <w:pStyle w:val="1160"/>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highlight w:val="none"/>
        </w:rPr>
      </w:r>
      <w:r/>
    </w:p>
    <w:p>
      <w:pPr>
        <w:pStyle w:val="1160"/>
        <w:ind w:left="1985"/>
        <w:spacing w:line="360" w:lineRule="auto"/>
        <w:shd w:val="clear" w:color="auto" w:fill="auto"/>
        <w:tabs>
          <w:tab w:val="left" w:pos="900" w:leader="none"/>
          <w:tab w:val="left" w:pos="1589" w:leader="none"/>
          <w:tab w:val="left" w:pos="170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highlight w:val="none"/>
        </w:rPr>
      </w:r>
      <w:r/>
    </w:p>
    <w:p>
      <w:pPr>
        <w:pStyle w:val="1160"/>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项目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160"/>
        <w:numPr>
          <w:ilvl w:val="2"/>
          <w:numId w:val="12"/>
        </w:numPr>
        <w:ind w:left="2035"/>
        <w:spacing w:line="360" w:lineRule="auto"/>
        <w:shd w:val="clear" w:color="auto" w:fill="auto"/>
        <w:tabs>
          <w:tab w:val="left" w:pos="1080"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160"/>
        <w:ind w:left="2035"/>
        <w:spacing w:line="360" w:lineRule="auto"/>
        <w:shd w:val="clear" w:color="auto" w:fill="auto"/>
        <w:tabs>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160"/>
        <w:ind w:left="2035"/>
        <w:spacing w:line="360" w:lineRule="auto"/>
        <w:shd w:val="clear" w:color="auto" w:fill="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160"/>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160"/>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160"/>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160"/>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160"/>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160"/>
        <w:numPr>
          <w:ilvl w:val="2"/>
          <w:numId w:val="12"/>
        </w:numPr>
        <w:ind w:left="2035"/>
        <w:spacing w:line="360" w:lineRule="auto"/>
        <w:shd w:val="clear" w:color="auto" w:fill="auto"/>
        <w:tabs>
          <w:tab w:val="left" w:pos="1080"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采购本国产品的支持政策</w:t>
      </w:r>
      <w:r>
        <w:rPr>
          <w:rFonts w:hint="eastAsia" w:ascii="宋体" w:hAnsi="宋体" w:cs="宋体"/>
          <w:color w:val="000000"/>
          <w:sz w:val="24"/>
          <w:highlight w:val="none"/>
        </w:rPr>
      </w:r>
      <w:r/>
    </w:p>
    <w:p>
      <w:pPr>
        <w:pStyle w:val="1160"/>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color w:val="000000"/>
          <w:sz w:val="24"/>
          <w:highlight w:val="none"/>
        </w:rPr>
      </w:r>
      <w:r/>
    </w:p>
    <w:p>
      <w:pPr>
        <w:pStyle w:val="1160"/>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000000"/>
          <w:sz w:val="24"/>
          <w:highlight w:val="none"/>
          <w:lang w:val="en-US" w:eastAsia="zh-CN"/>
        </w:rPr>
        <w:t xml:space="preserve">七</w:t>
      </w:r>
      <w:r>
        <w:rPr>
          <w:rFonts w:hint="eastAsia" w:ascii="宋体" w:hAnsi="宋体" w:eastAsia="宋体" w:cs="宋体"/>
          <w:color w:val="000000"/>
          <w:sz w:val="24"/>
          <w:highlight w:val="none"/>
        </w:rPr>
        <w:t xml:space="preserve">章 投标文件格式”的“附件5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highlight w:val="none"/>
        </w:rPr>
      </w:r>
      <w:r/>
    </w:p>
    <w:p>
      <w:pPr>
        <w:pStyle w:val="1160"/>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highlight w:val="none"/>
        </w:rPr>
      </w:r>
      <w:r/>
    </w:p>
    <w:p>
      <w:pPr>
        <w:pStyle w:val="1160"/>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highlight w:val="none"/>
        </w:rPr>
      </w:r>
      <w:r/>
    </w:p>
    <w:p>
      <w:pPr>
        <w:pStyle w:val="1160"/>
        <w:numPr>
          <w:ilvl w:val="2"/>
          <w:numId w:val="12"/>
        </w:numPr>
        <w:ind w:left="2035"/>
        <w:spacing w:line="360" w:lineRule="auto"/>
        <w:shd w:val="clear" w:color="auto" w:fill="auto"/>
        <w:tabs>
          <w:tab w:val="left" w:pos="1980" w:leader="none"/>
          <w:tab w:val="left" w:pos="2035" w:leader="none"/>
          <w:tab w:val="left" w:pos="2114" w:leader="none"/>
          <w:tab w:val="left" w:pos="297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highlight w:val="none"/>
        </w:rPr>
      </w:r>
      <w:r/>
    </w:p>
    <w:p>
      <w:pPr>
        <w:pStyle w:val="1160"/>
        <w:numPr>
          <w:ilvl w:val="0"/>
          <w:numId w:val="12"/>
        </w:numPr>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投标文件的比较和评价</w:t>
      </w:r>
      <w:bookmarkEnd w:id="666"/>
      <w:r/>
      <w:bookmarkEnd w:id="667"/>
      <w:r>
        <w:rPr>
          <w:rFonts w:hint="eastAsia" w:ascii="宋体" w:hAnsi="宋体" w:cs="宋体"/>
          <w:color w:val="000000"/>
          <w:sz w:val="24"/>
          <w:highlight w:val="none"/>
        </w:rPr>
      </w:r>
      <w:r/>
    </w:p>
    <w:p>
      <w:pPr>
        <w:pStyle w:val="1160"/>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160"/>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160"/>
        <w:numPr>
          <w:ilvl w:val="2"/>
          <w:numId w:val="12"/>
        </w:numPr>
        <w:ind w:left="2035"/>
        <w:spacing w:line="360" w:lineRule="auto"/>
        <w:shd w:val="clear" w:color="auto" w:fill="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160"/>
        <w:ind w:left="1985"/>
        <w:spacing w:line="360" w:lineRule="auto"/>
        <w:shd w:val="clear" w:color="auto" w:fill="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160"/>
        <w:ind w:left="1985"/>
        <w:spacing w:line="360" w:lineRule="auto"/>
        <w:shd w:val="clear" w:color="auto" w:fill="auto"/>
        <w:tabs>
          <w:tab w:val="left" w:pos="900"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160"/>
        <w:numPr>
          <w:ilvl w:val="2"/>
          <w:numId w:val="12"/>
        </w:numPr>
        <w:ind w:left="2035"/>
        <w:spacing w:line="360" w:lineRule="auto"/>
        <w:shd w:val="clear" w:color="auto" w:fill="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ind w:left="2035"/>
        <w:spacing w:line="360" w:lineRule="auto"/>
        <w:shd w:val="clear" w:color="auto" w:fill="auto"/>
        <w:tabs>
          <w:tab w:val="left" w:pos="1080"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160"/>
        <w:ind w:left="2035"/>
        <w:spacing w:line="360" w:lineRule="auto"/>
        <w:shd w:val="clear" w:color="auto" w:fill="auto"/>
        <w:tabs>
          <w:tab w:val="left" w:pos="1080"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u w:val="single"/>
        </w:rPr>
      </w:r>
      <w:r/>
    </w:p>
    <w:p>
      <w:pPr>
        <w:pStyle w:val="1160"/>
        <w:numPr>
          <w:ilvl w:val="2"/>
          <w:numId w:val="12"/>
        </w:numPr>
        <w:ind w:left="2035"/>
        <w:spacing w:line="360" w:lineRule="auto"/>
        <w:shd w:val="clear" w:color="auto" w:fill="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numPr>
          <w:ilvl w:val="2"/>
          <w:numId w:val="12"/>
        </w:numPr>
        <w:ind w:left="2035"/>
        <w:spacing w:line="360" w:lineRule="auto"/>
        <w:shd w:val="clear" w:color="auto" w:fill="auto"/>
        <w:tabs>
          <w:tab w:val="left" w:pos="1080"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60"/>
        <w:numPr>
          <w:ilvl w:val="0"/>
          <w:numId w:val="12"/>
        </w:numPr>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确定</w:t>
      </w:r>
      <w:bookmarkStart w:id="683" w:name="_Toc226965736"/>
      <w:r/>
      <w:bookmarkStart w:id="684" w:name="_Toc127151747"/>
      <w:r/>
      <w:bookmarkStart w:id="685" w:name="_Toc195842911"/>
      <w:r/>
      <w:bookmarkStart w:id="686" w:name="_Toc127161460"/>
      <w:r/>
      <w:bookmarkStart w:id="687" w:name="_Toc164608815"/>
      <w:r/>
      <w:bookmarkStart w:id="688" w:name="_Toc164608660"/>
      <w:r/>
      <w:bookmarkStart w:id="689" w:name="_Toc150774646"/>
      <w:r/>
      <w:bookmarkStart w:id="690" w:name="_Toc305158888"/>
      <w:r/>
      <w:bookmarkStart w:id="691" w:name="_Toc164229387"/>
      <w:r/>
      <w:bookmarkStart w:id="692" w:name="_Toc164351640"/>
      <w:r/>
      <w:bookmarkStart w:id="693" w:name="_Toc305158814"/>
      <w:r/>
      <w:bookmarkStart w:id="694" w:name="_Toc150509297"/>
      <w:r/>
      <w:bookmarkStart w:id="695" w:name="_Toc151193716"/>
      <w:r/>
      <w:bookmarkStart w:id="696" w:name="_Toc151193644"/>
      <w:r/>
      <w:bookmarkStart w:id="697" w:name="_Toc164229241"/>
      <w:r/>
      <w:bookmarkStart w:id="698" w:name="_Toc520356170"/>
      <w:r/>
      <w:bookmarkStart w:id="699" w:name="_Toc265228384"/>
      <w:r/>
      <w:bookmarkStart w:id="700" w:name="_Toc226337242"/>
      <w:r/>
      <w:bookmarkStart w:id="701" w:name="_Toc151193788"/>
      <w:r/>
      <w:bookmarkStart w:id="702" w:name="_Toc150774751"/>
      <w:r/>
      <w:bookmarkStart w:id="703" w:name="_Toc150480784"/>
      <w:r/>
      <w:bookmarkStart w:id="704" w:name="_Toc226965819"/>
      <w:r/>
      <w:bookmarkStart w:id="705" w:name="_Toc264969236"/>
      <w:r/>
      <w:bookmarkStart w:id="706" w:name="_Ref467307010"/>
      <w:r/>
      <w:bookmarkStart w:id="707" w:name="_Toc151193934"/>
      <w:r/>
      <w:bookmarkStart w:id="708" w:name="_Toc127151546"/>
      <w:r/>
      <w:bookmarkStart w:id="709" w:name="_Toc151190173"/>
      <w:r/>
      <w:bookmarkStart w:id="710" w:name="_Toc142311048"/>
      <w:r/>
      <w:bookmarkStart w:id="711" w:name="_Toc226309790"/>
      <w:r/>
      <w:bookmarkStart w:id="712" w:name="_Toc151193860"/>
      <w:r/>
      <w:bookmarkStart w:id="713" w:name="_Toc149720839"/>
      <w:r>
        <w:rPr>
          <w:rFonts w:hint="eastAsia" w:ascii="宋体" w:hAnsi="宋体" w:cs="宋体"/>
          <w:color w:val="000000"/>
          <w:sz w:val="24"/>
          <w:highlight w:val="none"/>
        </w:rPr>
        <w:t xml:space="preserve">中标候选人名单</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rFonts w:hint="eastAsia" w:ascii="宋体" w:hAnsi="宋体" w:cs="宋体"/>
          <w:color w:val="000000"/>
          <w:sz w:val="24"/>
          <w:highlight w:val="none"/>
        </w:rPr>
      </w:r>
      <w:r/>
    </w:p>
    <w:p>
      <w:pPr>
        <w:pStyle w:val="1160"/>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采用综合评分法时，提供相同品牌产品（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b/>
          <w:bCs/>
          <w:color w:val="000000"/>
          <w:sz w:val="24"/>
          <w:highlight w:val="none"/>
        </w:rPr>
      </w:r>
      <w:r/>
    </w:p>
    <w:p>
      <w:pPr>
        <w:pStyle w:val="1199"/>
        <w:ind w:left="993" w:firstLine="136"/>
        <w:spacing w:line="360" w:lineRule="auto"/>
        <w:shd w:val="clear" w:color="auto" w:fill="auto"/>
        <w:tabs>
          <w:tab w:val="left" w:pos="900"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99"/>
        <w:ind w:left="993" w:firstLine="136"/>
        <w:spacing w:line="360" w:lineRule="auto"/>
        <w:shd w:val="clear" w:color="auto" w:fill="auto"/>
        <w:tabs>
          <w:tab w:val="left" w:pos="900"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szCs w:val="24"/>
          <w:highlight w:val="none"/>
          <w:u w:val="single"/>
        </w:rPr>
        <w:t xml:space="preserve">  /  </w:t>
      </w:r>
      <w:r>
        <w:rPr>
          <w:rFonts w:hAnsi="宋体" w:cs="宋体"/>
          <w:color w:val="000000"/>
          <w:sz w:val="24"/>
          <w:szCs w:val="24"/>
          <w:highlight w:val="none"/>
        </w:rPr>
      </w:r>
      <w:r/>
    </w:p>
    <w:p>
      <w:pPr>
        <w:pStyle w:val="1160"/>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160"/>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160"/>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评标委员会要对评分汇总情况进行复核，特别是对排名第一的、报价最低的、投标文件被认定为无效的情形进行重点复核。</w:t>
      </w:r>
      <w:r>
        <w:rPr>
          <w:rFonts w:hint="eastAsia" w:ascii="宋体" w:hAnsi="宋体" w:cs="宋体"/>
          <w:color w:val="000000"/>
          <w:sz w:val="24"/>
          <w:highlight w:val="none"/>
        </w:rPr>
      </w:r>
      <w:r/>
    </w:p>
    <w:p>
      <w:pPr>
        <w:pStyle w:val="1160"/>
        <w:numPr>
          <w:ilvl w:val="1"/>
          <w:numId w:val="12"/>
        </w:numPr>
        <w:ind w:left="1077" w:hanging="720"/>
        <w:spacing w:line="360" w:lineRule="auto"/>
        <w:shd w:val="clear" w:color="auto" w:fill="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评标委员会将根据各投标人的评标排序，依次推荐本项目的中标候选人，起草并签署评标报告。本项目评标委员会共推荐不少于3名中标候选人。</w:t>
      </w:r>
      <w:r>
        <w:rPr>
          <w:rFonts w:hint="eastAsia" w:ascii="宋体" w:hAnsi="宋体" w:cs="宋体"/>
          <w:color w:val="000000"/>
          <w:sz w:val="24"/>
          <w:highlight w:val="none"/>
        </w:rPr>
      </w:r>
      <w:r/>
    </w:p>
    <w:p>
      <w:pPr>
        <w:pStyle w:val="1160"/>
        <w:numPr>
          <w:ilvl w:val="0"/>
          <w:numId w:val="12"/>
        </w:numPr>
        <w:spacing w:line="360" w:lineRule="auto"/>
        <w:shd w:val="clear" w:color="auto" w:fill="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报告违法行为</w:t>
      </w:r>
      <w:r>
        <w:rPr>
          <w:rFonts w:hint="eastAsia" w:ascii="宋体" w:hAnsi="宋体" w:cs="宋体"/>
          <w:color w:val="000000"/>
          <w:sz w:val="24"/>
          <w:highlight w:val="none"/>
        </w:rPr>
      </w:r>
      <w:r/>
    </w:p>
    <w:p>
      <w:pPr>
        <w:pStyle w:val="1160"/>
        <w:numPr>
          <w:ilvl w:val="1"/>
          <w:numId w:val="12"/>
        </w:numPr>
        <w:ind w:left="1077" w:hanging="720"/>
        <w:spacing w:line="360" w:lineRule="auto"/>
        <w:shd w:val="clear" w:color="auto" w:fill="auto"/>
        <w:tabs>
          <w:tab w:val="left" w:pos="1080" w:leader="none"/>
          <w:tab w:val="left" w:pos="1589" w:leader="none"/>
        </w:tabs>
        <w:rPr>
          <w:rFonts w:hint="eastAsia" w:ascii="宋体" w:hAnsi="宋体"/>
          <w:b/>
          <w:bCs/>
          <w:color w:val="000000"/>
          <w:sz w:val="28"/>
          <w:szCs w:val="28"/>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w:t>
      </w:r>
      <w:r>
        <w:rPr>
          <w:color w:val="000000"/>
          <w:sz w:val="24"/>
          <w:highlight w:val="none"/>
        </w:rPr>
        <w:t xml:space="preserve">采购人</w:t>
      </w:r>
      <w:r>
        <w:rPr>
          <w:rFonts w:hint="eastAsia" w:ascii="宋体" w:hAnsi="宋体" w:cs="宋体"/>
          <w:color w:val="000000"/>
          <w:sz w:val="24"/>
          <w:highlight w:val="none"/>
        </w:rPr>
        <w:t xml:space="preserve">、采购代理机构或者有关部门报告的职责。</w:t>
      </w:r>
      <w:r>
        <w:rPr>
          <w:rFonts w:hint="eastAsia" w:ascii="宋体" w:hAnsi="宋体" w:cs="宋体"/>
          <w:b/>
          <w:color w:val="000000"/>
          <w:sz w:val="24"/>
          <w:highlight w:val="none"/>
        </w:rPr>
        <w:br w:type="page" w:clear="all"/>
      </w:r>
      <w:r>
        <w:rPr>
          <w:rFonts w:hint="eastAsia" w:ascii="宋体" w:hAnsi="宋体"/>
          <w:b/>
          <w:bCs/>
          <w:color w:val="000000"/>
          <w:sz w:val="28"/>
          <w:szCs w:val="28"/>
          <w:highlight w:val="none"/>
        </w:rPr>
        <w:t xml:space="preserve">二、评标标准</w:t>
      </w:r>
      <w:r>
        <w:rPr>
          <w:rFonts w:hint="eastAsia" w:ascii="宋体" w:hAnsi="宋体"/>
          <w:b/>
          <w:bCs/>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246"/>
        <w:gridCol w:w="6184"/>
        <w:gridCol w:w="515"/>
      </w:tblGrid>
      <w:tr>
        <w:trPr>
          <w:trHeight w:val="454"/>
        </w:trPr>
        <w:tc>
          <w:tcPr>
            <w:tcMar>
              <w:left w:w="108" w:type="dxa"/>
              <w:top w:w="0" w:type="dxa"/>
              <w:right w:w="108" w:type="dxa"/>
              <w:bottom w:w="0" w:type="dxa"/>
            </w:tcMar>
            <w:tcW w:w="577"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bookmarkStart w:id="714" w:name="_Toc14891"/>
            <w:r>
              <w:rPr>
                <w:rFonts w:hint="eastAsia" w:ascii="宋体" w:hAnsi="宋体" w:eastAsia="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评分因素</w:t>
            </w:r>
            <w:r>
              <w:rPr>
                <w:rFonts w:hint="eastAsia" w:ascii="宋体" w:hAnsi="宋体" w:eastAsia="宋体" w:cs="宋体"/>
                <w:b/>
                <w:bCs/>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评分标准</w:t>
            </w:r>
            <w:r>
              <w:rPr>
                <w:rFonts w:hint="eastAsia" w:ascii="宋体" w:hAnsi="宋体" w:eastAsia="宋体" w:cs="宋体"/>
                <w:b/>
                <w:bCs/>
                <w:color w:val="000000"/>
                <w:sz w:val="24"/>
                <w:szCs w:val="24"/>
                <w:highlight w:val="none"/>
                <w:lang w:val="en-US" w:eastAsia="zh-CN"/>
              </w:rPr>
            </w:r>
            <w:r/>
          </w:p>
        </w:tc>
        <w:tc>
          <w:tcPr>
            <w:tcMar>
              <w:left w:w="108" w:type="dxa"/>
              <w:top w:w="0" w:type="dxa"/>
              <w:right w:w="108" w:type="dxa"/>
              <w:bottom w:w="0" w:type="dxa"/>
            </w:tcMar>
            <w:tcW w:w="515"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分值</w:t>
            </w:r>
            <w:r>
              <w:rPr>
                <w:rFonts w:hint="eastAsia" w:ascii="宋体" w:hAnsi="宋体" w:eastAsia="宋体" w:cs="宋体"/>
                <w:b/>
                <w:bCs/>
                <w:color w:val="000000"/>
                <w:sz w:val="24"/>
                <w:szCs w:val="24"/>
                <w:highlight w:val="none"/>
                <w:lang w:val="en-US" w:eastAsia="zh-CN"/>
              </w:rPr>
            </w:r>
            <w:r/>
          </w:p>
        </w:tc>
      </w:tr>
      <w:tr>
        <w:trPr>
          <w:trHeight w:val="454"/>
        </w:trPr>
        <w:tc>
          <w:tcPr>
            <w:gridSpan w:val="4"/>
            <w:tcMar>
              <w:left w:w="108" w:type="dxa"/>
              <w:top w:w="0" w:type="dxa"/>
              <w:right w:w="108" w:type="dxa"/>
              <w:bottom w:w="0" w:type="dxa"/>
            </w:tcMar>
            <w:tcW w:w="8522" w:type="dxa"/>
            <w:vAlign w:val="center"/>
            <w:textDirection w:val="lrTb"/>
            <w:noWrap w:val="false"/>
          </w:tcPr>
          <w:p>
            <w:pPr>
              <w:pStyle w:val="1160"/>
              <w:jc w:val="both"/>
              <w:keepLines w:val="0"/>
              <w:keepNext w:val="0"/>
              <w:pageBreakBefore w:val="0"/>
              <w:spacing w:line="360" w:lineRule="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一、报价（30分）</w:t>
            </w:r>
            <w:r>
              <w:rPr>
                <w:rFonts w:hint="eastAsia" w:ascii="宋体" w:hAnsi="宋体" w:eastAsia="宋体" w:cs="宋体"/>
                <w:b/>
                <w:bCs/>
                <w:color w:val="000000"/>
                <w:sz w:val="24"/>
                <w:szCs w:val="24"/>
                <w:highlight w:val="none"/>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价格</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满足招标文件要求且投标价格最低的投标报价为评标基准价，其价格分为满分。其他投标人的价格分统一按照下列公式计算：投标报价得分＝（评标基准价/投标报价）×分值。</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注：1.此处用于评审比较的投标报价，是指在投标人原始投标报价基础上，经过算术修正后，再依据政府采购政策进行价格调整（如本国产品价格扣除）后形成的价格。</w:t>
            </w:r>
            <w:r>
              <w:rPr>
                <w:rFonts w:hint="eastAsia" w:ascii="宋体" w:hAnsi="宋体" w:eastAsia="宋体" w:cs="宋体"/>
                <w:b/>
                <w:bCs/>
                <w:color w:val="000000"/>
                <w:sz w:val="24"/>
                <w:szCs w:val="24"/>
                <w:highlight w:val="none"/>
                <w:lang w:val="en-US" w:eastAsia="zh-CN"/>
              </w:rPr>
            </w:r>
            <w:r/>
          </w:p>
          <w:p>
            <w:pPr>
              <w:pStyle w:val="1160"/>
              <w:jc w:val="both"/>
              <w:keepLines w:val="0"/>
              <w:keepNext w:val="0"/>
              <w:pageBreakBefore w:val="0"/>
              <w:spacing w:line="360" w:lineRule="auto"/>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2.根据本国产品支持政策，政府采购活动中，依法对本国产品给予价格评审优惠。</w:t>
            </w:r>
            <w:r>
              <w:rPr>
                <w:rFonts w:hint="eastAsia" w:ascii="宋体" w:hAnsi="宋体" w:eastAsia="宋体" w:cs="宋体"/>
                <w:b/>
                <w:bCs/>
                <w:color w:val="000000"/>
                <w:sz w:val="24"/>
                <w:szCs w:val="24"/>
                <w:highlight w:val="none"/>
                <w:lang w:val="en-US" w:eastAsia="zh-CN"/>
              </w:rPr>
            </w:r>
            <w:r/>
          </w:p>
          <w:p>
            <w:pPr>
              <w:pStyle w:val="1160"/>
              <w:jc w:val="both"/>
              <w:keepLines w:val="0"/>
              <w:keepNext w:val="0"/>
              <w:pageBreakBefore w:val="0"/>
              <w:spacing w:line="360" w:lineRule="auto"/>
              <w:shd w:val="clear" w:color="auto" w:fill="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当采购项目或者采购包的采购标的中含有多种产品，投标人为该采购项目或者采购包提供的符合本国产品标准的产品成本之和占该投标人提供的全部产品成本之和的比例达到80%以上时，且投标人在投标文件中对此作出承诺的，则依法对该投标人提供的全部产品给予价格评审优惠，即对该投标人提供的全部产品的总报价给予20%的价格扣除，用扣除后的价格参与评审。全部产品是指货物或服务采购项目或采购包中包含的全部货物、服务产品。</w:t>
            </w:r>
            <w:r>
              <w:rPr>
                <w:rFonts w:hint="eastAsia" w:ascii="宋体" w:hAnsi="宋体" w:eastAsia="宋体" w:cs="宋体"/>
                <w:b/>
                <w:bCs/>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3.上述价格扣除优惠，仅适用于采购活动中实际存在非本国产品参与竞争的情形。如果所有有效投标人提供的产品均为本国产品（即不存在非本国产品竞争），则不执行本国产品的价格扣除政策。</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515"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en-US" w:eastAsia="zh-CN"/>
              </w:rPr>
            </w:r>
            <w:r/>
          </w:p>
        </w:tc>
      </w:tr>
      <w:tr>
        <w:trPr>
          <w:trHeight w:val="454"/>
        </w:trPr>
        <w:tc>
          <w:tcPr>
            <w:gridSpan w:val="4"/>
            <w:tcMar>
              <w:left w:w="108" w:type="dxa"/>
              <w:top w:w="0" w:type="dxa"/>
              <w:right w:w="108" w:type="dxa"/>
              <w:bottom w:w="0" w:type="dxa"/>
            </w:tcMar>
            <w:tcW w:w="8522" w:type="dxa"/>
            <w:vAlign w:val="center"/>
            <w:textDirection w:val="lrTb"/>
            <w:noWrap w:val="false"/>
          </w:tcPr>
          <w:p>
            <w:pPr>
              <w:pStyle w:val="1160"/>
              <w:jc w:val="both"/>
              <w:keepLines w:val="0"/>
              <w:keepNext w:val="0"/>
              <w:pageBreakBefore w:val="0"/>
              <w:spacing w:line="360" w:lineRule="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二、主观分（40分）</w:t>
            </w:r>
            <w:r>
              <w:rPr>
                <w:rFonts w:hint="eastAsia" w:ascii="宋体" w:hAnsi="宋体" w:eastAsia="宋体" w:cs="宋体"/>
                <w:b/>
                <w:bCs/>
                <w:color w:val="000000"/>
                <w:sz w:val="24"/>
                <w:szCs w:val="24"/>
                <w:highlight w:val="none"/>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1</w:t>
            </w:r>
            <w:r>
              <w:rPr>
                <w:rFonts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1246"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shd w:val="clear" w:color="auto" w:fill="auto"/>
                <w:lang w:val="en-US" w:eastAsia="zh-CN" w:bidi="ar-SA"/>
              </w:rPr>
            </w:r>
            <w:r/>
          </w:p>
        </w:tc>
        <w:tc>
          <w:tcPr>
            <w:tcMar>
              <w:left w:w="108" w:type="dxa"/>
              <w:top w:w="0" w:type="dxa"/>
              <w:right w:w="108" w:type="dxa"/>
              <w:bottom w:w="0" w:type="dxa"/>
            </w:tcMar>
            <w:tcW w:w="6184" w:type="dxa"/>
            <w:vAlign w:val="center"/>
            <w:textDirection w:val="lrTb"/>
            <w:noWrap w:val="false"/>
          </w:tcPr>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根据投标人编制的</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lang w:val="en-US" w:eastAsia="zh-CN"/>
              </w:rPr>
              <w:t xml:space="preserve">方案（包括：生产、运输、安装、项目技术团队</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，由评标委员会进行综合评审。</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val="en-US" w:eastAsia="zh-CN"/>
              </w:rPr>
              <w:t xml:space="preserve">完整，针对性强，能完全满足项目实施要求的，得7分；</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val="en-US" w:eastAsia="zh-CN"/>
              </w:rPr>
              <w:t xml:space="preserve">较具体，针对性较强，能基本满足项目实施要求的，得5分；</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val="en-US" w:eastAsia="zh-CN"/>
              </w:rPr>
              <w:t xml:space="preserve">较简单，针对性不强，对项目实施要求响应一般的，得3分；</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val="en-US" w:eastAsia="zh-CN"/>
              </w:rPr>
              <w:t xml:space="preserve">简单、不够完善，没有针对性的，得1分；</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（5）不符合招标文件要求或未提供的不得分。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15"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bidi="ar-SA"/>
              </w:rPr>
            </w:r>
            <w:r/>
          </w:p>
        </w:tc>
      </w:tr>
      <w:tr>
        <w:trPr>
          <w:trHeight w:val="454"/>
        </w:trPr>
        <w:tc>
          <w:tcPr>
            <w:tcMar>
              <w:left w:w="108" w:type="dxa"/>
              <w:top w:w="0" w:type="dxa"/>
              <w:right w:w="108" w:type="dxa"/>
              <w:bottom w:w="0" w:type="dxa"/>
            </w:tcMar>
            <w:tcW w:w="577"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lang w:val="en-US" w:eastAsia="zh-CN" w:bidi="ar-SA"/>
              </w:rPr>
            </w:r>
            <w:r/>
          </w:p>
        </w:tc>
        <w:tc>
          <w:tcPr>
            <w:tcMar>
              <w:left w:w="108" w:type="dxa"/>
              <w:top w:w="0" w:type="dxa"/>
              <w:right w:w="108" w:type="dxa"/>
              <w:bottom w:w="0" w:type="dxa"/>
            </w:tcMar>
            <w:tcW w:w="1246"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eastAsia="宋体" w:cs="宋体"/>
                <w:color w:val="000000"/>
                <w:sz w:val="24"/>
                <w:szCs w:val="24"/>
                <w:highlight w:val="none"/>
                <w:lang w:val="en-US" w:eastAsia="zh-CN"/>
              </w:rPr>
              <w:t xml:space="preserve">进度及质量</w:t>
            </w:r>
            <w:r>
              <w:rPr>
                <w:rFonts w:hint="eastAsia" w:ascii="宋体" w:hAnsi="宋体" w:eastAsia="宋体" w:cs="宋体"/>
                <w:color w:val="000000"/>
                <w:sz w:val="24"/>
                <w:szCs w:val="24"/>
                <w:highlight w:val="none"/>
                <w:lang w:val="en-US" w:eastAsia="zh-CN"/>
              </w:rPr>
              <w:t xml:space="preserve">保障措施</w:t>
            </w:r>
            <w:r>
              <w:rPr>
                <w:rFonts w:hint="eastAsia" w:ascii="宋体" w:hAnsi="宋体" w:eastAsia="宋体" w:cs="宋体"/>
                <w:color w:val="000000"/>
                <w:sz w:val="24"/>
                <w:szCs w:val="24"/>
                <w:highlight w:val="none"/>
                <w:shd w:val="clear" w:color="auto" w:fill="auto"/>
                <w:lang w:val="en-US" w:eastAsia="zh-CN" w:bidi="ar-SA"/>
              </w:rPr>
            </w:r>
            <w:r/>
          </w:p>
        </w:tc>
        <w:tc>
          <w:tcPr>
            <w:tcMar>
              <w:left w:w="108" w:type="dxa"/>
              <w:top w:w="0" w:type="dxa"/>
              <w:right w:w="108" w:type="dxa"/>
              <w:bottom w:w="0" w:type="dxa"/>
            </w:tcMar>
            <w:tcW w:w="6184" w:type="dxa"/>
            <w:vAlign w:val="center"/>
            <w:textDirection w:val="lrTb"/>
            <w:noWrap w:val="false"/>
          </w:tcPr>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根据投标人提供的进度及质量</w:t>
            </w:r>
            <w:r>
              <w:rPr>
                <w:rFonts w:hint="eastAsia" w:ascii="宋体" w:hAnsi="宋体" w:eastAsia="宋体" w:cs="宋体"/>
                <w:color w:val="000000"/>
                <w:sz w:val="24"/>
                <w:szCs w:val="24"/>
                <w:highlight w:val="none"/>
                <w:lang w:val="en-US" w:eastAsia="zh-CN"/>
              </w:rPr>
              <w:t xml:space="preserve">保障措施（包括：</w:t>
            </w:r>
            <w:r>
              <w:rPr>
                <w:rFonts w:hint="eastAsia" w:ascii="宋体" w:hAnsi="宋体" w:eastAsia="宋体" w:cs="宋体"/>
                <w:color w:val="000000"/>
                <w:sz w:val="24"/>
                <w:szCs w:val="24"/>
                <w:highlight w:val="none"/>
                <w:lang w:val="en-US" w:eastAsia="zh-CN"/>
              </w:rPr>
              <w:t xml:space="preserve">施工进度、</w:t>
            </w:r>
            <w:r>
              <w:rPr>
                <w:rFonts w:hint="eastAsia" w:ascii="宋体" w:hAnsi="宋体" w:eastAsia="宋体" w:cs="宋体"/>
                <w:color w:val="000000"/>
                <w:sz w:val="24"/>
                <w:szCs w:val="24"/>
                <w:highlight w:val="none"/>
                <w:lang w:val="en-US" w:eastAsia="zh-CN"/>
              </w:rPr>
              <w:t xml:space="preserve">产品产品质量保障体系、产品质量检测体系等）</w:t>
            </w:r>
            <w:r>
              <w:rPr>
                <w:rFonts w:hint="eastAsia" w:ascii="宋体" w:hAnsi="宋体" w:eastAsia="宋体" w:cs="宋体"/>
                <w:color w:val="000000"/>
                <w:sz w:val="24"/>
                <w:szCs w:val="24"/>
                <w:highlight w:val="none"/>
                <w:lang w:val="en-US" w:eastAsia="zh-CN"/>
              </w:rPr>
              <w:t xml:space="preserve">，由评标委员会进行综合评审。</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（1）质量</w:t>
            </w:r>
            <w:r>
              <w:rPr>
                <w:rFonts w:hint="eastAsia" w:ascii="宋体" w:hAnsi="宋体" w:eastAsia="宋体" w:cs="宋体"/>
                <w:color w:val="000000"/>
                <w:sz w:val="24"/>
                <w:szCs w:val="24"/>
                <w:highlight w:val="none"/>
                <w:lang w:val="en-US" w:eastAsia="zh-CN"/>
              </w:rPr>
              <w:t xml:space="preserve">保障措施</w:t>
            </w:r>
            <w:r>
              <w:rPr>
                <w:rFonts w:hint="eastAsia" w:ascii="宋体" w:hAnsi="宋体" w:eastAsia="宋体" w:cs="宋体"/>
                <w:color w:val="000000"/>
                <w:sz w:val="24"/>
                <w:szCs w:val="24"/>
                <w:highlight w:val="none"/>
                <w:lang w:val="en-US" w:eastAsia="zh-CN"/>
              </w:rPr>
              <w:t xml:space="preserve">完整，针对性强，能完全满足项目实施要求的，得7分；</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（2）质量</w:t>
            </w:r>
            <w:r>
              <w:rPr>
                <w:rFonts w:hint="eastAsia" w:ascii="宋体" w:hAnsi="宋体" w:eastAsia="宋体" w:cs="宋体"/>
                <w:color w:val="000000"/>
                <w:sz w:val="24"/>
                <w:szCs w:val="24"/>
                <w:highlight w:val="none"/>
                <w:lang w:val="en-US" w:eastAsia="zh-CN"/>
              </w:rPr>
              <w:t xml:space="preserve">保障措施</w:t>
            </w:r>
            <w:r>
              <w:rPr>
                <w:rFonts w:hint="eastAsia" w:ascii="宋体" w:hAnsi="宋体" w:eastAsia="宋体" w:cs="宋体"/>
                <w:color w:val="000000"/>
                <w:sz w:val="24"/>
                <w:szCs w:val="24"/>
                <w:highlight w:val="none"/>
                <w:lang w:val="en-US" w:eastAsia="zh-CN"/>
              </w:rPr>
              <w:t xml:space="preserve">较具体，针对性较强，能基本满足项目实施要求的，得5分；</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（3）质量</w:t>
            </w:r>
            <w:r>
              <w:rPr>
                <w:rFonts w:hint="eastAsia" w:ascii="宋体" w:hAnsi="宋体" w:eastAsia="宋体" w:cs="宋体"/>
                <w:color w:val="000000"/>
                <w:sz w:val="24"/>
                <w:szCs w:val="24"/>
                <w:highlight w:val="none"/>
                <w:lang w:val="en-US" w:eastAsia="zh-CN"/>
              </w:rPr>
              <w:t xml:space="preserve">保障措施</w:t>
            </w:r>
            <w:r>
              <w:rPr>
                <w:rFonts w:hint="eastAsia" w:ascii="宋体" w:hAnsi="宋体" w:eastAsia="宋体" w:cs="宋体"/>
                <w:color w:val="000000"/>
                <w:sz w:val="24"/>
                <w:szCs w:val="24"/>
                <w:highlight w:val="none"/>
                <w:lang w:val="en-US" w:eastAsia="zh-CN"/>
              </w:rPr>
              <w:t xml:space="preserve">较简单，针对性不强，对项目实施要求响应一般的，得3分；</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（4）质量</w:t>
            </w:r>
            <w:r>
              <w:rPr>
                <w:rFonts w:hint="eastAsia" w:ascii="宋体" w:hAnsi="宋体" w:eastAsia="宋体" w:cs="宋体"/>
                <w:color w:val="000000"/>
                <w:sz w:val="24"/>
                <w:szCs w:val="24"/>
                <w:highlight w:val="none"/>
                <w:lang w:val="en-US" w:eastAsia="zh-CN"/>
              </w:rPr>
              <w:t xml:space="preserve">保障措施</w:t>
            </w:r>
            <w:r>
              <w:rPr>
                <w:rFonts w:hint="eastAsia" w:ascii="宋体" w:hAnsi="宋体" w:eastAsia="宋体" w:cs="宋体"/>
                <w:color w:val="000000"/>
                <w:sz w:val="24"/>
                <w:szCs w:val="24"/>
                <w:highlight w:val="none"/>
                <w:lang w:val="en-US" w:eastAsia="zh-CN"/>
              </w:rPr>
              <w:t xml:space="preserve">简单、不够完善，没有针对性的，得1分；</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（5）不符合招标文件要求或未提供的不得分。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15"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shd w:val="clear" w:color="auto" w:fill="auto"/>
                <w:lang w:val="en-US" w:eastAsia="zh-CN" w:bidi="ar-SA"/>
              </w:rPr>
              <w:outlineLvl w:val="9"/>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shd w:val="clear" w:color="auto" w:fill="auto"/>
                <w:lang w:val="en-US" w:eastAsia="zh-CN" w:bidi="ar-SA"/>
              </w:rPr>
            </w:r>
            <w:r/>
          </w:p>
        </w:tc>
      </w:tr>
      <w:tr>
        <w:trPr>
          <w:trHeight w:val="454"/>
        </w:trPr>
        <w:tc>
          <w:tcPr>
            <w:tcMar>
              <w:left w:w="108" w:type="dxa"/>
              <w:top w:w="0" w:type="dxa"/>
              <w:right w:w="108" w:type="dxa"/>
              <w:bottom w:w="0" w:type="dxa"/>
            </w:tcMar>
            <w:tcW w:w="577"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3</w:t>
            </w:r>
            <w:r>
              <w:rPr>
                <w:rFonts w:ascii="宋体" w:hAnsi="宋体" w:eastAsia="宋体" w:cs="宋体"/>
                <w:color w:val="000000"/>
                <w:sz w:val="24"/>
                <w:szCs w:val="24"/>
                <w:highlight w:val="none"/>
                <w:shd w:val="clear" w:color="auto" w:fill="auto"/>
                <w:lang w:val="en-US" w:eastAsia="zh-CN"/>
              </w:rPr>
            </w:r>
            <w:r/>
          </w:p>
        </w:tc>
        <w:tc>
          <w:tcPr>
            <w:tcMar>
              <w:left w:w="108" w:type="dxa"/>
              <w:top w:w="0" w:type="dxa"/>
              <w:right w:w="108" w:type="dxa"/>
              <w:bottom w:w="0" w:type="dxa"/>
            </w:tcMar>
            <w:tcW w:w="1246"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shd w:val="clear" w:color="auto" w:fill="auto"/>
                <w:lang w:val="en-US" w:eastAsia="zh-CN" w:bidi="ar-SA"/>
              </w:rPr>
              <w:outlineLvl w:val="9"/>
            </w:pPr>
            <w:r>
              <w:rPr>
                <w:rFonts w:hint="eastAsia" w:ascii="宋体" w:hAnsi="宋体" w:eastAsia="宋体" w:cs="宋体"/>
                <w:color w:val="000000"/>
                <w:sz w:val="24"/>
                <w:szCs w:val="24"/>
                <w:highlight w:val="none"/>
                <w:lang w:val="en-US" w:eastAsia="zh-CN"/>
              </w:rPr>
              <w:t xml:space="preserve">售后服务方案</w:t>
            </w:r>
            <w:r>
              <w:rPr>
                <w:rFonts w:hint="eastAsia" w:ascii="宋体" w:hAnsi="宋体" w:eastAsia="宋体" w:cs="宋体"/>
                <w:color w:val="000000"/>
                <w:sz w:val="24"/>
                <w:szCs w:val="24"/>
                <w:highlight w:val="none"/>
                <w:shd w:val="clear" w:color="auto" w:fill="auto"/>
                <w:lang w:val="en-US" w:eastAsia="zh-CN" w:bidi="ar-SA"/>
              </w:rPr>
            </w:r>
            <w:r/>
          </w:p>
        </w:tc>
        <w:tc>
          <w:tcPr>
            <w:tcMar>
              <w:left w:w="108" w:type="dxa"/>
              <w:top w:w="0" w:type="dxa"/>
              <w:right w:w="108" w:type="dxa"/>
              <w:bottom w:w="0" w:type="dxa"/>
            </w:tcMar>
            <w:tcW w:w="6184" w:type="dxa"/>
            <w:vAlign w:val="center"/>
            <w:textDirection w:val="lrTb"/>
            <w:noWrap w:val="false"/>
          </w:tcPr>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根据投标人提供的售后服务方案（包括：到达故障现场时间、故障出现解决方案、定期维护（注明时间）、保修期外维修方案、其他优惠措施等），由评标委员会进行综合评审。</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（1）售后服务方案完整，针对性强，能完全满足项目实施要求的，得6分；</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（2）售后服务方案较具体，针对性较强，能基本满足项目实施要求的，得5分；</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（3）售后服务方案较简单，针对性不强，对项目实施要求响应一般的，得4分；</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（4）售后服务方案简单、不够完善，没有针对性的，得3分；</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（5）不符合招标文件要求或未提供的不得分。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15"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shd w:val="clear" w:color="auto" w:fill="auto"/>
                <w:lang w:val="en-US" w:eastAsia="zh-CN"/>
              </w:rPr>
              <w:t xml:space="preserve">6</w:t>
            </w:r>
            <w:r>
              <w:rPr>
                <w:rFonts w:ascii="宋体" w:hAnsi="宋体" w:eastAsia="宋体" w:cs="宋体"/>
                <w:color w:val="000000"/>
                <w:sz w:val="24"/>
                <w:szCs w:val="24"/>
                <w:highlight w:val="none"/>
                <w:shd w:val="clear" w:color="auto" w:fill="auto"/>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shd w:val="clear" w:color="auto" w:fill="auto"/>
                <w:lang w:val="en-US" w:eastAsia="zh-CN" w:bidi="ar-SA"/>
              </w:rPr>
              <w:outlineLvl w:val="9"/>
            </w:pPr>
            <w:r>
              <w:rPr>
                <w:rFonts w:hint="eastAsia" w:ascii="宋体" w:hAnsi="宋体" w:eastAsia="宋体" w:cs="宋体"/>
                <w:color w:val="000000"/>
                <w:sz w:val="24"/>
                <w:szCs w:val="24"/>
                <w:highlight w:val="none"/>
                <w:shd w:val="clear" w:color="auto" w:fill="auto"/>
                <w:lang w:val="en-US" w:eastAsia="zh-CN"/>
              </w:rPr>
              <w:t xml:space="preserve">4</w:t>
            </w:r>
            <w:r>
              <w:rPr>
                <w:rFonts w:ascii="宋体" w:hAnsi="宋体" w:eastAsia="宋体" w:cs="宋体"/>
                <w:color w:val="000000"/>
                <w:sz w:val="24"/>
                <w:szCs w:val="24"/>
                <w:highlight w:val="none"/>
                <w:shd w:val="clear" w:color="auto" w:fill="auto"/>
                <w:lang w:val="en-US" w:eastAsia="zh-CN" w:bidi="ar-SA"/>
              </w:rPr>
            </w:r>
            <w:r/>
          </w:p>
        </w:tc>
        <w:tc>
          <w:tcPr>
            <w:tcMar>
              <w:left w:w="108" w:type="dxa"/>
              <w:top w:w="0" w:type="dxa"/>
              <w:right w:w="108" w:type="dxa"/>
              <w:bottom w:w="0" w:type="dxa"/>
            </w:tcMar>
            <w:tcW w:w="1246"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样品</w:t>
            </w:r>
            <w:r>
              <w:rPr>
                <w:rFonts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184" w:type="dxa"/>
            <w:vAlign w:val="center"/>
            <w:textDirection w:val="lrTb"/>
            <w:noWrap w:val="false"/>
          </w:tcPr>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根据投标人提供的样品的进行综合评审：</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（1）实物样品的主辅材料选材优质、五金配件完全满足采购需求的得5分；主辅选材一般，五金配件基本符合采购需求的得3分；主辅选材有所欠缺、五金配件质量差的得1分。</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（2）实物样品</w:t>
            </w:r>
            <w:r>
              <w:rPr>
                <w:rFonts w:hint="eastAsia" w:ascii="宋体" w:hAnsi="宋体" w:eastAsia="宋体" w:cs="宋体"/>
                <w:color w:val="000000"/>
                <w:sz w:val="24"/>
                <w:szCs w:val="24"/>
                <w:highlight w:val="none"/>
                <w:lang w:val="en-US" w:eastAsia="zh-CN"/>
              </w:rPr>
              <w:t xml:space="preserve">做工精湛、表面平整喷塑光滑、无锋利边角的得5分；做工一般、表面较平整、无毛刺的得3分；做工较差、表面不平整、有毛刺的得1分。 </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（3）实物样品结构合理、规格尺寸完全符合技术参数要求的得5分；结构较合理、规格尺寸部分满足技术参数要求的得3分；结构一般、规格尺寸不满足技术参数要求的得1分。</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实物样品使用功能完全满足采购需求、样品无异味的得5分；使用功能基本满足采购需求、样品稍有异味的得3分；使用功能有所欠缺、样品有异味的得1分。</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（5）未提供的不得分。</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515"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20</w:t>
            </w:r>
            <w:r>
              <w:rPr>
                <w:rFonts w:ascii="宋体" w:hAnsi="宋体" w:eastAsia="宋体" w:cs="宋体"/>
                <w:color w:val="000000"/>
                <w:sz w:val="24"/>
                <w:szCs w:val="24"/>
                <w:highlight w:val="none"/>
                <w:lang w:val="en-US" w:eastAsia="zh-CN" w:bidi="ar-SA"/>
              </w:rPr>
            </w:r>
            <w:r/>
          </w:p>
        </w:tc>
      </w:tr>
      <w:tr>
        <w:trPr>
          <w:trHeight w:val="454"/>
        </w:trPr>
        <w:tc>
          <w:tcPr>
            <w:gridSpan w:val="4"/>
            <w:tcMar>
              <w:left w:w="108" w:type="dxa"/>
              <w:top w:w="0" w:type="dxa"/>
              <w:right w:w="108" w:type="dxa"/>
              <w:bottom w:w="0" w:type="dxa"/>
            </w:tcMar>
            <w:tcW w:w="8522" w:type="dxa"/>
            <w:vAlign w:val="center"/>
            <w:textDirection w:val="lrTb"/>
            <w:noWrap w:val="false"/>
          </w:tcPr>
          <w:p>
            <w:pPr>
              <w:pStyle w:val="1160"/>
              <w:jc w:val="both"/>
              <w:keepLines w:val="0"/>
              <w:keepNext w:val="0"/>
              <w:pageBreakBefore w:val="0"/>
              <w:spacing w:line="360" w:lineRule="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三、客观分（30分）</w:t>
            </w:r>
            <w:r>
              <w:rPr>
                <w:rFonts w:hint="eastAsia" w:ascii="宋体" w:hAnsi="宋体" w:eastAsia="宋体" w:cs="宋体"/>
                <w:b/>
                <w:bCs/>
                <w:color w:val="000000"/>
                <w:sz w:val="24"/>
                <w:szCs w:val="24"/>
                <w:highlight w:val="none"/>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lang w:val="en-US" w:eastAsia="zh-CN" w:bidi="ar-SA"/>
              </w:rPr>
            </w:r>
            <w:r/>
          </w:p>
        </w:tc>
        <w:tc>
          <w:tcPr>
            <w:tcMar>
              <w:left w:w="108" w:type="dxa"/>
              <w:top w:w="0" w:type="dxa"/>
              <w:right w:w="108" w:type="dxa"/>
              <w:bottom w:w="0" w:type="dxa"/>
            </w:tcMar>
            <w:tcW w:w="6184" w:type="dxa"/>
            <w:vAlign w:val="center"/>
            <w:textDirection w:val="lrTb"/>
            <w:noWrap w:val="false"/>
          </w:tcPr>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或所投品牌制造商</w:t>
            </w:r>
            <w:r>
              <w:rPr>
                <w:rFonts w:hint="eastAsia" w:ascii="宋体" w:hAnsi="宋体" w:eastAsia="宋体" w:cs="宋体"/>
                <w:color w:val="000000"/>
                <w:sz w:val="24"/>
                <w:szCs w:val="24"/>
                <w:highlight w:val="none"/>
                <w:lang w:val="en-US" w:eastAsia="zh-CN"/>
              </w:rPr>
              <w:t xml:space="preserve">具有自202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月1日以来（以合同签订日期为准）</w:t>
            </w:r>
            <w:r>
              <w:rPr>
                <w:rFonts w:hint="eastAsia" w:ascii="宋体" w:hAnsi="宋体" w:eastAsia="宋体" w:cs="宋体"/>
                <w:color w:val="000000"/>
                <w:sz w:val="24"/>
                <w:szCs w:val="24"/>
                <w:highlight w:val="none"/>
                <w:lang w:val="en-US" w:eastAsia="zh-CN"/>
              </w:rPr>
              <w:t xml:space="preserve">家具</w:t>
            </w:r>
            <w:r>
              <w:rPr>
                <w:rFonts w:hint="eastAsia" w:ascii="宋体" w:hAnsi="宋体" w:eastAsia="宋体" w:cs="宋体"/>
                <w:color w:val="000000"/>
                <w:sz w:val="24"/>
                <w:szCs w:val="24"/>
                <w:highlight w:val="none"/>
                <w:lang w:val="en-US" w:eastAsia="zh-CN"/>
              </w:rPr>
              <w:t xml:space="preserve">销售业绩的，有一份得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分，最高得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rPr>
              <w:t xml:space="preserve">注：投标文件中提供合同加盖投标人公章，否则不得分。</w:t>
            </w:r>
            <w:r>
              <w:rPr>
                <w:rFonts w:hint="eastAsia" w:ascii="宋体" w:hAnsi="宋体" w:eastAsia="宋体" w:cs="宋体"/>
                <w:b/>
                <w:bCs/>
                <w:color w:val="000000"/>
                <w:sz w:val="24"/>
                <w:szCs w:val="24"/>
                <w:highlight w:val="none"/>
                <w:lang w:val="en-US" w:eastAsia="zh-CN" w:bidi="ar-SA"/>
              </w:rPr>
            </w:r>
            <w:r/>
          </w:p>
        </w:tc>
        <w:tc>
          <w:tcPr>
            <w:tcMar>
              <w:left w:w="108" w:type="dxa"/>
              <w:top w:w="0" w:type="dxa"/>
              <w:right w:w="108" w:type="dxa"/>
              <w:bottom w:w="0" w:type="dxa"/>
            </w:tcMar>
            <w:tcW w:w="515"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bidi="ar-SA"/>
              </w:rPr>
            </w:r>
            <w:r/>
          </w:p>
        </w:tc>
      </w:tr>
      <w:tr>
        <w:trPr>
          <w:trHeight w:val="454"/>
        </w:trPr>
        <w:tc>
          <w:tcPr>
            <w:tcMar>
              <w:left w:w="108" w:type="dxa"/>
              <w:top w:w="0" w:type="dxa"/>
              <w:right w:w="108" w:type="dxa"/>
              <w:bottom w:w="0" w:type="dxa"/>
            </w:tcMar>
            <w:tcW w:w="577"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认证证书</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en-US" w:eastAsia="zh-CN"/>
              </w:rPr>
              <w:t xml:space="preserve">所投产品制造商具有</w:t>
            </w:r>
            <w:r>
              <w:rPr>
                <w:rFonts w:hint="eastAsia" w:ascii="宋体" w:hAnsi="宋体" w:eastAsia="宋体" w:cs="宋体"/>
                <w:color w:val="000000"/>
                <w:sz w:val="24"/>
                <w:szCs w:val="24"/>
                <w:highlight w:val="none"/>
                <w:lang w:val="en-US" w:eastAsia="zh-CN"/>
              </w:rPr>
              <w:t xml:space="preserve">有效的质量管理体系认证证书、环境管理体系认证证书、职业安全健康体系认证证书、中国环保产品认证证书（CQC）、中国环境标志产品认证证书（十环）的，有一个得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分，最高得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注：投标文件中提供证书加盖投标人公章，否则不得分。</w:t>
            </w:r>
            <w:r>
              <w:rPr>
                <w:rFonts w:hint="eastAsia" w:ascii="宋体" w:hAnsi="宋体" w:eastAsia="宋体" w:cs="宋体"/>
                <w:b/>
                <w:bCs/>
                <w:color w:val="000000"/>
                <w:sz w:val="24"/>
                <w:szCs w:val="24"/>
                <w:highlight w:val="none"/>
                <w:lang w:val="en-US" w:eastAsia="zh-CN"/>
              </w:rPr>
            </w:r>
            <w:r/>
          </w:p>
        </w:tc>
        <w:tc>
          <w:tcPr>
            <w:tcMar>
              <w:left w:w="108" w:type="dxa"/>
              <w:top w:w="0" w:type="dxa"/>
              <w:right w:w="108" w:type="dxa"/>
              <w:bottom w:w="0" w:type="dxa"/>
            </w:tcMar>
            <w:tcW w:w="515"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rPr>
              <w:t xml:space="preserve">“医用喷涂电解钢板”检测报告</w:t>
            </w:r>
            <w:r>
              <w:rPr>
                <w:rFonts w:ascii="宋体" w:hAnsi="宋体" w:eastAsia="宋体" w:cs="宋体"/>
                <w:b w:val="0"/>
                <w:bCs w:val="0"/>
                <w:color w:val="000000"/>
                <w:sz w:val="24"/>
                <w:szCs w:val="24"/>
                <w:highlight w:val="none"/>
                <w:lang w:val="en-US" w:eastAsia="zh-CN" w:bidi="ar-SA"/>
              </w:rPr>
            </w:r>
            <w:r/>
          </w:p>
        </w:tc>
        <w:tc>
          <w:tcPr>
            <w:tcMar>
              <w:left w:w="108" w:type="dxa"/>
              <w:top w:w="0" w:type="dxa"/>
              <w:right w:w="108" w:type="dxa"/>
              <w:bottom w:w="0" w:type="dxa"/>
            </w:tcMar>
            <w:tcW w:w="6184" w:type="dxa"/>
            <w:vAlign w:val="center"/>
            <w:textDirection w:val="lrTb"/>
            <w:noWrap w:val="false"/>
          </w:tcPr>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投标人提供所投产品中使用的“医用喷涂电解钢板”的检测报告。</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1）检测机构须具备CMA资质；</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2）检测内容须包含：①产品外观（喷涂层）、②产品表面涂层理化性能、③乙酸盐雾试验、④中性盐雾试验；</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3）检测结果均合格。</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得分规则：以上检测内容齐全且结果合格的得3分；缺项或任何一项不合格的不得分。</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cs="宋体"/>
                <w:color w:val="000000"/>
                <w:sz w:val="21"/>
                <w:szCs w:val="21"/>
                <w:highlight w:val="none"/>
                <w:lang w:val="en-US" w:eastAsia="zh-CN" w:bidi="ar"/>
              </w:rPr>
              <w:outlineLvl w:val="9"/>
            </w:pPr>
            <w:r>
              <w:rPr>
                <w:rFonts w:hint="eastAsia" w:ascii="宋体" w:hAnsi="宋体" w:eastAsia="宋体" w:cs="宋体"/>
                <w:b/>
                <w:bCs/>
                <w:color w:val="000000"/>
                <w:sz w:val="24"/>
                <w:szCs w:val="24"/>
                <w:highlight w:val="none"/>
                <w:lang w:val="en-US" w:eastAsia="zh-CN"/>
              </w:rPr>
              <w:t xml:space="preserve">注：投标文件中提供国家认可的检测机构出具的合格抽样检测报告（具有CMA标识、检测报告中产品材质须与本次投标产品材质一致、报告中受检单位须为投标人或产品制造商）加盖投标人公章，否则不得分。</w:t>
            </w:r>
            <w:r>
              <w:rPr>
                <w:rFonts w:hint="eastAsia" w:ascii="宋体" w:hAnsi="宋体" w:cs="宋体"/>
                <w:color w:val="000000"/>
                <w:sz w:val="21"/>
                <w:szCs w:val="21"/>
                <w:highlight w:val="none"/>
                <w:lang w:val="en-US" w:eastAsia="zh-CN" w:bidi="ar"/>
              </w:rPr>
            </w:r>
            <w:r/>
          </w:p>
        </w:tc>
        <w:tc>
          <w:tcPr>
            <w:tcMar>
              <w:left w:w="108" w:type="dxa"/>
              <w:top w:w="0" w:type="dxa"/>
              <w:right w:w="108" w:type="dxa"/>
              <w:bottom w:w="0" w:type="dxa"/>
            </w:tcMar>
            <w:tcW w:w="515"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hint="eastAsia" w:ascii="宋体" w:hAnsi="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“理化板”检测报告</w:t>
            </w:r>
            <w:r>
              <w:rPr>
                <w:rFonts w:hint="eastAsia" w:ascii="宋体" w:hAnsi="宋体" w:cs="宋体"/>
                <w:b w:val="0"/>
                <w:bCs w:val="0"/>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投标人提供所投产品中使用的“理化板”的检测报告。</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1）检测机构须具备CMA资质；</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2）检测内容须包含：①重金属含量、②甲醛释放量、③挥发性有机化合物（72h）、④表面胶合强度；</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3）检测结果均符合国家标准。</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得分规则：以上检测内容齐全且结果合格的得3分；缺项或任何一项不合格的不得分。</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注：投标文件中提供国家认可的检测机构出具的合格抽样检测报告（具有CMA标识、检测报告中产品材质须与本次投标产品材质一致、报告中受检单位须为投标人或产品制造商）加盖投标人公章，否则不得分。</w:t>
            </w:r>
            <w:r>
              <w:rPr>
                <w:rFonts w:hint="eastAsia" w:ascii="宋体" w:hAnsi="宋体" w:eastAsia="宋体" w:cs="宋体"/>
                <w:b/>
                <w:bCs/>
                <w:color w:val="000000"/>
                <w:sz w:val="24"/>
                <w:szCs w:val="24"/>
                <w:highlight w:val="none"/>
                <w:lang w:val="en-US" w:eastAsia="zh-CN"/>
              </w:rPr>
            </w:r>
            <w:r/>
          </w:p>
        </w:tc>
        <w:tc>
          <w:tcPr>
            <w:tcMar>
              <w:left w:w="108" w:type="dxa"/>
              <w:top w:w="0" w:type="dxa"/>
              <w:right w:w="108" w:type="dxa"/>
              <w:bottom w:w="0" w:type="dxa"/>
            </w:tcMar>
            <w:tcW w:w="515"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hint="eastAsia" w:ascii="宋体" w:hAnsi="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“刨花板”检测报告</w:t>
            </w:r>
            <w:r>
              <w:rPr>
                <w:rFonts w:hint="eastAsia" w:ascii="宋体" w:hAnsi="宋体" w:cs="宋体"/>
                <w:b w:val="0"/>
                <w:bCs w:val="0"/>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投标人提供所投产品中使用的“刨花板”的检测报告。</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1）检测机构须具备CMA资质；</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2）检测内容须包含：①甲醛释放量、②苯、甲苯、二甲苯及总挥发性有机化合物(TVOC)；</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3）检测结果均符合国家标准。</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得分规则：以上检测内容齐全且结果合格的得3分；缺项或任何一项不合格的不得分。</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cs="宋体"/>
                <w:color w:val="000000"/>
                <w:sz w:val="21"/>
                <w:szCs w:val="21"/>
                <w:highlight w:val="none"/>
                <w:lang w:val="en-US" w:eastAsia="zh-CN" w:bidi="ar"/>
              </w:rPr>
              <w:outlineLvl w:val="9"/>
            </w:pPr>
            <w:r>
              <w:rPr>
                <w:rFonts w:hint="eastAsia" w:ascii="宋体" w:hAnsi="宋体" w:eastAsia="宋体" w:cs="宋体"/>
                <w:b/>
                <w:bCs/>
                <w:color w:val="000000"/>
                <w:sz w:val="24"/>
                <w:szCs w:val="24"/>
                <w:highlight w:val="none"/>
                <w:lang w:val="en-US" w:eastAsia="zh-CN"/>
              </w:rPr>
              <w:t xml:space="preserve">注：投标文件中提供国家认可的检测机构出具的合格抽样检测报告（具有CMA标识、检测报告中产品材质须与本次投标产品材质一致、报告中受检单位须为投标人或产品制造商）加盖投标人公章，否则不得分。</w:t>
            </w:r>
            <w:r>
              <w:rPr>
                <w:rFonts w:hint="eastAsia" w:ascii="宋体" w:hAnsi="宋体" w:cs="宋体"/>
                <w:color w:val="000000"/>
                <w:sz w:val="21"/>
                <w:szCs w:val="21"/>
                <w:highlight w:val="none"/>
                <w:lang w:val="en-US" w:eastAsia="zh-CN" w:bidi="ar"/>
              </w:rPr>
            </w:r>
            <w:r/>
          </w:p>
        </w:tc>
        <w:tc>
          <w:tcPr>
            <w:tcMar>
              <w:left w:w="108" w:type="dxa"/>
              <w:top w:w="0" w:type="dxa"/>
              <w:right w:w="108" w:type="dxa"/>
              <w:bottom w:w="0" w:type="dxa"/>
            </w:tcMar>
            <w:tcW w:w="515"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1160"/>
              <w:jc w:val="both"/>
              <w:keepLines w:val="0"/>
              <w:keepNext w:val="0"/>
              <w:pageBreakBefore w:val="0"/>
              <w:spacing w:line="360" w:lineRule="auto"/>
              <w:widowControl w:val="off"/>
              <w:tabs>
                <w:tab w:val="left" w:pos="426"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"304不锈钢门轴合页”检测报告</w:t>
            </w:r>
            <w:r>
              <w:rPr>
                <w:rFonts w:hint="eastAsia" w:ascii="宋体" w:hAnsi="宋体" w:eastAsia="宋体" w:cs="宋体"/>
                <w:b w:val="0"/>
                <w:bCs w:val="0"/>
                <w:color w:val="000000"/>
                <w:sz w:val="24"/>
                <w:szCs w:val="24"/>
                <w:highlight w:val="none"/>
                <w:lang w:val="en-US" w:eastAsia="zh-CN"/>
              </w:rPr>
            </w:r>
            <w:r/>
          </w:p>
          <w:p>
            <w:pPr>
              <w:pStyle w:val="1160"/>
              <w:jc w:val="center"/>
              <w:keepLines w:val="0"/>
              <w:keepNext w:val="0"/>
              <w:pageBreakBefore w:val="0"/>
              <w:spacing w:line="360" w:lineRule="auto"/>
              <w:widowControl w:val="off"/>
              <w:tabs>
                <w:tab w:val="left" w:pos="426" w:leader="none"/>
              </w:tabs>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投标人提供所投产品中使用的"304不锈钢门轴合页”的检测报告。</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1）检测机构须具备CMA资质；</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2）检测内容须包含：①耐腐蚀性、②耐久性、③产品有害物质、④乙酸盐雾试验（ASS法）；</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3）检测结果均合格。</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得分规则：以上检测内容齐全且结果合格的得3分；缺项或任何一项不合格的不得分。 </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注：投标文件中提供国家认可的检测机构出具的合格抽样检测报告（具有CMA标识、检测报告中产品材质须与本次投标产品材质一致、报告中受检单位须为投标人或产品制造商）加盖投标人公章，否则不得分。</w:t>
            </w:r>
            <w:r>
              <w:rPr>
                <w:rFonts w:hint="eastAsia" w:ascii="宋体" w:hAnsi="宋体" w:eastAsia="宋体" w:cs="宋体"/>
                <w:b/>
                <w:bCs/>
                <w:color w:val="000000"/>
                <w:sz w:val="24"/>
                <w:szCs w:val="24"/>
                <w:highlight w:val="none"/>
                <w:lang w:val="en-US" w:eastAsia="zh-CN"/>
              </w:rPr>
            </w:r>
            <w:r/>
          </w:p>
        </w:tc>
        <w:tc>
          <w:tcPr>
            <w:tcMar>
              <w:left w:w="108" w:type="dxa"/>
              <w:top w:w="0" w:type="dxa"/>
              <w:right w:w="108" w:type="dxa"/>
              <w:bottom w:w="0" w:type="dxa"/>
            </w:tcMar>
            <w:tcW w:w="515"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hint="eastAsia" w:ascii="宋体" w:hAnsi="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成品家具“会议椅”检测报告</w:t>
            </w:r>
            <w:r>
              <w:rPr>
                <w:rFonts w:hint="eastAsia" w:ascii="宋体" w:hAnsi="宋体" w:cs="宋体"/>
                <w:b w:val="0"/>
                <w:bCs w:val="0"/>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投标人提供所投成品家具“</w:t>
            </w:r>
            <w:r>
              <w:rPr>
                <w:rFonts w:hint="eastAsia" w:ascii="宋体" w:hAnsi="宋体" w:eastAsia="宋体" w:cs="宋体"/>
                <w:b w:val="0"/>
                <w:bCs w:val="0"/>
                <w:color w:val="000000"/>
                <w:sz w:val="24"/>
                <w:szCs w:val="24"/>
                <w:highlight w:val="none"/>
                <w:lang w:val="en-US" w:eastAsia="zh-CN"/>
              </w:rPr>
              <w:t xml:space="preserve">会议椅”的检测</w:t>
            </w:r>
            <w:r>
              <w:rPr>
                <w:rFonts w:hint="eastAsia" w:ascii="宋体" w:hAnsi="宋体" w:eastAsia="宋体" w:cs="宋体"/>
                <w:color w:val="000000"/>
                <w:sz w:val="24"/>
                <w:szCs w:val="24"/>
                <w:highlight w:val="none"/>
                <w:lang w:val="en-US" w:eastAsia="zh-CN"/>
              </w:rPr>
              <w:t xml:space="preserve">报告。</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1）检测机构须具备CMA资质；</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2）检测内容须包含：①塑料件外观、②涂层和镀层、③稳定性、④甲醛释放量；</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3）检测结果均符合国家标准。</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得分规则：以上检测内容齐全且结果合格的得3分；缺项或任何一项不合格的不得分。</w:t>
            </w:r>
            <w:r>
              <w:rPr>
                <w:rFonts w:hint="eastAsia" w:ascii="宋体" w:hAnsi="宋体" w:eastAsia="宋体" w:cs="宋体"/>
                <w:color w:val="000000"/>
                <w:sz w:val="24"/>
                <w:szCs w:val="24"/>
                <w:highlight w:val="none"/>
                <w:lang w:val="en-US" w:eastAsia="zh-CN"/>
              </w:rPr>
            </w:r>
            <w:r/>
          </w:p>
          <w:p>
            <w:pPr>
              <w:pStyle w:val="1160"/>
              <w:jc w:val="both"/>
              <w:keepLines w:val="0"/>
              <w:keepNext w:val="0"/>
              <w:pageBreakBefore w:val="0"/>
              <w:spacing w:line="360" w:lineRule="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注：投标文件中提供国家认可的检测机构出具的合格抽样检测报告（具有CMA标识、检测报告中产品材质须与本次投标产品材质一致、报告中受检单位须为投标人或产品制造商）加盖投标人公章，否则不得分。</w:t>
            </w:r>
            <w:r>
              <w:rPr>
                <w:rFonts w:hint="eastAsia" w:ascii="宋体" w:hAnsi="宋体" w:eastAsia="宋体" w:cs="宋体"/>
                <w:b/>
                <w:bCs/>
                <w:color w:val="000000"/>
                <w:sz w:val="24"/>
                <w:szCs w:val="24"/>
                <w:highlight w:val="none"/>
                <w:lang w:val="en-US" w:eastAsia="zh-CN"/>
              </w:rPr>
            </w:r>
            <w:r/>
          </w:p>
        </w:tc>
        <w:tc>
          <w:tcPr>
            <w:tcMar>
              <w:left w:w="108" w:type="dxa"/>
              <w:top w:w="0" w:type="dxa"/>
              <w:right w:w="108" w:type="dxa"/>
              <w:bottom w:w="0" w:type="dxa"/>
            </w:tcMar>
            <w:tcW w:w="515"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承诺函</w:t>
            </w:r>
            <w:r>
              <w:rPr>
                <w:rFonts w:ascii="宋体" w:hAnsi="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1160"/>
              <w:numPr>
                <w:ilvl w:val="0"/>
                <w:numId w:val="0"/>
              </w:numPr>
              <w:jc w:val="both"/>
              <w:keepLines w:val="0"/>
              <w:keepNext w:val="0"/>
              <w:pageBreakBefore w:val="0"/>
              <w:spacing w:line="360" w:lineRule="auto"/>
              <w:widowControl w:val="off"/>
              <w:tabs>
                <w:tab w:val="left" w:pos="426"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1.投标人承诺保修期在采购文件要求（3年保修）的基础上，每延长一年得1分，最高得2分，未提供不得分。</w:t>
            </w:r>
            <w:r>
              <w:rPr>
                <w:rFonts w:hint="eastAsia" w:ascii="宋体" w:hAnsi="宋体" w:eastAsia="宋体" w:cs="宋体"/>
                <w:b w:val="0"/>
                <w:bCs w:val="0"/>
                <w:color w:val="000000"/>
                <w:sz w:val="24"/>
                <w:szCs w:val="24"/>
                <w:highlight w:val="none"/>
                <w:lang w:val="en-US" w:eastAsia="zh-CN"/>
              </w:rPr>
            </w:r>
            <w:r/>
          </w:p>
          <w:p>
            <w:pPr>
              <w:pStyle w:val="1160"/>
              <w:numPr>
                <w:ilvl w:val="0"/>
                <w:numId w:val="0"/>
              </w:numPr>
              <w:jc w:val="both"/>
              <w:keepLines w:val="0"/>
              <w:keepNext w:val="0"/>
              <w:pageBreakBefore w:val="0"/>
              <w:spacing w:line="360" w:lineRule="auto"/>
              <w:widowControl w:val="off"/>
              <w:tabs>
                <w:tab w:val="left" w:pos="426" w:leader="none"/>
              </w:tabs>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2.承诺</w:t>
            </w:r>
            <w:r>
              <w:rPr>
                <w:rFonts w:hint="eastAsia" w:ascii="宋体" w:hAnsi="宋体" w:eastAsia="宋体" w:cs="宋体"/>
                <w:b w:val="0"/>
                <w:bCs w:val="0"/>
                <w:color w:val="000000"/>
                <w:sz w:val="24"/>
                <w:szCs w:val="24"/>
                <w:highlight w:val="none"/>
                <w:lang w:val="en-US" w:eastAsia="zh-CN"/>
              </w:rPr>
              <w:t xml:space="preserve">保修</w:t>
            </w:r>
            <w:r>
              <w:rPr>
                <w:rFonts w:hint="eastAsia" w:ascii="宋体" w:hAnsi="宋体" w:eastAsia="宋体" w:cs="宋体"/>
                <w:b w:val="0"/>
                <w:bCs w:val="0"/>
                <w:color w:val="000000"/>
                <w:sz w:val="24"/>
                <w:szCs w:val="24"/>
                <w:highlight w:val="none"/>
                <w:lang w:val="en-US" w:eastAsia="zh-CN"/>
              </w:rPr>
              <w:t xml:space="preserve">期满后的服务只收取材料费不收取人工费的，得2分，未提供不得分。</w:t>
            </w:r>
            <w:r>
              <w:rPr>
                <w:rFonts w:hint="eastAsia" w:ascii="宋体" w:hAnsi="宋体" w:eastAsia="宋体" w:cs="宋体"/>
                <w:b w:val="0"/>
                <w:bCs w:val="0"/>
                <w:color w:val="000000"/>
                <w:sz w:val="24"/>
                <w:szCs w:val="24"/>
                <w:highlight w:val="none"/>
                <w:lang w:val="en-US" w:eastAsia="zh-CN"/>
              </w:rPr>
            </w:r>
            <w:r/>
          </w:p>
          <w:p>
            <w:pPr>
              <w:pStyle w:val="1160"/>
              <w:numPr>
                <w:ilvl w:val="0"/>
                <w:numId w:val="0"/>
              </w:numPr>
              <w:jc w:val="both"/>
              <w:keepLines w:val="0"/>
              <w:keepNext w:val="0"/>
              <w:pageBreakBefore w:val="0"/>
              <w:spacing w:line="360" w:lineRule="auto"/>
              <w:widowControl w:val="off"/>
              <w:tabs>
                <w:tab w:val="left" w:pos="426" w:leader="none"/>
              </w:tabs>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注：投标文件中提供承诺函原件加盖投标人公章，否则不得分。</w:t>
            </w:r>
            <w:r>
              <w:rPr>
                <w:rFonts w:ascii="宋体" w:hAnsi="宋体" w:eastAsia="宋体" w:cs="宋体"/>
                <w:b/>
                <w:bCs/>
                <w:color w:val="000000"/>
                <w:sz w:val="24"/>
                <w:szCs w:val="24"/>
                <w:highlight w:val="none"/>
                <w:lang w:val="en-US" w:eastAsia="zh-CN"/>
              </w:rPr>
            </w:r>
            <w:r/>
          </w:p>
        </w:tc>
        <w:tc>
          <w:tcPr>
            <w:tcMar>
              <w:left w:w="108" w:type="dxa"/>
              <w:top w:w="0" w:type="dxa"/>
              <w:right w:w="108" w:type="dxa"/>
              <w:bottom w:w="0" w:type="dxa"/>
            </w:tcMar>
            <w:tcW w:w="515"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r>
      <w:tr>
        <w:trPr>
          <w:trHeight w:val="454"/>
        </w:trPr>
        <w:tc>
          <w:tcPr>
            <w:tcMar>
              <w:left w:w="108" w:type="dxa"/>
              <w:top w:w="0" w:type="dxa"/>
              <w:right w:w="108" w:type="dxa"/>
              <w:bottom w:w="0" w:type="dxa"/>
            </w:tcMar>
            <w:tcW w:w="577"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eastAsia="zh-CN"/>
              </w:rPr>
            </w:r>
            <w:r/>
          </w:p>
        </w:tc>
        <w:tc>
          <w:tcPr>
            <w:tcMar>
              <w:left w:w="108" w:type="dxa"/>
              <w:top w:w="0" w:type="dxa"/>
              <w:right w:w="108" w:type="dxa"/>
              <w:bottom w:w="0" w:type="dxa"/>
            </w:tcMar>
            <w:tcW w:w="1246"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hint="eastAsia" w:ascii="宋体" w:hAnsi="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政府采购政策功能性</w:t>
            </w:r>
            <w:r>
              <w:rPr>
                <w:rFonts w:hint="eastAsia" w:ascii="宋体" w:hAnsi="宋体" w:cs="宋体"/>
                <w:color w:val="000000"/>
                <w:sz w:val="24"/>
                <w:szCs w:val="24"/>
                <w:highlight w:val="none"/>
                <w:lang w:val="en-US" w:eastAsia="zh-CN"/>
              </w:rPr>
            </w:r>
            <w:r/>
          </w:p>
        </w:tc>
        <w:tc>
          <w:tcPr>
            <w:tcMar>
              <w:left w:w="108" w:type="dxa"/>
              <w:top w:w="0" w:type="dxa"/>
              <w:right w:w="108" w:type="dxa"/>
              <w:bottom w:w="0" w:type="dxa"/>
            </w:tcMar>
            <w:tcW w:w="6184" w:type="dxa"/>
            <w:vAlign w:val="center"/>
            <w:textDirection w:val="lrTb"/>
            <w:noWrap w:val="false"/>
          </w:tcPr>
          <w:p>
            <w:pPr>
              <w:pStyle w:val="1160"/>
              <w:jc w:val="both"/>
              <w:keepLines w:val="0"/>
              <w:keepNext w:val="0"/>
              <w:pageBreakBefore w:val="0"/>
              <w:spacing w:line="360" w:lineRule="exact"/>
              <w:widowControl w:val="off"/>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投标产品属于财政部、生态环境部公布的“环境标志产品品目清单”范围内的，投标人或所投产品制造商提供国家确定的认证机构出具的、处于有效期内的该环境标志产品认证证书的，有一个得1分，最</w:t>
            </w:r>
            <w:r>
              <w:rPr>
                <w:rFonts w:hint="eastAsia" w:ascii="宋体" w:hAnsi="宋体" w:eastAsia="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lang w:val="en-US" w:eastAsia="zh-CN"/>
              </w:rPr>
            </w:r>
            <w:r/>
          </w:p>
          <w:p>
            <w:pPr>
              <w:pStyle w:val="1160"/>
              <w:numPr>
                <w:ilvl w:val="0"/>
                <w:numId w:val="0"/>
              </w:numPr>
              <w:jc w:val="both"/>
              <w:keepLines w:val="0"/>
              <w:keepNext w:val="0"/>
              <w:pageBreakBefore w:val="0"/>
              <w:spacing w:line="360" w:lineRule="auto"/>
              <w:widowControl w:val="off"/>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注：投标文件中提供证书加盖投标人公章，否则不得分。</w:t>
            </w:r>
            <w:r>
              <w:rPr>
                <w:rFonts w:hint="eastAsia" w:ascii="宋体" w:hAnsi="宋体" w:eastAsia="宋体" w:cs="宋体"/>
                <w:b/>
                <w:bCs/>
                <w:color w:val="000000"/>
                <w:sz w:val="24"/>
                <w:szCs w:val="24"/>
                <w:highlight w:val="none"/>
                <w:lang w:val="en-US" w:eastAsia="zh-CN"/>
              </w:rPr>
            </w:r>
            <w:r/>
          </w:p>
        </w:tc>
        <w:tc>
          <w:tcPr>
            <w:tcMar>
              <w:left w:w="108" w:type="dxa"/>
              <w:top w:w="0" w:type="dxa"/>
              <w:right w:w="108" w:type="dxa"/>
              <w:bottom w:w="0" w:type="dxa"/>
            </w:tcMar>
            <w:tcW w:w="515" w:type="dxa"/>
            <w:vAlign w:val="center"/>
            <w:textDirection w:val="lrTb"/>
            <w:noWrap w:val="false"/>
          </w:tcPr>
          <w:p>
            <w:pPr>
              <w:pStyle w:val="1160"/>
              <w:jc w:val="center"/>
              <w:keepLines w:val="0"/>
              <w:keepNext w:val="0"/>
              <w:pageBreakBefore w:val="0"/>
              <w:spacing w:line="360" w:lineRule="auto"/>
              <w:widowControl w:val="off"/>
              <w:tabs>
                <w:tab w:val="left" w:pos="426"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r>
    </w:tbl>
    <w:p>
      <w:pPr>
        <w:pStyle w:val="1160"/>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注:1.评分细则中要求提供的证明文件及资料等在投标文件中提供并加盖公章，否则不得分。</w:t>
      </w:r>
      <w:r>
        <w:rPr>
          <w:rFonts w:hint="eastAsia" w:ascii="宋体" w:hAnsi="宋体" w:eastAsia="宋体" w:cs="宋体"/>
          <w:bCs/>
          <w:color w:val="000000"/>
          <w:sz w:val="24"/>
          <w:szCs w:val="24"/>
          <w:highlight w:val="none"/>
          <w:lang w:val="en-US" w:eastAsia="zh-CN"/>
        </w:rPr>
      </w:r>
      <w:r/>
    </w:p>
    <w:p>
      <w:pPr>
        <w:pStyle w:val="1160"/>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Cs/>
          <w:color w:val="000000"/>
          <w:sz w:val="24"/>
          <w:szCs w:val="24"/>
          <w:highlight w:val="none"/>
          <w:lang w:val="en-US" w:eastAsia="zh-CN"/>
        </w:rPr>
        <w:t xml:space="preserve">2.评审时，未能按以上要求提供相应证明的，不作为评审依据，不得分。</w:t>
      </w:r>
      <w:r>
        <w:rPr>
          <w:rFonts w:hint="eastAsia" w:ascii="宋体" w:hAnsi="宋体" w:eastAsia="宋体" w:cs="宋体"/>
          <w:bCs/>
          <w:color w:val="000000"/>
          <w:sz w:val="24"/>
          <w:szCs w:val="24"/>
          <w:highlight w:val="none"/>
          <w:lang w:val="en-US" w:eastAsia="zh-CN"/>
        </w:rPr>
      </w:r>
      <w:r/>
    </w:p>
    <w:p>
      <w:pPr>
        <w:pStyle w:val="1160"/>
        <w:jc w:val="center"/>
        <w:spacing w:line="360" w:lineRule="auto"/>
        <w:shd w:val="clear" w:color="auto" w:fill="auto"/>
        <w:rPr>
          <w:b/>
          <w:color w:val="000000"/>
          <w:sz w:val="36"/>
          <w:szCs w:val="36"/>
          <w:highlight w:val="none"/>
        </w:rPr>
        <w:outlineLvl w:val="0"/>
      </w:pPr>
      <w:r>
        <w:rPr>
          <w:b/>
          <w:color w:val="000000"/>
          <w:sz w:val="36"/>
          <w:szCs w:val="36"/>
          <w:highlight w:val="none"/>
        </w:rPr>
        <w:t xml:space="preserve">第五章   采购需求</w:t>
      </w:r>
      <w:bookmarkEnd w:id="714"/>
      <w:r>
        <w:rPr>
          <w:b/>
          <w:color w:val="000000"/>
          <w:sz w:val="36"/>
          <w:szCs w:val="36"/>
          <w:highlight w:val="none"/>
        </w:rPr>
      </w:r>
      <w:r/>
    </w:p>
    <w:p>
      <w:pPr>
        <w:pStyle w:val="1160"/>
        <w:contextualSpacing/>
        <w:keepLines w:val="0"/>
        <w:keepNext w:val="0"/>
        <w:pageBreakBefore w:val="0"/>
        <w:spacing w:line="360" w:lineRule="auto"/>
        <w:shd w:val="clear" w:color="auto" w:fill="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一、采购清单</w:t>
      </w:r>
      <w:r>
        <w:rPr>
          <w:rFonts w:hint="eastAsia" w:ascii="宋体" w:hAnsi="宋体" w:eastAsia="宋体" w:cs="宋体"/>
          <w:b/>
          <w:bCs w:val="0"/>
          <w:color w:val="000000"/>
          <w:sz w:val="24"/>
          <w:szCs w:val="24"/>
          <w:highlight w:val="none"/>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
        <w:gridCol w:w="638"/>
        <w:gridCol w:w="1586"/>
        <w:gridCol w:w="1476"/>
        <w:gridCol w:w="3118"/>
        <w:gridCol w:w="638"/>
        <w:gridCol w:w="638"/>
      </w:tblGrid>
      <w:tr>
        <w:trPr>
          <w:trHeight w:val="860"/>
        </w:trPr>
        <w:tc>
          <w:tcPr>
            <w:tcW w:w="249"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374" w:type="dxa"/>
            <w:vAlign w:val="center"/>
            <w:textDirection w:val="lrTb"/>
            <w:noWrap/>
          </w:tcPr>
          <w:p>
            <w:pPr>
              <w:pStyle w:val="1160"/>
              <w:jc w:val="center"/>
              <w:keepLines w:val="0"/>
              <w:keepNext w:val="0"/>
              <w:pageBreakBefore w:val="0"/>
              <w:spacing w:line="360" w:lineRule="auto"/>
              <w:widowControl/>
              <w:rPr>
                <w:rFonts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标的名称</w:t>
            </w:r>
            <w:r>
              <w:rPr>
                <w:rFonts w:ascii="宋体" w:hAnsi="宋体" w:eastAsia="宋体" w:cs="宋体"/>
                <w:b/>
                <w:bCs/>
                <w:i w:val="0"/>
                <w:iCs w:val="0"/>
                <w:color w:val="000000"/>
                <w:sz w:val="24"/>
                <w:szCs w:val="24"/>
                <w:highlight w:val="none"/>
                <w:u w:val="none"/>
                <w:lang w:val="en-US"/>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产品图片</w:t>
            </w:r>
            <w:r>
              <w:rPr>
                <w:rFonts w:hint="eastAsia" w:ascii="宋体" w:hAnsi="宋体" w:eastAsia="宋体" w:cs="宋体"/>
                <w:b/>
                <w:bCs/>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规格（mm）</w:t>
            </w:r>
            <w:r>
              <w:rPr>
                <w:rFonts w:hint="eastAsia" w:ascii="宋体" w:hAnsi="宋体" w:eastAsia="宋体" w:cs="宋体"/>
                <w:b/>
                <w:bCs/>
                <w:i w:val="0"/>
                <w:iCs w:val="0"/>
                <w:color w:val="000000"/>
                <w:sz w:val="24"/>
                <w:szCs w:val="24"/>
                <w:highlight w:val="none"/>
                <w:u w:val="none"/>
              </w:rPr>
            </w:r>
            <w:r/>
          </w:p>
        </w:tc>
        <w:tc>
          <w:tcPr>
            <w:tcW w:w="18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材质说明</w:t>
            </w:r>
            <w:r>
              <w:rPr>
                <w:rFonts w:hint="eastAsia" w:ascii="宋体" w:hAnsi="宋体" w:eastAsia="宋体" w:cs="宋体"/>
                <w:b/>
                <w:bCs/>
                <w:i w:val="0"/>
                <w:iCs w:val="0"/>
                <w:color w:val="000000"/>
                <w:sz w:val="24"/>
                <w:szCs w:val="24"/>
                <w:highlight w:val="none"/>
                <w:u w:val="none"/>
              </w:rPr>
            </w:r>
            <w:r/>
          </w:p>
        </w:tc>
        <w:tc>
          <w:tcPr>
            <w:tcW w:w="374"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374"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r>
      <w:tr>
        <w:trPr>
          <w:trHeight w:val="374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四人排椅</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901709" cy="109346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901709" cy="1093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1.0pt;height:86.1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2372*640*840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1、座板：座板内部支撑五金架:1.5冷轧钢板成型,外包环保聚氨酯（PU）A/B聚醚发泡成型；                                                                                      2、横梁：90*80*1.5冷轧定型钢管；                                                                       3、扶手脚：采用1.0鞍钢冷轧钢板制作。</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r>
      <w:tr>
        <w:trPr>
          <w:trHeight w:val="360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五人排椅</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901709" cy="109346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901709" cy="1093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1.0pt;height:86.1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2944*640*840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1、座板：座板内部支撑五金架:1.5冷轧钢板成型,外包环保聚氨酯（PU）A/B聚醚发泡成型；                                                                                      2、横梁：90*80*1.5冷轧定型钢管；                                                                       3、扶手脚：采用1.0鞍钢冷轧钢板制作。</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r>
      <w:tr>
        <w:trPr>
          <w:trHeight w:val="9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三人排椅</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901709" cy="109346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01709" cy="1093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1.0pt;height:86.1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1800*640*840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1、座板：座板内部支撑五金架:1.5冷轧钢板成型,外包环保聚氨酯（PU）A/B聚醚发泡成型；                                                                                      2、横梁：90*80*1.5冷轧定型钢管；                                                                       3、扶手脚：采用1.0鞍钢冷轧钢板制作。</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1515"/>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单人输液椅</w:t>
            </w:r>
            <w:r>
              <w:rPr>
                <w:rFonts w:hint="eastAsia" w:ascii="宋体" w:hAnsi="宋体" w:eastAsia="宋体" w:cs="宋体"/>
                <w:i w:val="0"/>
                <w:iCs w:val="0"/>
                <w:color w:val="000000"/>
                <w:sz w:val="24"/>
                <w:szCs w:val="24"/>
                <w:highlight w:val="none"/>
                <w:u w:val="none"/>
              </w:rPr>
            </w:r>
            <w:r/>
          </w:p>
        </w:tc>
        <w:tc>
          <w:tcPr>
            <w:shd w:val="clear" w:color="auto" w:fill="ffffff"/>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42" behindDoc="1" locked="0" layoutInCell="1" allowOverlap="1">
                      <wp:simplePos x="0" y="0"/>
                      <wp:positionH relativeFrom="column">
                        <wp:posOffset>-45084</wp:posOffset>
                      </wp:positionH>
                      <wp:positionV relativeFrom="paragraph">
                        <wp:posOffset>3060065</wp:posOffset>
                      </wp:positionV>
                      <wp:extent cx="1187450" cy="1160780"/>
                      <wp:effectExtent l="0" t="0" r="0" b="0"/>
                      <wp:wrapTight wrapText="bothSides">
                        <wp:wrapPolygon edited="1">
                          <wp:start x="21591" y="-2"/>
                          <wp:lineTo x="0" y="0"/>
                          <wp:lineTo x="0" y="21599"/>
                          <wp:lineTo x="21591" y="21601"/>
                          <wp:lineTo x="8" y="21601"/>
                          <wp:lineTo x="21599" y="21599"/>
                          <wp:lineTo x="21599" y="0"/>
                          <wp:lineTo x="8" y="-2"/>
                          <wp:lineTo x="21591" y="-2"/>
                        </wp:wrapPolygon>
                      </wp:wrapTight>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187450" cy="1160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0609642;o:allowoverlap:true;o:allowincell:true;mso-position-horizontal-relative:text;margin-left:-3.5pt;mso-position-horizontal:absolute;mso-position-vertical-relative:text;margin-top:240.9pt;mso-position-vertical:absolute;width:93.5pt;height:91.4pt;mso-wrap-distance-left:9.0pt;mso-wrap-distance-top:0.0pt;mso-wrap-distance-right:9.0pt;mso-wrap-distance-bottom:0.0pt;" wrapcoords="99958 -8 0 0 0 99995 99958 100005 37 100005 99995 99995 99995 0 37 -8 99958 -8" stroked="f">
                      <v:path textboxrect="0,0,0,0"/>
                      <w10:wrap type="tight"/>
                      <v:imagedata r:id="rId28" o:title=""/>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41" behindDoc="1" locked="0" layoutInCell="1" allowOverlap="1">
                      <wp:simplePos x="0" y="0"/>
                      <wp:positionH relativeFrom="column">
                        <wp:posOffset>140335</wp:posOffset>
                      </wp:positionH>
                      <wp:positionV relativeFrom="paragraph">
                        <wp:posOffset>1099185</wp:posOffset>
                      </wp:positionV>
                      <wp:extent cx="600075" cy="1478280"/>
                      <wp:effectExtent l="0" t="0" r="0" b="0"/>
                      <wp:wrapTight wrapText="bothSides">
                        <wp:wrapPolygon edited="1">
                          <wp:start x="21591" y="-2"/>
                          <wp:lineTo x="0" y="0"/>
                          <wp:lineTo x="0" y="21600"/>
                          <wp:lineTo x="21591" y="21602"/>
                          <wp:lineTo x="8" y="21602"/>
                          <wp:lineTo x="21599" y="21600"/>
                          <wp:lineTo x="21599" y="0"/>
                          <wp:lineTo x="8" y="-2"/>
                          <wp:lineTo x="21591" y="-2"/>
                        </wp:wrapPolygon>
                      </wp:wrapTight>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600075" cy="1478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0609641;o:allowoverlap:true;o:allowincell:true;mso-position-horizontal-relative:text;margin-left:11.0pt;mso-position-horizontal:absolute;mso-position-vertical-relative:text;margin-top:86.5pt;mso-position-vertical:absolute;width:47.2pt;height:116.4pt;mso-wrap-distance-left:9.0pt;mso-wrap-distance-top:0.0pt;mso-wrap-distance-right:9.0pt;mso-wrap-distance-bottom:0.0pt;" wrapcoords="99958 -8 0 0 0 100000 99958 100009 37 100009 99995 100000 99995 0 37 -8 99958 -8" stroked="f">
                      <v:path textboxrect="0,0,0,0"/>
                      <w10:wrap type="tight"/>
                      <v:imagedata r:id="rId29" o:title=""/>
                    </v:shape>
                  </w:pict>
                </mc:Fallback>
              </mc:AlternateContent>
            </w:r>
            <w:r>
              <w:rPr>
                <w:rFonts w:hint="eastAsia" w:ascii="宋体" w:hAnsi="宋体" w:eastAsia="宋体" w:cs="宋体"/>
                <w:i w:val="0"/>
                <w:iCs w:val="0"/>
                <w:color w:val="000000"/>
                <w:sz w:val="24"/>
                <w:szCs w:val="24"/>
                <w:highlight w:val="none"/>
                <w:u w:val="none"/>
              </w:rPr>
            </w:r>
            <w:r/>
          </w:p>
        </w:tc>
        <w:tc>
          <w:tcPr>
            <w:shd w:val="clear" w:color="auto" w:fill="ffffff"/>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680*640*1070/1810</w:t>
            </w:r>
            <w:r>
              <w:rPr>
                <w:rFonts w:hint="eastAsia" w:ascii="宋体" w:hAnsi="宋体" w:eastAsia="宋体" w:cs="宋体"/>
                <w:i w:val="0"/>
                <w:iCs w:val="0"/>
                <w:color w:val="000000"/>
                <w:sz w:val="24"/>
                <w:szCs w:val="24"/>
                <w:highlight w:val="none"/>
                <w:u w:val="none"/>
              </w:rPr>
            </w:r>
            <w:r/>
          </w:p>
        </w:tc>
        <w:tc>
          <w:tcPr>
            <w:shd w:val="clear" w:color="auto" w:fill="ffffff"/>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1、扶手：采用1.2冷轧钢板制</w:t>
            </w:r>
            <w:r>
              <w:rPr>
                <w:rFonts w:hint="eastAsia" w:ascii="宋体" w:hAnsi="宋体" w:eastAsia="宋体" w:cs="宋体"/>
                <w:i w:val="0"/>
                <w:iCs w:val="0"/>
                <w:color w:val="000000"/>
                <w:sz w:val="24"/>
                <w:szCs w:val="24"/>
                <w:highlight w:val="none"/>
                <w:u w:val="none"/>
                <w:lang w:val="en-US" w:eastAsia="zh-CN" w:bidi="ar"/>
              </w:rPr>
              <w:t xml:space="preserve">作成型静电喷塑处理；                                                                                          2、脚：采用1.0冷轧钢板制作成型静电喷塑处理；                                                                                         3、座板 ：采用1.0冷轧钢板制作；                         </w:t>
            </w:r>
            <w:r>
              <w:rPr>
                <w:rFonts w:hint="eastAsia" w:ascii="宋体" w:hAnsi="宋体" w:eastAsia="宋体" w:cs="宋体"/>
                <w:i w:val="0"/>
                <w:iCs w:val="0"/>
                <w:color w:val="000000"/>
                <w:sz w:val="24"/>
                <w:szCs w:val="24"/>
                <w:highlight w:val="none"/>
                <w:u w:val="none"/>
                <w:lang w:val="en-US" w:eastAsia="zh-CN" w:bidi="ar"/>
              </w:rPr>
              <w:t xml:space="preserve">                                                       4、PU垫：内部用1.8mm冷轧钢条成型焊接，外包环扶手垫：内镶10mm多层夹板 外包环保聚氨酯（PU）保聚氨酯（PU）A/B聚醚发泡成型 ；                                                                                                        5、横梁：采用1.8mm冷拔钢管制作，静电喷涂处理；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 6、输液杆：采用钢管两次折弯制作，安装在输液椅后方支架上，方便患者观察盐水情况；                                                                                                                    6、调节脚：外壳为不锈钢冷冲成型，底部为静音塑料。</w:t>
            </w:r>
            <w:r>
              <w:rPr>
                <w:rFonts w:hint="eastAsia" w:ascii="宋体" w:hAnsi="宋体" w:eastAsia="宋体" w:cs="宋体"/>
                <w:i w:val="0"/>
                <w:iCs w:val="0"/>
                <w:color w:val="000000"/>
                <w:sz w:val="24"/>
                <w:szCs w:val="24"/>
                <w:highlight w:val="none"/>
                <w:u w:val="none"/>
              </w:rPr>
            </w:r>
            <w:r/>
          </w:p>
        </w:tc>
        <w:tc>
          <w:tcPr>
            <w:shd w:val="clear" w:color="auto" w:fill="ffffff"/>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shd w:val="clear" w:color="auto" w:fill="ffffff"/>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办公椅1</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1198245" cy="127762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198245" cy="1277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4.3pt;height:100.6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560*615*1030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14"/>
              </w:num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面料：采用特网，加尼龙料弹力加强耐摩擦；</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2、海绵：环保定型海绵，弹性好，不易变</w:t>
            </w:r>
            <w:r>
              <w:rPr>
                <w:rFonts w:hint="eastAsia" w:ascii="宋体" w:hAnsi="宋体" w:eastAsia="宋体" w:cs="宋体"/>
                <w:i w:val="0"/>
                <w:iCs w:val="0"/>
                <w:color w:val="000000"/>
                <w:sz w:val="24"/>
                <w:szCs w:val="24"/>
                <w:highlight w:val="none"/>
                <w:u w:val="none"/>
                <w:lang w:val="en-US" w:eastAsia="zh-CN" w:bidi="ar"/>
              </w:rPr>
              <w:t xml:space="preserve">形；                                                                            3、弓形椅架，表面镀铬处理，钢管壁厚不小于2.0mm；                                                                                                                                         4、扶手：PP连体固定扶手。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w:t>
            </w:r>
            <w:r>
              <w:rPr>
                <w:rFonts w:hint="eastAsia" w:ascii="宋体" w:hAnsi="宋体" w:eastAsia="宋体" w:cs="宋体"/>
                <w:i w:val="0"/>
                <w:iCs w:val="0"/>
                <w:color w:val="000000"/>
                <w:sz w:val="24"/>
                <w:szCs w:val="24"/>
                <w:highlight w:val="none"/>
                <w:u w:val="none"/>
              </w:rPr>
            </w:r>
            <w:r/>
          </w:p>
        </w:tc>
      </w:tr>
      <w:tr>
        <w:trPr>
          <w:trHeight w:val="20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办公椅2</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966424" cy="127762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66424" cy="1277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6.1pt;height:100.6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550*574*945-1040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1、面料：采用特网，加尼龙料弹力加强耐摩擦；                   2、海绵：环保定</w:t>
            </w:r>
            <w:r>
              <w:rPr>
                <w:rFonts w:hint="eastAsia" w:ascii="宋体" w:hAnsi="宋体" w:eastAsia="宋体" w:cs="宋体"/>
                <w:i w:val="0"/>
                <w:iCs w:val="0"/>
                <w:color w:val="000000"/>
                <w:sz w:val="24"/>
                <w:szCs w:val="24"/>
                <w:highlight w:val="none"/>
                <w:u w:val="none"/>
                <w:lang w:val="en-US" w:eastAsia="zh-CN" w:bidi="ar"/>
              </w:rPr>
              <w:t xml:space="preserve">型海绵，弹性好，不易变形；                                                                            3、升降气杆五星脚，防震静音轮；                                                                                                                                         4、扶手：PP连体固定扶手。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1465"/>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休闲椅</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989971" cy="126113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989971" cy="1261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8.0pt;height:99.3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530*515*820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15"/>
              </w:num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椅背：座背一体成型，全新PP料制作；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2、椅座：高回弹海绵坐垫，厚≥1.5cm，棉绒弹力面料；</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3、椅脚：采用Φ12mm实心钢材制做。</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shd w:val="clear" w:color="auto" w:fill="ffffff"/>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会议椅</w:t>
            </w:r>
            <w:r>
              <w:rPr>
                <w:rFonts w:hint="eastAsia" w:ascii="宋体" w:hAnsi="宋体" w:eastAsia="宋体" w:cs="宋体"/>
                <w:i w:val="0"/>
                <w:iCs w:val="0"/>
                <w:color w:val="000000"/>
                <w:sz w:val="24"/>
                <w:szCs w:val="24"/>
                <w:highlight w:val="none"/>
                <w:u w:val="none"/>
              </w:rPr>
            </w:r>
            <w:r/>
          </w:p>
        </w:tc>
        <w:tc>
          <w:tcPr>
            <w:shd w:val="clear" w:color="auto" w:fill="ffffff"/>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860966" cy="963253"/>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860966" cy="9632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7.8pt;height:75.8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i w:val="0"/>
                <w:iCs w:val="0"/>
                <w:color w:val="000000"/>
                <w:sz w:val="24"/>
                <w:szCs w:val="24"/>
                <w:highlight w:val="none"/>
                <w:u w:val="none"/>
              </w:rPr>
            </w:r>
            <w:r/>
          </w:p>
        </w:tc>
        <w:tc>
          <w:tcPr>
            <w:shd w:val="clear" w:color="auto" w:fill="ffffff"/>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465mm*450mm*855mm</w:t>
            </w:r>
            <w:r>
              <w:rPr>
                <w:rFonts w:hint="eastAsia" w:ascii="宋体" w:hAnsi="宋体" w:eastAsia="宋体" w:cs="宋体"/>
                <w:i w:val="0"/>
                <w:iCs w:val="0"/>
                <w:color w:val="000000"/>
                <w:sz w:val="24"/>
                <w:szCs w:val="24"/>
                <w:highlight w:val="none"/>
                <w:u w:val="none"/>
              </w:rPr>
            </w:r>
            <w:r/>
          </w:p>
        </w:tc>
        <w:tc>
          <w:tcPr>
            <w:shd w:val="clear" w:color="auto" w:fill="ffffff"/>
            <w:tcW w:w="3118"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u w:val="none"/>
                <w:lang w:val="en-US" w:eastAsia="zh-CN" w:bidi="ar"/>
              </w:rPr>
              <w:t xml:space="preserve">1、座胶背胶材质：座和背是连体的，采用全新PP塑料一性注塑成型；背部有1个椭圆形的把手孔，孔底部有1个挂钩，方便日常挂物使用，挂钩与座背一体成型。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2、椅架材质：采用国标钢管，结构牢固，长时间使用不得产生摇晃松散的现象，焊接完成钢管架，焊接部位牢固，无脱焊，虚焊，焊穿，焊缝均匀，无毛刺，锐棱，飞溅，裂纹等缺陷；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3、椅架尺寸：管≥1.5mm厚直径φ19mm圆管，椅架上端有两根冷轧钢，经过冲压成型，宽为25mm，厚为4mm的加强拉力杆，加大了椅座与椅脚的接触面积，从而加大椅子承重力。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4、椅架工艺：表面经酸洗，脱脂，磷化处理，耐腐蚀，防锈。表面采用一级环保塑粉喷塑涂层。涂层无漏喷，锈蚀，涂层光滑均匀，色泽一致。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5、椅脚塞和脚垫材质：采用全新 PP 新料一次性注塑成型。</w:t>
            </w:r>
            <w:r>
              <w:rPr>
                <w:rFonts w:hint="eastAsia" w:ascii="宋体" w:hAnsi="宋体" w:eastAsia="宋体" w:cs="宋体"/>
                <w:i w:val="0"/>
                <w:iCs w:val="0"/>
                <w:color w:val="000000"/>
                <w:sz w:val="24"/>
                <w:szCs w:val="24"/>
                <w:highlight w:val="none"/>
                <w:u w:val="none"/>
              </w:rPr>
            </w:r>
            <w:r/>
          </w:p>
        </w:tc>
        <w:tc>
          <w:tcPr>
            <w:shd w:val="clear" w:color="auto" w:fill="ffffff"/>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shd w:val="clear" w:color="auto" w:fill="ffffff"/>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r>
      <w:tr>
        <w:trPr>
          <w:trHeight w:val="19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静电椅</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708599" cy="113096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08599" cy="1130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5.8pt;height:89.1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355*400*760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1、椅面：PU聚氨酯一体成型发泡坐、靠背椅面，内置10mm厚夹板，靠背尺寸是395*370MM，坐垫尺寸是：445*430MM；                                                                    </w:t>
            </w:r>
            <w:r>
              <w:rPr>
                <w:rFonts w:hint="eastAsia" w:ascii="宋体" w:hAnsi="宋体" w:eastAsia="宋体" w:cs="宋体"/>
                <w:i w:val="0"/>
                <w:iCs w:val="0"/>
                <w:color w:val="000000"/>
                <w:sz w:val="24"/>
                <w:szCs w:val="24"/>
                <w:highlight w:val="none"/>
                <w:u w:val="none"/>
                <w:lang w:val="en-US" w:eastAsia="zh-CN" w:bidi="ar"/>
              </w:rPr>
              <w:t xml:space="preserve">   2、底盘：采用龙骨底盘，靠背和坐垫采用加厚6mm钢板连接，韧性好，强度高，结实耐用；                                                                                                        3、气杆：360度旋转，三级电镀气杆，坐高升降范围约545-740MM。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4、脚踏圈：采用直径为450MM不锈钢脚踏圈，可自由调节搁脚高度；                           </w:t>
            </w:r>
            <w:r>
              <w:rPr>
                <w:rFonts w:hint="eastAsia" w:ascii="宋体" w:hAnsi="宋体" w:eastAsia="宋体" w:cs="宋体"/>
                <w:i w:val="0"/>
                <w:iCs w:val="0"/>
                <w:color w:val="000000"/>
                <w:sz w:val="24"/>
                <w:szCs w:val="24"/>
                <w:highlight w:val="none"/>
                <w:u w:val="none"/>
                <w:lang w:val="en-US" w:eastAsia="zh-CN" w:bidi="ar"/>
              </w:rPr>
              <w:t xml:space="preserve">                                                                               5、五星脚：Φ640mm / 电镀五星脚，冷轧钢板冲压焊接成型,结实防锈，实用方便；                                                                                                                      6、脚垫：配置高强度耐磨活动脚轮。</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实验椅</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743602" cy="845938"/>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743602" cy="8459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8.6pt;height:66.6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Φ346*460-610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1、椅面：PU聚氨酯一体成型发泡坐、靠背椅面，内置10mm厚夹板，                                  </w:t>
            </w:r>
            <w:r>
              <w:rPr>
                <w:rFonts w:hint="eastAsia" w:ascii="宋体" w:hAnsi="宋体" w:eastAsia="宋体" w:cs="宋体"/>
                <w:i w:val="0"/>
                <w:iCs w:val="0"/>
                <w:color w:val="000000"/>
                <w:sz w:val="24"/>
                <w:szCs w:val="24"/>
                <w:highlight w:val="none"/>
                <w:u w:val="none"/>
                <w:lang w:val="en-US" w:eastAsia="zh-CN" w:bidi="ar"/>
              </w:rPr>
              <w:t xml:space="preserve">                              2、底盘：采用龙骨底盘，结实耐用；                                                                                                        3、气杆：360度旋转，三级电镀气杆，坐高升降范围约545-740MM ；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4、脚踏圈：采用直径为450MM不锈钢脚踏圈，可自由调节搁脚高度；                           </w:t>
            </w:r>
            <w:r>
              <w:rPr>
                <w:rFonts w:hint="eastAsia" w:ascii="宋体" w:hAnsi="宋体" w:eastAsia="宋体" w:cs="宋体"/>
                <w:i w:val="0"/>
                <w:iCs w:val="0"/>
                <w:color w:val="000000"/>
                <w:sz w:val="24"/>
                <w:szCs w:val="24"/>
                <w:highlight w:val="none"/>
                <w:u w:val="none"/>
                <w:lang w:val="en-US" w:eastAsia="zh-CN" w:bidi="ar"/>
              </w:rPr>
              <w:t xml:space="preserve">                                                                               5、五星脚：Φ640mm / 电镀五星脚，冷轧钢板冲压焊接成型,结实防锈，实用方便；                                                                                                                      6、脚垫：配置高强度耐磨活动脚轮。</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158</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方凳</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1000161" cy="115507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000161" cy="1155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8.8pt;height:91.0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360*260*450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1、饰面：采用三聚氰胺浸渍纸饰面，耐磨、防火、不褪色；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2、基材：凳面采用厚25MM三聚氰胺饰面刨花板 凳面厚度25mm，长期使用不变形；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3、封边条：采用2.0mmPVC同色封边条封边；</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4、凳架：定制钢架，壁厚1.8mm。经酸洗、磷化处理后粉末静电喷涂，表面光滑平整无瑕疵，符合国家标准。</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243205</wp:posOffset>
                      </wp:positionH>
                      <wp:positionV relativeFrom="paragraph">
                        <wp:posOffset>1698625</wp:posOffset>
                      </wp:positionV>
                      <wp:extent cx="1239520" cy="66929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rcRect l="12315" t="16667" r="13051" b="14215"/>
                              <a:stretch/>
                            </pic:blipFill>
                            <pic:spPr bwMode="auto">
                              <a:xfrm>
                                <a:off x="0" y="0"/>
                                <a:ext cx="1239520" cy="669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64;o:allowoverlap:true;o:allowincell:true;mso-position-horizontal-relative:text;margin-left:19.1pt;mso-position-horizontal:absolute;mso-position-vertical-relative:text;margin-top:133.8pt;mso-position-vertical:absolute;width:97.6pt;height:52.7pt;mso-wrap-distance-left:9.0pt;mso-wrap-distance-top:0.0pt;mso-wrap-distance-right:9.0pt;mso-wrap-distance-bottom:0.0pt;" stroked="f">
                      <v:path textboxrect="0,0,0,0"/>
                      <v:imagedata r:id="rId37" o:title=""/>
                    </v:shape>
                  </w:pict>
                </mc:Fallback>
              </mc:AlternateContent>
            </w:r>
            <w:r>
              <w:rPr>
                <w:rFonts w:hint="eastAsia" w:ascii="宋体" w:hAnsi="宋体" w:eastAsia="宋体" w:cs="宋体"/>
                <w:i w:val="0"/>
                <w:iCs w:val="0"/>
                <w:color w:val="000000"/>
                <w:sz w:val="24"/>
                <w:szCs w:val="24"/>
                <w:highlight w:val="none"/>
                <w:u w:val="none"/>
                <w:lang w:val="en-US" w:eastAsia="zh-CN" w:bidi="ar"/>
              </w:rPr>
              <w:t xml:space="preserve">办公桌1</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1200*600*760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1、饰面：采用三聚氰胺浸渍纸饰面，耐磨、防火、不褪色；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2、基材：采用E0级刨花板， 台面厚度25mm，其他部分18mm，长期使用不变形；                                                                                                           3、封边条：采用 2.0mmPVC同色封边条封边；   </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                                                       4、桌架：定制钢架，壁厚1.8mm。经酸洗、磷化处理后粉末静电喷涂；                                                                                                                                      5、五金配件：采用优质三节导轨、阻尼铰链、锁具、铰链、铝合金拉手。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办公桌2</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19050</wp:posOffset>
                      </wp:positionH>
                      <wp:positionV relativeFrom="paragraph">
                        <wp:posOffset>1727835</wp:posOffset>
                      </wp:positionV>
                      <wp:extent cx="957580" cy="78803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957580" cy="7880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524288;o:allowoverlap:true;o:allowincell:true;mso-position-horizontal-relative:text;margin-left:1.5pt;mso-position-horizontal:absolute;mso-position-vertical-relative:text;margin-top:136.0pt;mso-position-vertical:absolute;width:75.4pt;height:62.0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1200*640*760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1、饰面：采用三聚氰胺浸渍纸饰面，耐磨、防火、不褪色；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2、基材：采用E0级刨花板， 台面厚度25mm，其他部分18mm，长期使用不变形；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3、五金：采用三节导轨、阻尼铰链、锁具、铰链、铝合金拉手；                                                                             4、封边条：采用2.0mmPVC同色封边条封边；</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5、屏风：铝合金框架结构，表面经氧化处理。 </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办公桌3</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-38099</wp:posOffset>
                      </wp:positionH>
                      <wp:positionV relativeFrom="paragraph">
                        <wp:posOffset>1556385</wp:posOffset>
                      </wp:positionV>
                      <wp:extent cx="908685" cy="64643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908685" cy="64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0609663;o:allowoverlap:true;o:allowincell:true;mso-position-horizontal-relative:text;margin-left:-3.0pt;mso-position-horizontal:absolute;mso-position-vertical-relative:text;margin-top:122.5pt;mso-position-vertical:absolute;width:71.5pt;height:50.9pt;mso-wrap-distance-left:9.0pt;mso-wrap-distance-top:0.0pt;mso-wrap-distance-right:9.0pt;mso-wrap-distance-bottom:0.0pt;" stroked="f">
                      <v:path textboxrect="0,0,0,0"/>
                      <v:imagedata r:id="rId39"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1000*640*1100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1、饰面：采用三聚氰胺浸渍纸饰面，耐磨、防火、不褪色；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2、基材：采用E0级刨花板， 台面厚度25mm，其他部分18mm，长期使用不变形；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3、五金：采用三节导轨、阻尼铰链、锁具、铰链、铝合金拉手；                                                                             4、封边条：采用2.0mmPVC同色封边条封边；</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5、屏风：铝合金框架结构，表面经氧化处理。 </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办公桌4</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0</wp:posOffset>
                      </wp:positionH>
                      <wp:positionV relativeFrom="paragraph">
                        <wp:posOffset>1665605</wp:posOffset>
                      </wp:positionV>
                      <wp:extent cx="868045" cy="52578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868045" cy="525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0609662;o:allowoverlap:true;o:allowincell:true;mso-position-horizontal-relative:text;margin-left:0.0pt;mso-position-horizontal:absolute;mso-position-vertical-relative:text;margin-top:131.2pt;mso-position-vertical:absolute;width:68.3pt;height:41.4pt;mso-wrap-distance-left:9.0pt;mso-wrap-distance-top:0.0pt;mso-wrap-distance-right:9.0pt;mso-wrap-distance-bottom:0.0pt;" stroked="f">
                      <v:path textboxrect="0,0,0,0"/>
                      <v:imagedata r:id="rId40"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1400*700*760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1、饰面：采用三聚氰胺浸渍纸饰面，耐磨、防火、不褪色；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2、基材：采用E0级刨花板， 台面厚度25mm，其他部分18mm，长期使用不变形；                                                                               </w:t>
            </w:r>
            <w:r>
              <w:rPr>
                <w:rFonts w:hint="eastAsia" w:ascii="宋体" w:hAnsi="宋体" w:eastAsia="宋体" w:cs="宋体"/>
                <w:i w:val="0"/>
                <w:iCs w:val="0"/>
                <w:color w:val="000000"/>
                <w:sz w:val="24"/>
                <w:szCs w:val="24"/>
                <w:highlight w:val="none"/>
                <w:u w:val="none"/>
                <w:lang w:val="en-US" w:eastAsia="zh-CN" w:bidi="ar"/>
              </w:rPr>
              <w:t xml:space="preserve">                            3、封边条：采用2.0mmPVC同色封边条封边；                                                                                                                                                                                                            </w:t>
            </w:r>
            <w:r>
              <w:rPr>
                <w:rFonts w:hint="eastAsia" w:ascii="宋体" w:hAnsi="宋体" w:eastAsia="宋体" w:cs="宋体"/>
                <w:i w:val="0"/>
                <w:iCs w:val="0"/>
                <w:color w:val="000000"/>
                <w:sz w:val="24"/>
                <w:szCs w:val="24"/>
                <w:highlight w:val="none"/>
                <w:u w:val="none"/>
                <w:lang w:val="en-US" w:eastAsia="zh-CN" w:bidi="ar"/>
              </w:rPr>
              <w:t xml:space="preserve">                                                                                                                                                                                                                                 4、五金配件：采用三节导轨、阻尼铰链、锁具、铰链、铝合金拉手。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升降桌</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0</wp:posOffset>
                      </wp:positionH>
                      <wp:positionV relativeFrom="paragraph">
                        <wp:posOffset>1953895</wp:posOffset>
                      </wp:positionV>
                      <wp:extent cx="991235" cy="61468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991235" cy="614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65;o:allowoverlap:true;o:allowincell:true;mso-position-horizontal-relative:text;margin-left:0.0pt;mso-position-horizontal:absolute;mso-position-vertical-relative:text;margin-top:153.8pt;mso-position-vertical:absolute;width:78.0pt;height:48.4pt;mso-wrap-distance-left:9.0pt;mso-wrap-distance-top:0.0pt;mso-wrap-distance-right:9.0pt;mso-wrap-distance-bottom:0.0pt;" stroked="f">
                      <v:path textboxrect="0,0,0,0"/>
                      <v:imagedata r:id="rId41"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1500*750*760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1、饰面：采用三聚氰胺浸渍纸饰面，耐磨、防火、不褪色；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2、基材：采用E0级刨花板， 台面厚度25mm，其他部分18mm，长期使用不变形；                                                                                                           3、封边条：采用2.0mmPVC同色封边条封边；     </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                                                     4、桌架：定制电动升降钢架，壁厚1.8mm。经酸洗、磷化处理后粉末静电喷涂；                                                                                                                                      5、五金配件：采用三节导轨、阻尼铰链、锁具、铰链、铝合金拉手。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屏风办公位</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column">
                        <wp:posOffset>0</wp:posOffset>
                      </wp:positionH>
                      <wp:positionV relativeFrom="paragraph">
                        <wp:posOffset>1792605</wp:posOffset>
                      </wp:positionV>
                      <wp:extent cx="1000760" cy="72453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000760" cy="724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0609661;o:allowoverlap:true;o:allowincell:true;mso-position-horizontal-relative:text;margin-left:0.0pt;mso-position-horizontal:absolute;mso-position-vertical-relative:text;margin-top:141.2pt;mso-position-vertical:absolute;width:78.8pt;height:57.0pt;mso-wrap-distance-left:9.0pt;mso-wrap-distance-top:0.0pt;mso-wrap-distance-right:9.0pt;mso-wrap-distance-bottom:0.0pt;" stroked="f">
                      <v:path textboxrect="0,0,0,0"/>
                      <v:imagedata r:id="rId42"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1640*1400*1100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1、饰面：采用三聚氰胺浸渍纸饰面，耐磨、防火、不褪色；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2、基材：采用E0级刨花板， 台面厚度25mm，其他部分18mm，长期使用不变形；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3、五金：采用三节导轨、阻尼铰链、锁具、铰链、铝合金拉手；                                                                             4、封边条：采用2.0mmPVC同色封边条封边；</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5、屏风：铝合金框架结构，表面经氧化处理。 </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r>
      <w:tr>
        <w:trPr>
          <w:trHeight w:val="151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会议桌1</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column">
                        <wp:posOffset>-57149</wp:posOffset>
                      </wp:positionH>
                      <wp:positionV relativeFrom="paragraph">
                        <wp:posOffset>1205865</wp:posOffset>
                      </wp:positionV>
                      <wp:extent cx="963295" cy="53149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963295" cy="531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0609660;o:allowoverlap:true;o:allowincell:true;mso-position-horizontal-relative:text;margin-left:-4.5pt;mso-position-horizontal:absolute;mso-position-vertical-relative:text;margin-top:94.9pt;mso-position-vertical:absolute;width:75.8pt;height:41.9pt;mso-wrap-distance-left:9.0pt;mso-wrap-distance-top:0.0pt;mso-wrap-distance-right:9.0pt;mso-wrap-distance-bottom:0.0pt;" stroked="f">
                      <v:path textboxrect="0,0,0,0"/>
                      <v:imagedata r:id="rId43"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1200*600*750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1、饰面：采用三聚氰胺浸渍纸饰面，耐磨、防火、不褪色；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2、基材：采用E0级刨花板， 台面厚度25mm；                                                                                            </w:t>
            </w:r>
            <w:r>
              <w:rPr>
                <w:rFonts w:hint="eastAsia" w:ascii="宋体" w:hAnsi="宋体" w:eastAsia="宋体" w:cs="宋体"/>
                <w:i w:val="0"/>
                <w:iCs w:val="0"/>
                <w:color w:val="000000"/>
                <w:sz w:val="24"/>
                <w:szCs w:val="24"/>
                <w:highlight w:val="none"/>
                <w:u w:val="none"/>
                <w:lang w:val="en-US" w:eastAsia="zh-CN" w:bidi="ar"/>
              </w:rPr>
              <w:t xml:space="preserve">               3、封边条：采用2.0mmPVC同色封边条封边；                                                                                                                                                                                                                         </w:t>
            </w:r>
            <w:r>
              <w:rPr>
                <w:rFonts w:hint="eastAsia" w:ascii="宋体" w:hAnsi="宋体" w:eastAsia="宋体" w:cs="宋体"/>
                <w:i w:val="0"/>
                <w:iCs w:val="0"/>
                <w:color w:val="000000"/>
                <w:sz w:val="24"/>
                <w:szCs w:val="24"/>
                <w:highlight w:val="none"/>
                <w:u w:val="none"/>
                <w:lang w:val="en-US" w:eastAsia="zh-CN" w:bidi="ar"/>
              </w:rPr>
              <w:t xml:space="preserve">                                                                                                                                                                                                                              4、桌架：定制钢架，壁厚1.8mm。经酸洗、磷化处理后粉末静电喷涂；</w:t>
            </w:r>
            <w:r>
              <w:rPr>
                <w:rFonts w:hint="eastAsia" w:ascii="宋体" w:hAnsi="宋体" w:eastAsia="宋体" w:cs="宋体"/>
                <w:i w:val="0"/>
                <w:iCs w:val="0"/>
                <w:color w:val="000000"/>
                <w:sz w:val="24"/>
                <w:szCs w:val="24"/>
                <w:highlight w:val="none"/>
                <w:u w:val="none"/>
                <w:lang w:val="en-US" w:eastAsia="zh-CN" w:bidi="ar-SA"/>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会议桌2</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0</wp:posOffset>
                      </wp:positionH>
                      <wp:positionV relativeFrom="paragraph">
                        <wp:posOffset>1049020</wp:posOffset>
                      </wp:positionV>
                      <wp:extent cx="904240" cy="73914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904240" cy="739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59;o:allowoverlap:true;o:allowincell:true;mso-position-horizontal-relative:text;margin-left:0.0pt;mso-position-horizontal:absolute;mso-position-vertical-relative:text;margin-top:82.6pt;mso-position-vertical:absolute;width:71.2pt;height:58.2pt;mso-wrap-distance-left:9.0pt;mso-wrap-distance-top:0.0pt;mso-wrap-distance-right:9.0pt;mso-wrap-distance-bottom:0.0pt;" stroked="f">
                      <v:path textboxrect="0,0,0,0"/>
                      <v:imagedata r:id="rId44"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1400*500*760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424"/>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1、饰面：采用三聚氰胺浸渍纸饰面，耐磨、防火、不褪色；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2、基材：采用E0级刨花板，</w:t>
            </w:r>
            <w:r>
              <w:rPr>
                <w:rFonts w:hint="eastAsia" w:ascii="宋体" w:hAnsi="宋体" w:eastAsia="宋体" w:cs="宋体"/>
                <w:i w:val="0"/>
                <w:iCs w:val="0"/>
                <w:color w:val="000000"/>
                <w:sz w:val="24"/>
                <w:szCs w:val="24"/>
                <w:highlight w:val="none"/>
                <w:u w:val="none"/>
                <w:lang w:val="en-US" w:eastAsia="zh-CN" w:bidi="ar"/>
              </w:rPr>
              <w:t xml:space="preserve"> 台面厚度25mm，其他部分18mm，长期使用不变形；                                                                                             3、封边条：采用2.0mmPVC同色封边条封边；                                                                                                                </w:t>
            </w:r>
            <w:r>
              <w:rPr>
                <w:rFonts w:hint="eastAsia" w:ascii="宋体" w:hAnsi="宋体" w:eastAsia="宋体" w:cs="宋体"/>
                <w:i w:val="0"/>
                <w:iCs w:val="0"/>
                <w:color w:val="000000"/>
                <w:sz w:val="24"/>
                <w:szCs w:val="24"/>
                <w:highlight w:val="none"/>
                <w:u w:val="none"/>
                <w:lang w:val="en-US" w:eastAsia="zh-CN" w:bidi="ar"/>
              </w:rPr>
              <w:t xml:space="preserve">                                                                                                                                                                                                          4、桌架定制钢架，壁厚1.8mm。经酸洗、磷化处理后粉末静电喷涂；                     </w:t>
            </w:r>
            <w:r>
              <w:rPr>
                <w:rFonts w:hint="eastAsia" w:ascii="宋体" w:hAnsi="宋体" w:eastAsia="宋体" w:cs="宋体"/>
                <w:i w:val="0"/>
                <w:iCs w:val="0"/>
                <w:color w:val="000000"/>
                <w:sz w:val="24"/>
                <w:szCs w:val="24"/>
                <w:highlight w:val="none"/>
                <w:u w:val="none"/>
                <w:lang w:val="en-US" w:eastAsia="zh-CN" w:bidi="ar"/>
              </w:rPr>
            </w:r>
            <w:r/>
          </w:p>
          <w:p>
            <w:pPr>
              <w:pStyle w:val="1424"/>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5、脚轮：万向轮带刹车功能，牢固结实耐用。</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会议桌3</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38" behindDoc="1" locked="0" layoutInCell="1" allowOverlap="1">
                      <wp:simplePos x="0" y="0"/>
                      <wp:positionH relativeFrom="column">
                        <wp:posOffset>-26034</wp:posOffset>
                      </wp:positionH>
                      <wp:positionV relativeFrom="paragraph">
                        <wp:posOffset>937895</wp:posOffset>
                      </wp:positionV>
                      <wp:extent cx="904240" cy="73914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904240" cy="739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0609638;o:allowoverlap:true;o:allowincell:true;mso-position-horizontal-relative:text;margin-left:-2.0pt;mso-position-horizontal:absolute;mso-position-vertical-relative:text;margin-top:73.8pt;mso-position-vertical:absolute;width:71.2pt;height:58.2pt;mso-wrap-distance-left:9.0pt;mso-wrap-distance-top:0.0pt;mso-wrap-distance-right:9.0pt;mso-wrap-distance-bottom:0.0pt;" wrapcoords="99963 -8 0 0 0 100000 99963 100009 37 100009 100000 100000 100000 0 37 -8 99963 -8" stroked="f">
                      <v:path textboxrect="0,0,0,0"/>
                      <w10:wrap type="tight"/>
                      <v:imagedata r:id="rId45"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1800*500*760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424"/>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1、饰面：采用三聚氰胺浸渍纸饰面，耐磨、防火、不褪色；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2、基材：采用E0级刨花板，</w:t>
            </w:r>
            <w:r>
              <w:rPr>
                <w:rFonts w:hint="eastAsia" w:ascii="宋体" w:hAnsi="宋体" w:eastAsia="宋体" w:cs="宋体"/>
                <w:i w:val="0"/>
                <w:iCs w:val="0"/>
                <w:color w:val="000000"/>
                <w:sz w:val="24"/>
                <w:szCs w:val="24"/>
                <w:highlight w:val="none"/>
                <w:u w:val="none"/>
                <w:lang w:val="en-US" w:eastAsia="zh-CN" w:bidi="ar"/>
              </w:rPr>
              <w:t xml:space="preserve"> 台面厚度25mm，其他部分18mm，长期使用不变形；                                                                                             3、封边条：采用2.0mmPVC同色封边条封边；                                                                                                                </w:t>
            </w:r>
            <w:r>
              <w:rPr>
                <w:rFonts w:hint="eastAsia" w:ascii="宋体" w:hAnsi="宋体" w:eastAsia="宋体" w:cs="宋体"/>
                <w:i w:val="0"/>
                <w:iCs w:val="0"/>
                <w:color w:val="000000"/>
                <w:sz w:val="24"/>
                <w:szCs w:val="24"/>
                <w:highlight w:val="none"/>
                <w:u w:val="none"/>
                <w:lang w:val="en-US" w:eastAsia="zh-CN" w:bidi="ar"/>
              </w:rPr>
              <w:t xml:space="preserve">                                                                                                                                                                                                          4、桌架定制钢架，壁厚1.8mm。经酸洗、磷化处理后粉末静电喷涂；                     </w:t>
            </w:r>
            <w:r>
              <w:rPr>
                <w:rFonts w:hint="eastAsia" w:ascii="宋体" w:hAnsi="宋体" w:eastAsia="宋体" w:cs="宋体"/>
                <w:i w:val="0"/>
                <w:iCs w:val="0"/>
                <w:color w:val="000000"/>
                <w:sz w:val="24"/>
                <w:szCs w:val="24"/>
                <w:highlight w:val="none"/>
                <w:u w:val="none"/>
                <w:lang w:val="en-US" w:eastAsia="zh-CN" w:bidi="ar"/>
              </w:rPr>
            </w:r>
            <w:r/>
          </w:p>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5、脚轮：万向轮带刹车功能，牢固结实耐用。</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9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1" allowOverlap="1">
                      <wp:simplePos x="0" y="0"/>
                      <wp:positionH relativeFrom="column">
                        <wp:posOffset>-28574</wp:posOffset>
                      </wp:positionH>
                      <wp:positionV relativeFrom="paragraph">
                        <wp:posOffset>1363345</wp:posOffset>
                      </wp:positionV>
                      <wp:extent cx="966470" cy="53213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966470" cy="532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0609659;o:allowoverlap:true;o:allowincell:true;mso-position-horizontal-relative:text;margin-left:-2.2pt;mso-position-horizontal:absolute;mso-position-vertical-relative:text;margin-top:107.3pt;mso-position-vertical:absolute;width:76.1pt;height:41.9pt;mso-wrap-distance-left:9.0pt;mso-wrap-distance-top:0.0pt;mso-wrap-distance-right:9.0pt;mso-wrap-distance-bottom:0.0pt;" stroked="f">
                      <v:path textboxrect="0,0,0,0"/>
                      <v:imagedata r:id="rId46"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800*600*760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1、饰面：采用三聚氰胺浸渍纸饰面，耐磨、防火、不褪色；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2、基材：采用E0级刨花板， 台面厚度25mm；                                                                                                           3、封边条：采用2.0mmPVC同色封边条封边；      </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                                                                                                                                                                       4、五金配件：采用三节导轨、阻尼铰链、锁具、铰链。                              5、桌架：定制钢架，壁厚1.8mm。经酸洗、磷化处理后粉末静电喷涂；</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89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输液临时办公台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8" behindDoc="1" locked="0" layoutInCell="1" allowOverlap="1">
                      <wp:simplePos x="0" y="0"/>
                      <wp:positionH relativeFrom="column">
                        <wp:posOffset>19050</wp:posOffset>
                      </wp:positionH>
                      <wp:positionV relativeFrom="paragraph">
                        <wp:posOffset>725805</wp:posOffset>
                      </wp:positionV>
                      <wp:extent cx="946150" cy="68516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946150" cy="685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0609658;o:allowoverlap:true;o:allowincell:true;mso-position-horizontal-relative:text;margin-left:1.5pt;mso-position-horizontal:absolute;mso-position-vertical-relative:text;margin-top:57.1pt;mso-position-vertical:absolute;width:74.5pt;height:53.9pt;mso-wrap-distance-left:9.0pt;mso-wrap-distance-top:0.0pt;mso-wrap-distance-right:9.0pt;mso-wrap-distance-bottom:0.0pt;" stroked="f">
                      <v:path textboxrect="0,0,0,0"/>
                      <v:imagedata r:id="rId47"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1100*500*760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1、饰面：采用三聚氰胺浸渍纸饰面，耐磨、防火、不褪色；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2、基材：采用E0级刨花板， 台面厚度25mm；                                                                                                           3、封边条：采用2.0mmPVC同色封边条封边；      </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                                                                                                                                                                       4、五金配件：采用三节导轨、阻尼铰链、锁具、铰链。                              5、桌架：定制钢架，壁厚1.8mm。经酸洗、磷化处理后粉末静电喷涂。</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输液学习桌</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853445" cy="789934"/>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853445" cy="7899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67.2pt;height:62.2pt;mso-wrap-distance-left:0.0pt;mso-wrap-distance-top:0.0pt;mso-wrap-distance-right:0.0pt;mso-wrap-distance-bottom:0.0pt;" stroked="f">
                      <v:path textboxrect="0,0,0,0"/>
                      <v:imagedata r:id="rId48" o:title=""/>
                    </v:shape>
                  </w:pict>
                </mc:Fallback>
              </mc:AlternateContent>
            </w:r>
            <w:r>
              <w:rPr>
                <w:color w:val="000000"/>
                <w:highlight w:val="none"/>
              </w:rPr>
              <mc:AlternateContent>
                <mc:Choice Requires="wpg">
                  <w:drawing>
                    <wp:inline xmlns:wp="http://schemas.openxmlformats.org/drawingml/2006/wordprocessingDrawing" distT="0" distB="0" distL="0" distR="0">
                      <wp:extent cx="733425" cy="976008"/>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733424" cy="9760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7.8pt;height:76.9pt;mso-wrap-distance-left:0.0pt;mso-wrap-distance-top:0.0pt;mso-wrap-distance-right:0.0pt;mso-wrap-distance-bottom:0.0pt;" stroked="f">
                      <v:path textboxrect="0,0,0,0"/>
                      <v:imagedata r:id="rId49"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800*600*1200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1、饰面：采用三聚氰胺浸渍纸饰面，耐磨、防火、不褪色；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2、基材：采用E0级刨花板， 台面厚度25mm其他部分18mm，长期使用不变形；                                                                                              </w:t>
            </w:r>
            <w:r>
              <w:rPr>
                <w:rFonts w:hint="eastAsia" w:ascii="宋体" w:hAnsi="宋体" w:eastAsia="宋体" w:cs="宋体"/>
                <w:i w:val="0"/>
                <w:iCs w:val="0"/>
                <w:color w:val="000000"/>
                <w:sz w:val="24"/>
                <w:szCs w:val="24"/>
                <w:highlight w:val="none"/>
                <w:u w:val="none"/>
                <w:lang w:val="en-US" w:eastAsia="zh-CN" w:bidi="ar"/>
              </w:rPr>
              <w:t xml:space="preserve">             3、封边条：采用2.0mmPVC同色封边条封边；                                                                                                                                                                                                                           </w:t>
            </w:r>
            <w:r>
              <w:rPr>
                <w:rFonts w:hint="eastAsia" w:ascii="宋体" w:hAnsi="宋体" w:eastAsia="宋体" w:cs="宋体"/>
                <w:i w:val="0"/>
                <w:iCs w:val="0"/>
                <w:color w:val="000000"/>
                <w:sz w:val="24"/>
                <w:szCs w:val="24"/>
                <w:highlight w:val="none"/>
                <w:u w:val="none"/>
                <w:lang w:val="en-US" w:eastAsia="zh-CN" w:bidi="ar"/>
              </w:rPr>
              <w:t xml:space="preserve">                                                                                                                                                                                                                  4、五金配件：采用三合一连接件。                              </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雾化桌</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7" behindDoc="1" locked="0" layoutInCell="1" allowOverlap="1">
                      <wp:simplePos x="0" y="0"/>
                      <wp:positionH relativeFrom="column">
                        <wp:posOffset>-47624</wp:posOffset>
                      </wp:positionH>
                      <wp:positionV relativeFrom="paragraph">
                        <wp:posOffset>1223645</wp:posOffset>
                      </wp:positionV>
                      <wp:extent cx="1022350" cy="758825"/>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022350" cy="758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0609657;o:allowoverlap:true;o:allowincell:true;mso-position-horizontal-relative:text;margin-left:-3.7pt;mso-position-horizontal:absolute;mso-position-vertical-relative:text;margin-top:96.3pt;mso-position-vertical:absolute;width:80.5pt;height:59.8pt;mso-wrap-distance-left:9.0pt;mso-wrap-distance-top:0.0pt;mso-wrap-distance-right:9.0pt;mso-wrap-distance-bottom:0.0pt;" stroked="f">
                      <v:path textboxrect="0,0,0,0"/>
                      <v:imagedata r:id="rId50"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750*550*1200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1、饰面：采用三聚氰胺浸渍纸饰面，耐磨、防火、不褪色；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2、基材：采用E0级刨花板， 台面厚度25mm其他部分18mm，长期使用不变形；                                                                   </w:t>
            </w:r>
            <w:r>
              <w:rPr>
                <w:rFonts w:hint="eastAsia" w:ascii="宋体" w:hAnsi="宋体" w:eastAsia="宋体" w:cs="宋体"/>
                <w:i w:val="0"/>
                <w:iCs w:val="0"/>
                <w:color w:val="000000"/>
                <w:sz w:val="24"/>
                <w:szCs w:val="24"/>
                <w:highlight w:val="none"/>
                <w:u w:val="none"/>
                <w:lang w:val="en-US" w:eastAsia="zh-CN" w:bidi="ar"/>
              </w:rPr>
              <w:t xml:space="preserve">                                        3、封边条：采用2.0mmPVC同色封边条封边；                                                                                                                                                                                                </w:t>
            </w:r>
            <w:r>
              <w:rPr>
                <w:rFonts w:hint="eastAsia" w:ascii="宋体" w:hAnsi="宋体" w:eastAsia="宋体" w:cs="宋体"/>
                <w:i w:val="0"/>
                <w:iCs w:val="0"/>
                <w:color w:val="000000"/>
                <w:sz w:val="24"/>
                <w:szCs w:val="24"/>
                <w:highlight w:val="none"/>
                <w:u w:val="none"/>
                <w:lang w:val="en-US" w:eastAsia="zh-CN" w:bidi="ar"/>
              </w:rPr>
              <w:t xml:space="preserve">                                                                                                                                                                                                                                             4、五金配件：采用三合一连接件。   </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休闲沙发</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855974" cy="730863"/>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855974" cy="730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7.4pt;height:57.5pt;mso-wrap-distance-left:0.0pt;mso-wrap-distance-top:0.0pt;mso-wrap-distance-right:0.0pt;mso-wrap-distance-bottom:0.0pt;" stroked="f">
                      <v:path textboxrect="0,0,0,0"/>
                      <v:imagedata r:id="rId51"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椅子800*820*1060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脚踏400*300*200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1、面料：皮 ；                                    </w:t>
            </w:r>
            <w:r>
              <w:rPr>
                <w:rFonts w:hint="eastAsia" w:ascii="宋体" w:hAnsi="宋体" w:eastAsia="宋体" w:cs="宋体"/>
                <w:i w:val="0"/>
                <w:iCs w:val="0"/>
                <w:color w:val="000000"/>
                <w:sz w:val="24"/>
                <w:szCs w:val="24"/>
                <w:highlight w:val="none"/>
                <w:u w:val="none"/>
                <w:lang w:val="en-US" w:eastAsia="zh-CN" w:bidi="ar"/>
              </w:rPr>
              <w:t xml:space="preserve">                                                               2、海绵：高密度回弹发泡海绵填充舒适坐感；                                                    3、内架：采用落叶松+桉木结合刨方木架，多层夹板封板,3.6蛇簧搭配皮筋扣定线固定，经久耐用；                                                                 3、脚：实木脚。</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142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婴儿护理台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942384" cy="1090262"/>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942384" cy="10902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4.2pt;height:85.8pt;mso-wrap-distance-left:0.0pt;mso-wrap-distance-top:0.0pt;mso-wrap-distance-right:0.0pt;mso-wrap-distance-bottom:0.0pt;" stroked="f">
                      <v:path textboxrect="0,0,0,0"/>
                      <v:imagedata r:id="rId52"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840*530*470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1、材质：采用白蜡木材质制作；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2、油漆：采用环保水性漆，标准厚度为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0.5mm，底着色，五底三面油漆工艺，清晰体现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实木质感；</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3、胶水：环保白乳胶；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4、脚：可移动滑轮。</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更衣长凳</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1073175" cy="1066212"/>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073175" cy="10662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84.5pt;height:84.0pt;mso-wrap-distance-left:0.0pt;mso-wrap-distance-top:0.0pt;mso-wrap-distance-right:0.0pt;mso-wrap-distance-bottom:0.0pt;" stroked="f">
                      <v:path textboxrect="0,0,0,0"/>
                      <v:imagedata r:id="rId53"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1500*400*460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1、规格：长150cm规格，宽40cm，高46cm；                                                             2、材质说明：凳面为加厚PVC材质，凳腿为ABS材质；生产工艺：注塑ABS和挤塑PVC双重工艺结合；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r>
      <w:tr>
        <w:trPr>
          <w:trHeight w:val="73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两门文件柜</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611429" cy="1336129"/>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611429" cy="13361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8.1pt;height:105.2pt;mso-wrap-distance-left:0.0pt;mso-wrap-distance-top:0.0pt;mso-wrap-distance-right:0.0pt;mso-wrap-distance-bottom:0.0pt;" stroked="f">
                      <v:path textboxrect="0,0,0,0"/>
                      <v:imagedata r:id="rId54"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800*400*2000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16"/>
              </w:num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饰面：采用三聚氰胺浸渍纸饰面，耐磨、防火、不褪色；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2、基材：采用E0级刨花板， 层板厚度25mm，其他部分18mm，长期使用不变形；                                                                          </w:t>
            </w:r>
            <w:r>
              <w:rPr>
                <w:rFonts w:hint="eastAsia" w:ascii="宋体" w:hAnsi="宋体" w:eastAsia="宋体" w:cs="宋体"/>
                <w:i w:val="0"/>
                <w:iCs w:val="0"/>
                <w:color w:val="000000"/>
                <w:sz w:val="24"/>
                <w:szCs w:val="24"/>
                <w:highlight w:val="none"/>
                <w:u w:val="none"/>
                <w:lang w:val="en-US" w:eastAsia="zh-CN" w:bidi="ar"/>
              </w:rPr>
              <w:t xml:space="preserve">                                 3、封边条：采用2.0mmPVC同色封边条封边；                                                                                                                                                                                                       </w:t>
            </w:r>
            <w:r>
              <w:rPr>
                <w:rFonts w:hint="eastAsia" w:ascii="宋体" w:hAnsi="宋体" w:eastAsia="宋体" w:cs="宋体"/>
                <w:i w:val="0"/>
                <w:iCs w:val="0"/>
                <w:color w:val="000000"/>
                <w:sz w:val="24"/>
                <w:szCs w:val="24"/>
                <w:highlight w:val="none"/>
                <w:u w:val="none"/>
                <w:lang w:val="en-US" w:eastAsia="zh-CN" w:bidi="ar"/>
              </w:rPr>
              <w:t xml:space="preserve">                                                                                                                                                                                                                                      4、五金配件：采用阻尼铰链、锁具、铰链、铝合金拉手。</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jc w:val="left"/>
              <w:keepLines w:val="0"/>
              <w:keepNext w:val="0"/>
              <w:pageBreakBefore w:val="0"/>
              <w:spacing w:line="360" w:lineRule="auto"/>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5、玻璃：符合国家标准钢化玻璃（5mm），带3C标识</w:t>
            </w:r>
            <w:r>
              <w:rPr>
                <w:rFonts w:ascii="宋体" w:hAnsi="宋体" w:eastAsia="宋体" w:cs="宋体"/>
                <w:i w:val="0"/>
                <w:iCs w:val="0"/>
                <w:color w:val="000000"/>
                <w:sz w:val="24"/>
                <w:szCs w:val="24"/>
                <w:highlight w:val="none"/>
                <w:u w:val="none"/>
                <w:lang w:val="en-US" w:eastAsia="zh-CN" w:bidi="ar"/>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三门文件柜</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791840" cy="1187418"/>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791840" cy="11874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62.3pt;height:93.5pt;mso-wrap-distance-left:0.0pt;mso-wrap-distance-top:0.0pt;mso-wrap-distance-right:0.0pt;mso-wrap-distance-bottom:0.0pt;" stroked="f">
                      <v:path textboxrect="0,0,0,0"/>
                      <v:imagedata r:id="rId55"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1200*400*2000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1饰面：采用三聚氰胺浸渍纸饰面，耐磨、防火、不褪色；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2、基材：采用E0级刨花板， 层板厚度25mm，其他部分18mm，长期使用不变形；                                                                          </w:t>
            </w:r>
            <w:r>
              <w:rPr>
                <w:rFonts w:hint="eastAsia" w:ascii="宋体" w:hAnsi="宋体" w:eastAsia="宋体" w:cs="宋体"/>
                <w:i w:val="0"/>
                <w:iCs w:val="0"/>
                <w:color w:val="000000"/>
                <w:sz w:val="24"/>
                <w:szCs w:val="24"/>
                <w:highlight w:val="none"/>
                <w:u w:val="none"/>
                <w:lang w:val="en-US" w:eastAsia="zh-CN" w:bidi="ar"/>
              </w:rPr>
              <w:t xml:space="preserve">                                 3、封边条：采用2.0mmPVC同色封边条封边；                                                                                                                                                                                                       </w:t>
            </w:r>
            <w:r>
              <w:rPr>
                <w:rFonts w:hint="eastAsia" w:ascii="宋体" w:hAnsi="宋体" w:eastAsia="宋体" w:cs="宋体"/>
                <w:i w:val="0"/>
                <w:iCs w:val="0"/>
                <w:color w:val="000000"/>
                <w:sz w:val="24"/>
                <w:szCs w:val="24"/>
                <w:highlight w:val="none"/>
                <w:u w:val="none"/>
                <w:lang w:val="en-US" w:eastAsia="zh-CN" w:bidi="ar"/>
              </w:rPr>
              <w:t xml:space="preserve">                                                                                                                                                                                                                                      4、五金配件：采用阻尼铰链、锁具、铰链、铝合金拉手。</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5、玻璃：符合国家标准钢化玻璃（5mm），带3C标识</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51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储物柜</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6" behindDoc="1" locked="0" layoutInCell="1" allowOverlap="1">
                      <wp:simplePos x="0" y="0"/>
                      <wp:positionH relativeFrom="column">
                        <wp:posOffset>0</wp:posOffset>
                      </wp:positionH>
                      <wp:positionV relativeFrom="paragraph">
                        <wp:posOffset>1543685</wp:posOffset>
                      </wp:positionV>
                      <wp:extent cx="918210" cy="762000"/>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918209"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0609656;o:allowoverlap:true;o:allowincell:true;mso-position-horizontal-relative:text;margin-left:0.0pt;mso-position-horizontal:absolute;mso-position-vertical-relative:text;margin-top:121.5pt;mso-position-vertical:absolute;width:72.3pt;height:60.0pt;mso-wrap-distance-left:9.0pt;mso-wrap-distance-top:0.0pt;mso-wrap-distance-right:9.0pt;mso-wrap-distance-bottom:0.0pt;" stroked="f">
                      <v:path textboxrect="0,0,0,0"/>
                      <v:imagedata r:id="rId56"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3200*550*2400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1、饰面：采用三聚氰胺浸渍纸饰面，耐磨、防火、不褪色；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2、基材：采用E0级刨花板， 层板厚度25mm，其他部分18mm，长期使用不变形；                                                                          </w:t>
            </w:r>
            <w:r>
              <w:rPr>
                <w:rFonts w:hint="eastAsia" w:ascii="宋体" w:hAnsi="宋体" w:eastAsia="宋体" w:cs="宋体"/>
                <w:i w:val="0"/>
                <w:iCs w:val="0"/>
                <w:color w:val="000000"/>
                <w:sz w:val="24"/>
                <w:szCs w:val="24"/>
                <w:highlight w:val="none"/>
                <w:u w:val="none"/>
                <w:lang w:val="en-US" w:eastAsia="zh-CN" w:bidi="ar"/>
              </w:rPr>
              <w:t xml:space="preserve">                                 3、封边条：采用2.0mmPVC同色封边条封边；                                                                                                                                                                                                       </w:t>
            </w:r>
            <w:r>
              <w:rPr>
                <w:rFonts w:hint="eastAsia" w:ascii="宋体" w:hAnsi="宋体" w:eastAsia="宋体" w:cs="宋体"/>
                <w:i w:val="0"/>
                <w:iCs w:val="0"/>
                <w:color w:val="000000"/>
                <w:sz w:val="24"/>
                <w:szCs w:val="24"/>
                <w:highlight w:val="none"/>
                <w:u w:val="none"/>
                <w:lang w:val="en-US" w:eastAsia="zh-CN" w:bidi="ar"/>
              </w:rPr>
              <w:t xml:space="preserve">                                                                                                                                                                                                                                      4、五金配件：采用阻尼铰链、锁具、铰链、铝合金拉手。</w:t>
            </w:r>
            <w:r>
              <w:rPr>
                <w:rFonts w:hint="eastAsia" w:ascii="宋体" w:hAnsi="宋体" w:eastAsia="宋体" w:cs="宋体"/>
                <w:i w:val="0"/>
                <w:iCs w:val="0"/>
                <w:color w:val="000000"/>
                <w:sz w:val="24"/>
                <w:szCs w:val="24"/>
                <w:highlight w:val="none"/>
                <w:u w:val="none"/>
                <w:lang w:val="en-US" w:eastAsia="zh-CN" w:bidi="ar"/>
              </w:rPr>
            </w:r>
            <w:r/>
          </w:p>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定制柜13</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5" behindDoc="1" locked="0" layoutInCell="1" allowOverlap="1">
                      <wp:simplePos x="0" y="0"/>
                      <wp:positionH relativeFrom="column">
                        <wp:posOffset>-38099</wp:posOffset>
                      </wp:positionH>
                      <wp:positionV relativeFrom="paragraph">
                        <wp:posOffset>1154430</wp:posOffset>
                      </wp:positionV>
                      <wp:extent cx="973455" cy="664845"/>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973455" cy="664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0609655;o:allowoverlap:true;o:allowincell:true;mso-position-horizontal-relative:text;margin-left:-3.0pt;mso-position-horizontal:absolute;mso-position-vertical-relative:text;margin-top:90.9pt;mso-position-vertical:absolute;width:76.6pt;height:52.3pt;mso-wrap-distance-left:9.0pt;mso-wrap-distance-top:0.0pt;mso-wrap-distance-right:9.0pt;mso-wrap-distance-bottom:0.0pt;" stroked="f">
                      <v:path textboxrect="0,0,0,0"/>
                      <v:imagedata r:id="rId57"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1800*400*2000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1、饰面：采用三聚氰胺浸渍纸饰面，耐磨、防火、不褪色；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2、基材：采用E0级刨花板， 层板厚度25mm，其他部分18mm，长期使用不变形；                                                                </w:t>
            </w:r>
            <w:r>
              <w:rPr>
                <w:rFonts w:hint="eastAsia" w:ascii="宋体" w:hAnsi="宋体" w:eastAsia="宋体" w:cs="宋体"/>
                <w:i w:val="0"/>
                <w:iCs w:val="0"/>
                <w:color w:val="000000"/>
                <w:sz w:val="24"/>
                <w:szCs w:val="24"/>
                <w:highlight w:val="none"/>
                <w:u w:val="none"/>
                <w:lang w:val="en-US" w:eastAsia="zh-CN" w:bidi="ar"/>
              </w:rPr>
              <w:t xml:space="preserve">                                           3、封边条：采用2.0mmPVC同色封边条封边；                                                                                                                                                                                             </w:t>
            </w:r>
            <w:r>
              <w:rPr>
                <w:rFonts w:hint="eastAsia" w:ascii="宋体" w:hAnsi="宋体" w:eastAsia="宋体" w:cs="宋体"/>
                <w:i w:val="0"/>
                <w:iCs w:val="0"/>
                <w:color w:val="000000"/>
                <w:sz w:val="24"/>
                <w:szCs w:val="24"/>
                <w:highlight w:val="none"/>
                <w:u w:val="none"/>
                <w:lang w:val="en-US" w:eastAsia="zh-CN" w:bidi="ar"/>
              </w:rPr>
              <w:t xml:space="preserve">                                                                                                                                                                                                                                                4、五金配件：采用三合一连接件。</w:t>
            </w:r>
            <w:r>
              <w:rPr>
                <w:rFonts w:hint="eastAsia" w:ascii="宋体" w:hAnsi="宋体" w:eastAsia="宋体" w:cs="宋体"/>
                <w:i w:val="0"/>
                <w:iCs w:val="0"/>
                <w:color w:val="000000"/>
                <w:sz w:val="24"/>
                <w:szCs w:val="24"/>
                <w:highlight w:val="none"/>
                <w:u w:val="none"/>
                <w:lang w:val="en-US" w:eastAsia="zh-CN" w:bidi="ar"/>
              </w:rPr>
            </w:r>
            <w:r/>
          </w:p>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3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定制柜19</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4" behindDoc="1" locked="0" layoutInCell="1" allowOverlap="1">
                      <wp:simplePos x="0" y="0"/>
                      <wp:positionH relativeFrom="column">
                        <wp:posOffset>0</wp:posOffset>
                      </wp:positionH>
                      <wp:positionV relativeFrom="paragraph">
                        <wp:posOffset>1515745</wp:posOffset>
                      </wp:positionV>
                      <wp:extent cx="908685" cy="550545"/>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908685" cy="550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0609654;o:allowoverlap:true;o:allowincell:true;mso-position-horizontal-relative:text;margin-left:0.0pt;mso-position-horizontal:absolute;mso-position-vertical-relative:text;margin-top:119.3pt;mso-position-vertical:absolute;width:71.5pt;height:43.4pt;mso-wrap-distance-left:9.0pt;mso-wrap-distance-top:0.0pt;mso-wrap-distance-right:9.0pt;mso-wrap-distance-bottom:0.0pt;" stroked="f">
                      <v:path textboxrect="0,0,0,0"/>
                      <v:imagedata r:id="rId58"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3100*500*800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1、饰面：采用三聚氰胺浸渍纸饰面，耐磨、防火、不褪色；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2、基材：采用E0级刨花板， 层板厚度25mm，其他部分18mm，长期使用不变形；                                                                          </w:t>
            </w:r>
            <w:r>
              <w:rPr>
                <w:rFonts w:hint="eastAsia" w:ascii="宋体" w:hAnsi="宋体" w:eastAsia="宋体" w:cs="宋体"/>
                <w:i w:val="0"/>
                <w:iCs w:val="0"/>
                <w:color w:val="000000"/>
                <w:sz w:val="24"/>
                <w:szCs w:val="24"/>
                <w:highlight w:val="none"/>
                <w:u w:val="none"/>
                <w:lang w:val="en-US" w:eastAsia="zh-CN" w:bidi="ar"/>
              </w:rPr>
              <w:t xml:space="preserve">                                 3、封边条：采用2.0mmPVC同色封边条封边；                                                                                                                                                                                                       </w:t>
            </w:r>
            <w:r>
              <w:rPr>
                <w:rFonts w:hint="eastAsia" w:ascii="宋体" w:hAnsi="宋体" w:eastAsia="宋体" w:cs="宋体"/>
                <w:i w:val="0"/>
                <w:iCs w:val="0"/>
                <w:color w:val="000000"/>
                <w:sz w:val="24"/>
                <w:szCs w:val="24"/>
                <w:highlight w:val="none"/>
                <w:u w:val="none"/>
                <w:lang w:val="en-US" w:eastAsia="zh-CN" w:bidi="ar"/>
              </w:rPr>
              <w:t xml:space="preserve">                                                                                                                                                                                                                                      4、五金配件：采用阻尼铰链、锁具、铰链、铝合金拉手。</w:t>
            </w:r>
            <w:r>
              <w:rPr>
                <w:rFonts w:hint="eastAsia" w:ascii="宋体" w:hAnsi="宋体" w:eastAsia="宋体" w:cs="宋体"/>
                <w:i w:val="0"/>
                <w:iCs w:val="0"/>
                <w:color w:val="000000"/>
                <w:sz w:val="24"/>
                <w:szCs w:val="24"/>
                <w:highlight w:val="none"/>
                <w:u w:val="none"/>
                <w:lang w:val="en-US" w:eastAsia="zh-CN" w:bidi="ar"/>
              </w:rPr>
            </w:r>
            <w:r/>
          </w:p>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5、台面覆石材</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钢制三门更衣柜</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589261" cy="1114411"/>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589261" cy="11144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6.4pt;height:87.7pt;mso-wrap-distance-left:0.0pt;mso-wrap-distance-top:0.0pt;mso-wrap-distance-right:0.0pt;mso-wrap-distance-bottom:0.0pt;" stroked="f">
                      <v:path textboxrect="0,0,0,0"/>
                      <v:imagedata r:id="rId59"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900*420*1800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1、基材：柜体均采用0.8mm厚电解钢板制作；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2、工艺：钢板部分经剪切、冲压、折弯、焊接、装配而成，焊接无脱焊、虚焊、焊穿，焊接点打磨光滑平整无毛刺；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3、锁具：互开率低，表面镀铬，锁头不锈钢包边处理，有管理和换锁芯功能。增加消音装置。</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r>
      <w:tr>
        <w:trPr>
          <w:trHeight w:val="283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钢制六门更衣柜</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758182" cy="1139173"/>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758182" cy="11391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59.7pt;height:89.7pt;mso-wrap-distance-left:0.0pt;mso-wrap-distance-top:0.0pt;mso-wrap-distance-right:0.0pt;mso-wrap-distance-bottom:0.0pt;" stroked="f">
                      <v:path textboxrect="0,0,0,0"/>
                      <v:imagedata r:id="rId60"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900*500*1800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1、基材：柜体均采用0.8mm厚电解钢板制作；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2、工艺：钢板部分经剪切、冲压、折弯、焊接、装配而成，焊接无脱焊、虚焊、焊穿，焊接点打磨光滑平整无毛刺；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3、锁具：互开率低，表面镀铬，锁头不锈钢包边处理，有管理和换锁芯功能。增加消音装置。</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钢制文件柜</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751865" cy="1048965"/>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751865" cy="1048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9.2pt;height:82.6pt;mso-wrap-distance-left:0.0pt;mso-wrap-distance-top:0.0pt;mso-wrap-distance-right:0.0pt;mso-wrap-distance-bottom:0.0pt;" stroked="f">
                      <v:path textboxrect="0,0,0,0"/>
                      <v:imagedata r:id="rId61"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860*400*1800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ind w:left="239"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1、基材：柜体均采用0.8mm厚电解钢板制作；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2、工艺：钢板部分经剪切、冲压、折弯、焊接、装配而成，焊接无脱焊、虚焊、焊穿，焊接点打磨光滑平整无毛刺；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3、锁具：互开率低，表面镀铬，锁头不锈钢包边处理，有管理和换锁芯功能。增加消音装置。              4、柜体上部为玻璃开门，下部全钢门。上柜内配置两块层板、下柜内配置一块层板。可按需调节高度</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钢制四门两抽文件柜</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643820" cy="1090331"/>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643820" cy="10903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50.7pt;height:85.9pt;mso-wrap-distance-left:0.0pt;mso-wrap-distance-top:0.0pt;mso-wrap-distance-right:0.0pt;mso-wrap-distance-bottom:0.0pt;" stroked="f">
                      <v:path textboxrect="0,0,0,0"/>
                      <v:imagedata r:id="rId62"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860*400*1800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1、基材：柜体均采用0.8mm厚电解钢板制作；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2、工艺：钢板部分经剪切、冲压、折弯、焊接、装配而成，焊接无脱焊、虚焊、焊穿，焊接点打磨光滑平整无毛刺；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3、锁具：互开率低，表面镀铬，锁头不锈钢包边处理，有管理和换锁芯功能。增加消音装置。</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r>
      <w:tr>
        <w:trPr>
          <w:trHeight w:val="69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钢制两门文件柜</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796300" cy="1570317"/>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796300" cy="15703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62.7pt;height:123.6pt;mso-wrap-distance-left:0.0pt;mso-wrap-distance-top:0.0pt;mso-wrap-distance-right:0.0pt;mso-wrap-distance-bottom:0.0pt;" stroked="f">
                      <v:path textboxrect="0,0,0,0"/>
                      <v:imagedata r:id="rId63"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860*400*1800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1、基材：柜体均采用0.8mm厚电解钢板制作；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2、工艺：钢板部分经剪切、冲压、折弯、焊接、装配而成，焊接无脱焊、虚焊、焊穿，焊接点打磨光滑平整无毛刺；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3、锁具：互开率低，表面镀铬，锁头不锈钢包边处理，有管理和换锁芯功能。增加消音装置。</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钢制文件柜4</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635653" cy="1033734"/>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635653" cy="10337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0.1pt;height:81.4pt;mso-wrap-distance-left:0.0pt;mso-wrap-distance-top:0.0pt;mso-wrap-distance-right:0.0pt;mso-wrap-distance-bottom:0.0pt;" stroked="f">
                      <v:path textboxrect="0,0,0,0"/>
                      <v:imagedata r:id="rId64"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860*400*1800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ind w:left="239"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1、基材：柜体均采用0.8mm厚电解钢板制作；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2、工艺：钢板部分经剪切、冲压、折弯、焊接、装配而成，焊接无脱焊、虚焊、焊穿，焊接点打磨光滑平整无毛刺；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3、锁具：互开率低，表面镀铬，锁头不锈钢包边处理，有管理和换锁芯功能。增加消音装置。              4、柜体上部为玻璃开门，下部全钢门。上柜内配置两块层板、下柜内配置一块层板和5个抽屉，层板可按需调节高度。</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r>
      <w:tr>
        <w:trPr>
          <w:trHeight w:val="915"/>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钢制资料柜（玻璃）</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856605" cy="1578661"/>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856605" cy="15786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7.4pt;height:124.3pt;mso-wrap-distance-left:0.0pt;mso-wrap-distance-top:0.0pt;mso-wrap-distance-right:0.0pt;mso-wrap-distance-bottom:0.0pt;" stroked="f">
                      <v:path textboxrect="0,0,0,0"/>
                      <v:imagedata r:id="rId65"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860*400*1800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ind w:left="239"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1、基材：柜体均采用0.8mm厚电解钢板制作；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2、工艺：钢板部分经剪切、冲压、折弯、焊接、装配而成，焊接无脱焊、虚焊、焊穿，焊接点打磨光滑平整无毛刺；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3、锁具：互开率低，表面镀铬，锁头不锈钢包边处理，有管理和换锁芯功能。增加消音装置。              4、柜体为玻璃对开门，柜内配置四块层板。可按需调节高度。</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r>
      <w:tr>
        <w:trPr>
          <w:trHeight w:val="46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钢制储物柜</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533400" cy="1147549"/>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533400" cy="11475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2.0pt;height:90.4pt;mso-wrap-distance-left:0.0pt;mso-wrap-distance-top:0.0pt;mso-wrap-distance-right:0.0pt;mso-wrap-distance-bottom:0.0pt;" stroked="f">
                      <v:path textboxrect="0,0,0,0"/>
                      <v:imagedata r:id="rId66"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860*400*1800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1、基材：柜体均采用0.8mm厚电解钢板制作；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2、工艺：钢板部分经剪切、冲压、折弯、焊接、装配而成，焊接无脱焊、虚焊、焊穿，焊接点打磨光滑平整无毛刺；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3、锁具：互开率低，表面镀铬，锁头不锈钢包边处理，有管理和换锁芯功能。增加消音装置。</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药品柜</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766985" cy="1480845"/>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766985" cy="1480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60.4pt;height:116.6pt;mso-wrap-distance-left:0.0pt;mso-wrap-distance-top:0.0pt;mso-wrap-distance-right:0.0pt;mso-wrap-distance-bottom:0.0pt;" stroked="f">
                      <v:path textboxrect="0,0,0,0"/>
                      <v:imagedata r:id="rId67"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1000*450*2000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1、基材：柜体均采用0.8mm厚电解钢板制作；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2、工艺：钢板部分经剪切、冲压、折弯、焊接、装配而成，焊接无脱焊、虚焊、焊穿，焊接点打磨光滑平整无毛刺；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3、锁具：互开率低，表面镀铬，锁头不锈钢包边处理，有管理和换锁芯功能。增加消音装置。</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r>
      <w:tr>
        <w:trPr>
          <w:trHeight w:val="64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货架</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3" behindDoc="1" locked="0" layoutInCell="1" allowOverlap="1">
                      <wp:simplePos x="0" y="0"/>
                      <wp:positionH relativeFrom="column">
                        <wp:posOffset>-47624</wp:posOffset>
                      </wp:positionH>
                      <wp:positionV relativeFrom="paragraph">
                        <wp:posOffset>247015</wp:posOffset>
                      </wp:positionV>
                      <wp:extent cx="972820" cy="85725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972819" cy="857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0609653;o:allowoverlap:true;o:allowincell:true;mso-position-horizontal-relative:text;margin-left:-3.7pt;mso-position-horizontal:absolute;mso-position-vertical-relative:text;margin-top:19.4pt;mso-position-vertical:absolute;width:76.6pt;height:67.5pt;mso-wrap-distance-left:9.0pt;mso-wrap-distance-top:0.0pt;mso-wrap-distance-right:9.0pt;mso-wrap-distance-bottom:0.0pt;" stroked="f">
                      <v:path textboxrect="0,0,0,0"/>
                      <v:imagedata r:id="rId68"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2000*600*2000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主体材质：立柱采用80*40*1.0mm厚的C型钢材，横梁采用60*40*1.2mm厚的P型钢材，层板采用0.6mm厚电解钢板制造。立柱与横梁以挂接连接锁紧锁的设计，自由升降，无需焊接；每层距离以75mm为节距任意调节层高，每层承载350公斤左右。层数如图；</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2、工艺：二氧化碳保护焊接而成，焊接无脱焊、虚焊、焊穿，焊接点打磨光滑平整无毛刺。钢制部分经除油硅烷化后热固性粉末涂料（塑粉）喷塑处理，表面均匀光亮，色泽一致、密封、平整、无划伤。</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r>
      <w:tr>
        <w:trPr>
          <w:trHeight w:val="7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货架</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-19049</wp:posOffset>
                      </wp:positionH>
                      <wp:positionV relativeFrom="paragraph">
                        <wp:posOffset>2217420</wp:posOffset>
                      </wp:positionV>
                      <wp:extent cx="972820" cy="857250"/>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972819" cy="857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60;o:allowoverlap:true;o:allowincell:true;mso-position-horizontal-relative:text;margin-left:-1.5pt;mso-position-horizontal:absolute;mso-position-vertical-relative:text;margin-top:174.6pt;mso-position-vertical:absolute;width:76.6pt;height:67.5pt;mso-wrap-distance-left:9.0pt;mso-wrap-distance-top:0.0pt;mso-wrap-distance-right:9.0pt;mso-wrap-distance-bottom:0.0pt;" stroked="f">
                      <v:path textboxrect="0,0,0,0"/>
                      <v:imagedata r:id="rId69"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1500*600*2000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主体材质：立柱采用80*40*1.0mm厚的C型钢材，横梁采用60*40*1.2mm厚的P型钢材，层板采用0.6mm厚电解钢板制造。立柱与横梁以挂接连接锁紧锁的设计，自由升降，无需焊接；每层距离以75mm为节距任意调节层高，每层承载350公斤左右。层数如图；</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2、工艺：二氧化碳保护焊接而成，焊接无脱焊、虚焊、焊穿，焊接点打磨光滑平整无毛刺。钢制部分经除油硅烷化后热固性粉末涂料（塑粉）喷塑处理，表面均匀光亮，色泽一致、密封、平整、无划伤。</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货架</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2" behindDoc="1" locked="0" layoutInCell="1" allowOverlap="1">
                      <wp:simplePos x="0" y="0"/>
                      <wp:positionH relativeFrom="column">
                        <wp:posOffset>-57149</wp:posOffset>
                      </wp:positionH>
                      <wp:positionV relativeFrom="paragraph">
                        <wp:posOffset>748030</wp:posOffset>
                      </wp:positionV>
                      <wp:extent cx="972820" cy="85725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972819" cy="857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0609652;o:allowoverlap:true;o:allowincell:true;mso-position-horizontal-relative:text;margin-left:-4.5pt;mso-position-horizontal:absolute;mso-position-vertical-relative:text;margin-top:58.9pt;mso-position-vertical:absolute;width:76.6pt;height:67.5pt;mso-wrap-distance-left:9.0pt;mso-wrap-distance-top:0.0pt;mso-wrap-distance-right:9.0pt;mso-wrap-distance-bottom:0.0pt;" stroked="f">
                      <v:path textboxrect="0,0,0,0"/>
                      <v:imagedata r:id="rId70"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1000*600*2000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主体材质：立柱采用80*40*1.0mm厚的C型钢材，横梁采用60*40*1.2mm厚的P型钢材，层板采用0.6mm厚电解钢板制造。立柱与横梁以挂接连接锁紧锁的设计，自由升降，无需焊接；每层距离以75mm为节距任意调节层高，每层承载350公斤左右。层数如图；</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2、工艺：二氧化碳保护焊接而成，焊接无脱焊、虚焊、焊穿，焊接点打磨光滑平整无毛刺。钢制部分经除油硅烷化后热固性粉末涂料（塑粉）喷塑处理，表面均匀光亮，色泽一致、密封、平整、无划伤。</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21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货架</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1" behindDoc="1" locked="0" layoutInCell="1" allowOverlap="1">
                      <wp:simplePos x="0" y="0"/>
                      <wp:positionH relativeFrom="column">
                        <wp:posOffset>-47624</wp:posOffset>
                      </wp:positionH>
                      <wp:positionV relativeFrom="paragraph">
                        <wp:posOffset>946785</wp:posOffset>
                      </wp:positionV>
                      <wp:extent cx="972820" cy="85725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972819" cy="857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0609651;o:allowoverlap:true;o:allowincell:true;mso-position-horizontal-relative:text;margin-left:-3.7pt;mso-position-horizontal:absolute;mso-position-vertical-relative:text;margin-top:74.5pt;mso-position-vertical:absolute;width:76.6pt;height:67.5pt;mso-wrap-distance-left:9.0pt;mso-wrap-distance-top:0.0pt;mso-wrap-distance-right:9.0pt;mso-wrap-distance-bottom:0.0pt;" stroked="f">
                      <v:path textboxrect="0,0,0,0"/>
                      <v:imagedata r:id="rId71"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1500*600*1600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主体材质：立柱采用80*40*1.0mm厚的C型钢材，横梁采用60*40*1.2mm厚的P型钢材，层板采用0.6mm厚电解钢板制造。立柱与横梁以挂接连接锁紧锁的设计，自由升降，无需焊接；每层距离以75mm为节距任意调节层高，每层承载350公斤左右。层数如图；</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2、工艺：二氧化碳保护焊接而成，焊接无脱焊、虚焊、焊穿，焊接点打磨光滑平整无毛刺。钢制部分经除油硅烷化后热固性粉末涂料（塑粉）喷塑处理，表面均匀光亮，色泽一致、密封、平整、无划伤。</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实验台</w:t>
            </w:r>
            <w:r>
              <w:rPr>
                <w:rFonts w:hint="eastAsia" w:ascii="宋体" w:hAnsi="宋体" w:eastAsia="宋体" w:cs="宋体"/>
                <w:b/>
                <w:bCs/>
                <w:i w:val="0"/>
                <w:iCs w:val="0"/>
                <w:color w:val="000000"/>
                <w:sz w:val="24"/>
                <w:szCs w:val="24"/>
                <w:highlight w:val="none"/>
                <w:u w:val="none"/>
                <w:lang w:val="en-US" w:eastAsia="zh-CN" w:bidi="ar"/>
              </w:rPr>
              <w:t xml:space="preserve">（核心产品）</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0" behindDoc="1" locked="0" layoutInCell="1" allowOverlap="1">
                      <wp:simplePos x="0" y="0"/>
                      <wp:positionH relativeFrom="column">
                        <wp:posOffset>0</wp:posOffset>
                      </wp:positionH>
                      <wp:positionV relativeFrom="paragraph">
                        <wp:posOffset>4059555</wp:posOffset>
                      </wp:positionV>
                      <wp:extent cx="909320" cy="786130"/>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909320" cy="7861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0609650;o:allowoverlap:true;o:allowincell:true;mso-position-horizontal-relative:text;margin-left:0.0pt;mso-position-horizontal:absolute;mso-position-vertical-relative:text;margin-top:319.6pt;mso-position-vertical:absolute;width:71.6pt;height:61.9pt;mso-wrap-distance-left:9.0pt;mso-wrap-distance-top:0.0pt;mso-wrap-distance-right:9.0pt;mso-wrap-distance-bottom:0.0pt;" stroked="f">
                      <v:path textboxrect="0,0,0,0"/>
                      <v:imagedata r:id="rId72"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1500*750*800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17"/>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17"/>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17"/>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shd w:val="clear" w:color="auto" w:fill="ffffff"/>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实验台</w:t>
            </w:r>
            <w:r>
              <w:rPr>
                <w:rFonts w:hint="eastAsia" w:ascii="宋体" w:hAnsi="宋体" w:eastAsia="宋体" w:cs="宋体"/>
                <w:i w:val="0"/>
                <w:iCs w:val="0"/>
                <w:color w:val="000000"/>
                <w:sz w:val="24"/>
                <w:szCs w:val="24"/>
                <w:highlight w:val="none"/>
                <w:u w:val="none"/>
              </w:rPr>
            </w:r>
            <w:r/>
          </w:p>
        </w:tc>
        <w:tc>
          <w:tcPr>
            <w:shd w:val="clear" w:color="auto" w:fill="ffffff"/>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19050</wp:posOffset>
                      </wp:positionH>
                      <wp:positionV relativeFrom="paragraph">
                        <wp:posOffset>1203960</wp:posOffset>
                      </wp:positionV>
                      <wp:extent cx="879475" cy="666115"/>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879475" cy="66611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67;o:allowoverlap:true;o:allowincell:true;mso-position-horizontal-relative:text;margin-left:1.5pt;mso-position-horizontal:absolute;mso-position-vertical-relative:text;margin-top:94.8pt;mso-position-vertical:absolute;width:69.2pt;height:52.4pt;mso-wrap-distance-left:9.0pt;mso-wrap-distance-top:0.0pt;mso-wrap-distance-right:9.0pt;mso-wrap-distance-bottom:0.0pt;" stroked="f">
                      <v:path textboxrect="0,0,0,0"/>
                      <v:imagedata r:id="rId73" o:title=""/>
                    </v:shape>
                  </w:pict>
                </mc:Fallback>
              </mc:AlternateContent>
            </w:r>
            <w:r>
              <w:rPr>
                <w:rFonts w:hint="eastAsia" w:ascii="宋体" w:hAnsi="宋体" w:eastAsia="宋体" w:cs="宋体"/>
                <w:i w:val="0"/>
                <w:iCs w:val="0"/>
                <w:color w:val="000000"/>
                <w:sz w:val="24"/>
                <w:szCs w:val="24"/>
                <w:highlight w:val="none"/>
                <w:u w:val="none"/>
              </w:rPr>
            </w:r>
            <w:r/>
          </w:p>
        </w:tc>
        <w:tc>
          <w:tcPr>
            <w:shd w:val="clear" w:color="auto" w:fill="ffffff"/>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1200*750*800</w:t>
            </w:r>
            <w:r>
              <w:rPr>
                <w:rFonts w:hint="eastAsia" w:ascii="宋体" w:hAnsi="宋体" w:eastAsia="宋体" w:cs="宋体"/>
                <w:i w:val="0"/>
                <w:iCs w:val="0"/>
                <w:color w:val="000000"/>
                <w:sz w:val="24"/>
                <w:szCs w:val="24"/>
                <w:highlight w:val="none"/>
                <w:u w:val="none"/>
              </w:rPr>
            </w:r>
            <w:r/>
          </w:p>
        </w:tc>
        <w:tc>
          <w:tcPr>
            <w:shd w:val="clear" w:color="auto" w:fill="ffffff"/>
            <w:tcW w:w="1830" w:type="dxa"/>
            <w:vAlign w:val="center"/>
            <w:textDirection w:val="lrTb"/>
            <w:noWrap w:val="false"/>
          </w:tcPr>
          <w:p>
            <w:pPr>
              <w:pStyle w:val="1160"/>
              <w:numPr>
                <w:ilvl w:val="0"/>
                <w:numId w:val="18"/>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18"/>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18"/>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rPr>
            </w:r>
            <w:r/>
          </w:p>
        </w:tc>
        <w:tc>
          <w:tcPr>
            <w:shd w:val="clear" w:color="auto" w:fill="ffffff"/>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shd w:val="clear" w:color="auto" w:fill="ffffff"/>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r>
      <w:tr>
        <w:trPr>
          <w:trHeight w:val="9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实验台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-9524</wp:posOffset>
                      </wp:positionH>
                      <wp:positionV relativeFrom="paragraph">
                        <wp:posOffset>3927475</wp:posOffset>
                      </wp:positionV>
                      <wp:extent cx="864870" cy="649605"/>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864870" cy="649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68;o:allowoverlap:true;o:allowincell:true;mso-position-horizontal-relative:text;margin-left:-0.7pt;mso-position-horizontal:absolute;mso-position-vertical-relative:text;margin-top:309.2pt;mso-position-vertical:absolute;width:68.1pt;height:51.1pt;mso-wrap-distance-left:9.0pt;mso-wrap-distance-top:0.0pt;mso-wrap-distance-right:9.0pt;mso-wrap-distance-bottom:0.0pt;" stroked="f">
                      <v:path textboxrect="0,0,0,0"/>
                      <v:imagedata r:id="rId74"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1250*750*800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柜体采用≥1.0mm医用喷涂电解钢板加工而成。柜体内衬（侧板、顶板、底板、背板）采用≥1.0mm医用喷涂电解钢板加工而成，表面经耐酸碱处理。桌腿框架采用40*60*1.5mm方管，两侧全封1.0mm医用喷涂电解钢板，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2、台面要求：采用≥12.7mm厚实芯理化板台面，台面边缘用同质材料板双层加厚至25.4mm，用CNC机械加工而成。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-28574</wp:posOffset>
                      </wp:positionH>
                      <wp:positionV relativeFrom="paragraph">
                        <wp:posOffset>3030855</wp:posOffset>
                      </wp:positionV>
                      <wp:extent cx="959485" cy="716915"/>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959485" cy="716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69;o:allowoverlap:true;o:allowincell:true;mso-position-horizontal-relative:text;margin-left:-2.2pt;mso-position-horizontal:absolute;mso-position-vertical-relative:text;margin-top:238.6pt;mso-position-vertical:absolute;width:75.5pt;height:56.4pt;mso-wrap-distance-left:9.0pt;mso-wrap-distance-top:0.0pt;mso-wrap-distance-right:9.0pt;mso-wrap-distance-bottom:0.0pt;" stroked="f">
                      <v:path textboxrect="0,0,0,0"/>
                      <v:imagedata r:id="rId75"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1400*750*800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19"/>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19"/>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19"/>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895"/>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-57149</wp:posOffset>
                      </wp:positionH>
                      <wp:positionV relativeFrom="paragraph">
                        <wp:posOffset>1048385</wp:posOffset>
                      </wp:positionV>
                      <wp:extent cx="871220" cy="815975"/>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871220" cy="815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70;o:allowoverlap:true;o:allowincell:true;mso-position-horizontal-relative:text;margin-left:-4.5pt;mso-position-horizontal:absolute;mso-position-vertical-relative:text;margin-top:82.5pt;mso-position-vertical:absolute;width:68.6pt;height:64.2pt;mso-wrap-distance-left:9.0pt;mso-wrap-distance-top:0.0pt;mso-wrap-distance-right:9.0pt;mso-wrap-distance-bottom:0.0pt;" stroked="f">
                      <v:path textboxrect="0,0,0,0"/>
                      <v:imagedata r:id="rId76"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4000*1500*2300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（3）拉手：采用鹅颈拉手。                   4、水盆：采用高密度PP一体成型水盆，壁厚≥3.5mm，平整不变型，耐强腐蚀、耐酸碱和有机物，不易老化耐划。高密度PP材质浸泡在大多数常用试剂中24小时后没有明显变化；为防止水槽中间或四周有积液，槽体底部有导流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5、龙头：采用实验室专业三口鹅颈龙头，三个独立控制的阀门和三个出水口，出水嘴为可插皮管的尖嘴型。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862319" cy="804540"/>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862319" cy="804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67.9pt;height:63.3pt;mso-wrap-distance-left:0.0pt;mso-wrap-distance-top:0.0pt;mso-wrap-distance-right:0.0pt;mso-wrap-distance-bottom:0.0pt;" stroked="f">
                      <v:path textboxrect="0,0,0,0"/>
                      <v:imagedata r:id="rId77"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3200*1500*2300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20"/>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2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2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r>
      <w:tr>
        <w:trPr>
          <w:trHeight w:val="1495"/>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38100</wp:posOffset>
                      </wp:positionH>
                      <wp:positionV relativeFrom="paragraph">
                        <wp:posOffset>2361565</wp:posOffset>
                      </wp:positionV>
                      <wp:extent cx="813435" cy="757555"/>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813435" cy="757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71;o:allowoverlap:true;o:allowincell:true;mso-position-horizontal-relative:text;margin-left:3.0pt;mso-position-horizontal:absolute;mso-position-vertical-relative:text;margin-top:185.9pt;mso-position-vertical:absolute;width:64.0pt;height:59.6pt;mso-wrap-distance-left:9.0pt;mso-wrap-distance-top:0.0pt;mso-wrap-distance-right:9.0pt;mso-wrap-distance-bottom:0.0pt;" stroked="f">
                      <v:path textboxrect="0,0,0,0"/>
                      <v:imagedata r:id="rId78"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3200*1500*2300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（3）拉手：采用鹅颈拉手。                   4、水盆：采用高密度PP一体成型水盆，壁厚≥3.5mm，平整不变型，耐强腐蚀、耐酸碱和有机物，不易老化耐划。高密度PP材质浸泡在大多数常用试剂中24小时后没有明显变化；为防止水槽中间或四周有积液，槽体底部有导流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5、龙头：采用实验室专业三口鹅颈龙头，三个独立控制的阀门和三个出水口，出水嘴为可插皮管的尖嘴型。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-47624</wp:posOffset>
                      </wp:positionH>
                      <wp:positionV relativeFrom="paragraph">
                        <wp:posOffset>1163320</wp:posOffset>
                      </wp:positionV>
                      <wp:extent cx="987425" cy="789305"/>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987425" cy="789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72;o:allowoverlap:true;o:allowincell:true;mso-position-horizontal-relative:text;margin-left:-3.7pt;mso-position-horizontal:absolute;mso-position-vertical-relative:text;margin-top:91.6pt;mso-position-vertical:absolute;width:77.8pt;height:62.1pt;mso-wrap-distance-left:9.0pt;mso-wrap-distance-top:0.0pt;mso-wrap-distance-right:9.0pt;mso-wrap-distance-bottom:0.0pt;" stroked="f">
                      <v:path textboxrect="0,0,0,0"/>
                      <v:imagedata r:id="rId79"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3600*1500*1700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（3）拉手：采用鹅颈拉手。                   4、水盆：采用高密度PP一体成型水盆，壁厚≥3.5mm，平整不变型，耐强腐蚀、耐酸碱和有机物，不易老化耐划。高密度PP材质浸泡在大多数常用试剂中24小时后没有明显变化；为防止水槽中间或四周有积液，槽体底部有导流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5、龙头：采用实验室专业三口鹅颈龙头，三个独立控制的阀门和三个出水口，出水嘴为可插皮管的尖嘴型。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90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0</wp:posOffset>
                      </wp:positionH>
                      <wp:positionV relativeFrom="paragraph">
                        <wp:posOffset>3744595</wp:posOffset>
                      </wp:positionV>
                      <wp:extent cx="878840" cy="720090"/>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878840"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73;o:allowoverlap:true;o:allowincell:true;mso-position-horizontal-relative:text;margin-left:0.0pt;mso-position-horizontal:absolute;mso-position-vertical-relative:text;margin-top:294.8pt;mso-position-vertical:absolute;width:69.2pt;height:56.7pt;mso-wrap-distance-left:9.0pt;mso-wrap-distance-top:0.0pt;mso-wrap-distance-right:9.0pt;mso-wrap-distance-bottom:0.0pt;" stroked="f">
                      <v:path textboxrect="0,0,0,0"/>
                      <v:imagedata r:id="rId80"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3600*1500*1700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实验台水池</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38100</wp:posOffset>
                      </wp:positionH>
                      <wp:positionV relativeFrom="paragraph">
                        <wp:posOffset>2194560</wp:posOffset>
                      </wp:positionV>
                      <wp:extent cx="798195" cy="866775"/>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798195" cy="866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274;o:allowoverlap:true;o:allowincell:true;mso-position-horizontal-relative:text;margin-left:3.0pt;mso-position-horizontal:absolute;mso-position-vertical-relative:text;margin-top:172.8pt;mso-position-vertical:absolute;width:62.8pt;height:68.2pt;mso-wrap-distance-left:9.0pt;mso-wrap-distance-top:0.0pt;mso-wrap-distance-right:9.0pt;mso-wrap-distance-bottom:0.0pt;" stroked="f">
                      <v:path textboxrect="0,0,0,0"/>
                      <v:imagedata r:id="rId81"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900*750*800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（3）拉手：采用鹅颈拉手。                   4、水盆：采用高密度PP一体成型水盆，壁厚≥3.5mm，平整不变型，耐强腐蚀、耐酸碱和有机物，不易老化耐划。高密度PP材质浸泡在大多数常用试剂中24小时后没有明显变化；为防止水槽中间或四周有积液，槽体底部有导流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5、龙头：采用实验室专业三口鹅颈龙头，三个独立控制的阀门和三个出水口，出水嘴为可插皮管的尖嘴型。</w:t>
            </w:r>
            <w:r>
              <w:rPr>
                <w:rFonts w:hint="eastAsia" w:ascii="宋体" w:hAnsi="宋体" w:eastAsia="宋体" w:cs="宋体"/>
                <w:i w:val="0"/>
                <w:iCs w:val="0"/>
                <w:color w:val="000000"/>
                <w:sz w:val="24"/>
                <w:szCs w:val="24"/>
                <w:highlight w:val="none"/>
                <w:u w:val="none"/>
                <w:lang w:val="en-US" w:eastAsia="zh-CN" w:bidi="ar"/>
              </w:rPr>
            </w:r>
            <w:r/>
          </w:p>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滴水架：材质具有抗菌性、耐疲劳性和抗拉伸特性的高密度PP滴棒和背板，PP滴棒可拆卸。无异味；表面光洁，无缩印，无划痕，无飞边；内部无气泡、无气纹。底部托盘中间设有排水孔，排水孔连接排水管道至水池内。配备不少于27个滴水棒。安装方式：壁挂式。</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r>
      <w:tr>
        <w:trPr>
          <w:trHeight w:val="232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49" behindDoc="1" locked="0" layoutInCell="1" allowOverlap="1">
                      <wp:simplePos x="0" y="0"/>
                      <wp:positionH relativeFrom="column">
                        <wp:posOffset>9525</wp:posOffset>
                      </wp:positionH>
                      <wp:positionV relativeFrom="paragraph">
                        <wp:posOffset>4140835</wp:posOffset>
                      </wp:positionV>
                      <wp:extent cx="887730" cy="67056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887730" cy="670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0609649;o:allowoverlap:true;o:allowincell:true;mso-position-horizontal-relative:text;margin-left:0.8pt;mso-position-horizontal:absolute;mso-position-vertical-relative:text;margin-top:326.1pt;mso-position-vertical:absolute;width:69.9pt;height:52.8pt;mso-wrap-distance-left:9.0pt;mso-wrap-distance-top:0.0pt;mso-wrap-distance-right:9.0pt;mso-wrap-distance-bottom:0.0pt;" stroked="f">
                      <v:path textboxrect="0,0,0,0"/>
                      <v:imagedata r:id="rId82"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3350*2550*750*800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室验边台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48" behindDoc="1" locked="0" layoutInCell="1" allowOverlap="1">
                      <wp:simplePos x="0" y="0"/>
                      <wp:positionH relativeFrom="column">
                        <wp:posOffset>95250</wp:posOffset>
                      </wp:positionH>
                      <wp:positionV relativeFrom="paragraph">
                        <wp:posOffset>2066290</wp:posOffset>
                      </wp:positionV>
                      <wp:extent cx="776605" cy="553720"/>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776605" cy="553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0609648;o:allowoverlap:true;o:allowincell:true;mso-position-horizontal-relative:text;margin-left:7.5pt;mso-position-horizontal:absolute;mso-position-vertical-relative:text;margin-top:162.7pt;mso-position-vertical:absolute;width:61.1pt;height:43.6pt;mso-wrap-distance-left:9.0pt;mso-wrap-distance-top:0.0pt;mso-wrap-distance-right:9.0pt;mso-wrap-distance-bottom:0.0pt;" stroked="f">
                      <v:path textboxrect="0,0,0,0"/>
                      <v:imagedata r:id="rId83"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4000*750*800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4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47" behindDoc="1" locked="0" layoutInCell="1" allowOverlap="1">
                      <wp:simplePos x="0" y="0"/>
                      <wp:positionH relativeFrom="column">
                        <wp:posOffset>95250</wp:posOffset>
                      </wp:positionH>
                      <wp:positionV relativeFrom="paragraph">
                        <wp:posOffset>1088390</wp:posOffset>
                      </wp:positionV>
                      <wp:extent cx="776605" cy="553720"/>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776605" cy="553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0609647;o:allowoverlap:true;o:allowincell:true;mso-position-horizontal-relative:text;margin-left:7.5pt;mso-position-horizontal:absolute;mso-position-vertical-relative:text;margin-top:85.7pt;mso-position-vertical:absolute;width:61.1pt;height:43.6pt;mso-wrap-distance-left:9.0pt;mso-wrap-distance-top:0.0pt;mso-wrap-distance-right:9.0pt;mso-wrap-distance-bottom:0.0pt;" stroked="f">
                      <v:path textboxrect="0,0,0,0"/>
                      <v:imagedata r:id="rId84"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5000*750*800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9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9525</wp:posOffset>
                      </wp:positionH>
                      <wp:positionV relativeFrom="paragraph">
                        <wp:posOffset>3778250</wp:posOffset>
                      </wp:positionV>
                      <wp:extent cx="900430" cy="641985"/>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900430" cy="641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275;o:allowoverlap:true;o:allowincell:true;mso-position-horizontal-relative:text;margin-left:0.8pt;mso-position-horizontal:absolute;mso-position-vertical-relative:text;margin-top:297.5pt;mso-position-vertical:absolute;width:70.9pt;height:50.5pt;mso-wrap-distance-left:9.0pt;mso-wrap-distance-top:0.0pt;mso-wrap-distance-right:9.0pt;mso-wrap-distance-bottom:0.0pt;" stroked="f">
                      <v:path textboxrect="0,0,0,0"/>
                      <v:imagedata r:id="rId85"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5300*750*800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0</wp:posOffset>
                      </wp:positionH>
                      <wp:positionV relativeFrom="paragraph">
                        <wp:posOffset>3095625</wp:posOffset>
                      </wp:positionV>
                      <wp:extent cx="890270" cy="640715"/>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890270" cy="640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276;o:allowoverlap:true;o:allowincell:true;mso-position-horizontal-relative:text;margin-left:0.0pt;mso-position-horizontal:absolute;mso-position-vertical-relative:text;margin-top:243.8pt;mso-position-vertical:absolute;width:70.1pt;height:50.4pt;mso-wrap-distance-left:9.0pt;mso-wrap-distance-top:0.0pt;mso-wrap-distance-right:9.0pt;mso-wrap-distance-bottom:0.0pt;" stroked="f">
                      <v:path textboxrect="0,0,0,0"/>
                      <v:imagedata r:id="rId86"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5800*750*800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807084" cy="575942"/>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807084" cy="5759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63.5pt;height:45.3pt;mso-wrap-distance-left:0.0pt;mso-wrap-distance-top:0.0pt;mso-wrap-distance-right:0.0pt;mso-wrap-distance-bottom:0.0pt;" stroked="f">
                      <v:path textboxrect="0,0,0,0"/>
                      <v:imagedata r:id="rId87"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4600*750*800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06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859147" cy="643890"/>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859147" cy="643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67.6pt;height:50.7pt;mso-wrap-distance-left:0.0pt;mso-wrap-distance-top:0.0pt;mso-wrap-distance-right:0.0pt;mso-wrap-distance-bottom:0.0pt;" stroked="f">
                      <v:path textboxrect="0,0,0,0"/>
                      <v:imagedata r:id="rId88"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2500*750*800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边台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912505" cy="680095"/>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912505" cy="680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71.9pt;height:53.6pt;mso-wrap-distance-left:0.0pt;mso-wrap-distance-top:0.0pt;mso-wrap-distance-right:0.0pt;mso-wrap-distance-bottom:0.0pt;" stroked="f">
                      <v:path textboxrect="0,0,0,0"/>
                      <v:imagedata r:id="rId89"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2450*600*800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9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882007" cy="659122"/>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882007" cy="6591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69.4pt;height:51.9pt;mso-wrap-distance-left:0.0pt;mso-wrap-distance-top:0.0pt;mso-wrap-distance-right:0.0pt;mso-wrap-distance-bottom:0.0pt;" stroked="f">
                      <v:path textboxrect="0,0,0,0"/>
                      <v:imagedata r:id="rId90"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2370*750*800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5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928366" cy="694040"/>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928366" cy="694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73.1pt;height:54.6pt;mso-wrap-distance-left:0.0pt;mso-wrap-distance-top:0.0pt;mso-wrap-distance-right:0.0pt;mso-wrap-distance-bottom:0.0pt;" stroked="f">
                      <v:path textboxrect="0,0,0,0"/>
                      <v:imagedata r:id="rId91"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2400*600*950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855971" cy="687671"/>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855971" cy="687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67.4pt;height:54.1pt;mso-wrap-distance-left:0.0pt;mso-wrap-distance-top:0.0pt;mso-wrap-distance-right:0.0pt;mso-wrap-distance-bottom:0.0pt;" stroked="f">
                      <v:path textboxrect="0,0,0,0"/>
                      <v:imagedata r:id="rId92"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2000*750*800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9921"/>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实验边台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38100</wp:posOffset>
                      </wp:positionH>
                      <wp:positionV relativeFrom="paragraph">
                        <wp:posOffset>3709670</wp:posOffset>
                      </wp:positionV>
                      <wp:extent cx="728980" cy="523875"/>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72898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277;o:allowoverlap:true;o:allowincell:true;mso-position-horizontal-relative:text;margin-left:3.0pt;mso-position-horizontal:absolute;mso-position-vertical-relative:text;margin-top:292.1pt;mso-position-vertical:absolute;width:57.4pt;height:41.2pt;mso-wrap-distance-left:9.0pt;mso-wrap-distance-top:0.0pt;mso-wrap-distance-right:9.0pt;mso-wrap-distance-bottom:0.0pt;" stroked="f">
                      <v:path textboxrect="0,0,0,0"/>
                      <v:imagedata r:id="rId93"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3550*750*800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lang w:val="en-US" w:eastAsia="zh-CN" w:bidi="ar"/>
              </w:rPr>
            </w:r>
            <w:r/>
          </w:p>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水盆：高密度PP一体成型水盆，壁厚≥3.5mm，平整不变型，耐强腐蚀、耐酸碱和有机物，不易老化耐划。高密度PP材质浸泡在大多数常用试剂中24小时后没有明显变化；为防止水槽中间或四周有积液，槽体底部有导流线。</w:t>
            </w:r>
            <w:r>
              <w:rPr>
                <w:rFonts w:hint="eastAsia" w:ascii="宋体" w:hAnsi="宋体" w:eastAsia="宋体" w:cs="宋体"/>
                <w:i w:val="0"/>
                <w:iCs w:val="0"/>
                <w:color w:val="000000"/>
                <w:sz w:val="24"/>
                <w:szCs w:val="24"/>
                <w:highlight w:val="none"/>
                <w:u w:val="none"/>
                <w:lang w:val="en-US" w:eastAsia="zh-CN" w:bidi="ar"/>
              </w:rPr>
            </w:r>
            <w:r/>
          </w:p>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7、龙头：实验室专业三口鹅颈龙头，三个独立控制的阀门和三个出水口，出水嘴为可插皮管的尖嘴型。</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435"/>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实验边台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-28574</wp:posOffset>
                      </wp:positionH>
                      <wp:positionV relativeFrom="paragraph">
                        <wp:posOffset>665480</wp:posOffset>
                      </wp:positionV>
                      <wp:extent cx="953135" cy="678180"/>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953135" cy="678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278;o:allowoverlap:true;o:allowincell:true;mso-position-horizontal-relative:text;margin-left:-2.2pt;mso-position-horizontal:absolute;mso-position-vertical-relative:text;margin-top:52.4pt;mso-position-vertical:absolute;width:75.0pt;height:53.4pt;mso-wrap-distance-left:9.0pt;mso-wrap-distance-top:0.0pt;mso-wrap-distance-right:9.0pt;mso-wrap-distance-bottom:0.0pt;" stroked="f">
                      <v:path textboxrect="0,0,0,0"/>
                      <v:imagedata r:id="rId94" o:title=""/>
                    </v:shape>
                  </w:pict>
                </mc:Fallback>
              </mc:AlternateContent>
            </w:r>
            <w:r>
              <w:rPr>
                <w:rFonts w:hint="eastAsia" w:ascii="宋体" w:hAnsi="宋体" w:eastAsia="宋体" w:cs="宋体"/>
                <w:i w:val="0"/>
                <w:iCs w:val="0"/>
                <w:color w:val="000000"/>
                <w:sz w:val="24"/>
                <w:szCs w:val="24"/>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29210</wp:posOffset>
                      </wp:positionH>
                      <wp:positionV relativeFrom="paragraph">
                        <wp:posOffset>3482340</wp:posOffset>
                      </wp:positionV>
                      <wp:extent cx="791210" cy="906780"/>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791210" cy="906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261;o:allowoverlap:true;o:allowincell:true;mso-position-horizontal-relative:text;margin-left:2.3pt;mso-position-horizontal:absolute;mso-position-vertical-relative:text;margin-top:274.2pt;mso-position-vertical:absolute;width:62.3pt;height:71.4pt;mso-wrap-distance-left:9.0pt;mso-wrap-distance-top:0.0pt;mso-wrap-distance-right:9.0pt;mso-wrap-distance-bottom:0.0pt;" stroked="f">
                      <v:path textboxrect="0,0,0,0"/>
                      <v:imagedata r:id="rId95"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7600*750*800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435"/>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实验边台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755639" cy="539765"/>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755639" cy="539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9.5pt;height:42.5pt;mso-wrap-distance-left:0.0pt;mso-wrap-distance-top:0.0pt;mso-wrap-distance-right:0.0pt;mso-wrap-distance-bottom:0.0pt;" stroked="f">
                      <v:path textboxrect="0,0,0,0"/>
                      <v:imagedata r:id="rId96"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4119*750*800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实验边台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771552" cy="557521"/>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771552" cy="5575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60.8pt;height:43.9pt;mso-wrap-distance-left:0.0pt;mso-wrap-distance-top:0.0pt;mso-wrap-distance-right:0.0pt;mso-wrap-distance-bottom:0.0pt;" stroked="f">
                      <v:path textboxrect="0,0,0,0"/>
                      <v:imagedata r:id="rId97"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4200*750*800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825"/>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实验边台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857895" cy="613424"/>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857895" cy="61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67.6pt;height:48.3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2795*750*800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实验边台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812797" cy="579760"/>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812797" cy="579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64.0pt;height:45.7pt;mso-wrap-distance-left:0.0pt;mso-wrap-distance-top:0.0pt;mso-wrap-distance-right:0.0pt;mso-wrap-distance-bottom:0.0pt;" stroked="f">
                      <v:path textboxrect="0,0,0,0"/>
                      <v:imagedata r:id="rId99"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3000*750*800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395"/>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实验边台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790588" cy="571494"/>
                      <wp:effectExtent l="0" t="0" r="0" b="0"/>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790588" cy="5714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62.3pt;height:45.0pt;mso-wrap-distance-left:0.0pt;mso-wrap-distance-top:0.0pt;mso-wrap-distance-right:0.0pt;mso-wrap-distance-bottom:0.0pt;" stroked="f">
                      <v:path textboxrect="0,0,0,0"/>
                      <v:imagedata r:id="rId100"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3800*750*800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实验边台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810870" cy="579760"/>
                      <wp:effectExtent l="0" t="0" r="0" b="0"/>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810870" cy="579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63.8pt;height:45.7pt;mso-wrap-distance-left:0.0pt;mso-wrap-distance-top:0.0pt;mso-wrap-distance-right:0.0pt;mso-wrap-distance-bottom:0.0pt;" stroked="f">
                      <v:path textboxrect="0,0,0,0"/>
                      <v:imagedata r:id="rId101"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2400*750*800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005"/>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862980" cy="595008"/>
                      <wp:effectExtent l="0" t="0" r="0" b="0"/>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862980" cy="5950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68.0pt;height:46.9pt;mso-wrap-distance-left:0.0pt;mso-wrap-distance-top:0.0pt;mso-wrap-distance-right:0.0pt;mso-wrap-distance-bottom:0.0pt;" stroked="f">
                      <v:path textboxrect="0,0,0,0"/>
                      <v:imagedata r:id="rId102"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3800*750*800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highlight w:val="none"/>
                <w:u w:val="none"/>
                <w:lang w:val="en-US" w:eastAsia="zh-CN" w:bidi="ar"/>
              </w:rPr>
            </w:r>
            <w:r/>
          </w:p>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ascii="宋体" w:hAnsi="宋体" w:eastAsia="宋体" w:cs="宋体"/>
                <w:i w:val="0"/>
                <w:iCs w:val="0"/>
                <w:color w:val="000000"/>
                <w:sz w:val="24"/>
                <w:szCs w:val="24"/>
                <w:highlight w:val="none"/>
                <w:lang w:val="en-US" w:eastAsia="zh-CN" w:bidi="ar-SA"/>
              </w:rPr>
              <w:t xml:space="preserve">3、</w:t>
            </w:r>
            <w:r>
              <w:rPr>
                <w:rFonts w:hint="eastAsia" w:ascii="宋体" w:hAnsi="宋体" w:eastAsia="宋体" w:cs="宋体"/>
                <w:i w:val="0"/>
                <w:iCs w:val="0"/>
                <w:color w:val="000000"/>
                <w:sz w:val="24"/>
                <w:szCs w:val="24"/>
                <w:highlight w:val="none"/>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5、五金配件：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（4）拉手：采用鹅颈拉手。</w:t>
            </w:r>
            <w:r>
              <w:rPr>
                <w:rFonts w:hint="eastAsia" w:ascii="宋体" w:hAnsi="宋体" w:eastAsia="宋体" w:cs="宋体"/>
                <w:i w:val="0"/>
                <w:iCs w:val="0"/>
                <w:color w:val="000000"/>
                <w:sz w:val="24"/>
                <w:szCs w:val="24"/>
                <w:highlight w:val="none"/>
                <w:u w:val="none"/>
                <w:lang w:val="en-US" w:eastAsia="zh-CN" w:bidi="ar"/>
              </w:rPr>
            </w:r>
            <w:r/>
          </w:p>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水盆：高密度PP一体成型水盆，壁厚≥3.5mm，平整不变型，耐强腐蚀、耐酸碱和有机物，不易老化耐划。高密度PP材质浸泡在大多数常用试剂中24小时后没有明显变化；为防止水槽中间或四周有积液，槽体底部有导流线。</w:t>
            </w:r>
            <w:r>
              <w:rPr>
                <w:rFonts w:hint="eastAsia" w:ascii="宋体" w:hAnsi="宋体" w:eastAsia="宋体" w:cs="宋体"/>
                <w:i w:val="0"/>
                <w:iCs w:val="0"/>
                <w:color w:val="000000"/>
                <w:sz w:val="24"/>
                <w:szCs w:val="24"/>
                <w:highlight w:val="none"/>
                <w:u w:val="none"/>
                <w:lang w:val="en-US" w:eastAsia="zh-CN" w:bidi="ar"/>
              </w:rPr>
            </w:r>
            <w:r/>
          </w:p>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7、龙头：实验室专业三口鹅颈龙头，三个独立控制的阀门和三个出水口，出水嘴为可插皮管的尖嘴型。</w:t>
            </w:r>
            <w:r>
              <w:rPr>
                <w:rFonts w:hint="eastAsia" w:ascii="宋体" w:hAnsi="宋体" w:eastAsia="宋体" w:cs="宋体"/>
                <w:i w:val="0"/>
                <w:iCs w:val="0"/>
                <w:color w:val="000000"/>
                <w:sz w:val="24"/>
                <w:szCs w:val="24"/>
                <w:highlight w:val="none"/>
                <w:u w:val="none"/>
                <w:lang w:val="en-US" w:eastAsia="zh-CN" w:bidi="ar"/>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仪器台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998818" cy="777262"/>
                      <wp:effectExtent l="0" t="0" r="0" b="0"/>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998818" cy="7772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8.6pt;height:61.2pt;mso-wrap-distance-left:0.0pt;mso-wrap-distance-top:0.0pt;mso-wrap-distance-right:0.0pt;mso-wrap-distance-bottom:0.0pt;" stroked="f">
                      <v:path textboxrect="0,0,0,0"/>
                      <v:imagedata r:id="rId103"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1800*750*800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1、桌腿框架采用40*60*1.5mm方管，经耐酸碱处理，方管表面具备耐酸碱、抗冲击特性。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2、台面要求：采用≥12.7mm厚实芯理化板台面，台面边缘用同质材料板双层加厚至25.4mm，用CNC机械加工而成。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1105"/>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仪器台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962642" cy="748006"/>
                      <wp:effectExtent l="0" t="0" r="0" b="0"/>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962642" cy="7480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75.8pt;height:58.9pt;mso-wrap-distance-left:0.0pt;mso-wrap-distance-top:0.0pt;mso-wrap-distance-right:0.0pt;mso-wrap-distance-bottom:0.0pt;" stroked="f">
                      <v:path textboxrect="0,0,0,0"/>
                      <v:imagedata r:id="rId104"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1850*850*850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1、桌腿框架采用40*60*1.5mm方管，经耐酸碱处理，方管表面具备耐酸碱、抗冲击特性。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2、台面要求：采用≥12.7mm厚实芯理化板台面，台面边缘用同质材料板双层加厚至25.4mm。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组</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r>
      <w:tr>
        <w:trPr>
          <w:trHeight w:val="3280"/>
        </w:trPr>
        <w:tc>
          <w:tcPr>
            <w:tcW w:w="249"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仪器台</w:t>
            </w:r>
            <w:r>
              <w:rPr>
                <w:rFonts w:hint="eastAsia" w:ascii="宋体" w:hAnsi="宋体" w:eastAsia="宋体" w:cs="宋体"/>
                <w:i w:val="0"/>
                <w:iCs w:val="0"/>
                <w:color w:val="000000"/>
                <w:sz w:val="24"/>
                <w:szCs w:val="24"/>
                <w:highlight w:val="none"/>
                <w:u w:val="none"/>
              </w:rPr>
            </w:r>
            <w:r/>
          </w:p>
        </w:tc>
        <w:tc>
          <w:tcPr>
            <w:tcW w:w="930"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color w:val="000000"/>
                <w:highlight w:val="none"/>
              </w:rPr>
              <mc:AlternateContent>
                <mc:Choice Requires="wpg">
                  <w:drawing>
                    <wp:inline xmlns:wp="http://schemas.openxmlformats.org/drawingml/2006/wordprocessingDrawing" distT="0" distB="0" distL="0" distR="0">
                      <wp:extent cx="1056653" cy="951890"/>
                      <wp:effectExtent l="0" t="0" r="0" b="0"/>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1056653" cy="951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83.2pt;height:75.0pt;mso-wrap-distance-left:0.0pt;mso-wrap-distance-top:0.0pt;mso-wrap-distance-right:0.0pt;mso-wrap-distance-bottom:0.0pt;" stroked="f">
                      <v:path textboxrect="0,0,0,0"/>
                      <v:imagedata r:id="rId105" o:title=""/>
                    </v:shape>
                  </w:pict>
                </mc:Fallback>
              </mc:AlternateContent>
            </w:r>
            <w:r>
              <w:rPr>
                <w:rFonts w:hint="eastAsia" w:ascii="宋体" w:hAnsi="宋体" w:eastAsia="宋体" w:cs="宋体"/>
                <w:i w:val="0"/>
                <w:iCs w:val="0"/>
                <w:color w:val="000000"/>
                <w:sz w:val="24"/>
                <w:szCs w:val="24"/>
                <w:highlight w:val="none"/>
                <w:u w:val="none"/>
              </w:rPr>
            </w:r>
            <w:r/>
          </w:p>
        </w:tc>
        <w:tc>
          <w:tcPr>
            <w:tcW w:w="866" w:type="dxa"/>
            <w:vAlign w:val="center"/>
            <w:textDirection w:val="lrTb"/>
            <w:noWrap/>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1200*1100*800</w:t>
            </w:r>
            <w:r>
              <w:rPr>
                <w:rFonts w:hint="eastAsia" w:ascii="宋体" w:hAnsi="宋体" w:eastAsia="宋体" w:cs="宋体"/>
                <w:i w:val="0"/>
                <w:iCs w:val="0"/>
                <w:color w:val="000000"/>
                <w:sz w:val="24"/>
                <w:szCs w:val="24"/>
                <w:highlight w:val="none"/>
                <w:u w:val="none"/>
              </w:rPr>
            </w:r>
            <w:r/>
          </w:p>
        </w:tc>
        <w:tc>
          <w:tcPr>
            <w:tcW w:w="1830"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1、桌腿框架采用40*60*1.5mm方管，经耐酸碱处理，方管表面具备耐酸碱、抗冲击特性。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2、台面要求：采用≥12.7mm厚实芯理化板台面，台面边缘用同质材料板双层加厚至25.4mm，用CNC机械加工而成。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tcW w:w="374"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bl>
    <w:p>
      <w:pPr>
        <w:pStyle w:val="1160"/>
        <w:contextualSpacing/>
        <w:keepLines w:val="0"/>
        <w:keepNext w:val="0"/>
        <w:pageBreakBefore w:val="0"/>
        <w:spacing w:line="360" w:lineRule="auto"/>
        <w:shd w:val="clear" w:color="auto" w:fill="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二、商务要求</w:t>
      </w:r>
      <w:r>
        <w:rPr>
          <w:rFonts w:hint="eastAsia" w:ascii="宋体" w:hAnsi="宋体" w:eastAsia="宋体" w:cs="宋体"/>
          <w:b/>
          <w:bCs w:val="0"/>
          <w:color w:val="000000"/>
          <w:sz w:val="24"/>
          <w:szCs w:val="24"/>
          <w:highlight w:val="none"/>
          <w:lang w:val="en-US" w:eastAsia="zh-CN"/>
        </w:rPr>
      </w:r>
      <w:r/>
    </w:p>
    <w:p>
      <w:pPr>
        <w:pStyle w:val="1160"/>
        <w:contextualSpacing/>
        <w:ind w:firstLine="482"/>
        <w:keepLines w:val="0"/>
        <w:keepNext w:val="0"/>
        <w:pageBreakBefore w:val="0"/>
        <w:spacing w:line="360" w:lineRule="auto"/>
        <w:shd w:val="clear" w:color="auto" w:fill="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1.交付的时间和地点</w:t>
      </w:r>
      <w:r>
        <w:rPr>
          <w:rFonts w:hint="eastAsia" w:ascii="宋体" w:hAnsi="宋体" w:eastAsia="宋体" w:cs="宋体"/>
          <w:b/>
          <w:bCs w:val="0"/>
          <w:color w:val="000000"/>
          <w:sz w:val="24"/>
          <w:szCs w:val="24"/>
          <w:highlight w:val="none"/>
          <w:lang w:val="en-US" w:eastAsia="zh-CN"/>
        </w:rPr>
      </w:r>
      <w:r/>
    </w:p>
    <w:p>
      <w:pPr>
        <w:pStyle w:val="1160"/>
        <w:contextualSpacing/>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u w:val="none"/>
          <w:lang w:eastAsia="zh-CN"/>
        </w:rPr>
        <w:outlineLvl w:val="9"/>
      </w:pPr>
      <w:r>
        <w:rPr>
          <w:rFonts w:hint="eastAsia" w:ascii="宋体" w:hAnsi="宋体" w:eastAsia="宋体" w:cs="宋体"/>
          <w:color w:val="000000"/>
          <w:sz w:val="24"/>
          <w:szCs w:val="24"/>
          <w:highlight w:val="none"/>
          <w:u w:val="none"/>
          <w:lang w:eastAsia="zh-CN"/>
        </w:rPr>
        <w:t xml:space="preserve">（1）交货时间：</w:t>
      </w:r>
      <w:r>
        <w:rPr>
          <w:rFonts w:hint="eastAsia" w:ascii="宋体" w:hAnsi="宋体" w:eastAsia="宋体" w:cs="宋体"/>
          <w:color w:val="000000"/>
          <w:sz w:val="24"/>
          <w:szCs w:val="24"/>
          <w:highlight w:val="none"/>
          <w:u w:val="none"/>
          <w:lang w:val="en-US" w:eastAsia="zh-CN"/>
        </w:rPr>
        <w:t xml:space="preserve">合同签订后35日历天内将所有家具送至采购人指定地点，并安装调试到位至验收合格。</w:t>
      </w:r>
      <w:r>
        <w:rPr>
          <w:rFonts w:hint="eastAsia" w:ascii="宋体" w:hAnsi="宋体" w:eastAsia="宋体" w:cs="宋体"/>
          <w:color w:val="000000"/>
          <w:sz w:val="24"/>
          <w:szCs w:val="24"/>
          <w:highlight w:val="none"/>
          <w:u w:val="none"/>
          <w:lang w:eastAsia="zh-CN"/>
        </w:rPr>
      </w:r>
      <w:r/>
    </w:p>
    <w:p>
      <w:pPr>
        <w:pStyle w:val="1160"/>
        <w:contextualSpacing/>
        <w:ind w:firstLine="480"/>
        <w:keepLines w:val="0"/>
        <w:keepNext w:val="0"/>
        <w:pageBreakBefore w:val="0"/>
        <w:spacing w:line="360" w:lineRule="auto"/>
        <w:shd w:val="clear" w:color="auto" w:fill="auto"/>
        <w:widowControl w:val="off"/>
        <w:rPr>
          <w:rFonts w:ascii="宋体" w:hAnsi="宋体" w:eastAsia="宋体" w:cs="宋体"/>
          <w:color w:val="000000"/>
          <w:sz w:val="24"/>
          <w:szCs w:val="24"/>
          <w:highlight w:val="none"/>
          <w:u w:val="none"/>
          <w:lang w:val="en-US" w:eastAsia="zh-CN"/>
        </w:rPr>
        <w:outlineLvl w:val="9"/>
      </w:pPr>
      <w:r>
        <w:rPr>
          <w:rFonts w:hint="eastAsia" w:ascii="宋体" w:hAnsi="宋体" w:eastAsia="宋体" w:cs="宋体"/>
          <w:color w:val="000000"/>
          <w:sz w:val="24"/>
          <w:szCs w:val="24"/>
          <w:highlight w:val="none"/>
          <w:u w:val="none"/>
          <w:lang w:eastAsia="zh-CN"/>
        </w:rPr>
        <w:t xml:space="preserve">（2）交货地点：</w:t>
      </w:r>
      <w:r>
        <w:rPr>
          <w:rFonts w:hint="eastAsia" w:ascii="宋体" w:hAnsi="宋体" w:eastAsia="宋体" w:cs="宋体"/>
          <w:color w:val="000000"/>
          <w:sz w:val="24"/>
          <w:szCs w:val="24"/>
          <w:highlight w:val="none"/>
          <w:u w:val="none"/>
          <w:lang w:val="en-US" w:eastAsia="zh-CN"/>
        </w:rPr>
        <w:t xml:space="preserve">常州市武进人民医院。</w:t>
      </w:r>
      <w:r>
        <w:rPr>
          <w:rFonts w:ascii="宋体" w:hAnsi="宋体" w:eastAsia="宋体" w:cs="宋体"/>
          <w:color w:val="000000"/>
          <w:sz w:val="24"/>
          <w:szCs w:val="24"/>
          <w:highlight w:val="none"/>
          <w:u w:val="none"/>
          <w:lang w:val="en-US" w:eastAsia="zh-CN"/>
        </w:rPr>
      </w:r>
      <w:r/>
    </w:p>
    <w:p>
      <w:pPr>
        <w:pStyle w:val="1160"/>
        <w:contextualSpacing/>
        <w:ind w:firstLine="482"/>
        <w:keepLines w:val="0"/>
        <w:keepNext w:val="0"/>
        <w:pageBreakBefore w:val="0"/>
        <w:spacing w:line="360" w:lineRule="auto"/>
        <w:shd w:val="clear" w:color="auto" w:fill="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2.付款条件</w:t>
      </w:r>
      <w:r>
        <w:rPr>
          <w:rFonts w:hint="eastAsia" w:ascii="宋体" w:hAnsi="宋体" w:eastAsia="宋体" w:cs="宋体"/>
          <w:b/>
          <w:bCs w:val="0"/>
          <w:color w:val="000000"/>
          <w:sz w:val="24"/>
          <w:szCs w:val="24"/>
          <w:highlight w:val="none"/>
          <w:lang w:val="en-US" w:eastAsia="zh-CN"/>
        </w:rPr>
      </w:r>
      <w:r/>
    </w:p>
    <w:p>
      <w:pPr>
        <w:pStyle w:val="1160"/>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bookmarkStart w:id="715" w:name="_Toc5874"/>
      <w:r>
        <w:rPr>
          <w:rFonts w:hint="eastAsia" w:ascii="宋体" w:hAnsi="宋体" w:eastAsia="宋体" w:cs="宋体"/>
          <w:bCs/>
          <w:color w:val="000000"/>
          <w:sz w:val="24"/>
          <w:szCs w:val="24"/>
          <w:highlight w:val="none"/>
          <w:lang w:val="en-US" w:eastAsia="zh-CN"/>
        </w:rPr>
        <w:t xml:space="preserve">合同签订后支付合同价30%的预付款；货到安装完成后付至合同价的90%，验收合格后60日内付清余款（无息）。</w:t>
      </w:r>
      <w:r>
        <w:rPr>
          <w:rFonts w:hint="eastAsia" w:ascii="宋体" w:hAnsi="宋体" w:eastAsia="宋体" w:cs="宋体"/>
          <w:bCs/>
          <w:color w:val="000000"/>
          <w:sz w:val="24"/>
          <w:szCs w:val="24"/>
          <w:highlight w:val="none"/>
          <w:lang w:val="en-US" w:eastAsia="zh-CN"/>
        </w:rPr>
      </w:r>
      <w:r/>
    </w:p>
    <w:p>
      <w:pPr>
        <w:pStyle w:val="1160"/>
        <w:keepLines w:val="0"/>
        <w:keepNext w:val="0"/>
        <w:pageBreakBefore w:val="0"/>
        <w:spacing w:line="360" w:lineRule="auto"/>
        <w:shd w:val="clear" w:color="auto" w:fill="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三、技术要求</w:t>
      </w:r>
      <w:r>
        <w:rPr>
          <w:rFonts w:ascii="宋体" w:hAnsi="宋体" w:eastAsia="宋体" w:cs="宋体"/>
          <w:b/>
          <w:bCs/>
          <w:color w:val="000000"/>
          <w:sz w:val="24"/>
          <w:szCs w:val="24"/>
          <w:highlight w:val="none"/>
          <w:lang w:val="en-US" w:eastAsia="zh-CN"/>
        </w:rPr>
      </w:r>
      <w:r/>
    </w:p>
    <w:p>
      <w:pPr>
        <w:pStyle w:val="1160"/>
        <w:contextualSpacing/>
        <w:ind w:firstLine="480"/>
        <w:keepLines w:val="0"/>
        <w:keepNext w:val="0"/>
        <w:pageBreakBefore w:val="0"/>
        <w:spacing w:line="360" w:lineRule="auto"/>
        <w:shd w:val="clear" w:color="auto" w:fill="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中标人应保证所供货物的安全性、可靠性、先进性、经济性和实用性，并为全新、未使用过的原装合格正品，完全符合采购文件规定的质量、规格和性能的要求，所有货物的生产、制造、安装等，各项技术标准应当符合国家标准和各项规范要求；国家没有相应标准、规范的，可使用行业标准、规定；且应符合采购约定的技术要求和规范。保证能通过采购人的质量验收、竣工验收等各类验收。</w:t>
      </w:r>
      <w:r>
        <w:rPr>
          <w:rFonts w:hint="eastAsia" w:ascii="宋体" w:hAnsi="宋体" w:eastAsia="宋体" w:cs="宋体"/>
          <w:b w:val="0"/>
          <w:bCs/>
          <w:color w:val="000000"/>
          <w:sz w:val="24"/>
          <w:szCs w:val="24"/>
          <w:highlight w:val="none"/>
          <w:lang w:val="en-US" w:eastAsia="zh-CN"/>
        </w:rPr>
      </w:r>
      <w:r/>
    </w:p>
    <w:p>
      <w:pPr>
        <w:pStyle w:val="1160"/>
        <w:contextualSpacing/>
        <w:ind w:firstLine="480"/>
        <w:keepLines w:val="0"/>
        <w:keepNext w:val="0"/>
        <w:pageBreakBefore w:val="0"/>
        <w:spacing w:line="360" w:lineRule="auto"/>
        <w:shd w:val="clear" w:color="auto" w:fill="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中标人</w:t>
      </w:r>
      <w:r>
        <w:rPr>
          <w:rFonts w:hint="eastAsia" w:ascii="宋体" w:hAnsi="宋体" w:eastAsia="宋体" w:cs="宋体"/>
          <w:b w:val="0"/>
          <w:bCs/>
          <w:color w:val="000000"/>
          <w:sz w:val="24"/>
          <w:szCs w:val="24"/>
          <w:highlight w:val="none"/>
          <w:lang w:val="en-US" w:eastAsia="zh-CN"/>
        </w:rPr>
        <w:t xml:space="preserve">应保证采购人在使用其所供货物时不受第三方提出侵犯其专利权、著作权和工业产权等知识产权的起诉。一旦出现侵权，一律由</w:t>
      </w:r>
      <w:r>
        <w:rPr>
          <w:rFonts w:hint="eastAsia" w:ascii="宋体" w:hAnsi="宋体" w:eastAsia="宋体" w:cs="宋体"/>
          <w:b w:val="0"/>
          <w:bCs/>
          <w:color w:val="000000"/>
          <w:sz w:val="24"/>
          <w:szCs w:val="24"/>
          <w:highlight w:val="none"/>
          <w:lang w:val="en-US" w:eastAsia="zh-CN"/>
        </w:rPr>
        <w:t xml:space="preserve">中标人</w:t>
      </w:r>
      <w:r>
        <w:rPr>
          <w:rFonts w:hint="eastAsia" w:ascii="宋体" w:hAnsi="宋体" w:eastAsia="宋体" w:cs="宋体"/>
          <w:b w:val="0"/>
          <w:bCs/>
          <w:color w:val="000000"/>
          <w:sz w:val="24"/>
          <w:szCs w:val="24"/>
          <w:highlight w:val="none"/>
          <w:lang w:val="en-US" w:eastAsia="zh-CN"/>
        </w:rPr>
        <w:t xml:space="preserve">承担全部责任。同时，</w:t>
      </w:r>
      <w:r>
        <w:rPr>
          <w:rFonts w:hint="eastAsia" w:ascii="宋体" w:hAnsi="宋体" w:eastAsia="宋体" w:cs="宋体"/>
          <w:b w:val="0"/>
          <w:bCs/>
          <w:color w:val="000000"/>
          <w:sz w:val="24"/>
          <w:szCs w:val="24"/>
          <w:highlight w:val="none"/>
          <w:lang w:val="en-US" w:eastAsia="zh-CN"/>
        </w:rPr>
        <w:t xml:space="preserve">中标人</w:t>
      </w:r>
      <w:r>
        <w:rPr>
          <w:rFonts w:hint="eastAsia" w:ascii="宋体" w:hAnsi="宋体" w:eastAsia="宋体" w:cs="宋体"/>
          <w:b w:val="0"/>
          <w:bCs/>
          <w:color w:val="000000"/>
          <w:sz w:val="24"/>
          <w:szCs w:val="24"/>
          <w:highlight w:val="none"/>
          <w:lang w:val="en-US" w:eastAsia="zh-CN"/>
        </w:rPr>
        <w:t xml:space="preserve">对采购人采购的货物所涉及的技术、产能等信息负有保密义务。</w:t>
      </w:r>
      <w:r>
        <w:rPr>
          <w:rFonts w:hint="eastAsia" w:ascii="宋体" w:hAnsi="宋体" w:eastAsia="宋体" w:cs="宋体"/>
          <w:b w:val="0"/>
          <w:bCs/>
          <w:color w:val="000000"/>
          <w:sz w:val="24"/>
          <w:szCs w:val="24"/>
          <w:highlight w:val="none"/>
          <w:lang w:val="en-US" w:eastAsia="zh-CN"/>
        </w:rPr>
      </w:r>
      <w:r/>
    </w:p>
    <w:p>
      <w:pPr>
        <w:pStyle w:val="1160"/>
        <w:contextualSpacing/>
        <w:ind w:firstLine="480"/>
        <w:keepLines w:val="0"/>
        <w:keepNext w:val="0"/>
        <w:pageBreakBefore w:val="0"/>
        <w:spacing w:line="360" w:lineRule="auto"/>
        <w:shd w:val="clear" w:color="auto" w:fill="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en-US" w:eastAsia="zh-CN"/>
        </w:rPr>
        <w:t xml:space="preserve">中标人</w:t>
      </w:r>
      <w:r>
        <w:rPr>
          <w:rFonts w:hint="eastAsia" w:ascii="宋体" w:hAnsi="宋体" w:eastAsia="宋体" w:cs="宋体"/>
          <w:b w:val="0"/>
          <w:bCs/>
          <w:color w:val="000000"/>
          <w:sz w:val="24"/>
          <w:szCs w:val="24"/>
          <w:highlight w:val="none"/>
          <w:lang w:val="en-US" w:eastAsia="zh-CN"/>
        </w:rPr>
        <w:t xml:space="preserve">中标后须与采购人在投标产品的“功能配置、技术要求等”方面及时进行技术交流并提出合理化建议，与采购人进行技术确认；</w:t>
      </w:r>
      <w:r>
        <w:rPr>
          <w:rFonts w:hint="eastAsia" w:ascii="宋体" w:hAnsi="宋体" w:eastAsia="宋体" w:cs="宋体"/>
          <w:b w:val="0"/>
          <w:bCs/>
          <w:color w:val="000000"/>
          <w:sz w:val="24"/>
          <w:szCs w:val="24"/>
          <w:highlight w:val="none"/>
          <w:lang w:val="en-US" w:eastAsia="zh-CN"/>
        </w:rPr>
        <w:t xml:space="preserve">中标人</w:t>
      </w:r>
      <w:r>
        <w:rPr>
          <w:rFonts w:hint="eastAsia" w:ascii="宋体" w:hAnsi="宋体" w:eastAsia="宋体" w:cs="宋体"/>
          <w:b w:val="0"/>
          <w:bCs/>
          <w:color w:val="000000"/>
          <w:sz w:val="24"/>
          <w:szCs w:val="24"/>
          <w:highlight w:val="none"/>
          <w:lang w:val="en-US" w:eastAsia="zh-CN"/>
        </w:rPr>
        <w:t xml:space="preserve">开始制造产品之前，采购人有权要求</w:t>
      </w:r>
      <w:r>
        <w:rPr>
          <w:rFonts w:hint="eastAsia" w:ascii="宋体" w:hAnsi="宋体" w:eastAsia="宋体" w:cs="宋体"/>
          <w:b w:val="0"/>
          <w:bCs/>
          <w:color w:val="000000"/>
          <w:sz w:val="24"/>
          <w:szCs w:val="24"/>
          <w:highlight w:val="none"/>
          <w:lang w:val="en-US" w:eastAsia="zh-CN"/>
        </w:rPr>
        <w:t xml:space="preserve">中标人</w:t>
      </w:r>
      <w:r>
        <w:rPr>
          <w:rFonts w:hint="eastAsia" w:ascii="宋体" w:hAnsi="宋体" w:eastAsia="宋体" w:cs="宋体"/>
          <w:b w:val="0"/>
          <w:bCs/>
          <w:color w:val="000000"/>
          <w:sz w:val="24"/>
          <w:szCs w:val="24"/>
          <w:highlight w:val="none"/>
          <w:lang w:val="en-US" w:eastAsia="zh-CN"/>
        </w:rPr>
        <w:t xml:space="preserve">对产品进行微调，最终的产品须经采购人确认同意。</w:t>
      </w:r>
      <w:r>
        <w:rPr>
          <w:rFonts w:hint="eastAsia" w:ascii="宋体" w:hAnsi="宋体" w:eastAsia="宋体" w:cs="宋体"/>
          <w:b w:val="0"/>
          <w:bCs/>
          <w:color w:val="000000"/>
          <w:sz w:val="24"/>
          <w:szCs w:val="24"/>
          <w:highlight w:val="none"/>
          <w:lang w:val="en-US" w:eastAsia="zh-CN"/>
        </w:rPr>
      </w:r>
      <w:r/>
    </w:p>
    <w:p>
      <w:pPr>
        <w:pStyle w:val="1160"/>
        <w:contextualSpacing/>
        <w:ind w:firstLine="480"/>
        <w:keepLines w:val="0"/>
        <w:keepNext w:val="0"/>
        <w:pageBreakBefore w:val="0"/>
        <w:spacing w:line="360" w:lineRule="auto"/>
        <w:shd w:val="clear" w:color="auto" w:fill="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中标人</w:t>
      </w:r>
      <w:r>
        <w:rPr>
          <w:rFonts w:hint="eastAsia" w:ascii="宋体" w:hAnsi="宋体" w:eastAsia="宋体" w:cs="宋体"/>
          <w:b w:val="0"/>
          <w:bCs/>
          <w:color w:val="000000"/>
          <w:sz w:val="24"/>
          <w:szCs w:val="24"/>
          <w:highlight w:val="none"/>
          <w:lang w:val="en-US" w:eastAsia="zh-CN"/>
        </w:rPr>
        <w:t xml:space="preserve">需协助采购人进行平面布局深化及颜色搭配等。</w:t>
      </w:r>
      <w:r>
        <w:rPr>
          <w:rFonts w:hint="eastAsia" w:ascii="宋体" w:hAnsi="宋体" w:eastAsia="宋体" w:cs="宋体"/>
          <w:b w:val="0"/>
          <w:bCs/>
          <w:color w:val="000000"/>
          <w:sz w:val="24"/>
          <w:szCs w:val="24"/>
          <w:highlight w:val="none"/>
          <w:lang w:val="en-US" w:eastAsia="zh-CN"/>
        </w:rPr>
      </w:r>
      <w:r/>
    </w:p>
    <w:p>
      <w:pPr>
        <w:pStyle w:val="1160"/>
        <w:contextualSpacing/>
        <w:ind w:firstLine="480"/>
        <w:keepLines w:val="0"/>
        <w:keepNext w:val="0"/>
        <w:pageBreakBefore w:val="0"/>
        <w:spacing w:line="360" w:lineRule="auto"/>
        <w:shd w:val="clear" w:color="auto" w:fill="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5、家具布局及产品颜色由中标人与采购人确认，中标人不得擅自作出修改和变更。</w:t>
      </w:r>
      <w:r>
        <w:rPr>
          <w:rFonts w:hint="eastAsia" w:ascii="宋体" w:hAnsi="宋体" w:eastAsia="宋体" w:cs="宋体"/>
          <w:b w:val="0"/>
          <w:bCs/>
          <w:color w:val="000000"/>
          <w:sz w:val="24"/>
          <w:szCs w:val="24"/>
          <w:highlight w:val="none"/>
          <w:lang w:val="en-US" w:eastAsia="zh-CN"/>
        </w:rPr>
      </w:r>
      <w:r/>
    </w:p>
    <w:p>
      <w:pPr>
        <w:pStyle w:val="1160"/>
        <w:contextualSpacing/>
        <w:ind w:firstLine="480"/>
        <w:keepLines w:val="0"/>
        <w:keepNext w:val="0"/>
        <w:pageBreakBefore w:val="0"/>
        <w:spacing w:line="360" w:lineRule="auto"/>
        <w:shd w:val="clear" w:color="auto" w:fill="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6、在未验收前，请中标人自行负责保管好施工材料、工具等。采购人不为施工期间材料丢失、被盗、损坏及与其它施工单位产生的纠纷等事项承担责任，直至验收合格。</w:t>
      </w:r>
      <w:r>
        <w:rPr>
          <w:rFonts w:hint="eastAsia" w:ascii="宋体" w:hAnsi="宋体" w:eastAsia="宋体" w:cs="宋体"/>
          <w:b w:val="0"/>
          <w:bCs/>
          <w:color w:val="000000"/>
          <w:sz w:val="24"/>
          <w:szCs w:val="24"/>
          <w:highlight w:val="none"/>
          <w:lang w:val="en-US" w:eastAsia="zh-CN"/>
        </w:rPr>
      </w:r>
      <w:r/>
    </w:p>
    <w:p>
      <w:pPr>
        <w:pStyle w:val="1160"/>
        <w:contextualSpacing/>
        <w:ind w:firstLine="480"/>
        <w:keepLines w:val="0"/>
        <w:keepNext w:val="0"/>
        <w:pageBreakBefore w:val="0"/>
        <w:spacing w:line="360" w:lineRule="auto"/>
        <w:shd w:val="clear" w:color="auto" w:fill="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7、在安装过程中要委派有经验的专业技术人员进行安装调试，确保家具正常使用。</w:t>
      </w:r>
      <w:r>
        <w:rPr>
          <w:rFonts w:hint="eastAsia" w:ascii="宋体" w:hAnsi="宋体" w:eastAsia="宋体" w:cs="宋体"/>
          <w:b/>
          <w:bCs w:val="0"/>
          <w:color w:val="000000"/>
          <w:sz w:val="24"/>
          <w:szCs w:val="24"/>
          <w:highlight w:val="none"/>
          <w:lang w:val="en-US" w:eastAsia="zh-CN"/>
        </w:rPr>
      </w:r>
      <w:r/>
    </w:p>
    <w:p>
      <w:pPr>
        <w:pStyle w:val="1160"/>
        <w:keepLines w:val="0"/>
        <w:keepNext w:val="0"/>
        <w:pageBreakBefore w:val="0"/>
        <w:spacing w:line="360" w:lineRule="auto"/>
        <w:shd w:val="clear" w:color="auto" w:fill="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val="en-US" w:eastAsia="zh-CN"/>
        </w:rPr>
        <w:t xml:space="preserve">环保技术标准需达到以下要求：（均按照国家最新标准）</w:t>
      </w:r>
      <w:r>
        <w:rPr>
          <w:rFonts w:ascii="宋体" w:hAnsi="宋体" w:eastAsia="宋体" w:cs="宋体"/>
          <w:b/>
          <w:bCs/>
          <w:color w:val="000000"/>
          <w:sz w:val="24"/>
          <w:szCs w:val="24"/>
          <w:highlight w:val="none"/>
          <w:lang w:val="en-US" w:eastAsia="zh-CN"/>
        </w:rPr>
      </w:r>
      <w:r/>
    </w:p>
    <w:p>
      <w:pPr>
        <w:pStyle w:val="1160"/>
        <w:ind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“GB18580-2017《室内装饰装修材料 人造板及其制品中甲醛释放限量》”</w:t>
      </w:r>
      <w:r>
        <w:rPr>
          <w:rFonts w:hint="eastAsia" w:ascii="宋体" w:hAnsi="宋体" w:eastAsia="宋体" w:cs="宋体"/>
          <w:b w:val="0"/>
          <w:bCs w:val="0"/>
          <w:color w:val="000000"/>
          <w:sz w:val="24"/>
          <w:szCs w:val="24"/>
          <w:highlight w:val="none"/>
          <w:lang w:val="en-US" w:eastAsia="zh-CN"/>
        </w:rPr>
      </w:r>
      <w:r/>
    </w:p>
    <w:p>
      <w:pPr>
        <w:pStyle w:val="1160"/>
        <w:ind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“GB18581-2020室内装饰装修材料溶剂型木器涂料中有害物质限量”</w:t>
      </w:r>
      <w:r>
        <w:rPr>
          <w:rFonts w:hint="eastAsia" w:ascii="宋体" w:hAnsi="宋体" w:eastAsia="宋体" w:cs="宋体"/>
          <w:b w:val="0"/>
          <w:bCs w:val="0"/>
          <w:color w:val="000000"/>
          <w:sz w:val="24"/>
          <w:szCs w:val="24"/>
          <w:highlight w:val="none"/>
          <w:lang w:val="en-US" w:eastAsia="zh-CN"/>
        </w:rPr>
      </w:r>
      <w:r/>
    </w:p>
    <w:p>
      <w:pPr>
        <w:pStyle w:val="1160"/>
        <w:ind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“GB18583-2008室内装饰装修材料胶粘剂中有害物质限量”</w:t>
      </w:r>
      <w:r>
        <w:rPr>
          <w:rFonts w:hint="eastAsia" w:ascii="宋体" w:hAnsi="宋体" w:eastAsia="宋体" w:cs="宋体"/>
          <w:b w:val="0"/>
          <w:bCs w:val="0"/>
          <w:color w:val="000000"/>
          <w:sz w:val="24"/>
          <w:szCs w:val="24"/>
          <w:highlight w:val="none"/>
          <w:lang w:val="en-US" w:eastAsia="zh-CN"/>
        </w:rPr>
      </w:r>
      <w:r/>
    </w:p>
    <w:p>
      <w:pPr>
        <w:pStyle w:val="1160"/>
        <w:ind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“GB18584-2024室内装饰装修材料木家具中有害物质限量”标准。</w:t>
      </w:r>
      <w:r>
        <w:rPr>
          <w:rFonts w:hint="eastAsia" w:ascii="宋体" w:hAnsi="宋体" w:eastAsia="宋体" w:cs="宋体"/>
          <w:b w:val="0"/>
          <w:bCs w:val="0"/>
          <w:color w:val="000000"/>
          <w:sz w:val="24"/>
          <w:szCs w:val="24"/>
          <w:highlight w:val="none"/>
          <w:lang w:val="en-US" w:eastAsia="zh-CN"/>
        </w:rPr>
      </w:r>
      <w:r/>
    </w:p>
    <w:p>
      <w:pPr>
        <w:pStyle w:val="1160"/>
        <w:ind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“GB/T 3324-2024 《木家具通用技术条件》”</w:t>
      </w:r>
      <w:r>
        <w:rPr>
          <w:rFonts w:hint="eastAsia" w:ascii="宋体" w:hAnsi="宋体" w:eastAsia="宋体" w:cs="宋体"/>
          <w:b w:val="0"/>
          <w:bCs w:val="0"/>
          <w:color w:val="000000"/>
          <w:sz w:val="24"/>
          <w:szCs w:val="24"/>
          <w:highlight w:val="none"/>
          <w:lang w:val="en-US" w:eastAsia="zh-CN"/>
        </w:rPr>
      </w:r>
      <w:r/>
    </w:p>
    <w:p>
      <w:pPr>
        <w:pStyle w:val="1160"/>
        <w:ind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“GB/T 35607-2024《绿色产品评价 家具》”</w:t>
      </w:r>
      <w:r>
        <w:rPr>
          <w:rFonts w:hint="eastAsia" w:ascii="宋体" w:hAnsi="宋体" w:eastAsia="宋体" w:cs="宋体"/>
          <w:b w:val="0"/>
          <w:bCs w:val="0"/>
          <w:color w:val="000000"/>
          <w:sz w:val="24"/>
          <w:szCs w:val="24"/>
          <w:highlight w:val="none"/>
          <w:lang w:val="en-US" w:eastAsia="zh-CN"/>
        </w:rPr>
      </w:r>
      <w:r/>
    </w:p>
    <w:p>
      <w:pPr>
        <w:pStyle w:val="1160"/>
        <w:ind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“QB/T 2280-2016《办公家具 办公椅》” </w:t>
      </w:r>
      <w:r>
        <w:rPr>
          <w:rFonts w:hint="eastAsia" w:ascii="宋体" w:hAnsi="宋体" w:eastAsia="宋体" w:cs="宋体"/>
          <w:b w:val="0"/>
          <w:bCs w:val="0"/>
          <w:color w:val="000000"/>
          <w:sz w:val="24"/>
          <w:szCs w:val="24"/>
          <w:highlight w:val="none"/>
          <w:lang w:val="en-US" w:eastAsia="zh-CN"/>
        </w:rPr>
      </w:r>
      <w:r/>
    </w:p>
    <w:p>
      <w:pPr>
        <w:pStyle w:val="1160"/>
        <w:ind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“QB/T 1952.1-2023《软体家具沙发》”</w:t>
      </w:r>
      <w:r>
        <w:rPr>
          <w:rFonts w:hint="eastAsia" w:ascii="宋体" w:hAnsi="宋体" w:eastAsia="宋体" w:cs="宋体"/>
          <w:b w:val="0"/>
          <w:bCs w:val="0"/>
          <w:color w:val="000000"/>
          <w:sz w:val="24"/>
          <w:szCs w:val="24"/>
          <w:highlight w:val="none"/>
          <w:lang w:val="en-US" w:eastAsia="zh-CN"/>
        </w:rPr>
      </w:r>
      <w:r/>
    </w:p>
    <w:p>
      <w:pPr>
        <w:pStyle w:val="1160"/>
        <w:ind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“GB/T 39223.6-2020《健康家居的人类工效学要求 第6部分：沙发》”</w:t>
      </w:r>
      <w:r>
        <w:rPr>
          <w:rFonts w:hint="eastAsia" w:ascii="宋体" w:hAnsi="宋体" w:eastAsia="宋体" w:cs="宋体"/>
          <w:b w:val="0"/>
          <w:bCs w:val="0"/>
          <w:color w:val="000000"/>
          <w:sz w:val="24"/>
          <w:szCs w:val="24"/>
          <w:highlight w:val="none"/>
          <w:lang w:val="en-US" w:eastAsia="zh-CN"/>
        </w:rPr>
      </w:r>
      <w:r/>
    </w:p>
    <w:p>
      <w:pPr>
        <w:pStyle w:val="1160"/>
        <w:ind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“GB/T 9846-2015 《普通胶合板》”</w:t>
      </w:r>
      <w:r>
        <w:rPr>
          <w:rFonts w:hint="eastAsia" w:ascii="宋体" w:hAnsi="宋体" w:eastAsia="宋体" w:cs="宋体"/>
          <w:b w:val="0"/>
          <w:bCs w:val="0"/>
          <w:color w:val="000000"/>
          <w:sz w:val="24"/>
          <w:szCs w:val="24"/>
          <w:highlight w:val="none"/>
          <w:lang w:val="en-US" w:eastAsia="zh-CN"/>
        </w:rPr>
      </w:r>
      <w:r/>
    </w:p>
    <w:p>
      <w:pPr>
        <w:pStyle w:val="1160"/>
        <w:ind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“QB/T 4463-2025《家具用封边条技术要求》” </w:t>
      </w:r>
      <w:r>
        <w:rPr>
          <w:rFonts w:hint="eastAsia" w:ascii="宋体" w:hAnsi="宋体" w:eastAsia="宋体" w:cs="宋体"/>
          <w:b w:val="0"/>
          <w:bCs w:val="0"/>
          <w:color w:val="000000"/>
          <w:sz w:val="24"/>
          <w:szCs w:val="24"/>
          <w:highlight w:val="none"/>
          <w:lang w:val="en-US" w:eastAsia="zh-CN"/>
        </w:rPr>
      </w:r>
      <w:r/>
    </w:p>
    <w:p>
      <w:pPr>
        <w:pStyle w:val="1160"/>
        <w:ind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“GB/T 4897-2015《刨花板》”</w:t>
      </w:r>
      <w:r>
        <w:rPr>
          <w:rFonts w:hint="eastAsia" w:ascii="宋体" w:hAnsi="宋体" w:eastAsia="宋体" w:cs="宋体"/>
          <w:b w:val="0"/>
          <w:bCs w:val="0"/>
          <w:color w:val="000000"/>
          <w:sz w:val="24"/>
          <w:szCs w:val="24"/>
          <w:highlight w:val="none"/>
          <w:lang w:val="en-US" w:eastAsia="zh-CN"/>
        </w:rPr>
      </w:r>
      <w:r/>
    </w:p>
    <w:p>
      <w:pPr>
        <w:pStyle w:val="1160"/>
        <w:ind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“GB/T 35601-2024《绿色产品评价人造板和木质地板》”</w:t>
      </w:r>
      <w:r>
        <w:rPr>
          <w:rFonts w:hint="eastAsia" w:ascii="宋体" w:hAnsi="宋体" w:eastAsia="宋体" w:cs="宋体"/>
          <w:b w:val="0"/>
          <w:bCs w:val="0"/>
          <w:color w:val="000000"/>
          <w:sz w:val="24"/>
          <w:szCs w:val="24"/>
          <w:highlight w:val="none"/>
          <w:lang w:val="en-US" w:eastAsia="zh-CN"/>
        </w:rPr>
      </w:r>
      <w:r/>
    </w:p>
    <w:p>
      <w:pPr>
        <w:pStyle w:val="1160"/>
        <w:ind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“GB/T 15102-2017《浸渍胶膜纸饰面纤维板和刨花板》”</w:t>
      </w:r>
      <w:r>
        <w:rPr>
          <w:rFonts w:hint="eastAsia" w:ascii="宋体" w:hAnsi="宋体" w:eastAsia="宋体" w:cs="宋体"/>
          <w:b w:val="0"/>
          <w:bCs w:val="0"/>
          <w:color w:val="000000"/>
          <w:sz w:val="24"/>
          <w:szCs w:val="24"/>
          <w:highlight w:val="none"/>
          <w:lang w:val="en-US" w:eastAsia="zh-CN"/>
        </w:rPr>
      </w:r>
      <w:r/>
    </w:p>
    <w:p>
      <w:pPr>
        <w:pStyle w:val="1160"/>
        <w:ind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“QB/T 2189-2023《家具五金 杯状暗铰链》”</w:t>
      </w:r>
      <w:r>
        <w:rPr>
          <w:rFonts w:hint="eastAsia" w:ascii="宋体" w:hAnsi="宋体" w:eastAsia="宋体" w:cs="宋体"/>
          <w:b w:val="0"/>
          <w:bCs w:val="0"/>
          <w:color w:val="000000"/>
          <w:sz w:val="24"/>
          <w:szCs w:val="24"/>
          <w:highlight w:val="none"/>
          <w:lang w:val="en-US" w:eastAsia="zh-CN"/>
        </w:rPr>
      </w:r>
      <w:r/>
    </w:p>
    <w:p>
      <w:pPr>
        <w:pStyle w:val="1160"/>
        <w:ind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“QB/T 2454-2023《家具五金 抽屉导轨》”</w:t>
      </w:r>
      <w:r>
        <w:rPr>
          <w:rFonts w:hint="eastAsia" w:ascii="宋体" w:hAnsi="宋体" w:eastAsia="宋体" w:cs="宋体"/>
          <w:b w:val="0"/>
          <w:bCs w:val="0"/>
          <w:color w:val="000000"/>
          <w:sz w:val="24"/>
          <w:szCs w:val="24"/>
          <w:highlight w:val="none"/>
          <w:lang w:val="en-US" w:eastAsia="zh-CN"/>
        </w:rPr>
      </w:r>
      <w:r/>
    </w:p>
    <w:p>
      <w:pPr>
        <w:pStyle w:val="1160"/>
        <w:ind w:firstLine="480"/>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及采购文件中的其他标准。</w:t>
      </w:r>
      <w:r>
        <w:rPr>
          <w:rFonts w:hint="eastAsia" w:ascii="宋体" w:hAnsi="宋体" w:eastAsia="宋体" w:cs="宋体"/>
          <w:b/>
          <w:bCs/>
          <w:color w:val="000000"/>
          <w:sz w:val="24"/>
          <w:szCs w:val="24"/>
          <w:highlight w:val="none"/>
          <w:lang w:val="en-US" w:eastAsia="zh-CN"/>
        </w:rPr>
      </w:r>
      <w:r/>
    </w:p>
    <w:p>
      <w:pPr>
        <w:pStyle w:val="1160"/>
        <w:keepLines w:val="0"/>
        <w:keepNext w:val="0"/>
        <w:pageBreakBefore w:val="0"/>
        <w:spacing w:line="360" w:lineRule="auto"/>
        <w:shd w:val="clear" w:color="auto" w:fill="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五、验收标准</w:t>
      </w:r>
      <w:r>
        <w:rPr>
          <w:rFonts w:ascii="宋体" w:hAnsi="宋体" w:eastAsia="宋体" w:cs="宋体"/>
          <w:b/>
          <w:bCs/>
          <w:color w:val="000000"/>
          <w:sz w:val="24"/>
          <w:szCs w:val="24"/>
          <w:highlight w:val="none"/>
          <w:lang w:val="en-US" w:eastAsia="zh-CN"/>
        </w:rPr>
      </w:r>
      <w:r/>
    </w:p>
    <w:p>
      <w:pPr>
        <w:pStyle w:val="1160"/>
        <w:ind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1、中标人在交货时，需向采购人提供装箱清单和检验合格证。</w:t>
      </w:r>
      <w:r>
        <w:rPr>
          <w:rFonts w:hint="eastAsia" w:ascii="宋体" w:hAnsi="宋体" w:eastAsia="宋体" w:cs="宋体"/>
          <w:b w:val="0"/>
          <w:bCs w:val="0"/>
          <w:color w:val="000000"/>
          <w:sz w:val="24"/>
          <w:szCs w:val="24"/>
          <w:highlight w:val="none"/>
          <w:lang w:val="en-US" w:eastAsia="zh-CN"/>
        </w:rPr>
      </w:r>
      <w:r/>
    </w:p>
    <w:p>
      <w:pPr>
        <w:pStyle w:val="1160"/>
        <w:ind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投标产品所选用主材、辅材须达到或超过招标文件和国家相关规定的要求。采购人在认为有必要时可对中标产品相应主材、辅材进行检测，如检测不符合国家相应标准或招标文件中设定的标准，将判定所供设备不合格，同时中标人必须承担由此给采购人造成的损失；如检测符合国家相应标准或招标文件中设定的标准，其检测费由采购人承担。</w:t>
      </w:r>
      <w:r>
        <w:rPr>
          <w:rFonts w:hint="eastAsia" w:ascii="宋体" w:hAnsi="宋体" w:eastAsia="宋体" w:cs="宋体"/>
          <w:b w:val="0"/>
          <w:bCs w:val="0"/>
          <w:color w:val="000000"/>
          <w:sz w:val="24"/>
          <w:szCs w:val="24"/>
          <w:highlight w:val="none"/>
          <w:lang w:val="en-US" w:eastAsia="zh-CN"/>
        </w:rPr>
      </w:r>
      <w:r/>
    </w:p>
    <w:p>
      <w:pPr>
        <w:pStyle w:val="1160"/>
        <w:ind w:firstLine="480"/>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3、对货物安装验收不合格时，中标人应予以免费调换，直至符合规定，采购人不承担因调退货而发生的任何费用和责任，如因货物质量给采购人带来的损失，中标人还应赔偿采购人直接损失费用。</w:t>
      </w:r>
      <w:r>
        <w:rPr>
          <w:rFonts w:hint="eastAsia" w:ascii="宋体" w:hAnsi="宋体" w:eastAsia="宋体" w:cs="宋体"/>
          <w:b w:val="0"/>
          <w:bCs w:val="0"/>
          <w:color w:val="000000"/>
          <w:sz w:val="24"/>
          <w:szCs w:val="24"/>
          <w:highlight w:val="none"/>
          <w:lang w:val="en-US" w:eastAsia="zh-CN"/>
        </w:rPr>
      </w:r>
      <w:r/>
    </w:p>
    <w:p>
      <w:pPr>
        <w:pStyle w:val="1160"/>
        <w:ind w:firstLine="480"/>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4、经双方共同验收，产品性能参数达不到采购合同要求的，采购人可以拒收，并可以解除合同。</w:t>
      </w:r>
      <w:r>
        <w:rPr>
          <w:rFonts w:hint="eastAsia" w:ascii="宋体" w:hAnsi="宋体" w:eastAsia="宋体" w:cs="宋体"/>
          <w:b/>
          <w:bCs/>
          <w:color w:val="000000"/>
          <w:sz w:val="24"/>
          <w:szCs w:val="24"/>
          <w:highlight w:val="none"/>
          <w:lang w:val="en-US" w:eastAsia="zh-CN"/>
        </w:rPr>
      </w:r>
      <w:r/>
    </w:p>
    <w:p>
      <w:pPr>
        <w:pStyle w:val="1423"/>
        <w:contextualSpacing/>
        <w:ind w:firstLine="0"/>
        <w:spacing w:line="360" w:lineRule="auto"/>
        <w:rPr>
          <w:rFonts w:ascii="Times New Roman" w:hAnsi="Times New Roman"/>
          <w:b/>
          <w:color w:val="000000"/>
          <w:sz w:val="24"/>
          <w:szCs w:val="24"/>
        </w:rPr>
      </w:pPr>
      <w:r>
        <w:rPr>
          <w:rFonts w:hint="eastAsia" w:ascii="Times New Roman" w:hAnsi="Times New Roman"/>
          <w:b/>
          <w:color w:val="000000"/>
          <w:sz w:val="24"/>
          <w:szCs w:val="24"/>
          <w:lang w:val="en-US" w:eastAsia="zh-CN"/>
        </w:rPr>
        <w:t xml:space="preserve">六</w:t>
      </w:r>
      <w:r>
        <w:rPr>
          <w:rFonts w:hint="eastAsia" w:ascii="Times New Roman" w:hAnsi="Times New Roman"/>
          <w:b/>
          <w:color w:val="000000"/>
          <w:sz w:val="24"/>
          <w:szCs w:val="24"/>
        </w:rPr>
        <w:t xml:space="preserve">、</w:t>
      </w:r>
      <w:r>
        <w:rPr>
          <w:rFonts w:hint="eastAsia" w:ascii="Times New Roman" w:hAnsi="Times New Roman"/>
          <w:b/>
          <w:color w:val="000000"/>
          <w:sz w:val="24"/>
          <w:szCs w:val="24"/>
          <w:lang w:val="en-US" w:eastAsia="zh-CN"/>
        </w:rPr>
        <w:t xml:space="preserve">保修</w:t>
      </w:r>
      <w:r>
        <w:rPr>
          <w:rFonts w:hint="eastAsia" w:ascii="Times New Roman" w:hAnsi="Times New Roman"/>
          <w:b/>
          <w:color w:val="000000"/>
          <w:sz w:val="24"/>
          <w:szCs w:val="24"/>
        </w:rPr>
        <w:t xml:space="preserve">及售后服务要求</w:t>
      </w:r>
      <w:r>
        <w:rPr>
          <w:rFonts w:ascii="Times New Roman" w:hAnsi="Times New Roman"/>
          <w:b/>
          <w:color w:val="000000"/>
          <w:sz w:val="24"/>
          <w:szCs w:val="24"/>
        </w:rPr>
      </w:r>
      <w:r/>
    </w:p>
    <w:p>
      <w:pPr>
        <w:pStyle w:val="1160"/>
        <w:contextualSpacing/>
        <w:ind w:firstLine="480"/>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保修期</w:t>
      </w:r>
      <w:r>
        <w:rPr>
          <w:rFonts w:hint="eastAsia" w:ascii="宋体" w:hAnsi="宋体" w:cs="宋体"/>
          <w:color w:val="000000"/>
          <w:sz w:val="24"/>
        </w:rPr>
        <w:t xml:space="preserve">：本项目免费质量保修保养期</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年，计算期自货物安装并验收合格、正式交付使用之日起计算。</w:t>
      </w:r>
      <w:r>
        <w:rPr>
          <w:rFonts w:hint="eastAsia" w:ascii="宋体" w:hAnsi="宋体" w:cs="宋体"/>
          <w:color w:val="000000"/>
          <w:sz w:val="24"/>
          <w:lang w:val="en-US" w:eastAsia="zh-CN"/>
        </w:rPr>
        <w:t xml:space="preserve">保修期</w:t>
      </w:r>
      <w:r>
        <w:rPr>
          <w:rFonts w:hint="eastAsia" w:ascii="宋体" w:hAnsi="宋体" w:cs="宋体"/>
          <w:color w:val="000000"/>
          <w:sz w:val="24"/>
        </w:rPr>
        <w:t xml:space="preserve">内的日常维护及保养工作免费。中标人须委派指定的技术人员定期进行维护保养。</w:t>
      </w:r>
      <w:r>
        <w:rPr>
          <w:rFonts w:ascii="宋体" w:hAnsi="宋体" w:cs="宋体"/>
          <w:color w:val="000000"/>
          <w:sz w:val="24"/>
        </w:rPr>
      </w:r>
      <w:r/>
    </w:p>
    <w:p>
      <w:pPr>
        <w:pStyle w:val="1160"/>
        <w:contextualSpacing/>
        <w:ind w:firstLine="480"/>
        <w:spacing w:line="360" w:lineRule="auto"/>
        <w:rPr>
          <w:rFonts w:ascii="宋体" w:hAnsi="宋体" w:cs="宋体"/>
          <w:color w:val="000000"/>
          <w:sz w:val="24"/>
        </w:rPr>
      </w:pPr>
      <w:r>
        <w:rPr>
          <w:rFonts w:hint="eastAsia" w:ascii="宋体" w:hAnsi="宋体" w:cs="宋体"/>
          <w:color w:val="000000"/>
          <w:sz w:val="24"/>
        </w:rPr>
        <w:t xml:space="preserve">2、所有货物在使用期限内由于其本身的缺陷或质量问题造成的任何故障或损坏，不管是否在</w:t>
      </w:r>
      <w:r>
        <w:rPr>
          <w:rFonts w:hint="eastAsia" w:ascii="宋体" w:hAnsi="宋体" w:cs="宋体"/>
          <w:color w:val="000000"/>
          <w:sz w:val="24"/>
          <w:lang w:val="en-US" w:eastAsia="zh-CN"/>
        </w:rPr>
        <w:t xml:space="preserve">保修期</w:t>
      </w:r>
      <w:r>
        <w:rPr>
          <w:rFonts w:hint="eastAsia" w:ascii="宋体" w:hAnsi="宋体" w:cs="宋体"/>
          <w:color w:val="000000"/>
          <w:sz w:val="24"/>
        </w:rPr>
        <w:t xml:space="preserve">内，中标人必须及时维修或更换，一切费用由中标人承担。</w:t>
      </w:r>
      <w:r>
        <w:rPr>
          <w:rFonts w:ascii="宋体" w:hAnsi="宋体" w:cs="宋体"/>
          <w:color w:val="000000"/>
          <w:sz w:val="24"/>
        </w:rPr>
      </w:r>
      <w:r/>
    </w:p>
    <w:p>
      <w:pPr>
        <w:pStyle w:val="1160"/>
        <w:contextualSpacing/>
        <w:ind w:firstLine="480"/>
        <w:spacing w:line="360" w:lineRule="auto"/>
        <w:rPr>
          <w:rFonts w:ascii="宋体" w:hAnsi="宋体" w:cs="宋体"/>
          <w:color w:val="000000"/>
          <w:sz w:val="24"/>
        </w:rPr>
      </w:pPr>
      <w:r>
        <w:rPr>
          <w:rFonts w:hint="eastAsia" w:ascii="宋体" w:hAnsi="宋体" w:cs="宋体"/>
          <w:color w:val="000000"/>
          <w:sz w:val="24"/>
        </w:rPr>
        <w:t xml:space="preserve">3、维修服务要求1小时响应。在接到报修通知后12小时内到现场服务并连续进行，直至故障排除完全恢复正常使用为止。无特殊情况下，所有维修要求必须在48小时内完全得到解决。维修机构必须备有足够的备品备件，以满足采购人对维修的要求。</w:t>
      </w:r>
      <w:r>
        <w:rPr>
          <w:rFonts w:hint="eastAsia" w:ascii="宋体" w:hAnsi="宋体" w:cs="宋体"/>
          <w:color w:val="000000"/>
          <w:sz w:val="24"/>
          <w:lang w:val="en-US" w:eastAsia="zh-CN"/>
        </w:rPr>
        <w:t xml:space="preserve">保修期</w:t>
      </w:r>
      <w:r>
        <w:rPr>
          <w:rFonts w:hint="eastAsia" w:ascii="宋体" w:hAnsi="宋体" w:cs="宋体"/>
          <w:color w:val="000000"/>
          <w:sz w:val="24"/>
        </w:rPr>
        <w:t xml:space="preserve">内应免费提供，在免费</w:t>
      </w:r>
      <w:r>
        <w:rPr>
          <w:rFonts w:hint="eastAsia" w:ascii="宋体" w:hAnsi="宋体" w:cs="宋体"/>
          <w:color w:val="000000"/>
          <w:sz w:val="24"/>
          <w:lang w:val="en-US" w:eastAsia="zh-CN"/>
        </w:rPr>
        <w:t xml:space="preserve">保修期</w:t>
      </w:r>
      <w:r>
        <w:rPr>
          <w:rFonts w:hint="eastAsia" w:ascii="宋体" w:hAnsi="宋体" w:cs="宋体"/>
          <w:color w:val="000000"/>
          <w:sz w:val="24"/>
        </w:rPr>
        <w:t xml:space="preserve">满后三年内价格不变。</w:t>
      </w:r>
      <w:r>
        <w:rPr>
          <w:rFonts w:ascii="宋体" w:hAnsi="宋体" w:cs="宋体"/>
          <w:color w:val="000000"/>
          <w:sz w:val="24"/>
        </w:rPr>
      </w:r>
      <w:r/>
    </w:p>
    <w:p>
      <w:pPr>
        <w:pStyle w:val="1160"/>
        <w:ind w:firstLine="480"/>
        <w:jc w:val="left"/>
        <w:spacing w:line="360" w:lineRule="auto"/>
        <w:rPr>
          <w:rFonts w:ascii="宋体" w:hAnsi="宋体" w:cs="宋体"/>
          <w:color w:val="000000"/>
          <w:sz w:val="24"/>
        </w:rPr>
      </w:pPr>
      <w:r>
        <w:rPr>
          <w:rFonts w:hint="eastAsia" w:ascii="宋体" w:hAnsi="宋体" w:cs="宋体"/>
          <w:color w:val="000000"/>
          <w:sz w:val="24"/>
        </w:rPr>
        <w:t xml:space="preserve">4、在</w:t>
      </w:r>
      <w:r>
        <w:rPr>
          <w:rFonts w:hint="eastAsia" w:ascii="宋体" w:hAnsi="宋体" w:cs="宋体"/>
          <w:color w:val="000000"/>
          <w:sz w:val="24"/>
          <w:lang w:val="en-US" w:eastAsia="zh-CN"/>
        </w:rPr>
        <w:t xml:space="preserve">保修期</w:t>
      </w:r>
      <w:r>
        <w:rPr>
          <w:rFonts w:hint="eastAsia" w:ascii="宋体" w:hAnsi="宋体" w:cs="宋体"/>
          <w:color w:val="000000"/>
          <w:sz w:val="24"/>
        </w:rPr>
        <w:t xml:space="preserve">满后，货物出现故障时，中标人仍需做好售后服务，并在上述时限内赶到现场，及时处理解决。</w:t>
      </w:r>
      <w:r>
        <w:rPr>
          <w:rFonts w:ascii="宋体" w:hAnsi="宋体" w:cs="宋体"/>
          <w:color w:val="000000"/>
          <w:sz w:val="24"/>
        </w:rPr>
      </w:r>
      <w:r/>
    </w:p>
    <w:p>
      <w:pPr>
        <w:pStyle w:val="1160"/>
        <w:ind w:firstLine="480"/>
        <w:keepLines w:val="0"/>
        <w:keepNext w:val="0"/>
        <w:pageBreakBefore w:val="0"/>
        <w:spacing w:line="360" w:lineRule="auto"/>
        <w:shd w:val="clear" w:color="auto" w:fill="auto"/>
        <w:widowControl w:val="off"/>
        <w:rPr>
          <w:rFonts w:hint="eastAsia" w:ascii="宋体" w:hAnsi="宋体" w:cs="宋体"/>
          <w:color w:val="000000"/>
          <w:sz w:val="24"/>
        </w:rPr>
        <w:outlineLvl w:val="9"/>
      </w:pPr>
      <w:r>
        <w:rPr>
          <w:rFonts w:hint="eastAsia" w:ascii="宋体" w:hAnsi="宋体" w:cs="宋体"/>
          <w:color w:val="000000"/>
          <w:sz w:val="24"/>
        </w:rPr>
        <w:t xml:space="preserve">5、中标人在实施项目过程中的出现的安全事故由中标人自行负责。</w:t>
      </w:r>
      <w:r>
        <w:rPr>
          <w:rFonts w:hint="eastAsia" w:ascii="宋体" w:hAnsi="宋体" w:cs="宋体"/>
          <w:color w:val="000000"/>
          <w:sz w:val="24"/>
        </w:rPr>
      </w:r>
      <w:r/>
    </w:p>
    <w:p>
      <w:pPr>
        <w:pStyle w:val="1397"/>
        <w:ind w:left="0" w:firstLine="0"/>
        <w:jc w:val="left"/>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七</w:t>
      </w:r>
      <w:r>
        <w:rPr>
          <w:rFonts w:hint="eastAsia" w:ascii="宋体" w:hAnsi="宋体" w:cs="宋体"/>
          <w:b/>
          <w:bCs/>
          <w:color w:val="000000"/>
          <w:sz w:val="24"/>
        </w:rPr>
        <w:t xml:space="preserve">、样品要求</w:t>
      </w:r>
      <w:r>
        <w:rPr>
          <w:rFonts w:hint="eastAsia" w:ascii="宋体" w:hAnsi="宋体" w:cs="宋体"/>
          <w:b/>
          <w:bCs/>
          <w:color w:val="000000"/>
          <w:sz w:val="24"/>
        </w:rPr>
      </w:r>
      <w:r/>
    </w:p>
    <w:p>
      <w:pPr>
        <w:pStyle w:val="1160"/>
        <w:ind w:firstLine="480"/>
        <w:keepLines w:val="0"/>
        <w:keepNext w:val="0"/>
        <w:pageBreakBefore w:val="0"/>
        <w:spacing w:line="360" w:lineRule="auto"/>
        <w:shd w:val="clear" w:color="auto" w:fill="auto"/>
        <w:widowControl w:val="off"/>
        <w:rPr>
          <w:rFonts w:hint="eastAsia" w:ascii="宋体" w:hAnsi="宋体" w:cs="宋体"/>
          <w:color w:val="000000"/>
          <w:sz w:val="24"/>
          <w:szCs w:val="20"/>
        </w:rPr>
        <w:outlineLvl w:val="9"/>
      </w:pPr>
      <w:r>
        <w:rPr>
          <w:rFonts w:hint="eastAsia" w:ascii="宋体" w:hAnsi="宋体" w:cs="宋体"/>
          <w:color w:val="000000"/>
          <w:sz w:val="24"/>
          <w:szCs w:val="20"/>
        </w:rPr>
        <w:t xml:space="preserve">1、样品清单与要求</w:t>
      </w:r>
      <w:r>
        <w:rPr>
          <w:rFonts w:hint="eastAsia" w:ascii="宋体" w:hAnsi="宋体" w:cs="宋体"/>
          <w:color w:val="000000"/>
          <w:sz w:val="24"/>
          <w:szCs w:val="20"/>
        </w:rPr>
      </w:r>
      <w:r/>
    </w:p>
    <w:tbl>
      <w:tblPr>
        <w:tblW w:w="570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5"/>
        <w:gridCol w:w="642"/>
        <w:gridCol w:w="1991"/>
        <w:gridCol w:w="1187"/>
        <w:gridCol w:w="3255"/>
        <w:gridCol w:w="688"/>
        <w:gridCol w:w="754"/>
        <w:gridCol w:w="754"/>
      </w:tblGrid>
      <w:tr>
        <w:trPr>
          <w:trHeight w:val="950"/>
        </w:trPr>
        <w:tc>
          <w:tcPr>
            <w:tcW w:w="233" w:type="dxa"/>
            <w:vAlign w:val="center"/>
            <w:textDirection w:val="lrTb"/>
            <w:noWrap w:val="false"/>
          </w:tcPr>
          <w:p>
            <w:pPr>
              <w:pStyle w:val="1160"/>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30" w:type="dxa"/>
            <w:vAlign w:val="center"/>
            <w:textDirection w:val="lrTb"/>
            <w:noWrap w:val="false"/>
          </w:tcPr>
          <w:p>
            <w:pPr>
              <w:pStyle w:val="1160"/>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样品名称</w:t>
            </w:r>
            <w:r>
              <w:rPr>
                <w:rFonts w:hint="eastAsia" w:ascii="宋体" w:hAnsi="宋体" w:eastAsia="宋体" w:cs="宋体"/>
                <w:color w:val="000000"/>
                <w:sz w:val="24"/>
                <w:szCs w:val="24"/>
              </w:rPr>
            </w:r>
            <w:r/>
          </w:p>
        </w:tc>
        <w:tc>
          <w:tcPr>
            <w:tcW w:w="1023" w:type="dxa"/>
            <w:vAlign w:val="center"/>
            <w:textDirection w:val="lrTb"/>
            <w:noWrap w:val="false"/>
          </w:tcPr>
          <w:p>
            <w:pPr>
              <w:pStyle w:val="1160"/>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家具图片（参考）</w:t>
            </w:r>
            <w:r>
              <w:rPr>
                <w:rFonts w:hint="eastAsia" w:ascii="宋体" w:hAnsi="宋体" w:eastAsia="宋体" w:cs="宋体"/>
                <w:color w:val="000000"/>
                <w:sz w:val="24"/>
                <w:szCs w:val="24"/>
              </w:rPr>
            </w:r>
            <w:r/>
          </w:p>
        </w:tc>
        <w:tc>
          <w:tcPr>
            <w:tcW w:w="610" w:type="dxa"/>
            <w:vAlign w:val="center"/>
            <w:textDirection w:val="lrTb"/>
            <w:noWrap w:val="false"/>
          </w:tcPr>
          <w:p>
            <w:pPr>
              <w:pStyle w:val="1160"/>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规格（mm）</w:t>
            </w:r>
            <w:r>
              <w:rPr>
                <w:rFonts w:hint="eastAsia" w:ascii="宋体" w:hAnsi="宋体" w:eastAsia="宋体" w:cs="宋体"/>
                <w:color w:val="000000"/>
                <w:sz w:val="24"/>
                <w:szCs w:val="24"/>
              </w:rPr>
            </w:r>
            <w:r/>
          </w:p>
        </w:tc>
        <w:tc>
          <w:tcPr>
            <w:tcW w:w="1673" w:type="dxa"/>
            <w:vAlign w:val="center"/>
            <w:textDirection w:val="lrTb"/>
            <w:noWrap w:val="false"/>
          </w:tcPr>
          <w:p>
            <w:pPr>
              <w:pStyle w:val="1160"/>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材质说明</w:t>
            </w:r>
            <w:r>
              <w:rPr>
                <w:rFonts w:hint="eastAsia" w:ascii="宋体" w:hAnsi="宋体" w:eastAsia="宋体" w:cs="宋体"/>
                <w:color w:val="000000"/>
                <w:sz w:val="24"/>
                <w:szCs w:val="24"/>
              </w:rPr>
            </w:r>
            <w:r/>
          </w:p>
        </w:tc>
        <w:tc>
          <w:tcPr>
            <w:tcW w:w="353" w:type="dxa"/>
            <w:vAlign w:val="center"/>
            <w:textDirection w:val="lrTb"/>
            <w:noWrap w:val="false"/>
          </w:tcPr>
          <w:p>
            <w:pPr>
              <w:pStyle w:val="1160"/>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hint="eastAsia" w:ascii="宋体" w:hAnsi="宋体" w:eastAsia="宋体" w:cs="宋体"/>
                <w:color w:val="000000"/>
                <w:sz w:val="24"/>
                <w:szCs w:val="24"/>
              </w:rPr>
            </w:r>
            <w:r/>
          </w:p>
        </w:tc>
        <w:tc>
          <w:tcPr>
            <w:tcW w:w="387" w:type="dxa"/>
            <w:vAlign w:val="center"/>
            <w:textDirection w:val="lrTb"/>
            <w:noWrap w:val="false"/>
          </w:tcPr>
          <w:p>
            <w:pPr>
              <w:pStyle w:val="1160"/>
              <w:jc w:val="center"/>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单位</w:t>
            </w:r>
            <w:r>
              <w:rPr>
                <w:rFonts w:hint="eastAsia" w:ascii="宋体" w:hAnsi="宋体" w:eastAsia="宋体" w:cs="宋体"/>
                <w:color w:val="000000"/>
                <w:sz w:val="24"/>
                <w:szCs w:val="24"/>
                <w:lang w:val="en-US" w:eastAsia="zh-CN"/>
              </w:rPr>
            </w:r>
            <w:r/>
          </w:p>
        </w:tc>
        <w:tc>
          <w:tcPr>
            <w:tcW w:w="387" w:type="dxa"/>
            <w:vAlign w:val="center"/>
            <w:textDirection w:val="lrTb"/>
            <w:noWrap w:val="false"/>
          </w:tcPr>
          <w:p>
            <w:pPr>
              <w:pStyle w:val="1160"/>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样品限价(元)</w:t>
            </w:r>
            <w:r>
              <w:rPr>
                <w:rFonts w:hint="eastAsia" w:ascii="宋体" w:hAnsi="宋体" w:eastAsia="宋体" w:cs="宋体"/>
                <w:color w:val="000000"/>
                <w:sz w:val="24"/>
                <w:szCs w:val="24"/>
              </w:rPr>
            </w:r>
            <w:r/>
          </w:p>
        </w:tc>
      </w:tr>
      <w:tr>
        <w:trPr>
          <w:trHeight w:val="2478"/>
        </w:trPr>
        <w:tc>
          <w:tcPr>
            <w:tcW w:w="233" w:type="dxa"/>
            <w:vAlign w:val="center"/>
            <w:textDirection w:val="lrTb"/>
            <w:noWrap w:val="false"/>
          </w:tcPr>
          <w:p>
            <w:pPr>
              <w:pStyle w:val="1160"/>
              <w:jc w:val="center"/>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47</w:t>
            </w:r>
            <w:r>
              <w:rPr>
                <w:rFonts w:hint="eastAsia" w:ascii="宋体" w:hAnsi="宋体" w:eastAsia="宋体" w:cs="宋体"/>
                <w:color w:val="000000"/>
                <w:sz w:val="24"/>
                <w:szCs w:val="24"/>
                <w:lang w:val="en-US" w:eastAsia="zh-CN"/>
              </w:rPr>
            </w:r>
            <w:r/>
          </w:p>
        </w:tc>
        <w:tc>
          <w:tcPr>
            <w:tcW w:w="330" w:type="dxa"/>
            <w:vAlign w:val="center"/>
            <w:textDirection w:val="lrTb"/>
            <w:noWrap w:val="false"/>
          </w:tcPr>
          <w:p>
            <w:pPr>
              <w:pStyle w:val="1160"/>
              <w:jc w:val="center"/>
              <w:keepLines w:val="0"/>
              <w:keepNext w:val="0"/>
              <w:pageBreakBefore w:val="0"/>
              <w:spacing w:line="360" w:lineRule="auto"/>
              <w:widowControl/>
              <w:tabs>
                <w:tab w:val="left" w:pos="467"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实验台</w:t>
            </w:r>
            <w:r>
              <w:rPr>
                <w:rFonts w:hint="eastAsia" w:ascii="宋体" w:hAnsi="宋体" w:eastAsia="宋体" w:cs="宋体"/>
                <w:color w:val="000000"/>
                <w:sz w:val="24"/>
                <w:szCs w:val="24"/>
                <w:lang w:eastAsia="zh-CN"/>
              </w:rPr>
            </w:r>
            <w:r/>
          </w:p>
        </w:tc>
        <w:tc>
          <w:tcPr>
            <w:tcW w:w="1023"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mc:AlternateContent>
                <mc:Choice Requires="wpg">
                  <w:drawing>
                    <wp:inline xmlns:wp="http://schemas.openxmlformats.org/drawingml/2006/wordprocessingDrawing" distT="0" distB="0" distL="0" distR="0">
                      <wp:extent cx="1383068" cy="1039520"/>
                      <wp:effectExtent l="0" t="0" r="0" b="0"/>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1383068" cy="10395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108.9pt;height:81.9pt;mso-wrap-distance-left:0.0pt;mso-wrap-distance-top:0.0pt;mso-wrap-distance-right:0.0pt;mso-wrap-distance-bottom:0.0pt;" stroked="f">
                      <v:path textboxrect="0,0,0,0"/>
                      <v:imagedata r:id="rId106" o:title=""/>
                    </v:shape>
                  </w:pict>
                </mc:Fallback>
              </mc:AlternateContent>
            </w:r>
            <w:r>
              <w:rPr>
                <w:rFonts w:hint="eastAsia" w:ascii="宋体" w:hAnsi="宋体" w:eastAsia="宋体" w:cs="宋体"/>
                <w:color w:val="000000"/>
                <w:sz w:val="24"/>
                <w:szCs w:val="24"/>
                <w:lang w:eastAsia="zh-CN"/>
              </w:rPr>
            </w:r>
            <w:r/>
          </w:p>
          <w:p>
            <w:pPr>
              <w:pStyle w:val="1160"/>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0"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1200*750*800</w:t>
            </w:r>
            <w:r>
              <w:rPr>
                <w:rFonts w:hint="eastAsia" w:ascii="宋体" w:hAnsi="宋体" w:eastAsia="宋体" w:cs="宋体"/>
                <w:color w:val="000000"/>
                <w:sz w:val="24"/>
                <w:szCs w:val="24"/>
                <w:highlight w:val="none"/>
                <w:lang w:val="en-US" w:eastAsia="zh-CN" w:bidi="ar"/>
              </w:rPr>
            </w:r>
            <w:r/>
          </w:p>
        </w:tc>
        <w:tc>
          <w:tcPr>
            <w:tcW w:w="1673" w:type="dxa"/>
            <w:vAlign w:val="center"/>
            <w:textDirection w:val="lrTb"/>
            <w:noWrap w:val="false"/>
          </w:tcPr>
          <w:p>
            <w:pPr>
              <w:pStyle w:val="1160"/>
              <w:numPr>
                <w:ilvl w:val="0"/>
                <w:numId w:val="0"/>
              </w:numPr>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ascii="宋体" w:hAnsi="宋体" w:eastAsia="宋体" w:cs="宋体"/>
                <w:color w:val="000000"/>
                <w:sz w:val="24"/>
                <w:szCs w:val="24"/>
                <w:lang w:val="en-US" w:eastAsia="zh-CN" w:bidi="ar-SA"/>
              </w:rPr>
              <w:t xml:space="preserve">1、</w:t>
            </w:r>
            <w:r>
              <w:rPr>
                <w:rFonts w:hint="eastAsia" w:ascii="宋体" w:hAnsi="宋体" w:eastAsia="宋体" w:cs="宋体"/>
                <w:i w:val="0"/>
                <w:iCs w:val="0"/>
                <w:color w:val="000000"/>
                <w:sz w:val="24"/>
                <w:szCs w:val="24"/>
                <w:u w:val="none"/>
                <w:lang w:val="en-US" w:eastAsia="zh-CN" w:bidi="ar"/>
              </w:rPr>
              <w:t xml:space="preserve">柜体：采用≥1.0mm医用喷涂电解钢板加工而成。柜体内衬（侧板、顶板、底板、背板）采用≥1.0mm医用喷涂电解钢板加工而成，表面经耐酸碱处理。</w:t>
            </w:r>
            <w:r>
              <w:rPr>
                <w:rFonts w:hint="eastAsia" w:ascii="宋体" w:hAnsi="宋体" w:eastAsia="宋体" w:cs="宋体"/>
                <w:color w:val="000000"/>
                <w:sz w:val="24"/>
                <w:szCs w:val="24"/>
                <w:highlight w:val="none"/>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ascii="宋体" w:hAnsi="宋体" w:eastAsia="宋体" w:cs="宋体"/>
                <w:i w:val="0"/>
                <w:iCs w:val="0"/>
                <w:color w:val="000000"/>
                <w:sz w:val="24"/>
                <w:szCs w:val="24"/>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桌腿框架：桌腿采用40*60*1.5mm矩形管，横梁采用30*60*1.5mm矩形管，两侧全封1.0mm医用喷涂电解钢板；</w:t>
            </w:r>
            <w:r>
              <w:rPr>
                <w:rFonts w:hint="eastAsia" w:ascii="宋体" w:hAnsi="宋体" w:eastAsia="宋体" w:cs="宋体"/>
                <w:i w:val="0"/>
                <w:iCs w:val="0"/>
                <w:color w:val="000000"/>
                <w:sz w:val="24"/>
                <w:szCs w:val="24"/>
                <w:u w:val="none"/>
                <w:lang w:val="en-US" w:eastAsia="zh-CN" w:bidi="ar"/>
              </w:rPr>
            </w:r>
            <w:r/>
          </w:p>
          <w:p>
            <w:pPr>
              <w:pStyle w:val="1160"/>
              <w:numPr>
                <w:ilvl w:val="0"/>
                <w:numId w:val="0"/>
              </w:numPr>
              <w:ind w:left="0" w:firstLine="0"/>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ascii="宋体" w:hAnsi="宋体" w:eastAsia="宋体" w:cs="宋体"/>
                <w:color w:val="000000"/>
                <w:sz w:val="24"/>
                <w:szCs w:val="24"/>
                <w:lang w:val="en-US" w:eastAsia="zh-CN" w:bidi="ar-SA"/>
              </w:rPr>
              <w:t xml:space="preserve">3、</w:t>
            </w:r>
            <w:r>
              <w:rPr>
                <w:rFonts w:hint="eastAsia" w:ascii="宋体" w:hAnsi="宋体" w:eastAsia="宋体" w:cs="宋体"/>
                <w:i w:val="0"/>
                <w:iCs w:val="0"/>
                <w:color w:val="000000"/>
                <w:sz w:val="24"/>
                <w:szCs w:val="24"/>
                <w:u w:val="none"/>
                <w:lang w:val="en-US" w:eastAsia="zh-CN" w:bidi="ar"/>
              </w:rPr>
              <w:t xml:space="preserve">门板：双层结构，门板外壳加工材料采用≥1.0mm医用喷涂电解钢板加工而成，经耐酸碱处理。抽屉面板双层结构，面板材料采用≥1.0mm医用喷涂电解钢板加工而成。其余材质同柜体。</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4、台面：采用≥12.7mm厚实芯理化板台面，台面边缘用同质材料板双层加厚至25.4mm，用CNC机械加工而成。</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5、五金配件：</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（1）滑轨：采用三节钢珠自闭式阻尼滑轨。开合平稳、承重力强、耐磨。</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（2）门轴合页、铰链：采用304不锈钢制作。门轴与柜体旋转接触面安装UBS套环，防止破坏表面涂层，柜门闭合采用UBS阻尼碰珠，具有耐酸碱、抗腐蚀，开启≥110度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（3）钢制调整脚：高强度钢制尼龙可调整脚，可自由调整高低，调节距离≥30mm，防水防锈。</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（4）拉手：采用鹅颈拉手。</w:t>
            </w:r>
            <w:r>
              <w:rPr>
                <w:rFonts w:hint="eastAsia" w:ascii="宋体" w:hAnsi="宋体" w:eastAsia="宋体" w:cs="宋体"/>
                <w:color w:val="000000"/>
                <w:sz w:val="24"/>
                <w:szCs w:val="24"/>
                <w:highlight w:val="none"/>
              </w:rPr>
            </w:r>
            <w:r/>
          </w:p>
        </w:tc>
        <w:tc>
          <w:tcPr>
            <w:tcW w:w="353" w:type="dxa"/>
            <w:vAlign w:val="center"/>
            <w:textDirection w:val="lrTb"/>
            <w:noWrap w:val="false"/>
          </w:tcPr>
          <w:p>
            <w:pPr>
              <w:pStyle w:val="1160"/>
              <w:jc w:val="cente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87" w:type="dxa"/>
            <w:vAlign w:val="center"/>
            <w:textDirection w:val="lrTb"/>
            <w:noWrap w:val="false"/>
          </w:tcPr>
          <w:p>
            <w:pPr>
              <w:pStyle w:val="1160"/>
              <w:jc w:val="center"/>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组</w:t>
            </w:r>
            <w:r>
              <w:rPr>
                <w:rFonts w:hint="eastAsia" w:ascii="宋体" w:hAnsi="宋体" w:eastAsia="宋体" w:cs="宋体"/>
                <w:color w:val="000000"/>
                <w:sz w:val="24"/>
                <w:szCs w:val="24"/>
                <w:lang w:val="en-US" w:eastAsia="zh-CN"/>
              </w:rPr>
            </w:r>
            <w:r/>
          </w:p>
        </w:tc>
        <w:tc>
          <w:tcPr>
            <w:tcW w:w="387" w:type="dxa"/>
            <w:vAlign w:val="center"/>
            <w:textDirection w:val="lrTb"/>
            <w:noWrap w:val="false"/>
          </w:tcPr>
          <w:p>
            <w:pPr>
              <w:pStyle w:val="1160"/>
              <w:jc w:val="center"/>
              <w:keepLines w:val="0"/>
              <w:keepNext w:val="0"/>
              <w:pageBreakBefore w:val="0"/>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2100</w:t>
            </w:r>
            <w:r>
              <w:rPr>
                <w:rFonts w:ascii="宋体" w:hAnsi="宋体" w:eastAsia="宋体" w:cs="宋体"/>
                <w:color w:val="000000"/>
                <w:sz w:val="24"/>
                <w:szCs w:val="24"/>
                <w:lang w:val="en-US" w:eastAsia="zh-CN"/>
              </w:rPr>
            </w:r>
            <w:r/>
          </w:p>
        </w:tc>
      </w:tr>
      <w:tr>
        <w:trPr>
          <w:trHeight w:val="2461"/>
        </w:trPr>
        <w:tc>
          <w:tcPr>
            <w:tcW w:w="233" w:type="dxa"/>
            <w:vAlign w:val="center"/>
            <w:textDirection w:val="lrTb"/>
            <w:noWrap w:val="false"/>
          </w:tcPr>
          <w:p>
            <w:pPr>
              <w:pStyle w:val="1160"/>
              <w:jc w:val="center"/>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W w:w="330" w:type="dxa"/>
            <w:vAlign w:val="center"/>
            <w:textDirection w:val="lrTb"/>
            <w:noWrap w:val="false"/>
          </w:tcPr>
          <w:p>
            <w:pPr>
              <w:pStyle w:val="1160"/>
              <w:jc w:val="center"/>
              <w:keepLines w:val="0"/>
              <w:keepNext w:val="0"/>
              <w:pageBreakBefore w:val="0"/>
              <w:spacing w:line="360" w:lineRule="auto"/>
              <w:widowControl/>
              <w:tabs>
                <w:tab w:val="left" w:pos="467"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单人输液椅</w:t>
            </w:r>
            <w:r>
              <w:rPr>
                <w:rFonts w:hint="eastAsia" w:ascii="宋体" w:hAnsi="宋体" w:eastAsia="宋体" w:cs="宋体"/>
                <w:color w:val="000000"/>
                <w:sz w:val="24"/>
                <w:szCs w:val="24"/>
                <w:lang w:val="en-US" w:eastAsia="zh-CN"/>
              </w:rPr>
            </w:r>
            <w:r/>
          </w:p>
        </w:tc>
        <w:tc>
          <w:tcPr>
            <w:tcW w:w="1023" w:type="dxa"/>
            <w:vAlign w:val="center"/>
            <w:textDirection w:val="lrTb"/>
            <w:noWrap w:val="false"/>
          </w:tcPr>
          <w:p>
            <w:pPr>
              <w:pStyle w:val="1160"/>
              <w:jc w:val="center"/>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293370</wp:posOffset>
                      </wp:positionH>
                      <wp:positionV relativeFrom="paragraph">
                        <wp:posOffset>1134745</wp:posOffset>
                      </wp:positionV>
                      <wp:extent cx="557530" cy="1375410"/>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557530" cy="1375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280;o:allowoverlap:true;o:allowincell:true;mso-position-horizontal-relative:text;margin-left:23.1pt;mso-position-horizontal:absolute;mso-position-vertical-relative:text;margin-top:89.3pt;mso-position-vertical:absolute;width:43.9pt;height:108.3pt;mso-wrap-distance-left:9.0pt;mso-wrap-distance-top:0.0pt;mso-wrap-distance-right:9.0pt;mso-wrap-distance-bottom:0.0pt;" stroked="f">
                      <v:path textboxrect="0,0,0,0"/>
                      <v:imagedata r:id="rId107" o:title=""/>
                    </v:shape>
                  </w:pict>
                </mc:Fallback>
              </mc:AlternateContent>
            </w:r>
            <w:r>
              <w:rPr>
                <w:rFonts w:hint="eastAsia" w:ascii="宋体" w:hAnsi="宋体" w:eastAsia="宋体" w:cs="宋体"/>
                <w:color w:val="000000"/>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229235</wp:posOffset>
                      </wp:positionH>
                      <wp:positionV relativeFrom="paragraph">
                        <wp:posOffset>130810</wp:posOffset>
                      </wp:positionV>
                      <wp:extent cx="680720" cy="667385"/>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680720" cy="667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279;o:allowoverlap:true;o:allowincell:true;mso-position-horizontal-relative:text;margin-left:18.1pt;mso-position-horizontal:absolute;mso-position-vertical-relative:text;margin-top:10.3pt;mso-position-vertical:absolute;width:53.6pt;height:52.5pt;mso-wrap-distance-left:9.0pt;mso-wrap-distance-top:0.0pt;mso-wrap-distance-right:9.0pt;mso-wrap-distance-bottom:0.0pt;" stroked="f">
                      <v:path textboxrect="0,0,0,0"/>
                      <v:imagedata r:id="rId108" o:title=""/>
                    </v:shape>
                  </w:pict>
                </mc:Fallback>
              </mc:AlternateContent>
            </w:r>
            <w:r>
              <w:rPr>
                <w:rFonts w:hint="eastAsia" w:ascii="宋体" w:hAnsi="宋体" w:eastAsia="宋体" w:cs="宋体"/>
                <w:color w:val="000000"/>
                <w:sz w:val="24"/>
                <w:szCs w:val="24"/>
                <w:lang w:eastAsia="zh-CN"/>
              </w:rPr>
            </w:r>
            <w:r/>
          </w:p>
        </w:tc>
        <w:tc>
          <w:tcPr>
            <w:tcW w:w="610"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680*640*1070/1810</w:t>
            </w:r>
            <w:r>
              <w:rPr>
                <w:rFonts w:hint="eastAsia" w:ascii="宋体" w:hAnsi="宋体" w:eastAsia="宋体" w:cs="宋体"/>
                <w:color w:val="000000"/>
                <w:sz w:val="24"/>
                <w:szCs w:val="24"/>
                <w:lang w:val="en-US" w:eastAsia="zh-CN" w:bidi="ar"/>
              </w:rPr>
            </w:r>
            <w:r/>
          </w:p>
        </w:tc>
        <w:tc>
          <w:tcPr>
            <w:tcW w:w="1673"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1、扶手：采用1.2冷轧钢板</w:t>
            </w:r>
            <w:r>
              <w:rPr>
                <w:rFonts w:hint="eastAsia" w:ascii="宋体" w:hAnsi="宋体" w:eastAsia="宋体" w:cs="宋体"/>
                <w:i w:val="0"/>
                <w:iCs w:val="0"/>
                <w:color w:val="000000"/>
                <w:sz w:val="24"/>
                <w:szCs w:val="24"/>
                <w:u w:val="none"/>
                <w:lang w:val="en-US" w:eastAsia="zh-CN" w:bidi="ar"/>
              </w:rPr>
              <w:t xml:space="preserve">制作成型静电喷塑处理；                                                                                          2、脚：采用1.0冷轧钢板制作成型静电喷塑处理；                                                                                         3、座板 ：采用1.0冷轧钢板制作；                        </w:t>
            </w:r>
            <w:r>
              <w:rPr>
                <w:rFonts w:hint="eastAsia" w:ascii="宋体" w:hAnsi="宋体" w:eastAsia="宋体" w:cs="宋体"/>
                <w:i w:val="0"/>
                <w:iCs w:val="0"/>
                <w:color w:val="000000"/>
                <w:sz w:val="24"/>
                <w:szCs w:val="24"/>
                <w:u w:val="none"/>
                <w:lang w:val="en-US" w:eastAsia="zh-CN" w:bidi="ar"/>
              </w:rPr>
              <w:t xml:space="preserve">                                                        4、PU垫：内部用1.8mm冷轧钢条成型焊接，外包环扶手垫：内镶10mm多层夹板，外包环保聚氨酯（PU）保聚氨酯（PU）A/B聚醚发泡成型；                                                                                                        5、横梁：采用1.8mm冷拔钢管制作，静电喷涂处理；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 6、输液杆：采用钢管两次折弯制作，安装在输液椅后方支架上，方便患者观察盐水情况；                                                                                                                    7、调节脚：外壳为不锈钢冷冲成型，底部为静音塑料。</w:t>
            </w:r>
            <w:r>
              <w:rPr>
                <w:rFonts w:hint="eastAsia" w:ascii="宋体" w:hAnsi="宋体" w:eastAsia="宋体" w:cs="宋体"/>
                <w:color w:val="000000"/>
                <w:sz w:val="24"/>
                <w:szCs w:val="24"/>
              </w:rPr>
            </w:r>
            <w:r/>
          </w:p>
        </w:tc>
        <w:tc>
          <w:tcPr>
            <w:tcW w:w="353" w:type="dxa"/>
            <w:vAlign w:val="center"/>
            <w:textDirection w:val="lrTb"/>
            <w:noWrap w:val="false"/>
          </w:tcPr>
          <w:p>
            <w:pPr>
              <w:pStyle w:val="1160"/>
              <w:jc w:val="center"/>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387" w:type="dxa"/>
            <w:vAlign w:val="center"/>
            <w:textDirection w:val="lrTb"/>
            <w:noWrap w:val="false"/>
          </w:tcPr>
          <w:p>
            <w:pPr>
              <w:pStyle w:val="1160"/>
              <w:jc w:val="center"/>
              <w:keepLines w:val="0"/>
              <w:keepNext w:val="0"/>
              <w:pageBreakBefore w:val="0"/>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张</w:t>
            </w:r>
            <w:r>
              <w:rPr>
                <w:rFonts w:ascii="宋体" w:hAnsi="宋体" w:eastAsia="宋体" w:cs="宋体"/>
                <w:color w:val="000000"/>
                <w:sz w:val="24"/>
                <w:szCs w:val="24"/>
                <w:lang w:val="en-US" w:eastAsia="zh-CN"/>
              </w:rPr>
            </w:r>
            <w:r/>
          </w:p>
        </w:tc>
        <w:tc>
          <w:tcPr>
            <w:tcW w:w="387" w:type="dxa"/>
            <w:vAlign w:val="center"/>
            <w:textDirection w:val="lrTb"/>
            <w:noWrap w:val="false"/>
          </w:tcPr>
          <w:p>
            <w:pPr>
              <w:pStyle w:val="1160"/>
              <w:jc w:val="center"/>
              <w:keepLines w:val="0"/>
              <w:keepNext w:val="0"/>
              <w:pageBreakBefore w:val="0"/>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550</w:t>
            </w:r>
            <w:r>
              <w:rPr>
                <w:rFonts w:ascii="宋体" w:hAnsi="宋体" w:eastAsia="宋体" w:cs="宋体"/>
                <w:color w:val="000000"/>
                <w:sz w:val="24"/>
                <w:szCs w:val="24"/>
                <w:lang w:val="en-US" w:eastAsia="zh-CN"/>
              </w:rPr>
            </w:r>
            <w:r/>
          </w:p>
        </w:tc>
      </w:tr>
      <w:tr>
        <w:trPr>
          <w:trHeight w:val="2461"/>
        </w:trPr>
        <w:tc>
          <w:tcPr>
            <w:tcW w:w="233" w:type="dxa"/>
            <w:vAlign w:val="center"/>
            <w:textDirection w:val="lrTb"/>
            <w:noWrap w:val="false"/>
          </w:tcPr>
          <w:p>
            <w:pPr>
              <w:pStyle w:val="1160"/>
              <w:jc w:val="center"/>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W w:w="330" w:type="dxa"/>
            <w:vAlign w:val="center"/>
            <w:textDirection w:val="lrTb"/>
            <w:noWrap w:val="false"/>
          </w:tcPr>
          <w:p>
            <w:pPr>
              <w:pStyle w:val="1160"/>
              <w:jc w:val="left"/>
              <w:keepLines w:val="0"/>
              <w:keepNext w:val="0"/>
              <w:pageBreakBefore w:val="0"/>
              <w:spacing w:line="360" w:lineRule="auto"/>
              <w:widowControl/>
              <w:tabs>
                <w:tab w:val="left" w:pos="342"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会议椅</w:t>
            </w:r>
            <w:r>
              <w:rPr>
                <w:rFonts w:hint="eastAsia" w:ascii="宋体" w:hAnsi="宋体" w:eastAsia="宋体" w:cs="宋体"/>
                <w:color w:val="000000"/>
                <w:sz w:val="24"/>
                <w:szCs w:val="24"/>
                <w:lang w:val="en-US" w:eastAsia="zh-CN"/>
              </w:rPr>
            </w:r>
            <w:r/>
          </w:p>
        </w:tc>
        <w:tc>
          <w:tcPr>
            <w:tcW w:w="1023" w:type="dxa"/>
            <w:vAlign w:val="center"/>
            <w:textDirection w:val="lrTb"/>
            <w:noWrap w:val="false"/>
          </w:tcPr>
          <w:p>
            <w:pPr>
              <w:pStyle w:val="1160"/>
              <w:jc w:val="center"/>
              <w:keepLines w:val="0"/>
              <w:keepNext w:val="0"/>
              <w:pageBreakBefore w:val="0"/>
              <w:spacing w:line="360" w:lineRule="auto"/>
              <w:widowControl/>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1196975" cy="1339279"/>
                      <wp:effectExtent l="0" t="0" r="0" b="0"/>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1196975" cy="13392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94.2pt;height:105.5pt;mso-wrap-distance-left:0.0pt;mso-wrap-distance-top:0.0pt;mso-wrap-distance-right:0.0pt;mso-wrap-distance-bottom:0.0pt;" stroked="f">
                      <v:path textboxrect="0,0,0,0"/>
                      <v:imagedata r:id="rId109" o:title=""/>
                    </v:shape>
                  </w:pict>
                </mc:Fallback>
              </mc:AlternateContent>
            </w:r>
            <w:r>
              <w:rPr>
                <w:rFonts w:hint="eastAsia" w:ascii="宋体" w:hAnsi="宋体" w:eastAsia="宋体" w:cs="宋体"/>
                <w:color w:val="000000"/>
                <w:sz w:val="24"/>
                <w:szCs w:val="24"/>
                <w:lang w:eastAsia="zh-CN"/>
              </w:rPr>
            </w:r>
            <w:r/>
          </w:p>
        </w:tc>
        <w:tc>
          <w:tcPr>
            <w:tcW w:w="610" w:type="dxa"/>
            <w:vAlign w:val="center"/>
            <w:textDirection w:val="lrTb"/>
            <w:noWrap w:val="false"/>
          </w:tcPr>
          <w:p>
            <w:pPr>
              <w:pStyle w:val="1160"/>
              <w:jc w:val="left"/>
              <w:keepLines w:val="0"/>
              <w:keepNext w:val="0"/>
              <w:pageBreakBefore w:val="0"/>
              <w:spacing w:line="360" w:lineRule="auto"/>
              <w:widowControl/>
              <w:tabs>
                <w:tab w:val="left" w:pos="1111"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465mm*450mm*855mm</w:t>
            </w:r>
            <w:r>
              <w:rPr>
                <w:rFonts w:hint="eastAsia" w:ascii="宋体" w:hAnsi="宋体" w:eastAsia="宋体" w:cs="宋体"/>
                <w:color w:val="000000"/>
                <w:sz w:val="24"/>
                <w:szCs w:val="24"/>
                <w:lang w:val="en-US" w:eastAsia="zh-CN"/>
              </w:rPr>
            </w:r>
            <w:r/>
          </w:p>
        </w:tc>
        <w:tc>
          <w:tcPr>
            <w:tcW w:w="3255" w:type="dxa"/>
            <w:vAlign w:val="center"/>
            <w:textDirection w:val="lrTb"/>
            <w:noWrap w:val="false"/>
          </w:tcPr>
          <w:p>
            <w:pPr>
              <w:pStyle w:val="116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1、座胶背胶材质：座和背是连体的，采用全新PP塑料一性注塑成型；背部有1个椭圆形的把手孔，孔底部有1个挂钩，方便日常挂物使用，挂钩与座背一体成型。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2、椅架材质：采用国标钢管，结构牢固，长时间使用不得产生摇晃松散的现象，焊接完成钢管架，焊接部位牢固，无脱焊，虚焊，焊穿，焊缝均匀，无毛刺，锐棱，飞溅，裂纹等缺陷；</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3、椅架尺寸：管≥1.5mm厚直径φ19mm圆管，椅架上端有两根冷轧钢，经过冲压成型，宽为25mm，厚为4mm的加强拉力杆，加大了椅座与椅脚的接触面积，从而加大椅子承重力。                                                                                          </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4、椅架工艺：表面经酸洗，脱脂，磷化处理，耐腐蚀，防锈。表面采用一级环保塑粉喷塑涂层。涂层无漏喷，锈蚀，涂层光滑均匀，色泽一致。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5、椅脚塞和脚垫材质：采用全新 PP 新料一次性注塑成型。</w:t>
            </w:r>
            <w:r>
              <w:rPr>
                <w:rFonts w:hint="eastAsia" w:ascii="宋体" w:hAnsi="宋体" w:eastAsia="宋体" w:cs="宋体"/>
                <w:color w:val="000000"/>
                <w:sz w:val="24"/>
                <w:szCs w:val="24"/>
              </w:rPr>
            </w:r>
            <w:r/>
          </w:p>
        </w:tc>
        <w:tc>
          <w:tcPr>
            <w:tcW w:w="353" w:type="dxa"/>
            <w:vAlign w:val="center"/>
            <w:textDirection w:val="lrTb"/>
            <w:noWrap w:val="false"/>
          </w:tcPr>
          <w:p>
            <w:pPr>
              <w:pStyle w:val="1160"/>
              <w:jc w:val="center"/>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r>
            <w:r/>
          </w:p>
        </w:tc>
        <w:tc>
          <w:tcPr>
            <w:tcW w:w="387" w:type="dxa"/>
            <w:vAlign w:val="center"/>
            <w:textDirection w:val="lrTb"/>
            <w:noWrap w:val="false"/>
          </w:tcPr>
          <w:p>
            <w:pPr>
              <w:pStyle w:val="1160"/>
              <w:jc w:val="center"/>
              <w:keepLines w:val="0"/>
              <w:keepNext w:val="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张</w:t>
            </w:r>
            <w:r>
              <w:rPr>
                <w:rFonts w:hint="eastAsia" w:ascii="宋体" w:hAnsi="宋体" w:eastAsia="宋体" w:cs="宋体"/>
                <w:color w:val="000000"/>
                <w:sz w:val="24"/>
                <w:szCs w:val="24"/>
                <w:lang w:val="en-US" w:eastAsia="zh-CN"/>
              </w:rPr>
            </w:r>
            <w:r/>
          </w:p>
        </w:tc>
        <w:tc>
          <w:tcPr>
            <w:tcW w:w="387" w:type="dxa"/>
            <w:vAlign w:val="center"/>
            <w:textDirection w:val="lrTb"/>
            <w:noWrap w:val="false"/>
          </w:tcPr>
          <w:p>
            <w:pPr>
              <w:pStyle w:val="1160"/>
              <w:jc w:val="center"/>
              <w:keepLines w:val="0"/>
              <w:keepNext w:val="0"/>
              <w:pageBreakBefore w:val="0"/>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160</w:t>
            </w:r>
            <w:r>
              <w:rPr>
                <w:rFonts w:ascii="宋体" w:hAnsi="宋体" w:eastAsia="宋体" w:cs="宋体"/>
                <w:color w:val="000000"/>
                <w:sz w:val="24"/>
                <w:szCs w:val="24"/>
                <w:lang w:val="en-US" w:eastAsia="zh-CN"/>
              </w:rPr>
            </w:r>
            <w:r/>
          </w:p>
        </w:tc>
      </w:tr>
    </w:tbl>
    <w:p>
      <w:pPr>
        <w:pStyle w:val="1160"/>
        <w:ind w:firstLine="480"/>
        <w:keepLines w:val="0"/>
        <w:keepNext w:val="0"/>
        <w:pageBreakBefore w:val="0"/>
        <w:spacing w:line="360" w:lineRule="auto"/>
        <w:shd w:val="clear" w:color="auto" w:fill="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2.样品参考图纸</w:t>
      </w:r>
      <w:r>
        <w:rPr>
          <w:rFonts w:ascii="宋体" w:hAnsi="宋体" w:eastAsia="宋体" w:cs="宋体"/>
          <w:b/>
          <w:bCs/>
          <w:color w:val="000000"/>
          <w:sz w:val="24"/>
          <w:szCs w:val="24"/>
          <w:highlight w:val="none"/>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2"/>
        <w:gridCol w:w="2570"/>
        <w:gridCol w:w="5400"/>
      </w:tblGrid>
      <w:tr>
        <w:trPr>
          <w:trHeight w:val="541"/>
        </w:trPr>
        <w:tc>
          <w:tcPr>
            <w:tcW w:w="377" w:type="dxa"/>
            <w:vAlign w:val="center"/>
            <w:textDirection w:val="lrTb"/>
            <w:noWrap w:val="false"/>
          </w:tcPr>
          <w:p>
            <w:pPr>
              <w:pStyle w:val="1160"/>
              <w:jc w:val="center"/>
              <w:rPr>
                <w:rFonts w:hint="eastAsia" w:ascii="宋体" w:hAnsi="宋体" w:cs="宋体"/>
                <w:color w:val="000000"/>
                <w:sz w:val="24"/>
              </w:rPr>
            </w:pPr>
            <w:r>
              <w:rPr>
                <w:rFonts w:hint="eastAsia" w:ascii="宋体" w:hAnsi="宋体" w:cs="宋体"/>
                <w:color w:val="000000"/>
                <w:sz w:val="24"/>
              </w:rPr>
              <w:t xml:space="preserve">清单序号</w:t>
            </w:r>
            <w:r>
              <w:rPr>
                <w:rFonts w:hint="eastAsia" w:ascii="宋体" w:hAnsi="宋体" w:cs="宋体"/>
                <w:color w:val="000000"/>
                <w:sz w:val="24"/>
              </w:rPr>
            </w:r>
            <w:r/>
          </w:p>
        </w:tc>
        <w:tc>
          <w:tcPr>
            <w:tcW w:w="1487" w:type="dxa"/>
            <w:vAlign w:val="center"/>
            <w:textDirection w:val="lrTb"/>
            <w:noWrap w:val="false"/>
          </w:tcPr>
          <w:p>
            <w:pPr>
              <w:pStyle w:val="1160"/>
              <w:jc w:val="center"/>
              <w:rPr>
                <w:rFonts w:hint="eastAsia" w:ascii="宋体" w:hAnsi="宋体" w:cs="宋体"/>
                <w:color w:val="000000"/>
                <w:sz w:val="24"/>
              </w:rPr>
            </w:pPr>
            <w:r>
              <w:rPr>
                <w:rFonts w:hint="eastAsia" w:ascii="宋体" w:hAnsi="宋体" w:cs="宋体"/>
                <w:color w:val="000000"/>
                <w:sz w:val="24"/>
              </w:rPr>
              <w:t xml:space="preserve">样品名称</w:t>
            </w:r>
            <w:r>
              <w:rPr>
                <w:rFonts w:hint="eastAsia" w:ascii="宋体" w:hAnsi="宋体" w:cs="宋体"/>
                <w:color w:val="000000"/>
                <w:sz w:val="24"/>
              </w:rPr>
            </w:r>
            <w:r/>
          </w:p>
        </w:tc>
        <w:tc>
          <w:tcPr>
            <w:tcW w:w="3134" w:type="dxa"/>
            <w:vAlign w:val="center"/>
            <w:textDirection w:val="lrTb"/>
            <w:noWrap w:val="false"/>
          </w:tcPr>
          <w:p>
            <w:pPr>
              <w:pStyle w:val="1160"/>
              <w:jc w:val="center"/>
              <w:rPr>
                <w:rFonts w:hint="eastAsia" w:ascii="宋体" w:hAnsi="宋体" w:cs="宋体"/>
                <w:color w:val="000000"/>
                <w:sz w:val="24"/>
              </w:rPr>
            </w:pPr>
            <w:r>
              <w:rPr>
                <w:rFonts w:hint="eastAsia" w:ascii="宋体" w:hAnsi="宋体" w:cs="宋体"/>
                <w:color w:val="000000"/>
                <w:sz w:val="24"/>
              </w:rPr>
              <w:t xml:space="preserve">图纸（尺寸单位：mm）</w:t>
            </w:r>
            <w:r>
              <w:rPr>
                <w:rFonts w:hint="eastAsia" w:ascii="宋体" w:hAnsi="宋体" w:cs="宋体"/>
                <w:color w:val="000000"/>
                <w:sz w:val="24"/>
              </w:rPr>
            </w:r>
            <w:r/>
          </w:p>
        </w:tc>
      </w:tr>
      <w:tr>
        <w:trPr>
          <w:trHeight w:val="2541"/>
        </w:trPr>
        <w:tc>
          <w:tcPr>
            <w:tcW w:w="377" w:type="dxa"/>
            <w:vAlign w:val="center"/>
            <w:textDirection w:val="lrTb"/>
            <w:noWrap w:val="false"/>
          </w:tcPr>
          <w:p>
            <w:pPr>
              <w:pStyle w:val="1160"/>
              <w:jc w:val="left"/>
              <w:widowControl/>
              <w:tabs>
                <w:tab w:val="left" w:pos="342" w:leader="none"/>
              </w:tabs>
              <w:rPr>
                <w:rFonts w:hint="eastAsia" w:ascii="宋体" w:hAnsi="宋体" w:eastAsia="宋体" w:cs="宋体"/>
                <w:color w:val="000000"/>
                <w:sz w:val="24"/>
                <w:szCs w:val="24"/>
                <w:lang w:val="en-US" w:eastAsia="zh-CN" w:bidi="ar-SA"/>
              </w:rPr>
            </w:pPr>
            <w:r>
              <w:rPr>
                <w:rFonts w:hint="eastAsia" w:ascii="宋体" w:hAnsi="宋体" w:cs="宋体"/>
                <w:color w:val="000000"/>
                <w:sz w:val="24"/>
                <w:lang w:val="en-US" w:eastAsia="zh-CN"/>
              </w:rPr>
              <w:t xml:space="preserve">47</w:t>
            </w:r>
            <w:r>
              <w:rPr>
                <w:rFonts w:hint="eastAsia" w:ascii="宋体" w:hAnsi="宋体" w:eastAsia="宋体" w:cs="宋体"/>
                <w:color w:val="000000"/>
                <w:sz w:val="24"/>
                <w:szCs w:val="24"/>
                <w:lang w:val="en-US" w:eastAsia="zh-CN" w:bidi="ar-SA"/>
              </w:rPr>
            </w:r>
            <w:r/>
          </w:p>
        </w:tc>
        <w:tc>
          <w:tcPr>
            <w:tcW w:w="1487" w:type="dxa"/>
            <w:vAlign w:val="center"/>
            <w:textDirection w:val="lrTb"/>
            <w:noWrap w:val="false"/>
          </w:tcPr>
          <w:p>
            <w:pPr>
              <w:pStyle w:val="1264"/>
              <w:ind w:left="0"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1"/>
                <w:szCs w:val="21"/>
                <w:highlight w:val="none"/>
                <w:lang w:val="en-US" w:eastAsia="zh-CN"/>
              </w:rPr>
              <w:t xml:space="preserve">实验台（1200*750*800）</w:t>
            </w:r>
            <w:r>
              <w:rPr>
                <w:rFonts w:hint="eastAsia" w:ascii="宋体" w:hAnsi="宋体" w:eastAsia="宋体" w:cs="宋体"/>
                <w:color w:val="000000"/>
                <w:sz w:val="24"/>
                <w:szCs w:val="24"/>
                <w:lang w:val="en-US" w:eastAsia="zh-CN" w:bidi="ar-SA"/>
              </w:rPr>
            </w:r>
            <w:r/>
          </w:p>
        </w:tc>
        <w:tc>
          <w:tcPr>
            <w:tcW w:w="3134" w:type="dxa"/>
            <w:vAlign w:val="center"/>
            <w:textDirection w:val="lrTb"/>
            <w:noWrap w:val="false"/>
          </w:tcPr>
          <w:p>
            <w:pPr>
              <w:pStyle w:val="1160"/>
              <w:rPr>
                <w:rFonts w:hint="eastAsia" w:ascii="宋体" w:hAnsi="宋体" w:cs="宋体"/>
                <w:color w:val="000000"/>
                <w:sz w:val="24"/>
              </w:rPr>
            </w:pPr>
            <w:r>
              <w:rPr>
                <w:rFonts w:hint="eastAsia" w:ascii="宋体" w:hAnsi="宋体" w:eastAsia="宋体" w:cs="宋体"/>
                <w:color w:val="000000"/>
                <w:sz w:val="21"/>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190500</wp:posOffset>
                      </wp:positionH>
                      <wp:positionV relativeFrom="paragraph">
                        <wp:posOffset>57150</wp:posOffset>
                      </wp:positionV>
                      <wp:extent cx="2944495" cy="2212975"/>
                      <wp:effectExtent l="0" t="0" r="0" b="0"/>
                      <wp:wrapSquare wrapText="bothSides"/>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2944495" cy="2212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258;o:allowoverlap:true;o:allowincell:true;mso-position-horizontal-relative:text;margin-left:15.0pt;mso-position-horizontal:absolute;mso-position-vertical-relative:text;margin-top:4.5pt;mso-position-vertical:absolute;width:231.8pt;height:174.2pt;mso-wrap-distance-left:9.0pt;mso-wrap-distance-top:0.0pt;mso-wrap-distance-right:9.0pt;mso-wrap-distance-bottom:0.0pt;" stroked="f">
                      <v:path textboxrect="0,0,0,0"/>
                      <w10:wrap type="square"/>
                      <v:imagedata r:id="rId110" o:title=""/>
                    </v:shape>
                  </w:pict>
                </mc:Fallback>
              </mc:AlternateContent>
            </w:r>
            <w:r>
              <w:rPr>
                <w:rFonts w:hint="eastAsia" w:ascii="宋体" w:hAnsi="宋体" w:cs="宋体"/>
                <w:color w:val="000000"/>
                <w:sz w:val="24"/>
              </w:rPr>
            </w:r>
            <w:r/>
          </w:p>
        </w:tc>
      </w:tr>
      <w:tr>
        <w:trPr>
          <w:trHeight w:val="567"/>
        </w:trPr>
        <w:tc>
          <w:tcPr>
            <w:tcW w:w="377" w:type="dxa"/>
            <w:vAlign w:val="center"/>
            <w:textDirection w:val="lrTb"/>
            <w:noWrap w:val="false"/>
          </w:tcPr>
          <w:p>
            <w:pPr>
              <w:pStyle w:val="1160"/>
              <w:ind w:firstLine="240"/>
              <w:jc w:val="left"/>
              <w:widowControl/>
              <w:tabs>
                <w:tab w:val="left" w:pos="342" w:leader="none"/>
              </w:tabs>
              <w:rPr>
                <w:rFonts w:ascii="宋体" w:hAnsi="宋体" w:eastAsia="宋体" w:cs="宋体"/>
                <w:color w:val="000000"/>
                <w:sz w:val="24"/>
                <w:szCs w:val="24"/>
                <w:lang w:val="en-US" w:eastAsia="zh-CN" w:bidi="ar-SA"/>
              </w:rPr>
            </w:pPr>
            <w:r>
              <w:rPr>
                <w:rFonts w:hint="eastAsia" w:ascii="宋体" w:hAnsi="宋体" w:cs="宋体"/>
                <w:color w:val="000000"/>
                <w:sz w:val="24"/>
                <w:lang w:val="en-US" w:eastAsia="zh-CN"/>
              </w:rPr>
              <w:t xml:space="preserve">4</w:t>
            </w:r>
            <w:r>
              <w:rPr>
                <w:rFonts w:ascii="宋体" w:hAnsi="宋体" w:eastAsia="宋体" w:cs="宋体"/>
                <w:color w:val="000000"/>
                <w:sz w:val="24"/>
                <w:szCs w:val="24"/>
                <w:lang w:val="en-US" w:eastAsia="zh-CN" w:bidi="ar-SA"/>
              </w:rPr>
            </w:r>
            <w:r/>
          </w:p>
        </w:tc>
        <w:tc>
          <w:tcPr>
            <w:tcW w:w="1487" w:type="dxa"/>
            <w:vAlign w:val="center"/>
            <w:textDirection w:val="lrTb"/>
            <w:noWrap w:val="false"/>
          </w:tcPr>
          <w:p>
            <w:pPr>
              <w:pStyle w:val="1264"/>
              <w:ind w:left="0" w:firstLine="0"/>
              <w:jc w:val="center"/>
              <w:rPr>
                <w:rFonts w:hint="eastAsia" w:ascii="宋体" w:hAnsi="宋体" w:eastAsia="宋体" w:cs="宋体"/>
                <w:color w:val="000000"/>
                <w:sz w:val="24"/>
                <w:szCs w:val="24"/>
                <w:lang w:val="en-US" w:eastAsia="zh-CN" w:bidi="ar-SA"/>
              </w:rPr>
            </w:pPr>
            <w:r>
              <w:rPr>
                <w:rFonts w:hint="eastAsia" w:ascii="宋体" w:hAnsi="宋体" w:cs="宋体"/>
                <w:color w:val="000000"/>
                <w:szCs w:val="21"/>
                <w:lang w:val="en-US" w:eastAsia="zh-CN" w:bidi="ar"/>
              </w:rPr>
              <w:t xml:space="preserve">输液椅（680*640*1070/1810）</w:t>
            </w:r>
            <w:r>
              <w:rPr>
                <w:rFonts w:hint="eastAsia" w:ascii="宋体" w:hAnsi="宋体" w:eastAsia="宋体" w:cs="宋体"/>
                <w:color w:val="000000"/>
                <w:sz w:val="24"/>
                <w:szCs w:val="24"/>
                <w:lang w:val="en-US" w:eastAsia="zh-CN" w:bidi="ar-SA"/>
              </w:rPr>
            </w:r>
            <w:r/>
          </w:p>
        </w:tc>
        <w:tc>
          <w:tcPr>
            <w:tcW w:w="3134" w:type="dxa"/>
            <w:vAlign w:val="center"/>
            <w:textDirection w:val="lrTb"/>
            <w:noWrap w:val="false"/>
          </w:tcPr>
          <w:p>
            <w:pPr>
              <w:pStyle w:val="1160"/>
              <w:jc w:val="center"/>
              <w:rPr>
                <w:rFonts w:hint="eastAsia" w:ascii="宋体" w:hAnsi="宋体" w:cs="宋体"/>
                <w:color w:val="000000"/>
                <w:sz w:val="24"/>
              </w:rPr>
            </w:pPr>
            <w:r>
              <w:rPr>
                <w:rFonts w:hint="eastAsia" w:ascii="宋体" w:hAnsi="宋体" w:eastAsia="宋体" w:cs="宋体"/>
                <w:color w:val="000000"/>
                <w:lang w:eastAsia="zh-CN"/>
              </w:rPr>
              <mc:AlternateContent>
                <mc:Choice Requires="wpg">
                  <w:drawing>
                    <wp:inline xmlns:wp="http://schemas.openxmlformats.org/drawingml/2006/wordprocessingDrawing" distT="0" distB="0" distL="0" distR="0">
                      <wp:extent cx="3287878" cy="2823286"/>
                      <wp:effectExtent l="0" t="0" r="0" b="0"/>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3287878" cy="28232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258.9pt;height:222.3pt;mso-wrap-distance-left:0.0pt;mso-wrap-distance-top:0.0pt;mso-wrap-distance-right:0.0pt;mso-wrap-distance-bottom:0.0pt;" stroked="f">
                      <v:path textboxrect="0,0,0,0"/>
                      <v:imagedata r:id="rId111" o:title=""/>
                    </v:shape>
                  </w:pict>
                </mc:Fallback>
              </mc:AlternateContent>
            </w:r>
            <w:r>
              <w:rPr>
                <w:rFonts w:hint="eastAsia" w:ascii="宋体" w:hAnsi="宋体" w:cs="宋体"/>
                <w:color w:val="000000"/>
                <w:sz w:val="24"/>
              </w:rPr>
            </w:r>
            <w:r/>
          </w:p>
        </w:tc>
      </w:tr>
      <w:tr>
        <w:trPr>
          <w:trHeight w:val="567"/>
        </w:trPr>
        <w:tc>
          <w:tcPr>
            <w:tcW w:w="377" w:type="dxa"/>
            <w:vAlign w:val="center"/>
            <w:textDirection w:val="lrTb"/>
            <w:noWrap w:val="false"/>
          </w:tcPr>
          <w:p>
            <w:pPr>
              <w:pStyle w:val="1160"/>
              <w:ind w:firstLine="240"/>
              <w:jc w:val="left"/>
              <w:widowControl/>
              <w:tabs>
                <w:tab w:val="left" w:pos="342" w:leader="none"/>
              </w:tabs>
              <w:rPr>
                <w:rFonts w:ascii="宋体" w:hAnsi="宋体" w:eastAsia="宋体" w:cs="宋体"/>
                <w:color w:val="000000"/>
                <w:sz w:val="24"/>
                <w:szCs w:val="24"/>
                <w:lang w:val="en-US" w:eastAsia="zh-CN" w:bidi="ar-SA"/>
              </w:rPr>
            </w:pPr>
            <w:r>
              <w:rPr>
                <w:rFonts w:hint="eastAsia" w:ascii="宋体" w:hAnsi="宋体" w:cs="宋体"/>
                <w:color w:val="000000"/>
                <w:sz w:val="24"/>
                <w:lang w:val="en-US" w:eastAsia="zh-CN"/>
              </w:rPr>
              <w:t xml:space="preserve">8</w:t>
            </w:r>
            <w:r>
              <w:rPr>
                <w:rFonts w:ascii="宋体" w:hAnsi="宋体" w:eastAsia="宋体" w:cs="宋体"/>
                <w:color w:val="000000"/>
                <w:sz w:val="24"/>
                <w:szCs w:val="24"/>
                <w:lang w:val="en-US" w:eastAsia="zh-CN" w:bidi="ar-SA"/>
              </w:rPr>
            </w:r>
            <w:r/>
          </w:p>
        </w:tc>
        <w:tc>
          <w:tcPr>
            <w:tcW w:w="1487" w:type="dxa"/>
            <w:vAlign w:val="center"/>
            <w:textDirection w:val="lrTb"/>
            <w:noWrap w:val="false"/>
          </w:tcPr>
          <w:p>
            <w:pPr>
              <w:pStyle w:val="1160"/>
              <w:ind w:firstLine="210"/>
              <w:jc w:val="center"/>
              <w:widowControl/>
              <w:tabs>
                <w:tab w:val="left" w:pos="342" w:leader="none"/>
              </w:tabs>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会议椅</w:t>
            </w:r>
            <w:r>
              <w:rPr>
                <w:rFonts w:hint="eastAsia" w:ascii="宋体" w:hAnsi="宋体" w:eastAsia="宋体" w:cs="宋体"/>
                <w:color w:val="000000"/>
                <w:sz w:val="24"/>
                <w:szCs w:val="24"/>
                <w:lang w:val="en-US" w:eastAsia="zh-CN"/>
              </w:rPr>
              <w:t xml:space="preserve">（465mm*450mm*855mm）</w:t>
            </w:r>
            <w:r>
              <w:rPr>
                <w:rFonts w:ascii="宋体" w:hAnsi="宋体" w:eastAsia="宋体" w:cs="宋体"/>
                <w:color w:val="000000"/>
                <w:sz w:val="21"/>
                <w:szCs w:val="21"/>
                <w:lang w:val="en-US" w:eastAsia="zh-CN" w:bidi="ar-SA"/>
              </w:rPr>
            </w:r>
            <w:r/>
          </w:p>
        </w:tc>
        <w:tc>
          <w:tcPr>
            <w:tcW w:w="3134" w:type="dxa"/>
            <w:vAlign w:val="center"/>
            <w:textDirection w:val="lrTb"/>
            <w:noWrap w:val="false"/>
          </w:tcPr>
          <w:p>
            <w:pPr>
              <w:pStyle w:val="1160"/>
              <w:jc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mc:AlternateContent>
                <mc:Choice Requires="wpg">
                  <w:drawing>
                    <wp:inline xmlns:wp="http://schemas.openxmlformats.org/drawingml/2006/wordprocessingDrawing" distT="0" distB="0" distL="0" distR="0">
                      <wp:extent cx="3523564" cy="1917078"/>
                      <wp:effectExtent l="0" t="0" r="0" b="0"/>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3523564" cy="19170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277.4pt;height:151.0pt;mso-wrap-distance-left:0.0pt;mso-wrap-distance-top:0.0pt;mso-wrap-distance-right:0.0pt;mso-wrap-distance-bottom:0.0pt;" stroked="f">
                      <v:path textboxrect="0,0,0,0"/>
                      <v:imagedata r:id="rId112" o:title=""/>
                    </v:shape>
                  </w:pict>
                </mc:Fallback>
              </mc:AlternateContent>
            </w:r>
            <w:r>
              <w:rPr>
                <w:rFonts w:hint="eastAsia" w:ascii="宋体" w:hAnsi="宋体" w:eastAsia="宋体" w:cs="宋体"/>
                <w:color w:val="000000"/>
                <w:sz w:val="24"/>
                <w:lang w:eastAsia="zh-CN"/>
              </w:rPr>
            </w:r>
            <w:r/>
          </w:p>
        </w:tc>
      </w:tr>
    </w:tbl>
    <w:p>
      <w:pPr>
        <w:pStyle w:val="1160"/>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3.送样要求</w:t>
      </w:r>
      <w:r>
        <w:rPr>
          <w:rFonts w:hint="eastAsia" w:ascii="宋体" w:hAnsi="宋体" w:eastAsia="宋体" w:cs="宋体"/>
          <w:bCs/>
          <w:color w:val="000000"/>
          <w:sz w:val="24"/>
          <w:szCs w:val="24"/>
          <w:highlight w:val="none"/>
          <w:lang w:val="en-US" w:eastAsia="zh-CN"/>
        </w:rPr>
      </w:r>
      <w:r/>
    </w:p>
    <w:p>
      <w:pPr>
        <w:pStyle w:val="1160"/>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（1）送样地点：江苏尚阳工程管理有限公司（常州市新北区嵩山路1-301号（太湖明珠苑综合市场3楼））</w:t>
      </w:r>
      <w:r>
        <w:rPr>
          <w:rFonts w:hint="eastAsia" w:ascii="宋体" w:hAnsi="宋体" w:eastAsia="宋体" w:cs="宋体"/>
          <w:bCs/>
          <w:color w:val="000000"/>
          <w:sz w:val="24"/>
          <w:szCs w:val="24"/>
          <w:highlight w:val="none"/>
          <w:lang w:val="en-US" w:eastAsia="zh-CN"/>
        </w:rPr>
      </w:r>
      <w:r/>
    </w:p>
    <w:p>
      <w:pPr>
        <w:pStyle w:val="1160"/>
        <w:numPr>
          <w:ilvl w:val="0"/>
          <w:numId w:val="0"/>
        </w:numPr>
        <w:ind w:left="479" w:firstLine="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（2）送样时间：2026年5月12日14点00分至17点00分</w:t>
      </w:r>
      <w:r>
        <w:rPr>
          <w:rFonts w:hint="eastAsia" w:ascii="宋体" w:hAnsi="宋体" w:eastAsia="宋体" w:cs="宋体"/>
          <w:bCs/>
          <w:color w:val="000000"/>
          <w:sz w:val="24"/>
          <w:szCs w:val="24"/>
          <w:highlight w:val="none"/>
          <w:lang w:val="en-US" w:eastAsia="zh-CN"/>
        </w:rPr>
        <w:t xml:space="preserve">（北京时间）</w:t>
      </w:r>
      <w:r>
        <w:rPr>
          <w:rFonts w:hint="eastAsia" w:ascii="宋体" w:hAnsi="宋体" w:eastAsia="宋体" w:cs="宋体"/>
          <w:bCs/>
          <w:color w:val="000000"/>
          <w:sz w:val="24"/>
          <w:szCs w:val="24"/>
          <w:highlight w:val="none"/>
          <w:lang w:val="en-US" w:eastAsia="zh-CN"/>
        </w:rPr>
        <w:t xml:space="preserve">（3）送样接收联系人：王涛；电话：0519-88818292（8000）</w:t>
      </w:r>
      <w:r>
        <w:rPr>
          <w:rFonts w:hint="eastAsia" w:ascii="宋体" w:hAnsi="宋体" w:eastAsia="宋体" w:cs="宋体"/>
          <w:bCs/>
          <w:color w:val="000000"/>
          <w:sz w:val="24"/>
          <w:szCs w:val="24"/>
          <w:highlight w:val="none"/>
          <w:lang w:val="en-US" w:eastAsia="zh-CN"/>
        </w:rPr>
      </w:r>
      <w:r/>
    </w:p>
    <w:p>
      <w:pPr>
        <w:pStyle w:val="1160"/>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（4）退回方式：自取</w:t>
      </w:r>
      <w:r>
        <w:rPr>
          <w:rFonts w:hint="eastAsia" w:ascii="宋体" w:hAnsi="宋体" w:eastAsia="宋体" w:cs="宋体"/>
          <w:bCs/>
          <w:color w:val="000000"/>
          <w:sz w:val="24"/>
          <w:szCs w:val="24"/>
          <w:highlight w:val="none"/>
          <w:lang w:val="en-US" w:eastAsia="zh-CN"/>
        </w:rPr>
      </w:r>
      <w:r/>
    </w:p>
    <w:p>
      <w:pPr>
        <w:pStyle w:val="1160"/>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（5）投标人须按招标文件的要求提供样品，</w:t>
      </w:r>
      <w:r>
        <w:rPr>
          <w:rFonts w:hint="eastAsia" w:ascii="宋体" w:hAnsi="宋体" w:eastAsia="宋体" w:cs="宋体"/>
          <w:b/>
          <w:bCs w:val="0"/>
          <w:color w:val="000000"/>
          <w:sz w:val="24"/>
          <w:szCs w:val="24"/>
          <w:highlight w:val="none"/>
          <w:lang w:val="en-US" w:eastAsia="zh-CN"/>
        </w:rPr>
        <w:t xml:space="preserve">截止时间之后送达的不予接收</w:t>
      </w:r>
      <w:r>
        <w:rPr>
          <w:rFonts w:hint="eastAsia" w:ascii="宋体" w:hAnsi="宋体" w:eastAsia="宋体" w:cs="宋体"/>
          <w:bCs/>
          <w:color w:val="000000"/>
          <w:sz w:val="24"/>
          <w:szCs w:val="24"/>
          <w:highlight w:val="none"/>
          <w:lang w:val="en-US" w:eastAsia="zh-CN"/>
        </w:rPr>
        <w:t xml:space="preserve">。中标人的样品将留样封存，作为中标人产品现场验收依据。未中标单位在中标公告发布后的3个工作日内将样品自行取回，否则视同投标人自动放弃样品，招标人有权自行处理。</w:t>
      </w:r>
      <w:r>
        <w:rPr>
          <w:rFonts w:hint="eastAsia" w:ascii="宋体" w:hAnsi="宋体" w:eastAsia="宋体" w:cs="宋体"/>
          <w:b/>
          <w:bCs w:val="0"/>
          <w:color w:val="000000"/>
          <w:sz w:val="24"/>
          <w:szCs w:val="24"/>
          <w:highlight w:val="none"/>
          <w:lang w:val="en-US" w:eastAsia="zh-CN"/>
        </w:rPr>
        <w:t xml:space="preserve">各投标人样品不能出现制造厂或投标人的标志、标记，否则样品评审时不得分</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1160"/>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4.送样表格式</w:t>
      </w:r>
      <w:r>
        <w:rPr>
          <w:rFonts w:hint="eastAsia" w:ascii="宋体" w:hAnsi="宋体" w:eastAsia="宋体" w:cs="宋体"/>
          <w:bCs/>
          <w:color w:val="000000"/>
          <w:sz w:val="24"/>
          <w:szCs w:val="24"/>
          <w:highlight w:val="none"/>
          <w:lang w:val="en-US" w:eastAsia="zh-CN"/>
        </w:rPr>
      </w:r>
      <w:r/>
    </w:p>
    <w:tbl>
      <w:tblPr>
        <w:tblW w:w="4753" w:type="pct"/>
        <w:tblInd w:w="-108" w:type="dxa"/>
        <w:tblLayout w:type="fixed"/>
        <w:tblCellMar>
          <w:left w:w="108" w:type="dxa"/>
          <w:top w:w="0" w:type="dxa"/>
          <w:right w:w="108" w:type="dxa"/>
          <w:bottom w:w="0" w:type="dxa"/>
        </w:tblCellMar>
        <w:tblLook w:val="04A0" w:firstRow="1" w:lastRow="0" w:firstColumn="1" w:lastColumn="0" w:noHBand="0" w:noVBand="1"/>
      </w:tblPr>
      <w:tblGrid>
        <w:gridCol w:w="637"/>
        <w:gridCol w:w="2669"/>
        <w:gridCol w:w="804"/>
        <w:gridCol w:w="1006"/>
        <w:gridCol w:w="1076"/>
        <w:gridCol w:w="1910"/>
      </w:tblGrid>
      <w:tr>
        <w:trPr>
          <w:trHeight w:val="518"/>
        </w:trPr>
        <w:tc>
          <w:tcPr>
            <w:gridSpan w:val="6"/>
            <w:tcBorders>
              <w:top w:val="none" w:color="000000" w:sz="0" w:space="0"/>
              <w:left w:val="none" w:color="000000" w:sz="0" w:space="0"/>
              <w:bottom w:val="none" w:color="000000" w:sz="0" w:space="0"/>
              <w:right w:val="none" w:color="000000" w:sz="0" w:space="0"/>
            </w:tcBorders>
            <w:tcW w:w="8102" w:type="dxa"/>
            <w:vAlign w:val="center"/>
            <w:textDirection w:val="lrTb"/>
            <w:noWrap/>
          </w:tcPr>
          <w:p>
            <w:pPr>
              <w:pStyle w:val="1160"/>
              <w:jc w:val="center"/>
              <w:keepLines w:val="0"/>
              <w:keepNext w:val="0"/>
              <w:pageBreakBefore w:val="0"/>
              <w:spacing w:line="400" w:lineRule="exact"/>
              <w:tabs>
                <w:tab w:val="left" w:pos="426" w:leader="none"/>
              </w:tabs>
              <w:rPr>
                <w:rFonts w:hint="eastAsia" w:ascii="宋体" w:hAnsi="宋体" w:eastAsia="宋体" w:cs="宋体"/>
                <w:b/>
                <w:bCs/>
                <w:color w:val="000000"/>
                <w:sz w:val="24"/>
                <w:highlight w:val="none"/>
                <w:lang w:eastAsia="zh-CN"/>
              </w:rPr>
              <w:outlineLvl w:val="9"/>
            </w:pPr>
            <w:r>
              <w:rPr>
                <w:rFonts w:hint="eastAsia" w:ascii="宋体" w:hAnsi="宋体" w:eastAsia="宋体" w:cs="宋体"/>
                <w:b/>
                <w:bCs/>
                <w:color w:val="000000"/>
                <w:sz w:val="24"/>
                <w:highlight w:val="none"/>
                <w:lang w:eastAsia="zh-CN"/>
              </w:rPr>
              <w:t xml:space="preserve">送  样  表</w:t>
            </w:r>
            <w:r>
              <w:rPr>
                <w:rFonts w:hint="eastAsia" w:ascii="宋体" w:hAnsi="宋体" w:eastAsia="宋体" w:cs="宋体"/>
                <w:b/>
                <w:bCs/>
                <w:color w:val="000000"/>
                <w:sz w:val="24"/>
                <w:highlight w:val="none"/>
                <w:lang w:eastAsia="zh-CN"/>
              </w:rPr>
            </w:r>
            <w:r/>
          </w:p>
        </w:tc>
      </w:tr>
      <w:tr>
        <w:trPr>
          <w:trHeight w:val="521"/>
        </w:trPr>
        <w:tc>
          <w:tcPr>
            <w:gridSpan w:val="2"/>
            <w:tcBorders>
              <w:top w:val="none" w:color="000000" w:sz="0" w:space="0"/>
              <w:left w:val="none" w:color="000000" w:sz="0" w:space="0"/>
              <w:bottom w:val="none" w:color="000000" w:sz="0" w:space="0"/>
              <w:right w:val="none" w:color="000000" w:sz="0" w:space="0"/>
            </w:tcBorders>
            <w:tcW w:w="3306" w:type="dxa"/>
            <w:vAlign w:val="center"/>
            <w:textDirection w:val="lrTb"/>
            <w:noWrap/>
          </w:tcPr>
          <w:p>
            <w:pPr>
              <w:pStyle w:val="1160"/>
              <w:jc w:val="both"/>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项目名称：</w:t>
            </w:r>
            <w:r>
              <w:rPr>
                <w:rFonts w:hint="eastAsia" w:ascii="宋体" w:hAnsi="宋体" w:eastAsia="宋体" w:cs="宋体"/>
                <w:color w:val="000000"/>
                <w:sz w:val="24"/>
                <w:highlight w:val="none"/>
                <w:lang w:eastAsia="zh-CN"/>
              </w:rPr>
            </w:r>
            <w:r/>
          </w:p>
        </w:tc>
        <w:tc>
          <w:tcPr>
            <w:gridSpan w:val="4"/>
            <w:tcBorders>
              <w:top w:val="none" w:color="000000" w:sz="0" w:space="0"/>
              <w:left w:val="none" w:color="000000" w:sz="0" w:space="0"/>
              <w:bottom w:val="none" w:color="000000" w:sz="0" w:space="0"/>
              <w:right w:val="none" w:color="000000" w:sz="0" w:space="0"/>
            </w:tcBorders>
            <w:tcW w:w="4796" w:type="dxa"/>
            <w:vAlign w:val="center"/>
            <w:textDirection w:val="lrTb"/>
            <w:noWrap/>
          </w:tcPr>
          <w:p>
            <w:pPr>
              <w:pStyle w:val="1160"/>
              <w:jc w:val="both"/>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项目编号：</w:t>
            </w:r>
            <w:r>
              <w:rPr>
                <w:rFonts w:hint="eastAsia" w:ascii="宋体" w:hAnsi="宋体" w:eastAsia="宋体" w:cs="宋体"/>
                <w:color w:val="000000"/>
                <w:sz w:val="24"/>
                <w:highlight w:val="none"/>
                <w:lang w:eastAsia="zh-CN"/>
              </w:rPr>
            </w:r>
            <w:r/>
          </w:p>
        </w:tc>
      </w:tr>
      <w:tr>
        <w:trPr>
          <w:trHeight w:val="379"/>
        </w:trPr>
        <w:tc>
          <w:tcPr>
            <w:gridSpan w:val="6"/>
            <w:tcBorders>
              <w:top w:val="none" w:color="000000" w:sz="4" w:space="0"/>
              <w:left w:val="none" w:color="000000" w:sz="4" w:space="0"/>
              <w:bottom w:val="single" w:color="000000" w:sz="4" w:space="0"/>
              <w:right w:val="none" w:color="000000" w:sz="4" w:space="0"/>
            </w:tcBorders>
            <w:tcW w:w="8102" w:type="dxa"/>
            <w:vAlign w:val="center"/>
            <w:textDirection w:val="lrTb"/>
            <w:noWrap/>
          </w:tcPr>
          <w:p>
            <w:pPr>
              <w:pStyle w:val="1160"/>
              <w:jc w:val="both"/>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投标人（盖章）：</w:t>
            </w:r>
            <w:r>
              <w:rPr>
                <w:rFonts w:hint="eastAsia" w:ascii="宋体" w:hAnsi="宋体" w:eastAsia="宋体" w:cs="宋体"/>
                <w:color w:val="000000"/>
                <w:sz w:val="24"/>
                <w:highlight w:val="none"/>
                <w:lang w:eastAsia="zh-CN"/>
              </w:rPr>
            </w:r>
            <w:r/>
          </w:p>
        </w:tc>
      </w:tr>
      <w:tr>
        <w:trPr>
          <w:trHeight w:val="1800"/>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序号</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样品名称                      （按照</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lang w:eastAsia="zh-CN"/>
              </w:rPr>
              <w:t xml:space="preserve">文件样品要求逐一填写）</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送样  数量</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送样人</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联系  电话</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备注</w:t>
            </w:r>
            <w:r>
              <w:rPr>
                <w:rFonts w:hint="eastAsia" w:ascii="宋体" w:hAnsi="宋体" w:eastAsia="宋体" w:cs="宋体"/>
                <w:color w:val="000000"/>
                <w:sz w:val="24"/>
                <w:highlight w:val="none"/>
                <w:lang w:eastAsia="zh-CN"/>
              </w:rPr>
            </w:r>
            <w:r/>
          </w:p>
        </w:tc>
      </w:tr>
      <w:tr>
        <w:trPr>
          <w:trHeight w:val="614"/>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20" w:type="dxa"/>
            <w:vAlign w:val="center"/>
            <w:vMerge w:val="restart"/>
            <w:textDirection w:val="lrTb"/>
            <w:noWrap/>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64" w:type="dxa"/>
            <w:vAlign w:val="center"/>
            <w:vMerge w:val="restart"/>
            <w:textDirection w:val="lrTb"/>
            <w:noWrap/>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r>
            <w:r/>
          </w:p>
        </w:tc>
      </w:tr>
      <w:tr>
        <w:trPr>
          <w:trHeight w:val="614"/>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20" w:type="dxa"/>
            <w:vAlign w:val="center"/>
            <w:vMerge w:val="continue"/>
            <w:textDirection w:val="lrTb"/>
            <w:noWrap w:val="false"/>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64" w:type="dxa"/>
            <w:vAlign w:val="center"/>
            <w:vMerge w:val="continue"/>
            <w:textDirection w:val="lrTb"/>
            <w:noWrap w:val="false"/>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r>
            <w:r/>
          </w:p>
        </w:tc>
      </w:tr>
      <w:tr>
        <w:trPr>
          <w:trHeight w:val="614"/>
        </w:trPr>
        <w:tc>
          <w:tcPr>
            <w:tcBorders>
              <w:top w:val="single" w:color="000000" w:sz="4" w:space="0"/>
              <w:left w:val="single" w:color="000000" w:sz="4" w:space="0"/>
              <w:bottom w:val="single" w:color="000000" w:sz="4" w:space="0"/>
              <w:right w:val="single" w:color="000000" w:sz="4" w:space="0"/>
            </w:tcBorders>
            <w:tcW w:w="392" w:type="dxa"/>
            <w:vAlign w:val="center"/>
            <w:textDirection w:val="lrTb"/>
            <w:noWrap/>
          </w:tcPr>
          <w:p>
            <w:pPr>
              <w:pStyle w:val="1160"/>
              <w:jc w:val="center"/>
              <w:keepLines w:val="0"/>
              <w:keepNext w:val="0"/>
              <w:pageBreakBefore w:val="0"/>
              <w:spacing w:line="400" w:lineRule="exact"/>
              <w:tabs>
                <w:tab w:val="left" w:pos="426" w:leader="none"/>
              </w:tabs>
              <w:rPr>
                <w:rFonts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r>
            <w:r/>
          </w:p>
        </w:tc>
      </w:tr>
      <w:tr>
        <w:trPr>
          <w:trHeight w:val="614"/>
        </w:trPr>
        <w:tc>
          <w:tcPr>
            <w:gridSpan w:val="6"/>
            <w:tcBorders>
              <w:top w:val="single" w:color="000000" w:sz="4" w:space="0"/>
              <w:left w:val="single" w:color="000000" w:sz="4" w:space="0"/>
              <w:bottom w:val="single" w:color="000000" w:sz="4" w:space="0"/>
              <w:right w:val="single" w:color="000000" w:sz="4" w:space="0"/>
            </w:tcBorders>
            <w:tcW w:w="8102" w:type="dxa"/>
            <w:vAlign w:val="center"/>
            <w:textDirection w:val="lrTb"/>
            <w:noWrap/>
          </w:tcPr>
          <w:p>
            <w:pPr>
              <w:pStyle w:val="1160"/>
              <w:jc w:val="both"/>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送达时间：      年  　月    日    时   分</w:t>
            </w:r>
            <w:r>
              <w:rPr>
                <w:rFonts w:hint="eastAsia" w:ascii="宋体" w:hAnsi="宋体" w:eastAsia="宋体" w:cs="宋体"/>
                <w:color w:val="000000"/>
                <w:sz w:val="24"/>
                <w:highlight w:val="none"/>
                <w:lang w:eastAsia="zh-CN"/>
              </w:rPr>
            </w:r>
            <w:r/>
          </w:p>
        </w:tc>
      </w:tr>
      <w:tr>
        <w:trPr>
          <w:trHeight w:val="772"/>
        </w:trPr>
        <w:tc>
          <w:tcPr>
            <w:gridSpan w:val="6"/>
            <w:tcBorders>
              <w:top w:val="single" w:color="000000" w:sz="4" w:space="0"/>
              <w:left w:val="single" w:color="000000" w:sz="4" w:space="0"/>
              <w:bottom w:val="single" w:color="000000" w:sz="4" w:space="0"/>
              <w:right w:val="single" w:color="000000" w:sz="4" w:space="0"/>
            </w:tcBorders>
            <w:tcW w:w="8102" w:type="dxa"/>
            <w:vAlign w:val="center"/>
            <w:textDirection w:val="lrTb"/>
            <w:noWrap/>
          </w:tcPr>
          <w:p>
            <w:pPr>
              <w:pStyle w:val="1160"/>
              <w:jc w:val="both"/>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接收人（签字）：</w:t>
            </w:r>
            <w:r>
              <w:rPr>
                <w:rFonts w:hint="eastAsia" w:ascii="宋体" w:hAnsi="宋体" w:eastAsia="宋体" w:cs="宋体"/>
                <w:color w:val="000000"/>
                <w:sz w:val="24"/>
                <w:highlight w:val="none"/>
                <w:lang w:eastAsia="zh-CN"/>
              </w:rPr>
            </w:r>
            <w:r/>
          </w:p>
          <w:p>
            <w:pPr>
              <w:pStyle w:val="1160"/>
              <w:jc w:val="both"/>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r>
            <w:r/>
          </w:p>
          <w:p>
            <w:pPr>
              <w:pStyle w:val="1160"/>
              <w:jc w:val="both"/>
              <w:keepLines w:val="0"/>
              <w:keepNext w:val="0"/>
              <w:pageBreakBefore w:val="0"/>
              <w:spacing w:line="400" w:lineRule="exact"/>
              <w:tabs>
                <w:tab w:val="left" w:pos="426" w:leader="none"/>
              </w:tabs>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送样人确认（签字）：</w:t>
            </w:r>
            <w:r>
              <w:rPr>
                <w:rFonts w:hint="eastAsia" w:ascii="宋体" w:hAnsi="宋体" w:eastAsia="宋体" w:cs="宋体"/>
                <w:color w:val="000000"/>
                <w:sz w:val="24"/>
                <w:highlight w:val="none"/>
                <w:lang w:eastAsia="zh-CN"/>
              </w:rPr>
            </w:r>
            <w:r/>
          </w:p>
        </w:tc>
      </w:tr>
      <w:tr>
        <w:trPr>
          <w:trHeight w:val="772"/>
        </w:trPr>
        <w:tc>
          <w:tcPr>
            <w:gridSpan w:val="6"/>
            <w:tcBorders>
              <w:top w:val="single" w:color="000000" w:sz="4" w:space="0"/>
              <w:left w:val="none" w:color="000000" w:sz="0" w:space="0"/>
              <w:bottom w:val="none" w:color="000000" w:sz="0" w:space="0"/>
              <w:right w:val="none" w:color="000000" w:sz="0" w:space="0"/>
            </w:tcBorders>
            <w:tcW w:w="8102" w:type="dxa"/>
            <w:vAlign w:val="center"/>
            <w:textDirection w:val="lrTb"/>
            <w:noWrap/>
          </w:tcPr>
          <w:p>
            <w:pPr>
              <w:pStyle w:val="1160"/>
              <w:jc w:val="both"/>
              <w:keepLines w:val="0"/>
              <w:keepNext w:val="0"/>
              <w:pageBreakBefore w:val="0"/>
              <w:spacing w:line="400" w:lineRule="exact"/>
              <w:tabs>
                <w:tab w:val="left" w:pos="426" w:leader="none"/>
              </w:tabs>
              <w:rPr>
                <w:rFonts w:hint="eastAsia" w:ascii="宋体" w:hAnsi="宋体" w:eastAsia="宋体" w:cs="宋体"/>
                <w:b/>
                <w:bCs/>
                <w:color w:val="000000"/>
                <w:sz w:val="24"/>
                <w:highlight w:val="none"/>
                <w:lang w:eastAsia="zh-CN"/>
              </w:rPr>
              <w:outlineLvl w:val="9"/>
            </w:pPr>
            <w:r>
              <w:rPr>
                <w:rFonts w:hint="eastAsia" w:ascii="宋体" w:hAnsi="宋体" w:eastAsia="宋体" w:cs="宋体"/>
                <w:b/>
                <w:bCs/>
                <w:color w:val="000000"/>
                <w:sz w:val="24"/>
                <w:highlight w:val="none"/>
                <w:lang w:eastAsia="zh-CN"/>
              </w:rPr>
              <w:t xml:space="preserve">注：此表填写后一式两份（投标人与</w:t>
            </w:r>
            <w:r>
              <w:rPr>
                <w:rFonts w:hint="eastAsia" w:ascii="宋体" w:hAnsi="宋体" w:eastAsia="宋体" w:cs="宋体"/>
                <w:b/>
                <w:bCs/>
                <w:color w:val="000000"/>
                <w:sz w:val="24"/>
                <w:highlight w:val="none"/>
                <w:lang w:val="en-US" w:eastAsia="zh-CN"/>
              </w:rPr>
              <w:t xml:space="preserve">招标人</w:t>
            </w:r>
            <w:r>
              <w:rPr>
                <w:rFonts w:hint="eastAsia" w:ascii="宋体" w:hAnsi="宋体" w:eastAsia="宋体" w:cs="宋体"/>
                <w:b/>
                <w:bCs/>
                <w:color w:val="000000"/>
                <w:sz w:val="24"/>
                <w:highlight w:val="none"/>
                <w:lang w:eastAsia="zh-CN"/>
              </w:rPr>
              <w:t xml:space="preserve">各一份）。</w:t>
            </w:r>
            <w:r>
              <w:rPr>
                <w:rFonts w:hint="eastAsia" w:ascii="宋体" w:hAnsi="宋体" w:eastAsia="宋体" w:cs="宋体"/>
                <w:b/>
                <w:bCs/>
                <w:color w:val="000000"/>
                <w:sz w:val="24"/>
                <w:highlight w:val="none"/>
                <w:lang w:eastAsia="zh-CN"/>
              </w:rPr>
            </w:r>
            <w:r/>
          </w:p>
        </w:tc>
      </w:tr>
    </w:tbl>
    <w:p>
      <w:pPr>
        <w:pStyle w:val="1160"/>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八、其他要求</w:t>
      </w:r>
      <w:r>
        <w:rPr>
          <w:rFonts w:hint="eastAsia" w:ascii="宋体" w:hAnsi="宋体" w:eastAsia="宋体" w:cs="宋体"/>
          <w:b/>
          <w:bCs/>
          <w:color w:val="000000"/>
          <w:sz w:val="24"/>
          <w:szCs w:val="24"/>
          <w:highlight w:val="none"/>
          <w:lang w:val="en-US" w:eastAsia="zh-CN"/>
        </w:rPr>
      </w:r>
      <w:r/>
    </w:p>
    <w:p>
      <w:pPr>
        <w:pStyle w:val="1160"/>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按照《政府采购促进中小企业发展管理办法》（财库〔2020〕46号）的相关要求，采购人应当面向中小企业预留采购份额，本项目面向中小企业预留份额</w:t>
      </w:r>
      <w:r>
        <w:rPr>
          <w:rFonts w:hint="eastAsia" w:ascii="宋体" w:hAnsi="宋体" w:eastAsia="宋体" w:cs="宋体"/>
          <w:bCs/>
          <w:color w:val="000000"/>
          <w:sz w:val="24"/>
          <w:szCs w:val="24"/>
          <w:highlight w:val="none"/>
          <w:u w:val="single"/>
          <w:lang w:val="en-US" w:eastAsia="zh-CN"/>
        </w:rPr>
        <w:t xml:space="preserve"> 100 </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1160"/>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九、报价方式</w:t>
      </w:r>
      <w:r>
        <w:rPr>
          <w:rFonts w:hint="eastAsia" w:ascii="宋体" w:hAnsi="宋体" w:eastAsia="宋体" w:cs="宋体"/>
          <w:b/>
          <w:bCs/>
          <w:color w:val="000000"/>
          <w:sz w:val="24"/>
          <w:szCs w:val="24"/>
          <w:highlight w:val="none"/>
          <w:lang w:val="en-US" w:eastAsia="zh-CN"/>
        </w:rPr>
      </w:r>
      <w:r/>
    </w:p>
    <w:p>
      <w:pPr>
        <w:pStyle w:val="1160"/>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本项目投标报价为</w:t>
      </w:r>
      <w:r>
        <w:rPr>
          <w:rFonts w:hint="eastAsia" w:ascii="宋体" w:hAnsi="宋体" w:eastAsia="宋体" w:cs="宋体"/>
          <w:b/>
          <w:bCs w:val="0"/>
          <w:color w:val="000000"/>
          <w:sz w:val="24"/>
          <w:szCs w:val="24"/>
          <w:highlight w:val="none"/>
          <w:lang w:val="en-US" w:eastAsia="zh-CN"/>
        </w:rPr>
        <w:t xml:space="preserve">固定单价</w:t>
      </w:r>
      <w:r>
        <w:rPr>
          <w:rFonts w:hint="eastAsia" w:ascii="宋体" w:hAnsi="宋体" w:eastAsia="宋体" w:cs="宋体"/>
          <w:bCs/>
          <w:color w:val="000000"/>
          <w:sz w:val="24"/>
          <w:szCs w:val="24"/>
          <w:highlight w:val="none"/>
          <w:lang w:val="en-US" w:eastAsia="zh-CN"/>
        </w:rPr>
        <w:t xml:space="preserve">，报价应包括招标文件所确定的范围相应货物和服务的供货、包装、运输、保险、管理、维护、劳务、培训、验收、办公设备、设备、工具、备品备件、耗材、运送工具及耗材、利润、风险、税金及政策性文件规定等各项应有费用，以及为完成该项货物和服务项目所涉及到的一切相关费用，采购人不再支付其他任何费用。</w:t>
      </w:r>
      <w:r>
        <w:rPr>
          <w:rFonts w:hint="eastAsia" w:ascii="宋体" w:hAnsi="宋体" w:eastAsia="宋体" w:cs="宋体"/>
          <w:bCs/>
          <w:color w:val="000000"/>
          <w:sz w:val="24"/>
          <w:szCs w:val="24"/>
          <w:highlight w:val="none"/>
          <w:lang w:val="en-US" w:eastAsia="zh-CN"/>
        </w:rPr>
      </w:r>
      <w:r/>
    </w:p>
    <w:p>
      <w:pPr>
        <w:pStyle w:val="1160"/>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报价货币为人民币，评审时以人民币为准。</w:t>
      </w:r>
      <w:r>
        <w:rPr>
          <w:rFonts w:hint="eastAsia" w:ascii="宋体" w:hAnsi="宋体" w:eastAsia="宋体" w:cs="宋体"/>
          <w:bCs/>
          <w:color w:val="000000"/>
          <w:sz w:val="24"/>
          <w:szCs w:val="24"/>
          <w:highlight w:val="none"/>
          <w:lang w:val="en-US" w:eastAsia="zh-CN"/>
        </w:rPr>
      </w:r>
      <w:r/>
    </w:p>
    <w:p>
      <w:pPr>
        <w:pStyle w:val="1160"/>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pStyle w:val="1160"/>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Cs/>
          <w:color w:val="000000"/>
          <w:sz w:val="24"/>
          <w:szCs w:val="24"/>
          <w:highlight w:val="none"/>
          <w:lang w:val="en-US" w:eastAsia="zh-CN"/>
        </w:rPr>
      </w:r>
      <w:r/>
    </w:p>
    <w:p>
      <w:pPr>
        <w:pStyle w:val="1160"/>
        <w:jc w:val="center"/>
        <w:spacing w:line="360" w:lineRule="auto"/>
        <w:rPr>
          <w:b/>
          <w:color w:val="000000"/>
          <w:sz w:val="36"/>
          <w:szCs w:val="36"/>
          <w:highlight w:val="none"/>
        </w:rPr>
        <w:outlineLvl w:val="0"/>
      </w:pPr>
      <w:r/>
      <w:bookmarkEnd w:id="715"/>
      <w:r/>
      <w:bookmarkStart w:id="716" w:name="_Toc137"/>
      <w:r/>
      <w:bookmarkStart w:id="717" w:name="_Toc16116"/>
      <w:r>
        <w:rPr>
          <w:b/>
          <w:color w:val="000000"/>
          <w:sz w:val="36"/>
          <w:szCs w:val="36"/>
          <w:highlight w:val="none"/>
        </w:rPr>
        <w:t xml:space="preserve">第六章   拟签订的合同文本</w:t>
      </w:r>
      <w:bookmarkEnd w:id="717"/>
      <w:r>
        <w:rPr>
          <w:b/>
          <w:color w:val="000000"/>
          <w:sz w:val="36"/>
          <w:szCs w:val="36"/>
          <w:highlight w:val="none"/>
        </w:rPr>
      </w:r>
      <w:r/>
    </w:p>
    <w:p>
      <w:pPr>
        <w:pStyle w:val="11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签订地点：常州市武进人民医院</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合同编号：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 SBK-- 202</w:t>
      </w:r>
      <w:r>
        <w:rPr>
          <w:rFonts w:hint="eastAsia" w:ascii="宋体" w:hAnsi="宋体" w:eastAsia="宋体" w:cs="宋体"/>
          <w:b/>
          <w:color w:val="000000"/>
          <w:sz w:val="24"/>
          <w:szCs w:val="24"/>
          <w:highlight w:val="none"/>
          <w:u w:val="single"/>
          <w:lang w:val="en-US" w:eastAsia="zh-CN"/>
        </w:rPr>
        <w:t xml:space="preserve">6</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甲方：</w:t>
      </w:r>
      <w:r>
        <w:rPr>
          <w:rFonts w:hint="eastAsia" w:ascii="宋体" w:hAnsi="宋体" w:eastAsia="宋体" w:cs="宋体"/>
          <w:color w:val="000000"/>
          <w:sz w:val="24"/>
          <w:szCs w:val="24"/>
          <w:highlight w:val="none"/>
        </w:rPr>
        <w:t xml:space="preserve">常州市武进人民医院                       </w:t>
      </w:r>
      <w:r>
        <w:rPr>
          <w:rFonts w:hint="eastAsia" w:ascii="宋体" w:hAnsi="宋体" w:eastAsia="宋体" w:cs="宋体"/>
          <w:b/>
          <w:color w:val="000000"/>
          <w:sz w:val="24"/>
          <w:szCs w:val="24"/>
          <w:highlight w:val="none"/>
        </w:rPr>
        <w:t xml:space="preserve">乙方：</w:t>
      </w:r>
      <w:r>
        <w:rPr>
          <w:rFonts w:hint="eastAsia" w:ascii="宋体" w:hAnsi="宋体" w:eastAsia="宋体" w:cs="宋体"/>
          <w:color w:val="000000"/>
          <w:sz w:val="24"/>
          <w:szCs w:val="24"/>
          <w:highlight w:val="none"/>
        </w:rPr>
      </w:r>
      <w:r/>
    </w:p>
    <w:p>
      <w:pPr>
        <w:pStyle w:val="11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地址：</w:t>
      </w:r>
      <w:r>
        <w:rPr>
          <w:rFonts w:hint="eastAsia" w:ascii="宋体" w:hAnsi="宋体" w:eastAsia="宋体" w:cs="宋体"/>
          <w:color w:val="000000"/>
          <w:sz w:val="24"/>
          <w:szCs w:val="24"/>
          <w:highlight w:val="none"/>
        </w:rPr>
        <w:t xml:space="preserve">江苏省常州市永宁北路2号                 </w:t>
      </w:r>
      <w:r>
        <w:rPr>
          <w:rFonts w:hint="eastAsia" w:ascii="宋体" w:hAnsi="宋体" w:eastAsia="宋体" w:cs="宋体"/>
          <w:b/>
          <w:color w:val="000000"/>
          <w:sz w:val="24"/>
          <w:szCs w:val="24"/>
          <w:highlight w:val="none"/>
        </w:rPr>
        <w:t xml:space="preserve">地址：</w:t>
      </w:r>
      <w:r>
        <w:rPr>
          <w:rFonts w:hint="eastAsia" w:ascii="宋体" w:hAnsi="宋体" w:eastAsia="宋体" w:cs="宋体"/>
          <w:color w:val="000000"/>
          <w:sz w:val="24"/>
          <w:szCs w:val="24"/>
          <w:highlight w:val="none"/>
        </w:rPr>
      </w:r>
      <w:r/>
    </w:p>
    <w:p>
      <w:pPr>
        <w:pStyle w:val="116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电话：</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电话：</w:t>
      </w:r>
      <w:r>
        <w:rPr>
          <w:rFonts w:hint="eastAsia" w:ascii="宋体" w:hAnsi="宋体" w:eastAsia="宋体" w:cs="宋体"/>
          <w:b/>
          <w:color w:val="000000"/>
          <w:sz w:val="24"/>
          <w:szCs w:val="24"/>
          <w:highlight w:val="none"/>
        </w:rPr>
      </w:r>
      <w:r/>
    </w:p>
    <w:p>
      <w:pPr>
        <w:pStyle w:val="1160"/>
        <w:keepLines w:val="0"/>
        <w:keepNext w:val="0"/>
        <w:pageBreakBefore w:val="0"/>
        <w:spacing w:line="360" w:lineRule="auto"/>
        <w:widowControl w:val="off"/>
        <w:rPr>
          <w:rFonts w:hint="eastAsia" w:ascii="仿宋" w:hAnsi="仿宋" w:eastAsia="仿宋"/>
          <w:b/>
          <w:color w:val="000000"/>
          <w:szCs w:val="21"/>
          <w:highlight w:val="none"/>
        </w:rPr>
      </w:pPr>
      <w:r>
        <w:rPr>
          <w:rFonts w:hint="eastAsia" w:ascii="宋体" w:hAnsi="宋体" w:eastAsia="宋体" w:cs="宋体"/>
          <w:b/>
          <w:color w:val="000000"/>
          <w:sz w:val="24"/>
          <w:szCs w:val="24"/>
          <w:highlight w:val="none"/>
        </w:rPr>
        <w:t xml:space="preserve">邮编：</w:t>
      </w:r>
      <w:r>
        <w:rPr>
          <w:rFonts w:hint="eastAsia" w:ascii="宋体" w:hAnsi="宋体" w:eastAsia="宋体" w:cs="宋体"/>
          <w:color w:val="000000"/>
          <w:sz w:val="24"/>
          <w:szCs w:val="24"/>
          <w:highlight w:val="none"/>
        </w:rPr>
        <w:t xml:space="preserve">213002    </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                邮编：</w:t>
      </w:r>
      <w:r>
        <w:rPr>
          <w:rFonts w:hint="eastAsia" w:ascii="仿宋" w:hAnsi="仿宋" w:eastAsia="仿宋"/>
          <w:color w:val="000000"/>
          <w:szCs w:val="21"/>
          <w:highlight w:val="none"/>
        </w:rPr>
        <w:t xml:space="preserve"> </w:t>
      </w:r>
      <w:r>
        <w:rPr>
          <w:rFonts w:hint="eastAsia" w:ascii="仿宋" w:hAnsi="仿宋" w:eastAsia="仿宋"/>
          <w:b/>
          <w:color w:val="000000"/>
          <w:szCs w:val="21"/>
          <w:highlight w:val="none"/>
        </w:rPr>
      </w:r>
      <w:r/>
    </w:p>
    <w:p>
      <w:pPr>
        <w:pStyle w:val="1174"/>
        <w:ind w:left="0" w:firstLine="0"/>
        <w:rPr>
          <w:rFonts w:hint="eastAsia" w:hAnsi="宋体" w:cs="宋体"/>
          <w:b/>
          <w:bCs/>
          <w:color w:val="000000"/>
          <w:sz w:val="24"/>
          <w:szCs w:val="24"/>
          <w:highlight w:val="none"/>
          <w:lang w:val="en-US" w:eastAsia="zh-CN"/>
        </w:rPr>
      </w:pPr>
      <w:r>
        <w:rPr>
          <w:rFonts w:hint="eastAsia" w:hAnsi="宋体" w:cs="宋体"/>
          <w:b/>
          <w:bCs/>
          <w:color w:val="000000"/>
          <w:sz w:val="24"/>
          <w:szCs w:val="24"/>
          <w:highlight w:val="none"/>
          <w:lang w:val="en-US" w:eastAsia="zh-CN"/>
        </w:rPr>
      </w:r>
      <w:r/>
    </w:p>
    <w:p>
      <w:pPr>
        <w:pStyle w:val="1174"/>
        <w:ind w:left="0" w:firstLine="0"/>
        <w:rPr>
          <w:rFonts w:hint="eastAsia"/>
          <w:color w:val="000000"/>
          <w:sz w:val="21"/>
          <w:szCs w:val="21"/>
          <w:highlight w:val="none"/>
          <w:lang w:val="en-US" w:eastAsia="zh-CN"/>
        </w:rPr>
      </w:pPr>
      <w:r>
        <w:rPr>
          <w:rFonts w:hint="eastAsia" w:hAnsi="宋体" w:cs="宋体"/>
          <w:b/>
          <w:bCs/>
          <w:color w:val="000000"/>
          <w:sz w:val="21"/>
          <w:szCs w:val="21"/>
          <w:highlight w:val="none"/>
          <w:lang w:val="en-US" w:eastAsia="zh-CN"/>
        </w:rPr>
        <w:t xml:space="preserve">见证方</w:t>
      </w:r>
      <w:r>
        <w:rPr>
          <w:rFonts w:hint="eastAsia" w:hAnsi="宋体" w:cs="宋体"/>
          <w:b/>
          <w:bCs/>
          <w:color w:val="000000"/>
          <w:sz w:val="21"/>
          <w:szCs w:val="21"/>
          <w:highlight w:val="none"/>
          <w:lang w:eastAsia="zh-CN"/>
        </w:rPr>
        <w:t xml:space="preserve">：</w:t>
      </w:r>
      <w:r>
        <w:rPr>
          <w:rFonts w:hint="eastAsia"/>
          <w:color w:val="000000"/>
          <w:sz w:val="21"/>
          <w:szCs w:val="21"/>
          <w:highlight w:val="none"/>
          <w:lang w:val="en-US" w:eastAsia="zh-CN"/>
        </w:rPr>
      </w:r>
      <w:r/>
    </w:p>
    <w:p>
      <w:pPr>
        <w:pStyle w:val="1174"/>
        <w:ind w:firstLine="5040"/>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rPr>
        <w:t xml:space="preserve">合同时间: </w:t>
      </w:r>
      <w:r>
        <w:rPr>
          <w:rFonts w:hint="eastAsia" w:hAnsi="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月 日</w:t>
      </w:r>
      <w:r>
        <w:rPr>
          <w:rFonts w:hint="eastAsia" w:ascii="宋体" w:hAnsi="宋体" w:eastAsia="宋体" w:cs="宋体"/>
          <w:b/>
          <w:color w:val="000000"/>
          <w:sz w:val="24"/>
          <w:szCs w:val="24"/>
          <w:highlight w:val="none"/>
        </w:rPr>
      </w:r>
      <w:r/>
    </w:p>
    <w:p>
      <w:pPr>
        <w:pStyle w:val="119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甲乙双方依据《中华人民共和国民法典》以及有关法律、法规的规定，经协商一致，订立本合同，以便共同遵守。</w:t>
      </w:r>
      <w:r>
        <w:rPr>
          <w:rFonts w:hint="eastAsia" w:ascii="宋体" w:hAnsi="宋体" w:eastAsia="宋体" w:cs="宋体"/>
          <w:color w:val="000000"/>
          <w:sz w:val="24"/>
          <w:szCs w:val="24"/>
          <w:highlight w:val="none"/>
        </w:rPr>
      </w:r>
      <w:r/>
    </w:p>
    <w:p>
      <w:pPr>
        <w:pStyle w:val="1199"/>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第一条 合同标的</w:t>
      </w:r>
      <w:r>
        <w:rPr>
          <w:rFonts w:hint="eastAsia" w:ascii="宋体" w:hAnsi="宋体" w:eastAsia="宋体" w:cs="宋体"/>
          <w:b/>
          <w:color w:val="000000"/>
          <w:sz w:val="24"/>
          <w:szCs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1004"/>
        <w:gridCol w:w="1335"/>
        <w:gridCol w:w="1140"/>
        <w:gridCol w:w="1365"/>
        <w:gridCol w:w="1808"/>
      </w:tblGrid>
      <w:tr>
        <w:trPr>
          <w:trHeight w:val="283"/>
        </w:trPr>
        <w:tc>
          <w:tcPr>
            <w:tcW w:w="1865" w:type="dxa"/>
            <w:vAlign w:val="center"/>
            <w:textDirection w:val="lrTb"/>
            <w:noWrap w:val="false"/>
          </w:tcPr>
          <w:p>
            <w:pPr>
              <w:pStyle w:val="1160"/>
              <w:jc w:val="center"/>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设备名称</w:t>
            </w:r>
            <w:r>
              <w:rPr>
                <w:rFonts w:hint="eastAsia" w:ascii="宋体" w:hAnsi="宋体" w:eastAsia="宋体" w:cs="宋体"/>
                <w:b/>
                <w:bCs/>
                <w:color w:val="000000"/>
                <w:sz w:val="24"/>
                <w:szCs w:val="24"/>
                <w:highlight w:val="none"/>
                <w:lang w:val="en-US" w:eastAsia="zh-CN"/>
              </w:rPr>
            </w:r>
            <w:r/>
          </w:p>
        </w:tc>
        <w:tc>
          <w:tcPr>
            <w:tcW w:w="1004" w:type="dxa"/>
            <w:vAlign w:val="center"/>
            <w:textDirection w:val="lrTb"/>
            <w:noWrap w:val="false"/>
          </w:tcPr>
          <w:p>
            <w:pPr>
              <w:pStyle w:val="1160"/>
              <w:jc w:val="center"/>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品牌</w:t>
            </w:r>
            <w:r>
              <w:rPr>
                <w:rFonts w:hint="eastAsia" w:ascii="宋体" w:hAnsi="宋体" w:eastAsia="宋体" w:cs="宋体"/>
                <w:b/>
                <w:bCs/>
                <w:color w:val="000000"/>
                <w:sz w:val="24"/>
                <w:szCs w:val="24"/>
                <w:highlight w:val="none"/>
                <w:lang w:val="en-US" w:eastAsia="zh-CN"/>
              </w:rPr>
            </w:r>
            <w:r/>
          </w:p>
        </w:tc>
        <w:tc>
          <w:tcPr>
            <w:tcW w:w="1335" w:type="dxa"/>
            <w:vAlign w:val="center"/>
            <w:textDirection w:val="lrTb"/>
            <w:noWrap w:val="false"/>
          </w:tcPr>
          <w:p>
            <w:pPr>
              <w:pStyle w:val="1160"/>
              <w:jc w:val="center"/>
              <w:keepLines w:val="0"/>
              <w:keepNext w:val="0"/>
              <w:pageBreakBefore w:val="0"/>
              <w:spacing w:line="400" w:lineRule="exact"/>
              <w:tabs>
                <w:tab w:val="left" w:pos="426" w:leader="none"/>
              </w:tabs>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规格型号</w:t>
            </w:r>
            <w:r>
              <w:rPr>
                <w:rFonts w:ascii="宋体" w:hAnsi="宋体" w:eastAsia="宋体" w:cs="宋体"/>
                <w:b/>
                <w:bCs/>
                <w:color w:val="000000"/>
                <w:sz w:val="24"/>
                <w:szCs w:val="24"/>
                <w:highlight w:val="none"/>
                <w:lang w:val="en-US" w:eastAsia="zh-CN"/>
              </w:rPr>
            </w:r>
            <w:r/>
          </w:p>
        </w:tc>
        <w:tc>
          <w:tcPr>
            <w:tcW w:w="1140" w:type="dxa"/>
            <w:vAlign w:val="center"/>
            <w:textDirection w:val="lrTb"/>
            <w:noWrap w:val="false"/>
          </w:tcPr>
          <w:p>
            <w:pPr>
              <w:pStyle w:val="1160"/>
              <w:jc w:val="center"/>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数量</w:t>
            </w:r>
            <w:r>
              <w:rPr>
                <w:rFonts w:hint="eastAsia" w:ascii="宋体" w:hAnsi="宋体" w:eastAsia="宋体" w:cs="宋体"/>
                <w:b/>
                <w:bCs/>
                <w:color w:val="000000"/>
                <w:sz w:val="24"/>
                <w:szCs w:val="24"/>
                <w:highlight w:val="none"/>
                <w:lang w:val="en-US" w:eastAsia="zh-CN"/>
              </w:rPr>
            </w:r>
            <w:r/>
          </w:p>
        </w:tc>
        <w:tc>
          <w:tcPr>
            <w:tcW w:w="1365" w:type="dxa"/>
            <w:vAlign w:val="center"/>
            <w:textDirection w:val="lrTb"/>
            <w:noWrap w:val="false"/>
          </w:tcPr>
          <w:p>
            <w:pPr>
              <w:pStyle w:val="1160"/>
              <w:jc w:val="center"/>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单价（元）</w:t>
            </w:r>
            <w:r>
              <w:rPr>
                <w:rFonts w:hint="eastAsia" w:ascii="宋体" w:hAnsi="宋体" w:eastAsia="宋体" w:cs="宋体"/>
                <w:b/>
                <w:bCs/>
                <w:color w:val="000000"/>
                <w:sz w:val="24"/>
                <w:szCs w:val="24"/>
                <w:highlight w:val="none"/>
                <w:lang w:val="en-US" w:eastAsia="zh-CN"/>
              </w:rPr>
            </w:r>
            <w:r/>
          </w:p>
        </w:tc>
        <w:tc>
          <w:tcPr>
            <w:tcW w:w="1808" w:type="dxa"/>
            <w:vAlign w:val="center"/>
            <w:textDirection w:val="lrTb"/>
            <w:noWrap w:val="false"/>
          </w:tcPr>
          <w:p>
            <w:pPr>
              <w:pStyle w:val="1160"/>
              <w:jc w:val="center"/>
              <w:keepLines w:val="0"/>
              <w:keepNext w:val="0"/>
              <w:pageBreakBefore w:val="0"/>
              <w:spacing w:line="400" w:lineRule="exact"/>
              <w:tabs>
                <w:tab w:val="left" w:pos="426" w:leader="none"/>
              </w:tabs>
              <w:rPr>
                <w:rFonts w:ascii="宋体" w:hAnsi="宋体" w:eastAsia="宋体" w:cs="宋体"/>
                <w:b/>
                <w:bCs/>
                <w:color w:val="000000"/>
                <w:sz w:val="24"/>
                <w:szCs w:val="24"/>
                <w:highlight w:val="none"/>
                <w:lang w:val="en-US" w:eastAsia="zh-CN"/>
              </w:rPr>
              <w:outlineLvl w:val="9"/>
            </w:pPr>
            <w:r/>
            <w:bookmarkStart w:id="718" w:name="OLE_LINK1"/>
            <w:r>
              <w:rPr>
                <w:rFonts w:hint="eastAsia" w:ascii="宋体" w:hAnsi="宋体" w:eastAsia="宋体" w:cs="宋体"/>
                <w:b/>
                <w:bCs/>
                <w:color w:val="000000"/>
                <w:sz w:val="24"/>
                <w:szCs w:val="24"/>
                <w:highlight w:val="none"/>
                <w:lang w:val="en-US" w:eastAsia="zh-CN"/>
              </w:rPr>
              <w:t xml:space="preserve">中标总价（元）</w:t>
            </w:r>
            <w:bookmarkEnd w:id="718"/>
            <w:r>
              <w:rPr>
                <w:rFonts w:ascii="宋体" w:hAnsi="宋体" w:eastAsia="宋体" w:cs="宋体"/>
                <w:b/>
                <w:bCs/>
                <w:color w:val="000000"/>
                <w:sz w:val="24"/>
                <w:szCs w:val="24"/>
                <w:highlight w:val="none"/>
                <w:lang w:val="en-US" w:eastAsia="zh-CN"/>
              </w:rPr>
            </w:r>
            <w:r/>
          </w:p>
        </w:tc>
      </w:tr>
      <w:tr>
        <w:trPr>
          <w:trHeight w:val="283"/>
        </w:trPr>
        <w:tc>
          <w:tcPr>
            <w:tcW w:w="1865" w:type="dxa"/>
            <w:vAlign w:val="center"/>
            <w:textDirection w:val="lrTb"/>
            <w:noWrap w:val="false"/>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tc>
        <w:tc>
          <w:tcPr>
            <w:tcW w:w="1004" w:type="dxa"/>
            <w:vAlign w:val="center"/>
            <w:textDirection w:val="lrTb"/>
            <w:noWrap w:val="false"/>
          </w:tcPr>
          <w:p>
            <w:pPr>
              <w:pStyle w:val="1160"/>
              <w:jc w:val="center"/>
              <w:keepLines w:val="0"/>
              <w:keepNext w:val="0"/>
              <w:pageBreakBefore w:val="0"/>
              <w:spacing w:line="40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tc>
        <w:tc>
          <w:tcPr>
            <w:tcW w:w="1335" w:type="dxa"/>
            <w:vAlign w:val="center"/>
            <w:textDirection w:val="lrTb"/>
            <w:noWrap w:val="false"/>
          </w:tcPr>
          <w:p>
            <w:pPr>
              <w:pStyle w:val="1160"/>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r>
            <w:r/>
          </w:p>
        </w:tc>
        <w:tc>
          <w:tcPr>
            <w:tcW w:w="1140" w:type="dxa"/>
            <w:vAlign w:val="center"/>
            <w:textDirection w:val="lrTb"/>
            <w:noWrap w:val="false"/>
          </w:tcPr>
          <w:p>
            <w:pPr>
              <w:pStyle w:val="1160"/>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r>
            <w:r/>
          </w:p>
        </w:tc>
        <w:tc>
          <w:tcPr>
            <w:tcW w:w="1365" w:type="dxa"/>
            <w:vAlign w:val="center"/>
            <w:textDirection w:val="lrTb"/>
            <w:noWrap w:val="false"/>
          </w:tcPr>
          <w:p>
            <w:pPr>
              <w:pStyle w:val="1160"/>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r>
            <w:r/>
          </w:p>
        </w:tc>
        <w:tc>
          <w:tcPr>
            <w:tcW w:w="1808" w:type="dxa"/>
            <w:vAlign w:val="center"/>
            <w:textDirection w:val="lrTb"/>
            <w:noWrap w:val="false"/>
          </w:tcPr>
          <w:p>
            <w:pPr>
              <w:pStyle w:val="1160"/>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r>
            <w:r/>
          </w:p>
        </w:tc>
      </w:tr>
    </w:tbl>
    <w:p>
      <w:pPr>
        <w:pStyle w:val="1199"/>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第二条 合同价格</w:t>
      </w:r>
      <w:r>
        <w:rPr>
          <w:rFonts w:hint="eastAsia" w:ascii="宋体" w:hAnsi="宋体" w:eastAsia="宋体" w:cs="宋体"/>
          <w:b/>
          <w:color w:val="000000"/>
          <w:sz w:val="24"/>
          <w:szCs w:val="24"/>
          <w:highlight w:val="none"/>
        </w:rPr>
      </w:r>
      <w:r/>
    </w:p>
    <w:p>
      <w:pPr>
        <w:pStyle w:val="1199"/>
        <w:ind w:firstLine="482"/>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签约合同总价（人民币，下同）：</w:t>
      </w:r>
      <w:r>
        <w:rPr>
          <w:rFonts w:hint="eastAsia" w:ascii="宋体" w:hAnsi="宋体" w:eastAsia="宋体" w:cs="宋体"/>
          <w:b/>
          <w:color w:val="000000"/>
          <w:sz w:val="24"/>
          <w:szCs w:val="24"/>
          <w:highlight w:val="none"/>
          <w:u w:val="single"/>
        </w:rPr>
        <w:t xml:space="preserve">  </w:t>
      </w:r>
      <w:r>
        <w:rPr>
          <w:rFonts w:hint="eastAsia" w:hAnsi="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（小写 </w:t>
      </w:r>
      <w:r>
        <w:rPr>
          <w:rFonts w:hint="eastAsia" w:hAnsi="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119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本合同总价款是货物设计、制造、包装、仓储、运输装缷、</w:t>
      </w:r>
      <w:r>
        <w:rPr>
          <w:rFonts w:hint="eastAsia" w:hAnsi="宋体" w:eastAsia="宋体" w:cs="宋体"/>
          <w:color w:val="000000"/>
          <w:sz w:val="24"/>
          <w:szCs w:val="24"/>
          <w:highlight w:val="none"/>
          <w:lang w:val="en-US" w:eastAsia="zh-CN"/>
        </w:rPr>
        <w:t xml:space="preserve">安装、调试、测试、</w:t>
      </w:r>
      <w:r>
        <w:rPr>
          <w:rFonts w:hint="eastAsia" w:ascii="宋体" w:hAnsi="宋体" w:eastAsia="宋体" w:cs="宋体"/>
          <w:color w:val="000000"/>
          <w:sz w:val="24"/>
          <w:szCs w:val="24"/>
          <w:highlight w:val="none"/>
        </w:rPr>
        <w:t xml:space="preserve">保险及其材料及验收合格之前保管及保修期内备品备件、</w:t>
      </w:r>
      <w:r>
        <w:rPr>
          <w:rFonts w:hint="eastAsia" w:ascii="宋体" w:hAnsi="宋体" w:eastAsia="宋体" w:cs="宋体"/>
          <w:bCs/>
          <w:color w:val="000000"/>
          <w:sz w:val="24"/>
          <w:szCs w:val="24"/>
          <w:highlight w:val="none"/>
        </w:rPr>
        <w:t xml:space="preserve">耗材、运送工具、</w:t>
      </w:r>
      <w:r>
        <w:rPr>
          <w:rFonts w:hint="eastAsia" w:ascii="宋体" w:hAnsi="宋体" w:eastAsia="宋体" w:cs="宋体"/>
          <w:color w:val="000000"/>
          <w:sz w:val="24"/>
          <w:szCs w:val="24"/>
          <w:highlight w:val="none"/>
        </w:rPr>
        <w:t xml:space="preserve">专用工具、伴随服务、技术图纸资料、人员培训发生的所有含税费用、支付给员工的工资和国家强制缴纳的各种社会保障资金，以及</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认为需要的其他费用等。</w:t>
      </w:r>
      <w:r>
        <w:rPr>
          <w:rFonts w:hint="eastAsia" w:ascii="宋体" w:hAnsi="宋体" w:eastAsia="宋体" w:cs="宋体"/>
          <w:color w:val="000000"/>
          <w:sz w:val="24"/>
          <w:szCs w:val="24"/>
          <w:highlight w:val="none"/>
        </w:rPr>
      </w:r>
      <w:r/>
    </w:p>
    <w:p>
      <w:pPr>
        <w:pStyle w:val="119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本合同总价款还包含乙方应当提供的伴随服务/售后服务费用。</w:t>
      </w:r>
      <w:r>
        <w:rPr>
          <w:rFonts w:hint="eastAsia" w:ascii="宋体" w:hAnsi="宋体" w:eastAsia="宋体" w:cs="宋体"/>
          <w:color w:val="000000"/>
          <w:sz w:val="24"/>
          <w:szCs w:val="24"/>
          <w:highlight w:val="none"/>
        </w:rPr>
      </w:r>
      <w:r/>
    </w:p>
    <w:p>
      <w:pPr>
        <w:pStyle w:val="1199"/>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第三条 组成本合同的有关文件</w:t>
      </w:r>
      <w:r>
        <w:rPr>
          <w:rFonts w:hint="eastAsia" w:ascii="宋体" w:hAnsi="宋体" w:eastAsia="宋体" w:cs="宋体"/>
          <w:b/>
          <w:color w:val="000000"/>
          <w:sz w:val="24"/>
          <w:szCs w:val="24"/>
          <w:highlight w:val="none"/>
        </w:rPr>
      </w:r>
      <w:r/>
    </w:p>
    <w:p>
      <w:pPr>
        <w:pStyle w:val="119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highlight w:val="none"/>
        </w:rPr>
      </w:r>
      <w:r/>
    </w:p>
    <w:p>
      <w:pPr>
        <w:pStyle w:val="1199"/>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（1）招标文件（编号：</w:t>
      </w:r>
      <w:r>
        <w:rPr>
          <w:rFonts w:hint="eastAsia" w:ascii="宋体" w:hAnsi="宋体" w:eastAsia="宋体" w:cs="宋体"/>
          <w:color w:val="000000"/>
          <w:sz w:val="24"/>
          <w:szCs w:val="24"/>
          <w:highlight w:val="none"/>
          <w:lang w:eastAsia="zh-CN"/>
        </w:rPr>
        <w:t xml:space="preserve">JSZC-320412-SYZB-G2026-0029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19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（2）乙方提供的投标文件；</w:t>
      </w:r>
      <w:r>
        <w:rPr>
          <w:rFonts w:hint="eastAsia" w:ascii="宋体" w:hAnsi="宋体" w:eastAsia="宋体" w:cs="宋体"/>
          <w:color w:val="000000"/>
          <w:sz w:val="24"/>
          <w:szCs w:val="24"/>
          <w:highlight w:val="none"/>
        </w:rPr>
      </w:r>
      <w:r/>
    </w:p>
    <w:p>
      <w:pPr>
        <w:pStyle w:val="119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（3）中标通知书；</w:t>
      </w:r>
      <w:r>
        <w:rPr>
          <w:rFonts w:hint="eastAsia" w:ascii="宋体" w:hAnsi="宋体" w:eastAsia="宋体" w:cs="宋体"/>
          <w:color w:val="000000"/>
          <w:sz w:val="24"/>
          <w:szCs w:val="24"/>
          <w:highlight w:val="none"/>
        </w:rPr>
      </w:r>
      <w:r/>
    </w:p>
    <w:p>
      <w:pPr>
        <w:pStyle w:val="119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（4）甲乙双方商定的其他文件等。</w:t>
      </w:r>
      <w:r>
        <w:rPr>
          <w:rFonts w:hint="eastAsia" w:ascii="宋体" w:hAnsi="宋体" w:eastAsia="宋体" w:cs="宋体"/>
          <w:color w:val="000000"/>
          <w:sz w:val="24"/>
          <w:szCs w:val="24"/>
          <w:highlight w:val="none"/>
        </w:rPr>
      </w:r>
      <w:r/>
    </w:p>
    <w:p>
      <w:pPr>
        <w:pStyle w:val="1160"/>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第四条 权利保证</w:t>
      </w:r>
      <w:r>
        <w:rPr>
          <w:rFonts w:hint="eastAsia" w:ascii="宋体" w:hAnsi="宋体" w:eastAsia="宋体" w:cs="宋体"/>
          <w:b/>
          <w:color w:val="000000"/>
          <w:sz w:val="24"/>
          <w:szCs w:val="24"/>
          <w:highlight w:val="none"/>
        </w:rPr>
      </w:r>
      <w:r/>
    </w:p>
    <w:p>
      <w:pPr>
        <w:pStyle w:val="11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乙方应保证甲方在使用该货物或其任何一部分时不受第三方提出侵犯其专利权</w:t>
      </w:r>
      <w:r>
        <w:rPr>
          <w:rFonts w:hint="eastAsia" w:ascii="宋体" w:hAnsi="宋体" w:eastAsia="宋体" w:cs="宋体"/>
          <w:color w:val="000000"/>
          <w:sz w:val="24"/>
          <w:szCs w:val="24"/>
          <w:highlight w:val="none"/>
          <w:shd w:val="clear" w:color="auto" w:fill="ffffff"/>
        </w:rPr>
        <w:t xml:space="preserve">、著作权、商标权等知识产权的起诉。</w:t>
      </w:r>
      <w:r>
        <w:rPr>
          <w:rFonts w:hint="eastAsia" w:ascii="宋体" w:hAnsi="宋体" w:eastAsia="宋体" w:cs="宋体"/>
          <w:color w:val="000000"/>
          <w:sz w:val="24"/>
          <w:szCs w:val="24"/>
          <w:highlight w:val="none"/>
        </w:rPr>
        <w:t xml:space="preserve">一旦出现侵权、索赔或诉讼，乙方应承担全部责任，同时甲方有权解除本合同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并要求乙方承担相应的违约责任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60"/>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第五条 质量保证</w:t>
      </w:r>
      <w:r>
        <w:rPr>
          <w:rFonts w:hint="eastAsia" w:ascii="宋体" w:hAnsi="宋体" w:eastAsia="宋体" w:cs="宋体"/>
          <w:b/>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1.乙方所提供的货物的技术规格应与招标文件规定的技术规格及所附的“技术规格响应表”相一致；若技术性能无特殊说明，则按国家有关部门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合同签订时）</w:t>
      </w:r>
      <w:r>
        <w:rPr>
          <w:rFonts w:hint="eastAsia" w:ascii="宋体" w:hAnsi="宋体" w:eastAsia="宋体" w:cs="宋体"/>
          <w:color w:val="000000"/>
          <w:sz w:val="24"/>
          <w:szCs w:val="24"/>
          <w:highlight w:val="none"/>
        </w:rPr>
        <w:t xml:space="preserve">最新颁布的标准及规范为准。</w:t>
      </w:r>
      <w:r>
        <w:rPr>
          <w:rFonts w:hint="eastAsia" w:ascii="宋体" w:hAnsi="宋体" w:eastAsia="宋体" w:cs="宋体"/>
          <w:color w:val="000000"/>
          <w:sz w:val="24"/>
          <w:szCs w:val="24"/>
          <w:highlight w:val="none"/>
        </w:rPr>
      </w:r>
      <w:r/>
    </w:p>
    <w:p>
      <w:pPr>
        <w:pStyle w:val="1199"/>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eastAsia="宋体" w:cs="宋体"/>
          <w:color w:val="000000"/>
          <w:sz w:val="24"/>
          <w:szCs w:val="24"/>
          <w:highlight w:val="none"/>
        </w:rPr>
      </w:r>
      <w:r/>
    </w:p>
    <w:p>
      <w:pPr>
        <w:pStyle w:val="1160"/>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第六条 包装要求</w:t>
      </w:r>
      <w:r>
        <w:rPr>
          <w:rFonts w:hint="eastAsia" w:ascii="宋体" w:hAnsi="宋体" w:eastAsia="宋体" w:cs="宋体"/>
          <w:b/>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2.每一包装单元内应附详细的装箱单和质量合格凭证。</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3.乙方保证货物不存在危及人身及财产安全的产品缺陷，否则应承担全部法律责任。</w:t>
      </w:r>
      <w:r>
        <w:rPr>
          <w:rFonts w:hint="eastAsia" w:ascii="宋体" w:hAnsi="宋体" w:eastAsia="宋体" w:cs="宋体"/>
          <w:color w:val="000000"/>
          <w:sz w:val="24"/>
          <w:szCs w:val="24"/>
          <w:highlight w:val="none"/>
        </w:rPr>
      </w:r>
      <w:r/>
    </w:p>
    <w:p>
      <w:pPr>
        <w:pStyle w:val="1160"/>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第七条 交货和验收</w:t>
      </w:r>
      <w:r>
        <w:rPr>
          <w:rFonts w:hint="eastAsia" w:ascii="宋体" w:hAnsi="宋体" w:eastAsia="宋体" w:cs="宋体"/>
          <w:b/>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1.乙方应当在合同签订后</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天内将货物交付甲方正常使用，地点由甲方指定。招标文件有约定的，从其约定。</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3.货物的到货验收包括：生产厂家名称、品牌、型号、规格、数量、外观质量、配置及货物包装是否完好。</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5.货物验收的标准：按行业通行标准、厂方出厂标准和乙方投标文件的承诺（并不低于国家相关标准）。</w:t>
      </w:r>
      <w:r>
        <w:rPr>
          <w:rFonts w:hint="eastAsia" w:ascii="宋体" w:hAnsi="宋体" w:eastAsia="宋体" w:cs="宋体"/>
          <w:color w:val="000000"/>
          <w:sz w:val="24"/>
          <w:szCs w:val="24"/>
          <w:highlight w:val="none"/>
        </w:rPr>
      </w:r>
      <w:r/>
    </w:p>
    <w:p>
      <w:pPr>
        <w:pStyle w:val="1160"/>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第八条 合同款结算及支付</w:t>
      </w:r>
      <w:r>
        <w:rPr>
          <w:rFonts w:hint="eastAsia" w:ascii="宋体" w:hAnsi="宋体" w:eastAsia="宋体" w:cs="宋体"/>
          <w:b/>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1.本合同项下所有款项均以人民币支付。</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2.本合同项下的采购资金由甲方自行支付，乙方向甲方开具发票。</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3.结算原则：固定</w:t>
      </w:r>
      <w:r>
        <w:rPr>
          <w:rFonts w:hint="eastAsia" w:ascii="宋体" w:hAnsi="宋体" w:eastAsia="宋体" w:cs="宋体"/>
          <w:color w:val="000000"/>
          <w:sz w:val="24"/>
          <w:szCs w:val="24"/>
          <w:highlight w:val="none"/>
          <w:lang w:val="en-US" w:eastAsia="zh-CN"/>
        </w:rPr>
        <w:t xml:space="preserve">单价，按实结算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lang w:val="en-US" w:eastAsia="zh-CN"/>
        </w:rPr>
        <w:t xml:space="preserve">合同签订后支付合同价30%的预付款；货到安装完成后付至合同价的90%，验收合格后60日内付清余款（无息）。</w:t>
      </w:r>
      <w:r>
        <w:rPr>
          <w:rFonts w:hint="eastAsia" w:ascii="宋体" w:hAnsi="宋体" w:eastAsia="宋体" w:cs="宋体"/>
          <w:color w:val="000000"/>
          <w:sz w:val="24"/>
          <w:szCs w:val="24"/>
          <w:highlight w:val="none"/>
        </w:rPr>
      </w:r>
      <w:r/>
    </w:p>
    <w:p>
      <w:pPr>
        <w:pStyle w:val="1160"/>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第九条 伴随服务／售后服务</w:t>
      </w:r>
      <w:r>
        <w:rPr>
          <w:rFonts w:hint="eastAsia" w:ascii="宋体" w:hAnsi="宋体" w:eastAsia="宋体" w:cs="宋体"/>
          <w:b/>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1.乙方应按照国家有关法律法规规章和“三包”规定以及合同所附的“服务承诺”提供服务。</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2.若招标文件中不包含有关伴随服务或售后服务的承诺，双方作如下约定：</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2.2所购货物按乙方投标承诺提供免费维护和质量保证，保修费用计入总价。</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2.3保修期内，乙方负责对其提供的货物整机进行维修和维护，不再收取任何费用，但不可抗力（如火灾、雷击等）造成的故障除外。</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2.4货物故障报修的响应时间按乙方投标承诺执行。</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2.5若货物故障在检修</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工作小时后仍无法排除，乙方应在</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24</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小时内免费提供不低于故障货物规格型号档次的备用货物供甲方使用，直至故障货物修复。</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2.6所有货物保修服务方式均为乙方上门保修，即由乙方派员到货物使用现场维修，由此产生的一切费用均由乙方承担。</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2.7保修期后的货物维护由双方协商再定。</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.本项目免费保修期为</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rPr>
        <w:t xml:space="preserve">年。自产品验收合格之日起计算。</w:t>
      </w:r>
      <w:r>
        <w:rPr>
          <w:rFonts w:hint="eastAsia" w:ascii="宋体" w:hAnsi="宋体" w:eastAsia="宋体" w:cs="宋体"/>
          <w:color w:val="000000"/>
          <w:sz w:val="24"/>
          <w:szCs w:val="24"/>
          <w:highlight w:val="none"/>
        </w:rPr>
      </w:r>
      <w:r/>
    </w:p>
    <w:p>
      <w:pPr>
        <w:pStyle w:val="1160"/>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第十条 违约责任</w:t>
      </w:r>
      <w:r>
        <w:rPr>
          <w:rFonts w:hint="eastAsia" w:ascii="宋体" w:hAnsi="宋体" w:eastAsia="宋体" w:cs="宋体"/>
          <w:b/>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w:t>
      </w:r>
      <w:r>
        <w:rPr>
          <w:rFonts w:hint="eastAsia" w:ascii="宋体" w:hAnsi="宋体" w:cs="宋体"/>
          <w:color w:val="000000"/>
          <w:sz w:val="24"/>
          <w:szCs w:val="24"/>
          <w:highlight w:val="none"/>
          <w:lang w:val="en-US" w:eastAsia="zh-CN"/>
        </w:rPr>
        <w:t xml:space="preserve">到达之日</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.乙方所交付的货物品种、型号、规格不符合合同规定的，甲方有权拒收，同时有权解除合同，解除合同的通知自</w:t>
      </w:r>
      <w:r>
        <w:rPr>
          <w:rFonts w:hint="eastAsia" w:ascii="宋体" w:hAnsi="宋体" w:cs="宋体"/>
          <w:color w:val="000000"/>
          <w:sz w:val="24"/>
          <w:szCs w:val="24"/>
          <w:highlight w:val="none"/>
          <w:lang w:val="en-US" w:eastAsia="zh-CN"/>
        </w:rPr>
        <w:t xml:space="preserve">到达之日</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.乙方未按本合同的规定和“服务承诺”提供伴随服务/售后服务的，甲方有权提前解除本合同，同时乙方应按合同总价款的5 %向甲方承担违约责任。</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包括不限于甲方为了维护权利所花费的诉讼费，保全费，保全保险费，律师费，交通费等费用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.其他未尽事宜，以《中华人民共和国民法典》等有关法律法规规定为准，无相关规定的，双方协商解决。</w:t>
      </w:r>
      <w:r>
        <w:rPr>
          <w:rFonts w:hint="eastAsia" w:ascii="宋体" w:hAnsi="宋体" w:eastAsia="宋体" w:cs="宋体"/>
          <w:color w:val="000000"/>
          <w:sz w:val="24"/>
          <w:szCs w:val="24"/>
          <w:highlight w:val="none"/>
        </w:rPr>
      </w:r>
      <w:r/>
    </w:p>
    <w:p>
      <w:pPr>
        <w:pStyle w:val="1160"/>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第十一条 合同的变更和终止</w:t>
      </w:r>
      <w:r>
        <w:rPr>
          <w:rFonts w:hint="eastAsia" w:ascii="宋体" w:hAnsi="宋体" w:eastAsia="宋体" w:cs="宋体"/>
          <w:b/>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1.本合同一经签订，甲乙双方不得擅自变更、中止或终止合同。</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highlight w:val="none"/>
        </w:rPr>
      </w:r>
      <w:r/>
    </w:p>
    <w:p>
      <w:pPr>
        <w:pStyle w:val="1160"/>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第十二条 合同的转让</w:t>
      </w:r>
      <w:r>
        <w:rPr>
          <w:rFonts w:hint="eastAsia" w:ascii="宋体" w:hAnsi="宋体" w:eastAsia="宋体" w:cs="宋体"/>
          <w:b/>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p>
    <w:p>
      <w:pPr>
        <w:pStyle w:val="1160"/>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第十三条 不可抗力</w:t>
      </w:r>
      <w:r>
        <w:rPr>
          <w:rFonts w:hint="eastAsia" w:ascii="宋体" w:hAnsi="宋体" w:eastAsia="宋体" w:cs="宋体"/>
          <w:b/>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4"/>
          <w:szCs w:val="24"/>
          <w:highlight w:val="none"/>
        </w:rPr>
      </w:r>
      <w:r/>
    </w:p>
    <w:p>
      <w:pPr>
        <w:pStyle w:val="1160"/>
        <w:ind w:firstLine="484"/>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第十四条 质量问题或缺陷的索赔</w:t>
      </w:r>
      <w:r>
        <w:rPr>
          <w:rFonts w:hint="eastAsia" w:ascii="宋体" w:hAnsi="宋体" w:eastAsia="宋体" w:cs="宋体"/>
          <w:b/>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乙方交付货物后，甲方发现货物的质量与合同内容不符或证</w:t>
      </w:r>
      <w:r>
        <w:rPr>
          <w:rFonts w:hint="eastAsia" w:ascii="宋体" w:hAnsi="宋体" w:eastAsia="宋体" w:cs="宋体"/>
          <w:color w:val="000000"/>
          <w:sz w:val="24"/>
          <w:szCs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甲方因主张上述权利而支出的所有合理费用，包括但不限于律师费、诉讼费、鉴定费、差旅费、保函费等，均由乙方承担。</w:t>
      </w:r>
      <w:r>
        <w:rPr>
          <w:rFonts w:hint="eastAsia" w:ascii="宋体" w:hAnsi="宋体" w:eastAsia="宋体" w:cs="宋体"/>
          <w:color w:val="000000"/>
          <w:sz w:val="24"/>
          <w:szCs w:val="24"/>
          <w:highlight w:val="none"/>
        </w:rPr>
      </w:r>
      <w:r/>
    </w:p>
    <w:p>
      <w:pPr>
        <w:pStyle w:val="1160"/>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第十五条 争议的解决</w:t>
      </w:r>
      <w:r>
        <w:rPr>
          <w:rFonts w:hint="eastAsia" w:ascii="宋体" w:hAnsi="宋体" w:eastAsia="宋体" w:cs="宋体"/>
          <w:b/>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2.因履行本合同引起的或与本合同有关的争议，甲、乙双方应首先通过友好协商解决，如果协商不能解决争议，则采取以下第（</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）种方式解决争议：</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（1）向甲方所在地人民法院提起诉讼；</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（2）向甲方所在地仲裁委员会按其仲裁规则申请仲裁。</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如没有约定，默认采取第</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种方式解决争议。</w:t>
      </w:r>
      <w:r>
        <w:rPr>
          <w:rFonts w:ascii="宋体" w:hAnsi="宋体" w:eastAsia="宋体" w:cs="宋体"/>
          <w:color w:val="000000"/>
          <w:sz w:val="24"/>
          <w:szCs w:val="24"/>
          <w:highlight w:val="none"/>
          <w:lang w:val="en-US" w:eastAsia="zh-CN"/>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3、在法院审理和仲裁期间，除有争议部分外，本合同其他部分应继续履行。</w:t>
      </w:r>
      <w:r>
        <w:rPr>
          <w:rFonts w:hint="eastAsia" w:ascii="宋体" w:hAnsi="宋体" w:eastAsia="宋体" w:cs="宋体"/>
          <w:color w:val="000000"/>
          <w:sz w:val="24"/>
          <w:szCs w:val="24"/>
          <w:highlight w:val="none"/>
        </w:rPr>
      </w:r>
      <w:r/>
    </w:p>
    <w:p>
      <w:pPr>
        <w:pStyle w:val="1160"/>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第十六条 诚实信用 </w:t>
      </w:r>
      <w:r>
        <w:rPr>
          <w:rFonts w:hint="eastAsia" w:ascii="宋体" w:hAnsi="宋体" w:eastAsia="宋体" w:cs="宋体"/>
          <w:b/>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乙方应诚实信用，严格按照招标文件要求和投标承诺履行合同，不向甲方进行商业贿赂或者提供不正当利益。</w:t>
      </w:r>
      <w:r>
        <w:rPr>
          <w:rFonts w:hint="eastAsia" w:ascii="宋体" w:hAnsi="宋体" w:eastAsia="宋体" w:cs="宋体"/>
          <w:color w:val="000000"/>
          <w:sz w:val="24"/>
          <w:szCs w:val="24"/>
          <w:highlight w:val="none"/>
        </w:rPr>
      </w:r>
      <w:r/>
    </w:p>
    <w:p>
      <w:pPr>
        <w:pStyle w:val="1160"/>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第十七条 合同生效及其他</w:t>
      </w:r>
      <w:r>
        <w:rPr>
          <w:rFonts w:hint="eastAsia" w:ascii="宋体" w:hAnsi="宋体" w:eastAsia="宋体" w:cs="宋体"/>
          <w:b/>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1.本合同自经甲乙双方授权代表签订并加盖公章后，自签订之日起生效。</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2.本合同一式</w:t>
      </w:r>
      <w:r>
        <w:rPr>
          <w:rFonts w:hint="eastAsia" w:ascii="宋体" w:hAnsi="宋体" w:cs="宋体"/>
          <w:color w:val="000000"/>
          <w:sz w:val="24"/>
          <w:szCs w:val="24"/>
          <w:highlight w:val="none"/>
          <w:lang w:val="en-US" w:eastAsia="zh-CN"/>
        </w:rPr>
        <w:t xml:space="preserve">伍</w:t>
      </w:r>
      <w:r>
        <w:rPr>
          <w:rFonts w:hint="eastAsia" w:ascii="宋体" w:hAnsi="宋体" w:eastAsia="宋体" w:cs="宋体"/>
          <w:color w:val="000000"/>
          <w:sz w:val="24"/>
          <w:szCs w:val="24"/>
          <w:highlight w:val="none"/>
        </w:rPr>
        <w:t xml:space="preserve">份，甲乙双方各执贰份</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见证方壹份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3.本合同应按照中华人民共和国的现行法律进行解释。</w:t>
      </w:r>
      <w:r>
        <w:rPr>
          <w:rFonts w:hint="eastAsia" w:ascii="宋体" w:hAnsi="宋体" w:eastAsia="宋体" w:cs="宋体"/>
          <w:color w:val="000000"/>
          <w:sz w:val="24"/>
          <w:szCs w:val="24"/>
          <w:highlight w:val="none"/>
        </w:rPr>
      </w:r>
      <w:r/>
    </w:p>
    <w:p>
      <w:pPr>
        <w:pStyle w:val="1160"/>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60"/>
        <w:ind w:firstLine="482"/>
        <w:jc w:val="left"/>
        <w:keepLines w:val="0"/>
        <w:keepNext w:val="0"/>
        <w:pageBreakBefore w:val="0"/>
        <w:spacing w:line="360" w:lineRule="auto"/>
        <w:tabs>
          <w:tab w:val="left" w:pos="4844" w:leader="none"/>
        </w:tabs>
        <w:rPr>
          <w:rFonts w:ascii="宋体" w:hAnsi="宋体" w:eastAsia="宋体" w:cs="宋体"/>
          <w:color w:val="000000"/>
          <w:sz w:val="24"/>
          <w:szCs w:val="24"/>
          <w:highlight w:val="none"/>
          <w:lang w:val="en-US" w:eastAsia="zh-CN"/>
        </w:rPr>
        <w:outlineLvl w:val="9"/>
      </w:pPr>
      <w:r>
        <w:rPr>
          <w:rFonts w:hint="eastAsia" w:ascii="宋体" w:hAnsi="宋体" w:eastAsia="宋体" w:cs="宋体"/>
          <w:b/>
          <w:bCs/>
          <w:color w:val="000000"/>
          <w:sz w:val="24"/>
          <w:szCs w:val="24"/>
          <w:highlight w:val="none"/>
        </w:rPr>
        <w:t xml:space="preserve">甲  方</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                                </w:t>
      </w:r>
      <w:r>
        <w:rPr>
          <w:rFonts w:hint="eastAsia" w:ascii="宋体" w:hAnsi="宋体" w:cs="宋体"/>
          <w:b/>
          <w:bCs/>
          <w:color w:val="000000"/>
          <w:sz w:val="24"/>
          <w:szCs w:val="24"/>
          <w:highlight w:val="none"/>
          <w:lang w:val="en-US" w:eastAsia="zh-CN"/>
        </w:rPr>
        <w:t xml:space="preserve">乙 方：</w:t>
      </w:r>
      <w:r>
        <w:rPr>
          <w:rFonts w:hint="eastAsia" w:ascii="仿宋" w:hAnsi="仿宋" w:eastAsia="仿宋"/>
          <w:color w:val="000000"/>
          <w:sz w:val="24"/>
          <w:szCs w:val="24"/>
          <w:highlight w:val="none"/>
        </w:rPr>
        <w:t xml:space="preserve"> </w:t>
      </w:r>
      <w:r>
        <w:rPr>
          <w:rFonts w:ascii="宋体" w:hAnsi="宋体" w:eastAsia="宋体" w:cs="宋体"/>
          <w:color w:val="000000"/>
          <w:sz w:val="24"/>
          <w:szCs w:val="24"/>
          <w:highlight w:val="none"/>
          <w:lang w:val="en-US" w:eastAsia="zh-CN"/>
        </w:rPr>
      </w:r>
      <w:r/>
    </w:p>
    <w:p>
      <w:pPr>
        <w:pStyle w:val="1160"/>
        <w:ind w:firstLine="480"/>
        <w:keepLines w:val="0"/>
        <w:keepNext w:val="0"/>
        <w:pageBreakBefore w:val="0"/>
        <w:spacing w:line="360" w:lineRule="auto"/>
        <w:rPr>
          <w:rFonts w:ascii="宋体" w:hAnsi="宋体" w:eastAsia="宋体" w:cs="宋体"/>
          <w:color w:val="000000"/>
          <w:sz w:val="24"/>
          <w:szCs w:val="24"/>
          <w:highlight w:val="none"/>
          <w:u w:val="none"/>
          <w:lang w:val="en-US" w:eastAsia="zh-CN"/>
        </w:rPr>
        <w:outlineLvl w:val="9"/>
      </w:pPr>
      <w:r>
        <w:rPr>
          <w:rFonts w:hint="eastAsia" w:ascii="宋体" w:hAnsi="宋体" w:eastAsia="宋体" w:cs="宋体"/>
          <w:color w:val="000000"/>
          <w:sz w:val="24"/>
          <w:szCs w:val="24"/>
          <w:highlight w:val="none"/>
        </w:rPr>
        <w:t xml:space="preserve">单位名称（章）：</w:t>
      </w:r>
      <w:r>
        <w:rPr>
          <w:rFonts w:hint="eastAsia" w:ascii="宋体" w:hAnsi="宋体" w:eastAsia="宋体" w:cs="宋体"/>
          <w:color w:val="000000"/>
          <w:sz w:val="24"/>
          <w:szCs w:val="24"/>
          <w:highlight w:val="none"/>
          <w:u w:val="single"/>
          <w:lang w:val="en-US" w:eastAsia="zh-CN"/>
        </w:rPr>
        <w:t xml:space="preserve"> 常州市武进人民医院</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rPr>
        <w:t xml:space="preserve">单位名称（章）：</w:t>
      </w:r>
      <w:r>
        <w:rPr>
          <w:rFonts w:hint="eastAsia" w:ascii="宋体" w:hAnsi="宋体" w:cs="宋体"/>
          <w:color w:val="000000"/>
          <w:sz w:val="24"/>
          <w:szCs w:val="24"/>
          <w:highlight w:val="none"/>
          <w:u w:val="none"/>
          <w:lang w:val="en-US" w:eastAsia="zh-CN"/>
        </w:rPr>
        <w:t xml:space="preserve">         </w:t>
      </w:r>
      <w:r>
        <w:rPr>
          <w:rFonts w:ascii="宋体" w:hAnsi="宋体" w:eastAsia="宋体" w:cs="宋体"/>
          <w:color w:val="000000"/>
          <w:sz w:val="24"/>
          <w:szCs w:val="24"/>
          <w:highlight w:val="none"/>
          <w:u w:val="none"/>
          <w:lang w:val="en-US" w:eastAsia="zh-CN"/>
        </w:rPr>
      </w:r>
      <w:r/>
    </w:p>
    <w:p>
      <w:pPr>
        <w:pStyle w:val="1160"/>
        <w:ind w:firstLine="480"/>
        <w:keepLines w:val="0"/>
        <w:keepNext w:val="0"/>
        <w:pageBreakBefore w:val="0"/>
        <w:spacing w:line="360" w:lineRule="auto"/>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lang w:eastAsia="zh-CN"/>
        </w:rPr>
        <w:t xml:space="preserve">常州市天宁区永宁北路2号</w:t>
      </w:r>
      <w:r>
        <w:rPr>
          <w:rFonts w:hint="eastAsia" w:ascii="宋体" w:hAnsi="宋体" w:cs="宋体"/>
          <w:color w:val="000000"/>
          <w:sz w:val="24"/>
          <w:szCs w:val="24"/>
          <w:highlight w:val="none"/>
          <w:lang w:val="en-US" w:eastAsia="zh-CN"/>
        </w:rPr>
        <w:t xml:space="preserve">      </w:t>
      </w:r>
      <w:r>
        <w:rPr>
          <w:rFonts w:ascii="宋体" w:hAnsi="宋体" w:eastAsia="宋体"/>
          <w:color w:val="000000"/>
          <w:sz w:val="24"/>
          <w:szCs w:val="24"/>
          <w:highlight w:val="none"/>
        </w:rPr>
        <w:t xml:space="preserve">法定代表人</w:t>
      </w:r>
      <w:r>
        <w:rPr>
          <w:rFonts w:hint="eastAsia" w:ascii="宋体" w:hAnsi="宋体"/>
          <w:color w:val="000000"/>
          <w:sz w:val="24"/>
          <w:szCs w:val="24"/>
          <w:highlight w:val="none"/>
          <w:lang w:eastAsia="zh-CN"/>
        </w:rPr>
        <w:t xml:space="preserve">或</w:t>
      </w:r>
      <w:r>
        <w:rPr>
          <w:rFonts w:ascii="宋体" w:hAnsi="宋体" w:eastAsia="宋体"/>
          <w:color w:val="000000"/>
          <w:sz w:val="24"/>
          <w:szCs w:val="24"/>
          <w:highlight w:val="none"/>
        </w:rPr>
        <w:t xml:space="preserve">委托代理人：</w:t>
      </w:r>
      <w:r>
        <w:rPr>
          <w:rFonts w:hint="eastAsia" w:ascii="宋体" w:hAnsi="宋体" w:eastAsia="宋体" w:cs="宋体"/>
          <w:color w:val="000000"/>
          <w:sz w:val="24"/>
          <w:szCs w:val="24"/>
          <w:highlight w:val="none"/>
          <w:u w:val="single"/>
          <w:lang w:eastAsia="zh-CN"/>
        </w:rPr>
      </w:r>
      <w:r/>
    </w:p>
    <w:p>
      <w:pPr>
        <w:pStyle w:val="1160"/>
        <w:ind w:firstLine="480"/>
        <w:jc w:val="left"/>
        <w:spacing w:line="360" w:lineRule="auto"/>
        <w:rPr>
          <w:rFonts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法定代表人</w:t>
      </w:r>
      <w:r>
        <w:rPr>
          <w:rFonts w:hint="eastAsia" w:ascii="宋体" w:hAnsi="宋体" w:cs="宋体"/>
          <w:color w:val="000000"/>
          <w:sz w:val="24"/>
          <w:szCs w:val="24"/>
          <w:highlight w:val="none"/>
          <w:lang w:eastAsia="zh-CN"/>
        </w:rPr>
        <w:t xml:space="preserve">或</w:t>
      </w:r>
      <w:r>
        <w:rPr>
          <w:rFonts w:hint="eastAsia" w:ascii="宋体" w:hAnsi="宋体" w:eastAsia="宋体" w:cs="宋体"/>
          <w:color w:val="000000"/>
          <w:sz w:val="24"/>
          <w:szCs w:val="24"/>
          <w:highlight w:val="none"/>
        </w:rPr>
        <w:t xml:space="preserve">委托代理人：</w:t>
      </w:r>
      <w:r>
        <w:rPr>
          <w:rFonts w:hint="eastAsia" w:ascii="宋体" w:hAnsi="宋体" w:cs="宋体"/>
          <w:color w:val="000000"/>
          <w:sz w:val="24"/>
          <w:szCs w:val="24"/>
          <w:highlight w:val="none"/>
          <w:lang w:val="en-US" w:eastAsia="zh-CN"/>
        </w:rPr>
        <w:t xml:space="preserve">                </w:t>
      </w:r>
      <w:r>
        <w:rPr>
          <w:rFonts w:ascii="宋体" w:hAnsi="宋体" w:eastAsia="宋体"/>
          <w:color w:val="000000"/>
          <w:sz w:val="24"/>
          <w:szCs w:val="24"/>
          <w:highlight w:val="none"/>
        </w:rPr>
        <w:t xml:space="preserve">电 话：</w:t>
      </w:r>
      <w:r>
        <w:rPr>
          <w:rFonts w:ascii="宋体" w:hAnsi="宋体" w:cs="宋体"/>
          <w:color w:val="000000"/>
          <w:sz w:val="24"/>
          <w:szCs w:val="24"/>
          <w:highlight w:val="none"/>
          <w:lang w:val="en-US" w:eastAsia="zh-CN"/>
        </w:rPr>
      </w:r>
      <w:r/>
    </w:p>
    <w:p>
      <w:pPr>
        <w:pStyle w:val="1160"/>
        <w:ind w:firstLine="480"/>
        <w:jc w:val="left"/>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传真：</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r>
      <w:r/>
    </w:p>
    <w:p>
      <w:pPr>
        <w:pStyle w:val="1160"/>
        <w:ind w:firstLine="480"/>
        <w:jc w:val="left"/>
        <w:spacing w:line="360" w:lineRule="auto"/>
        <w:rPr>
          <w:rFonts w:ascii="宋体" w:hAnsi="宋体" w:eastAsia="宋体" w:cs="宋体"/>
          <w:color w:val="000000"/>
          <w:sz w:val="24"/>
          <w:szCs w:val="24"/>
          <w:highlight w:val="none"/>
          <w:lang w:val="en-US"/>
        </w:rPr>
      </w:pPr>
      <w:r>
        <w:rPr>
          <w:rFonts w:hint="eastAsia" w:ascii="宋体" w:hAnsi="宋体" w:cs="宋体"/>
          <w:color w:val="000000"/>
          <w:sz w:val="24"/>
          <w:szCs w:val="24"/>
          <w:highlight w:val="none"/>
          <w:lang w:val="en-US" w:eastAsia="zh-CN"/>
        </w:rPr>
        <w:t xml:space="preserve">电话：</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t xml:space="preserve">                                 </w:t>
      </w:r>
      <w:r>
        <w:rPr>
          <w:rFonts w:ascii="宋体" w:hAnsi="宋体" w:eastAsia="宋体"/>
          <w:color w:val="000000"/>
          <w:sz w:val="24"/>
          <w:szCs w:val="24"/>
          <w:highlight w:val="none"/>
        </w:rPr>
        <w:t xml:space="preserve">开户银行：</w:t>
      </w:r>
      <w:r>
        <w:rPr>
          <w:rFonts w:ascii="宋体" w:hAnsi="宋体" w:eastAsia="宋体" w:cs="宋体"/>
          <w:color w:val="000000"/>
          <w:sz w:val="24"/>
          <w:szCs w:val="24"/>
          <w:highlight w:val="none"/>
          <w:lang w:val="en-US"/>
        </w:rPr>
      </w:r>
      <w:r/>
    </w:p>
    <w:p>
      <w:pPr>
        <w:pStyle w:val="1160"/>
        <w:ind w:firstLine="480"/>
        <w:keepLines w:val="0"/>
        <w:keepNext w:val="0"/>
        <w:pageBreakBefore w:val="0"/>
        <w:spacing w:line="360" w:lineRule="auto"/>
        <w:rPr>
          <w:rFonts w:ascii="宋体" w:hAnsi="宋体" w:eastAsia="宋体" w:cs="宋体"/>
          <w:color w:val="000000"/>
          <w:sz w:val="24"/>
          <w:szCs w:val="24"/>
          <w:highlight w:val="none"/>
          <w:lang w:val="en-US" w:eastAsia="zh-CN"/>
        </w:rPr>
        <w:outlineLvl w:val="9"/>
      </w:pPr>
      <w:r>
        <w:rPr>
          <w:rFonts w:ascii="宋体" w:hAnsi="宋体" w:eastAsia="宋体"/>
          <w:color w:val="000000"/>
          <w:sz w:val="24"/>
          <w:szCs w:val="24"/>
          <w:highlight w:val="none"/>
        </w:rPr>
        <w:t xml:space="preserve">传    真：</w:t>
      </w:r>
      <w:r>
        <w:rPr>
          <w:rFonts w:hint="eastAsia" w:ascii="宋体" w:hAnsi="宋体"/>
          <w:color w:val="000000"/>
          <w:sz w:val="24"/>
          <w:szCs w:val="24"/>
          <w:highlight w:val="none"/>
          <w:lang w:val="en-US" w:eastAsia="zh-CN"/>
        </w:rPr>
        <w:t xml:space="preserve">                              </w:t>
      </w:r>
      <w:r>
        <w:rPr>
          <w:rFonts w:ascii="宋体" w:hAnsi="宋体" w:eastAsia="宋体"/>
          <w:color w:val="000000"/>
          <w:sz w:val="24"/>
          <w:szCs w:val="24"/>
          <w:highlight w:val="none"/>
        </w:rPr>
        <w:t xml:space="preserve">账   号：</w:t>
      </w:r>
      <w:r>
        <w:rPr>
          <w:rFonts w:ascii="宋体" w:hAnsi="宋体" w:eastAsia="宋体" w:cs="宋体"/>
          <w:color w:val="000000"/>
          <w:sz w:val="24"/>
          <w:szCs w:val="24"/>
          <w:highlight w:val="none"/>
          <w:lang w:val="en-US" w:eastAsia="zh-CN"/>
        </w:rPr>
      </w:r>
      <w:r/>
    </w:p>
    <w:p>
      <w:pPr>
        <w:pStyle w:val="1160"/>
        <w:ind w:firstLine="480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6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16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160"/>
        <w:ind w:firstLine="24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[见证方]</w:t>
      </w:r>
      <w:r>
        <w:rPr>
          <w:rFonts w:ascii="宋体" w:hAnsi="宋体" w:eastAsia="宋体"/>
          <w:color w:val="000000"/>
          <w:sz w:val="24"/>
          <w:szCs w:val="24"/>
          <w:highlight w:val="none"/>
        </w:rPr>
      </w:r>
      <w:r/>
    </w:p>
    <w:p>
      <w:pPr>
        <w:pStyle w:val="1160"/>
        <w:ind w:firstLine="24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单位名称：</w:t>
      </w:r>
      <w:r>
        <w:rPr>
          <w:rFonts w:ascii="宋体" w:hAnsi="宋体" w:eastAsia="宋体"/>
          <w:color w:val="000000"/>
          <w:sz w:val="24"/>
          <w:szCs w:val="24"/>
          <w:highlight w:val="none"/>
        </w:rPr>
      </w:r>
      <w:r/>
    </w:p>
    <w:p>
      <w:pPr>
        <w:pStyle w:val="1160"/>
        <w:ind w:firstLine="240"/>
        <w:spacing w:line="44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单位地址：</w:t>
      </w:r>
      <w:r>
        <w:rPr>
          <w:rFonts w:ascii="宋体" w:hAnsi="宋体" w:eastAsia="宋体"/>
          <w:color w:val="000000"/>
          <w:sz w:val="24"/>
          <w:szCs w:val="24"/>
          <w:highlight w:val="none"/>
        </w:rPr>
      </w:r>
      <w:r/>
    </w:p>
    <w:p>
      <w:pPr>
        <w:pStyle w:val="1160"/>
        <w:ind w:firstLine="24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eastAsia="zh-CN"/>
        </w:rPr>
      </w:pPr>
      <w:r>
        <w:rPr>
          <w:rFonts w:ascii="宋体" w:hAnsi="宋体" w:eastAsia="宋体"/>
          <w:color w:val="000000"/>
          <w:sz w:val="24"/>
          <w:szCs w:val="24"/>
          <w:highlight w:val="none"/>
        </w:rPr>
        <w:t xml:space="preserve">备案日期：    年    月    日</w:t>
      </w:r>
      <w:r>
        <w:rPr>
          <w:rFonts w:hint="eastAsia" w:ascii="宋体" w:hAnsi="宋体" w:eastAsia="宋体" w:cs="宋体"/>
          <w:color w:val="000000"/>
          <w:sz w:val="24"/>
          <w:szCs w:val="24"/>
          <w:highlight w:val="none"/>
          <w:lang w:eastAsia="zh-CN"/>
        </w:rPr>
      </w:r>
      <w:r/>
    </w:p>
    <w:p>
      <w:pPr>
        <w:pStyle w:val="1160"/>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eastAsia="zh-CN"/>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color w:val="000000"/>
          <w:sz w:val="24"/>
          <w:szCs w:val="24"/>
          <w:highlight w:val="none"/>
          <w:lang w:eastAsia="zh-CN"/>
        </w:rPr>
      </w:r>
      <w:r/>
    </w:p>
    <w:p>
      <w:pPr>
        <w:pStyle w:val="1160"/>
        <w:contextualSpacing/>
        <w:jc w:val="center"/>
        <w:spacing w:line="360" w:lineRule="auto"/>
        <w:shd w:val="clear" w:color="auto" w:fill="auto"/>
        <w:rPr>
          <w:b/>
          <w:color w:val="000000"/>
          <w:sz w:val="36"/>
          <w:szCs w:val="36"/>
          <w:highlight w:val="none"/>
        </w:rPr>
        <w:outlineLvl w:val="0"/>
      </w:pPr>
      <w:r>
        <w:rPr>
          <w:b/>
          <w:color w:val="000000"/>
          <w:sz w:val="36"/>
          <w:szCs w:val="36"/>
          <w:highlight w:val="none"/>
        </w:rPr>
        <w:t xml:space="preserve">第七章   投标文件格式</w:t>
      </w:r>
      <w:bookmarkEnd w:id="716"/>
      <w:r>
        <w:rPr>
          <w:b/>
          <w:color w:val="000000"/>
          <w:sz w:val="36"/>
          <w:szCs w:val="36"/>
          <w:highlight w:val="none"/>
        </w:rPr>
      </w:r>
      <w:r/>
    </w:p>
    <w:p>
      <w:pPr>
        <w:pStyle w:val="1160"/>
        <w:ind w:left="142"/>
        <w:spacing w:line="360" w:lineRule="auto"/>
        <w:shd w:val="clear" w:color="auto" w:fill="auto"/>
        <w:tabs>
          <w:tab w:val="left" w:pos="900" w:leader="none"/>
          <w:tab w:val="left" w:pos="1980" w:leader="none"/>
        </w:tabs>
        <w:rPr>
          <w:b/>
          <w:color w:val="000000"/>
          <w:sz w:val="24"/>
          <w:highlight w:val="none"/>
        </w:rPr>
      </w:pPr>
      <w:r>
        <w:rPr>
          <w:b/>
          <w:color w:val="000000"/>
          <w:sz w:val="24"/>
          <w:highlight w:val="none"/>
        </w:rPr>
      </w:r>
      <w:r/>
    </w:p>
    <w:p>
      <w:pPr>
        <w:pStyle w:val="1160"/>
        <w:ind w:left="142"/>
        <w:spacing w:line="360" w:lineRule="auto"/>
        <w:shd w:val="clear" w:color="auto" w:fill="auto"/>
        <w:tabs>
          <w:tab w:val="left" w:pos="900" w:leader="none"/>
          <w:tab w:val="left" w:pos="1980" w:leader="none"/>
        </w:tabs>
        <w:rPr>
          <w:b/>
          <w:color w:val="000000"/>
          <w:sz w:val="24"/>
          <w:highlight w:val="none"/>
        </w:rPr>
      </w:pPr>
      <w:r>
        <w:rPr>
          <w:b/>
          <w:color w:val="000000"/>
          <w:sz w:val="24"/>
          <w:highlight w:val="none"/>
        </w:rPr>
      </w:r>
      <w:r/>
    </w:p>
    <w:p>
      <w:pPr>
        <w:pStyle w:val="1160"/>
        <w:ind w:left="142"/>
        <w:spacing w:line="360" w:lineRule="auto"/>
        <w:shd w:val="clear" w:color="auto" w:fill="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1160"/>
        <w:ind w:left="142"/>
        <w:spacing w:line="360" w:lineRule="auto"/>
        <w:shd w:val="clear" w:color="auto" w:fill="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1160"/>
        <w:ind w:left="142"/>
        <w:spacing w:line="360" w:lineRule="auto"/>
        <w:shd w:val="clear" w:color="auto" w:fill="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1160"/>
        <w:ind w:left="142"/>
        <w:spacing w:line="360" w:lineRule="auto"/>
        <w:shd w:val="clear" w:color="auto" w:fill="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1160"/>
        <w:ind w:left="142"/>
        <w:spacing w:line="360" w:lineRule="auto"/>
        <w:shd w:val="clear" w:color="auto" w:fill="auto"/>
        <w:tabs>
          <w:tab w:val="left" w:pos="900" w:leader="none"/>
          <w:tab w:val="left" w:pos="1980" w:leader="none"/>
        </w:tabs>
        <w:rPr>
          <w:rFonts w:hint="eastAsia"/>
          <w:color w:val="000000"/>
          <w:sz w:val="24"/>
          <w:highlight w:val="none"/>
        </w:rPr>
      </w:pPr>
      <w:r>
        <w:rPr>
          <w:rFonts w:hint="eastAsia"/>
          <w:color w:val="000000"/>
          <w:sz w:val="24"/>
          <w:highlight w:val="none"/>
        </w:rPr>
        <w:t xml:space="preserve">4、实行电子化不见面交易方式的，加盖公章、签名等均通过投标文件编制工具加盖电子公章、签字、签章或印鉴。</w:t>
      </w:r>
      <w:r>
        <w:rPr>
          <w:rFonts w:hint="eastAsia"/>
          <w:color w:val="000000"/>
          <w:sz w:val="24"/>
          <w:highlight w:val="none"/>
        </w:rPr>
      </w:r>
      <w:r/>
    </w:p>
    <w:p>
      <w:pPr>
        <w:pStyle w:val="1160"/>
        <w:ind w:left="142"/>
        <w:spacing w:line="360" w:lineRule="auto"/>
        <w:shd w:val="clear" w:color="auto" w:fill="auto"/>
        <w:tabs>
          <w:tab w:val="left" w:pos="900" w:leader="none"/>
          <w:tab w:val="left" w:pos="1980" w:leader="none"/>
        </w:tabs>
        <w:rPr>
          <w:b/>
          <w:color w:val="000000"/>
          <w:sz w:val="30"/>
          <w:szCs w:val="20"/>
          <w:highlight w:val="none"/>
        </w:rPr>
      </w:pPr>
      <w:r>
        <w:rPr>
          <w:color w:val="000000"/>
          <w:sz w:val="24"/>
          <w:highlight w:val="none"/>
        </w:rPr>
        <w:br w:type="page" w:clear="all"/>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rPr>
          <w:b/>
          <w:color w:val="000000"/>
          <w:spacing w:val="20"/>
          <w:sz w:val="24"/>
          <w:highlight w:val="none"/>
        </w:rPr>
        <w:t xml:space="preserve">一、资格证明文件格式</w:t>
      </w:r>
      <w:r>
        <w:rPr>
          <w:b/>
          <w:color w:val="000000"/>
          <w:sz w:val="30"/>
          <w:szCs w:val="20"/>
          <w:highlight w:val="none"/>
        </w:rPr>
      </w:r>
      <w:r/>
    </w:p>
    <w:p>
      <w:pPr>
        <w:pStyle w:val="1160"/>
        <w:shd w:val="clear" w:color="auto" w:fill="auto"/>
        <w:rPr>
          <w:b/>
          <w:color w:val="000000"/>
          <w:spacing w:val="20"/>
          <w:szCs w:val="21"/>
          <w:highlight w:val="none"/>
        </w:rPr>
      </w:pPr>
      <w:r>
        <w:rPr>
          <w:b/>
          <w:color w:val="000000"/>
          <w:spacing w:val="20"/>
          <w:szCs w:val="21"/>
          <w:highlight w:val="none"/>
        </w:rPr>
      </w:r>
      <w:r/>
    </w:p>
    <w:p>
      <w:pPr>
        <w:pStyle w:val="1160"/>
        <w:shd w:val="clear" w:color="auto" w:fill="auto"/>
        <w:rPr>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1160"/>
        <w:jc w:val="center"/>
        <w:shd w:val="clear" w:color="auto" w:fill="auto"/>
        <w:rPr>
          <w:color w:val="000000"/>
          <w:szCs w:val="21"/>
          <w:highlight w:val="none"/>
        </w:rPr>
      </w:pPr>
      <w:r>
        <w:rPr>
          <w:color w:val="000000"/>
          <w:szCs w:val="21"/>
          <w:highlight w:val="none"/>
        </w:rPr>
      </w:r>
      <w:r/>
    </w:p>
    <w:p>
      <w:pPr>
        <w:pStyle w:val="1160"/>
        <w:jc w:val="center"/>
        <w:shd w:val="clear" w:color="auto" w:fill="auto"/>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1160"/>
        <w:ind w:firstLine="963"/>
        <w:shd w:val="clear" w:color="auto" w:fill="auto"/>
        <w:rPr>
          <w:rFonts w:hint="eastAsia"/>
          <w:b/>
          <w:color w:val="000000"/>
          <w:spacing w:val="60"/>
          <w:sz w:val="52"/>
          <w:szCs w:val="52"/>
          <w:highlight w:val="none"/>
        </w:rPr>
      </w:pPr>
      <w:r>
        <w:rPr>
          <w:rFonts w:hint="eastAsia"/>
          <w:b/>
          <w:color w:val="000000"/>
          <w:spacing w:val="60"/>
          <w:sz w:val="52"/>
          <w:szCs w:val="52"/>
          <w:highlight w:val="none"/>
        </w:rPr>
      </w:r>
      <w:r/>
    </w:p>
    <w:p>
      <w:pPr>
        <w:pStyle w:val="1160"/>
        <w:ind w:firstLine="963"/>
        <w:shd w:val="clear" w:color="auto" w:fill="auto"/>
        <w:rPr>
          <w:rFonts w:hint="eastAsia"/>
          <w:b/>
          <w:color w:val="000000"/>
          <w:spacing w:val="60"/>
          <w:sz w:val="52"/>
          <w:szCs w:val="52"/>
          <w:highlight w:val="none"/>
        </w:rPr>
      </w:pPr>
      <w:r>
        <w:rPr>
          <w:rFonts w:hint="eastAsia"/>
          <w:b/>
          <w:color w:val="000000"/>
          <w:spacing w:val="60"/>
          <w:sz w:val="52"/>
          <w:szCs w:val="52"/>
          <w:highlight w:val="none"/>
        </w:rPr>
      </w:r>
      <w:r/>
    </w:p>
    <w:p>
      <w:pPr>
        <w:pStyle w:val="1160"/>
        <w:ind w:firstLine="542"/>
        <w:shd w:val="clear" w:color="auto" w:fill="auto"/>
        <w:rPr>
          <w:b/>
          <w:color w:val="000000"/>
          <w:spacing w:val="20"/>
          <w:sz w:val="32"/>
          <w:szCs w:val="32"/>
          <w:highlight w:val="none"/>
        </w:rPr>
      </w:pPr>
      <w:r>
        <w:rPr>
          <w:b/>
          <w:color w:val="000000"/>
          <w:spacing w:val="20"/>
          <w:sz w:val="32"/>
          <w:szCs w:val="32"/>
          <w:highlight w:val="none"/>
        </w:rPr>
      </w:r>
      <w:r/>
    </w:p>
    <w:p>
      <w:pPr>
        <w:pStyle w:val="1160"/>
        <w:ind w:firstLine="542"/>
        <w:shd w:val="clear" w:color="auto" w:fill="auto"/>
        <w:rPr>
          <w:b/>
          <w:color w:val="000000"/>
          <w:spacing w:val="20"/>
          <w:sz w:val="32"/>
          <w:szCs w:val="32"/>
          <w:highlight w:val="none"/>
        </w:rPr>
      </w:pPr>
      <w:r>
        <w:rPr>
          <w:b/>
          <w:color w:val="000000"/>
          <w:spacing w:val="20"/>
          <w:sz w:val="32"/>
          <w:szCs w:val="32"/>
          <w:highlight w:val="none"/>
        </w:rPr>
      </w:r>
      <w:r/>
    </w:p>
    <w:p>
      <w:pPr>
        <w:pStyle w:val="1160"/>
        <w:ind w:firstLine="1084"/>
        <w:shd w:val="clear" w:color="auto" w:fill="auto"/>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60"/>
        <w:ind w:firstLine="1084"/>
        <w:shd w:val="clear" w:color="auto" w:fill="auto"/>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60"/>
        <w:shd w:val="clear" w:color="auto" w:fill="auto"/>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60"/>
        <w:shd w:val="clear" w:color="auto" w:fill="auto"/>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60"/>
        <w:jc w:val="center"/>
        <w:shd w:val="clear" w:color="auto" w:fill="auto"/>
        <w:rPr>
          <w:b/>
          <w:color w:val="000000"/>
          <w:sz w:val="32"/>
          <w:szCs w:val="32"/>
          <w:highlight w:val="none"/>
        </w:rPr>
      </w:pPr>
      <w:r>
        <w:rPr>
          <w:b/>
          <w:color w:val="000000"/>
          <w:sz w:val="32"/>
          <w:szCs w:val="32"/>
          <w:highlight w:val="none"/>
        </w:rPr>
      </w:r>
      <w:r/>
    </w:p>
    <w:p>
      <w:pPr>
        <w:pStyle w:val="1160"/>
        <w:jc w:val="center"/>
        <w:shd w:val="clear" w:color="auto" w:fill="auto"/>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160"/>
        <w:shd w:val="clear" w:color="auto" w:fill="auto"/>
        <w:rPr>
          <w:b/>
          <w:color w:val="000000"/>
          <w:highlight w:val="none"/>
        </w:rPr>
      </w:pPr>
      <w:r>
        <w:rPr>
          <w:b/>
          <w:color w:val="000000"/>
          <w:highlight w:val="none"/>
        </w:rPr>
      </w:r>
      <w:r/>
    </w:p>
    <w:p>
      <w:pPr>
        <w:pStyle w:val="1160"/>
        <w:spacing w:line="360" w:lineRule="auto"/>
        <w:shd w:val="clear" w:color="auto" w:fill="auto"/>
        <w:rPr>
          <w:color w:val="000000"/>
          <w:sz w:val="24"/>
          <w:szCs w:val="20"/>
          <w:highlight w:val="none"/>
        </w:rPr>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160"/>
        <w:shd w:val="clear" w:color="auto" w:fill="auto"/>
        <w:rPr>
          <w:b/>
          <w:bCs/>
          <w:color w:val="000000"/>
          <w:highlight w:val="none"/>
        </w:rPr>
      </w:pPr>
      <w:r>
        <w:rPr>
          <w:b/>
          <w:color w:val="000000"/>
          <w:highlight w:val="none"/>
        </w:rPr>
        <w:t xml:space="preserve">1-</w:t>
      </w:r>
      <w:r>
        <w:rPr>
          <w:rFonts w:hint="eastAsia"/>
          <w:b/>
          <w:color w:val="000000"/>
          <w:highlight w:val="none"/>
        </w:rPr>
        <w:t xml:space="preserve">1</w:t>
      </w:r>
      <w:r>
        <w:rPr>
          <w:b/>
          <w:color w:val="000000"/>
          <w:highlight w:val="none"/>
        </w:rPr>
        <w:t xml:space="preserve"> 投标人资格声明</w:t>
      </w:r>
      <w:r>
        <w:rPr>
          <w:rFonts w:hint="eastAsia"/>
          <w:b/>
          <w:color w:val="000000"/>
          <w:highlight w:val="none"/>
        </w:rPr>
        <w:t xml:space="preserve">函</w:t>
      </w:r>
      <w:r>
        <w:rPr>
          <w:b/>
          <w:color w:val="000000"/>
          <w:highlight w:val="none"/>
        </w:rPr>
        <w:t xml:space="preserve">（实质性格式）</w:t>
      </w:r>
      <w:r>
        <w:rPr>
          <w:b/>
          <w:bCs/>
          <w:color w:val="000000"/>
          <w:highlight w:val="none"/>
        </w:rPr>
      </w:r>
      <w:r/>
    </w:p>
    <w:p>
      <w:pPr>
        <w:pStyle w:val="1160"/>
        <w:jc w:val="center"/>
        <w:spacing w:before="120" w:line="360" w:lineRule="auto"/>
        <w:shd w:val="clear" w:color="auto" w:fill="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160"/>
        <w:jc w:val="center"/>
        <w:spacing w:before="120" w:line="360" w:lineRule="auto"/>
        <w:shd w:val="clear" w:color="auto" w:fill="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174"/>
        <w:ind w:firstLine="480"/>
        <w:spacing w:line="460" w:lineRule="exact"/>
        <w:shd w:val="clear" w:color="auto" w:fill="auto"/>
        <w:rPr>
          <w:color w:val="000000"/>
          <w:highlight w:val="none"/>
        </w:rPr>
      </w:pPr>
      <w:r>
        <w:rPr>
          <w:color w:val="000000"/>
          <w:highlight w:val="none"/>
        </w:rPr>
      </w:r>
      <w:r/>
    </w:p>
    <w:p>
      <w:pPr>
        <w:pStyle w:val="1174"/>
        <w:ind w:firstLine="480"/>
        <w:spacing w:line="460" w:lineRule="exact"/>
        <w:shd w:val="clear" w:color="auto" w:fill="auto"/>
        <w:rPr>
          <w:rFonts w:hint="eastAsia"/>
          <w:color w:val="000000"/>
          <w:highlight w:val="none"/>
        </w:rPr>
      </w:pPr>
      <w:r>
        <w:rPr>
          <w:rFonts w:hint="eastAsia"/>
          <w:color w:val="000000"/>
          <w:highlight w:val="none"/>
        </w:rPr>
        <w:t xml:space="preserve">致：江苏尚阳工程管理有限公司</w:t>
      </w:r>
      <w:r>
        <w:rPr>
          <w:rFonts w:hint="eastAsia"/>
          <w:color w:val="000000"/>
          <w:highlight w:val="none"/>
        </w:rPr>
      </w:r>
      <w:r/>
    </w:p>
    <w:p>
      <w:pPr>
        <w:pStyle w:val="1174"/>
        <w:ind w:firstLine="960"/>
        <w:spacing w:line="460" w:lineRule="exact"/>
        <w:shd w:val="clear" w:color="auto" w:fill="auto"/>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1174"/>
        <w:ind w:firstLine="480"/>
        <w:spacing w:line="460" w:lineRule="exact"/>
        <w:shd w:val="clear" w:color="auto" w:fill="auto"/>
        <w:rPr>
          <w:color w:val="000000"/>
          <w:highlight w:val="none"/>
        </w:rPr>
      </w:pPr>
      <w:r>
        <w:rPr>
          <w:color w:val="000000"/>
          <w:highlight w:val="none"/>
        </w:rPr>
      </w:r>
      <w:r/>
    </w:p>
    <w:p>
      <w:pPr>
        <w:pStyle w:val="1174"/>
        <w:ind w:firstLine="480"/>
        <w:spacing w:line="460" w:lineRule="exact"/>
        <w:shd w:val="clear" w:color="auto" w:fill="auto"/>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1174"/>
        <w:ind w:firstLine="480"/>
        <w:spacing w:line="460" w:lineRule="exact"/>
        <w:shd w:val="clear" w:color="auto" w:fill="auto"/>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color w:val="000000"/>
          <w:highlight w:val="none"/>
        </w:rPr>
      </w:r>
      <w:r/>
    </w:p>
    <w:p>
      <w:pPr>
        <w:pStyle w:val="1174"/>
        <w:ind w:firstLine="480"/>
        <w:spacing w:line="460" w:lineRule="exact"/>
        <w:shd w:val="clear" w:color="auto" w:fill="auto"/>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1174"/>
        <w:ind w:firstLine="480"/>
        <w:spacing w:line="460" w:lineRule="exact"/>
        <w:shd w:val="clear" w:color="auto" w:fill="auto"/>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1174"/>
        <w:ind w:firstLine="480"/>
        <w:spacing w:line="460" w:lineRule="exact"/>
        <w:shd w:val="clear" w:color="auto" w:fill="auto"/>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174"/>
        <w:ind w:firstLine="480"/>
        <w:spacing w:line="460" w:lineRule="exact"/>
        <w:shd w:val="clear" w:color="auto" w:fill="auto"/>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174"/>
        <w:ind w:firstLine="480"/>
        <w:spacing w:line="460" w:lineRule="exact"/>
        <w:shd w:val="clear" w:color="auto" w:fill="auto"/>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174"/>
        <w:ind w:firstLine="480"/>
        <w:spacing w:line="460" w:lineRule="exact"/>
        <w:shd w:val="clear" w:color="auto" w:fill="auto"/>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color w:val="000000"/>
          <w:highlight w:val="none"/>
        </w:rPr>
      </w:r>
      <w:r/>
    </w:p>
    <w:p>
      <w:pPr>
        <w:pStyle w:val="1174"/>
        <w:ind w:firstLine="480"/>
        <w:spacing w:line="460" w:lineRule="exact"/>
        <w:shd w:val="clear" w:color="auto" w:fill="auto"/>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1174"/>
        <w:ind w:firstLine="480"/>
        <w:spacing w:line="460" w:lineRule="exact"/>
        <w:shd w:val="clear" w:color="auto" w:fill="auto"/>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1174"/>
        <w:ind w:firstLine="480"/>
        <w:spacing w:line="460" w:lineRule="exact"/>
        <w:shd w:val="clear" w:color="auto" w:fill="auto"/>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74"/>
        <w:ind w:firstLine="480"/>
        <w:spacing w:line="460" w:lineRule="exact"/>
        <w:shd w:val="clear" w:color="auto" w:fill="auto"/>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74"/>
        <w:ind w:firstLine="480"/>
        <w:spacing w:line="460" w:lineRule="exact"/>
        <w:shd w:val="clear" w:color="auto" w:fill="auto"/>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174"/>
        <w:ind w:firstLine="480"/>
        <w:spacing w:line="460" w:lineRule="exact"/>
        <w:shd w:val="clear" w:color="auto" w:fill="auto"/>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1174"/>
        <w:ind w:firstLine="480"/>
        <w:spacing w:line="460" w:lineRule="exact"/>
        <w:shd w:val="clear" w:color="auto" w:fill="auto"/>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1174"/>
        <w:ind w:firstLine="480"/>
        <w:spacing w:line="460" w:lineRule="exact"/>
        <w:shd w:val="clear" w:color="auto" w:fill="auto"/>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174"/>
        <w:ind w:firstLine="480"/>
        <w:spacing w:line="460" w:lineRule="exact"/>
        <w:shd w:val="clear" w:color="auto" w:fill="auto"/>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174"/>
        <w:ind w:firstLine="480"/>
        <w:spacing w:line="460" w:lineRule="exact"/>
        <w:shd w:val="clear" w:color="auto" w:fill="auto"/>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174"/>
        <w:ind w:firstLine="480"/>
        <w:spacing w:line="460" w:lineRule="exact"/>
        <w:shd w:val="clear" w:color="auto" w:fill="auto"/>
        <w:rPr>
          <w:color w:val="000000"/>
          <w:highlight w:val="none"/>
        </w:rPr>
      </w:pPr>
      <w:r>
        <w:rPr>
          <w:color w:val="000000"/>
          <w:highlight w:val="none"/>
        </w:rPr>
      </w:r>
      <w:r/>
    </w:p>
    <w:p>
      <w:pPr>
        <w:pStyle w:val="1174"/>
        <w:ind w:firstLine="480"/>
        <w:spacing w:line="460" w:lineRule="exact"/>
        <w:shd w:val="clear" w:color="auto" w:fill="auto"/>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174"/>
        <w:ind w:firstLine="480"/>
        <w:spacing w:line="460" w:lineRule="exact"/>
        <w:shd w:val="clear" w:color="auto" w:fill="auto"/>
        <w:rPr>
          <w:color w:val="000000"/>
          <w:highlight w:val="none"/>
        </w:rPr>
      </w:pPr>
      <w:r>
        <w:rPr>
          <w:color w:val="000000"/>
          <w:highlight w:val="none"/>
        </w:rPr>
      </w:r>
      <w:r/>
    </w:p>
    <w:p>
      <w:pPr>
        <w:pStyle w:val="1174"/>
        <w:ind w:firstLine="480"/>
        <w:spacing w:line="460" w:lineRule="exact"/>
        <w:shd w:val="clear" w:color="auto" w:fill="auto"/>
        <w:rPr>
          <w:color w:val="000000"/>
          <w:highlight w:val="none"/>
        </w:rPr>
      </w:pPr>
      <w:r>
        <w:rPr>
          <w:color w:val="000000"/>
          <w:highlight w:val="none"/>
        </w:rPr>
      </w:r>
      <w:r/>
    </w:p>
    <w:p>
      <w:pPr>
        <w:pStyle w:val="1174"/>
        <w:ind w:firstLine="480"/>
        <w:spacing w:line="460" w:lineRule="exact"/>
        <w:shd w:val="clear" w:color="auto" w:fill="auto"/>
        <w:rPr>
          <w:color w:val="000000"/>
          <w:highlight w:val="none"/>
        </w:rPr>
      </w:pPr>
      <w:r>
        <w:rPr>
          <w:rFonts w:hint="eastAsia"/>
          <w:color w:val="000000"/>
          <w:highlight w:val="none"/>
        </w:rPr>
        <w:t xml:space="preserve">                                            投标人：（加盖公章）</w:t>
      </w:r>
      <w:r>
        <w:rPr>
          <w:color w:val="000000"/>
          <w:highlight w:val="none"/>
        </w:rPr>
      </w:r>
      <w:r/>
    </w:p>
    <w:p>
      <w:pPr>
        <w:pStyle w:val="1174"/>
        <w:ind w:firstLine="480"/>
        <w:spacing w:line="460" w:lineRule="exact"/>
        <w:shd w:val="clear" w:color="auto" w:fill="auto"/>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174"/>
        <w:ind w:firstLine="4920"/>
        <w:spacing w:line="460" w:lineRule="exact"/>
        <w:shd w:val="clear" w:color="auto" w:fill="auto"/>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160"/>
        <w:spacing w:line="360" w:lineRule="auto"/>
        <w:shd w:val="clear" w:color="auto" w:fill="auto"/>
        <w:rPr>
          <w:rFonts w:hint="eastAsia"/>
          <w:color w:val="000000"/>
          <w:sz w:val="24"/>
          <w:highlight w:val="none"/>
        </w:rPr>
      </w:pPr>
      <w:r>
        <w:rPr>
          <w:rFonts w:hint="eastAsia"/>
          <w:color w:val="000000"/>
          <w:sz w:val="24"/>
          <w:highlight w:val="none"/>
        </w:rPr>
      </w:r>
      <w:r/>
    </w:p>
    <w:p>
      <w:pPr>
        <w:pStyle w:val="1160"/>
        <w:spacing w:line="360" w:lineRule="auto"/>
        <w:shd w:val="clear" w:color="auto" w:fill="auto"/>
        <w:rPr>
          <w:rFonts w:hint="eastAsia"/>
          <w:color w:val="000000"/>
          <w:sz w:val="24"/>
          <w:highlight w:val="none"/>
        </w:rPr>
      </w:pPr>
      <w:r>
        <w:rPr>
          <w:rFonts w:hint="eastAsia"/>
          <w:color w:val="000000"/>
          <w:sz w:val="24"/>
          <w:highlight w:val="none"/>
        </w:rPr>
      </w:r>
      <w:r/>
    </w:p>
    <w:p>
      <w:pPr>
        <w:pStyle w:val="1160"/>
        <w:spacing w:line="360" w:lineRule="auto"/>
        <w:shd w:val="clear" w:color="auto" w:fill="auto"/>
        <w:rPr>
          <w:rFonts w:hint="eastAsia"/>
          <w:color w:val="000000"/>
          <w:sz w:val="24"/>
          <w:highlight w:val="none"/>
        </w:rPr>
      </w:pPr>
      <w:r>
        <w:rPr>
          <w:rFonts w:hint="eastAsia"/>
          <w:color w:val="000000"/>
          <w:sz w:val="24"/>
          <w:highlight w:val="none"/>
        </w:rPr>
      </w:r>
      <w:r/>
    </w:p>
    <w:p>
      <w:pPr>
        <w:pStyle w:val="1160"/>
        <w:spacing w:line="360" w:lineRule="auto"/>
        <w:shd w:val="clear" w:color="auto" w:fill="auto"/>
        <w:rPr>
          <w:color w:val="000000"/>
          <w:sz w:val="24"/>
          <w:highlight w:val="none"/>
        </w:rPr>
      </w:pPr>
      <w:r>
        <w:rPr>
          <w:color w:val="000000"/>
          <w:sz w:val="24"/>
          <w:highlight w:val="none"/>
        </w:rPr>
        <w:t xml:space="preserve">说明：</w:t>
      </w:r>
      <w:r>
        <w:rPr>
          <w:rFonts w:hint="eastAsia"/>
          <w:color w:val="000000"/>
          <w:sz w:val="24"/>
          <w:highlight w:val="none"/>
        </w:rPr>
        <w:t xml:space="preserve">投标人承诺不实的，依据《政府采购法》第七十七条“提供虚假材料谋取中标、成交的”有关规定予以处理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160"/>
        <w:spacing w:line="360" w:lineRule="auto"/>
        <w:shd w:val="clear" w:color="auto" w:fill="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1160"/>
        <w:spacing w:line="360" w:lineRule="auto"/>
        <w:shd w:val="clear" w:color="auto" w:fill="auto"/>
        <w:rPr>
          <w:rFonts w:eastAsia="宋体"/>
          <w:color w:val="000000"/>
          <w:sz w:val="24"/>
          <w:szCs w:val="20"/>
          <w:highlight w:val="none"/>
          <w:lang w:val="en-US" w:eastAsia="zh-CN"/>
        </w:rPr>
        <w:outlineLvl w:val="2"/>
      </w:pPr>
      <w:r>
        <w:rPr>
          <w:rFonts w:hint="eastAsia"/>
          <w:color w:val="000000"/>
          <w:sz w:val="24"/>
          <w:szCs w:val="20"/>
          <w:highlight w:val="none"/>
          <w:lang w:val="en-US" w:eastAsia="zh-CN"/>
        </w:rPr>
        <w:t xml:space="preserve">2 落实政府采购政策需满足的资格要求</w:t>
      </w:r>
      <w:r>
        <w:rPr>
          <w:rFonts w:eastAsia="宋体"/>
          <w:color w:val="000000"/>
          <w:sz w:val="24"/>
          <w:szCs w:val="20"/>
          <w:highlight w:val="none"/>
          <w:lang w:val="en-US" w:eastAsia="zh-CN"/>
        </w:rPr>
      </w:r>
      <w:r/>
    </w:p>
    <w:p>
      <w:pPr>
        <w:pStyle w:val="1160"/>
        <w:spacing w:line="360" w:lineRule="auto"/>
        <w:shd w:val="clear" w:color="auto" w:fill="auto"/>
        <w:rPr>
          <w:color w:val="000000"/>
          <w:sz w:val="24"/>
          <w:szCs w:val="20"/>
          <w:highlight w:val="none"/>
        </w:rPr>
        <w:outlineLvl w:val="2"/>
      </w:pPr>
      <w:r>
        <w:rPr>
          <w:rFonts w:hint="eastAsia"/>
          <w:color w:val="000000"/>
          <w:sz w:val="24"/>
          <w:szCs w:val="20"/>
          <w:highlight w:val="none"/>
        </w:rPr>
        <w:t xml:space="preserve">2</w:t>
      </w:r>
      <w:r>
        <w:rPr>
          <w:rFonts w:hint="eastAsia"/>
          <w:color w:val="000000"/>
          <w:sz w:val="24"/>
          <w:szCs w:val="20"/>
          <w:highlight w:val="none"/>
          <w:lang w:val="en-US" w:eastAsia="zh-CN"/>
        </w:rPr>
        <w:t xml:space="preserve">-1</w:t>
      </w:r>
      <w:r>
        <w:rPr>
          <w:color w:val="000000"/>
          <w:sz w:val="24"/>
          <w:szCs w:val="20"/>
          <w:highlight w:val="none"/>
        </w:rPr>
        <w:t xml:space="preserve">  中小企业声明函</w:t>
      </w:r>
      <w:r>
        <w:rPr>
          <w:color w:val="000000"/>
          <w:sz w:val="24"/>
          <w:szCs w:val="20"/>
          <w:highlight w:val="none"/>
        </w:rPr>
      </w:r>
      <w:r/>
    </w:p>
    <w:p>
      <w:pPr>
        <w:pStyle w:val="1160"/>
        <w:spacing w:line="360" w:lineRule="auto"/>
        <w:shd w:val="clear" w:color="auto" w:fill="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1160"/>
        <w:spacing w:line="360" w:lineRule="auto"/>
        <w:shd w:val="clear" w:color="auto" w:fill="auto"/>
        <w:tabs>
          <w:tab w:val="left" w:pos="5580" w:leader="none"/>
        </w:tabs>
        <w:rPr>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1）本项目</w:t>
      </w:r>
      <w:r>
        <w:rPr>
          <w:rFonts w:hint="eastAsia"/>
          <w:color w:val="000000"/>
          <w:sz w:val="24"/>
          <w:highlight w:val="none"/>
          <w:lang w:val="en-US" w:eastAsia="zh-CN"/>
        </w:rPr>
        <w:t xml:space="preserve">专门面向中小企业采购，须提供《中小企业声明函》（实质性格式）</w:t>
      </w:r>
      <w:r>
        <w:rPr>
          <w:rFonts w:hint="eastAsia"/>
          <w:color w:val="000000"/>
          <w:sz w:val="24"/>
          <w:highlight w:val="none"/>
        </w:rPr>
        <w:t xml:space="preserve">。</w:t>
      </w:r>
      <w:r>
        <w:rPr>
          <w:color w:val="000000"/>
          <w:sz w:val="24"/>
          <w:highlight w:val="none"/>
        </w:rPr>
      </w:r>
      <w:r/>
    </w:p>
    <w:p>
      <w:pPr>
        <w:pStyle w:val="1160"/>
        <w:spacing w:line="360" w:lineRule="auto"/>
        <w:shd w:val="clear" w:color="auto" w:fill="auto"/>
        <w:tabs>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说明：</w:t>
      </w:r>
      <w:r>
        <w:rPr>
          <w:rFonts w:hint="eastAsia" w:ascii="Times New Roman" w:hAnsi="Times New Roman" w:eastAsia="宋体" w:cs="Times New Roman"/>
          <w:color w:val="000000"/>
          <w:sz w:val="24"/>
          <w:highlight w:val="none"/>
        </w:rPr>
      </w:r>
      <w:r/>
    </w:p>
    <w:p>
      <w:pPr>
        <w:pStyle w:val="1160"/>
        <w:spacing w:line="360" w:lineRule="auto"/>
        <w:shd w:val="clear" w:color="auto" w:fill="auto"/>
        <w:tabs>
          <w:tab w:val="left" w:pos="5580" w:leader="none"/>
        </w:tabs>
        <w:rPr>
          <w:color w:val="000000"/>
          <w:sz w:val="24"/>
          <w:highlight w:val="none"/>
          <w:lang w:val="en-US" w:eastAsia="zh-CN"/>
        </w:rPr>
      </w:pPr>
      <w:r>
        <w:rPr>
          <w:rFonts w:hint="eastAsia"/>
          <w:color w:val="000000"/>
          <w:sz w:val="24"/>
          <w:highlight w:val="none"/>
          <w:lang w:eastAsia="zh-CN"/>
        </w:rPr>
        <w:t xml:space="preserve">（</w:t>
      </w:r>
      <w:r>
        <w:rPr>
          <w:rFonts w:hint="eastAsia"/>
          <w:color w:val="000000"/>
          <w:sz w:val="24"/>
          <w:highlight w:val="none"/>
        </w:rPr>
        <w:t xml:space="preserve">2）</w:t>
      </w:r>
      <w:r>
        <w:rPr>
          <w:rFonts w:hint="eastAsia"/>
          <w:color w:val="000000"/>
          <w:sz w:val="24"/>
          <w:highlight w:val="none"/>
          <w:lang w:val="en-US" w:eastAsia="zh-CN"/>
        </w:rPr>
        <w:t xml:space="preserve">其它：中小企业参加政府采购活动，应当出具此格式文件。《中小企业声明函》由参加政府采购活动的供应商出具。</w:t>
      </w:r>
      <w:r>
        <w:rPr>
          <w:color w:val="000000"/>
          <w:sz w:val="24"/>
          <w:highlight w:val="none"/>
          <w:lang w:val="en-US" w:eastAsia="zh-CN"/>
        </w:rPr>
      </w:r>
      <w:r/>
    </w:p>
    <w:p>
      <w:pPr>
        <w:pStyle w:val="1160"/>
        <w:spacing w:line="360" w:lineRule="auto"/>
        <w:shd w:val="clear" w:color="auto" w:fill="auto"/>
        <w:tabs>
          <w:tab w:val="left" w:pos="5580" w:leader="none"/>
        </w:tabs>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3）</w:t>
      </w:r>
      <w:r>
        <w:rPr>
          <w:rFonts w:hint="eastAsia"/>
          <w:color w:val="000000"/>
          <w:sz w:val="24"/>
          <w:highlight w:val="none"/>
          <w:lang w:val="en-US" w:eastAsia="zh-CN"/>
        </w:rPr>
        <w:t xml:space="preserve">对于多标的的采购项目，供应商应充分、准确地了解所投产品制造企业信息</w:t>
      </w:r>
      <w:r>
        <w:rPr>
          <w:rFonts w:hint="eastAsia"/>
          <w:color w:val="000000"/>
          <w:sz w:val="24"/>
          <w:highlight w:val="none"/>
        </w:rPr>
        <w:t xml:space="preserve">。</w:t>
      </w:r>
      <w:r>
        <w:rPr>
          <w:rFonts w:hint="eastAsia"/>
          <w:color w:val="000000"/>
          <w:sz w:val="24"/>
          <w:highlight w:val="none"/>
        </w:rPr>
      </w:r>
      <w:r/>
    </w:p>
    <w:p>
      <w:pPr>
        <w:pStyle w:val="1160"/>
        <w:spacing w:line="360" w:lineRule="auto"/>
        <w:shd w:val="clear" w:color="auto" w:fill="auto"/>
        <w:tabs>
          <w:tab w:val="left" w:pos="5580" w:leader="none"/>
        </w:tabs>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4）中小企业认定标准以《关于印发中小企业划型标准规定的通知》（工信部联企业〔2011〕300号）文件规定为准。</w:t>
      </w:r>
      <w:r>
        <w:rPr>
          <w:rFonts w:hint="eastAsia"/>
          <w:color w:val="000000"/>
          <w:sz w:val="24"/>
          <w:highlight w:val="none"/>
        </w:rPr>
      </w:r>
      <w:r/>
    </w:p>
    <w:p>
      <w:pPr>
        <w:pStyle w:val="1160"/>
        <w:spacing w:line="360" w:lineRule="auto"/>
        <w:shd w:val="clear" w:color="auto" w:fill="auto"/>
        <w:tabs>
          <w:tab w:val="left" w:pos="5580" w:leader="none"/>
        </w:tabs>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lang w:val="en-US" w:eastAsia="zh-CN"/>
        </w:rPr>
        <w:t xml:space="preserve">5</w:t>
      </w:r>
      <w:r>
        <w:rPr>
          <w:rFonts w:hint="eastAsia"/>
          <w:color w:val="000000"/>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https://baosong.miit.gov.cn/ScaleTest）</w:t>
      </w:r>
      <w:r>
        <w:rPr>
          <w:rFonts w:hint="eastAsia"/>
          <w:color w:val="000000"/>
          <w:sz w:val="24"/>
          <w:highlight w:val="none"/>
        </w:rPr>
      </w:r>
      <w:r/>
    </w:p>
    <w:p>
      <w:pPr>
        <w:pStyle w:val="1160"/>
        <w:jc w:val="left"/>
        <w:shd w:val="clear" w:color="auto" w:fill="auto"/>
        <w:widowControl/>
        <w:rPr>
          <w:b/>
          <w:bCs/>
          <w:color w:val="000000"/>
          <w:sz w:val="24"/>
          <w:highlight w:val="none"/>
        </w:rPr>
        <w:outlineLvl w:val="9"/>
      </w:pPr>
      <w:r>
        <w:rPr>
          <w:rFonts w:hint="eastAsia" w:ascii="Times New Roman" w:hAnsi="Times New Roman" w:eastAsia="宋体" w:cs="Times New Roman"/>
          <w:color w:val="000000"/>
          <w:sz w:val="24"/>
          <w:highlight w:val="none"/>
        </w:rPr>
        <w:br w:type="page" w:clear="all"/>
      </w:r>
      <w:r>
        <w:rPr>
          <w:b/>
          <w:bCs/>
          <w:color w:val="000000"/>
          <w:sz w:val="24"/>
          <w:highlight w:val="none"/>
        </w:rPr>
      </w:r>
      <w:r/>
    </w:p>
    <w:p>
      <w:pPr>
        <w:pStyle w:val="1160"/>
        <w:jc w:val="center"/>
        <w:spacing w:before="240" w:afterAutospacing="0" w:line="360" w:lineRule="auto"/>
        <w:shd w:val="clear" w:color="auto" w:fill="auto"/>
        <w:rPr>
          <w:rFonts w:ascii="方正小标宋简体" w:hAnsi="宋体" w:eastAsia="方正小标宋简体"/>
          <w:color w:val="000000"/>
          <w:sz w:val="44"/>
          <w:szCs w:val="44"/>
          <w:highlight w:val="none"/>
        </w:rPr>
        <w:outlineLvl w:val="9"/>
      </w:pPr>
      <w:r>
        <w:rPr>
          <w:rFonts w:ascii="方正小标宋简体" w:hAnsi="宋体" w:eastAsia="方正小标宋简体" w:cs="Times New Roman"/>
          <w:color w:val="000000"/>
          <w:sz w:val="44"/>
          <w:szCs w:val="44"/>
          <w:highlight w:val="none"/>
        </w:rPr>
        <w:t xml:space="preserve">中小企业声明函</w:t>
      </w:r>
      <w:r>
        <w:rPr>
          <w:rFonts w:hint="eastAsia" w:ascii="方正小标宋简体" w:hAnsi="宋体" w:eastAsia="方正小标宋简体" w:cs="Times New Roman"/>
          <w:color w:val="000000"/>
          <w:sz w:val="44"/>
          <w:szCs w:val="44"/>
          <w:highlight w:val="none"/>
        </w:rPr>
        <w:t xml:space="preserve">格式</w:t>
      </w:r>
      <w:r>
        <w:rPr>
          <w:rFonts w:ascii="方正小标宋简体" w:hAnsi="宋体" w:eastAsia="方正小标宋简体"/>
          <w:color w:val="000000"/>
          <w:sz w:val="44"/>
          <w:szCs w:val="44"/>
          <w:highlight w:val="none"/>
        </w:rPr>
      </w:r>
      <w:r/>
    </w:p>
    <w:p>
      <w:pPr>
        <w:pStyle w:val="1160"/>
        <w:ind w:firstLine="360"/>
        <w:spacing w:beforeAutospacing="0"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本公司郑重声明，根据《政府采购促进中小企业发展管理办法》(财库[2020]46号)的规定，本公司参加江苏尚阳工程管理有限公司组织的</w:t>
      </w:r>
      <w:r>
        <w:rPr>
          <w:rFonts w:hint="eastAsia" w:ascii="宋体" w:hAnsi="宋体" w:eastAsia="宋体" w:cs="宋体"/>
          <w:color w:val="000000"/>
          <w:sz w:val="24"/>
          <w:szCs w:val="24"/>
          <w:highlight w:val="none"/>
          <w:u w:val="single"/>
        </w:rPr>
        <w:t xml:space="preserve">（采购单位名称①）</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（项目名称③）（分包号：④）</w:t>
      </w:r>
      <w:r>
        <w:rPr>
          <w:rFonts w:hint="eastAsia" w:ascii="宋体" w:hAnsi="宋体" w:eastAsia="宋体" w:cs="宋体"/>
          <w:color w:val="000000"/>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rPr>
          <w:rFonts w:hint="eastAsia" w:ascii="宋体" w:hAnsi="宋体" w:eastAsia="宋体" w:cs="宋体"/>
          <w:color w:val="000000"/>
          <w:sz w:val="24"/>
          <w:szCs w:val="24"/>
          <w:highlight w:val="none"/>
        </w:rPr>
      </w:r>
      <w:r/>
    </w:p>
    <w:p>
      <w:pPr>
        <w:pStyle w:val="1160"/>
        <w:ind w:firstLine="360"/>
        <w:spacing w:line="570" w:lineRule="exact"/>
        <w:shd w:val="clear" w:color="auto" w:fill="auto"/>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（采购文件中明确的所属行业⑥）</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i/>
          <w:color w:val="000000"/>
          <w:sz w:val="24"/>
          <w:szCs w:val="24"/>
          <w:highlight w:val="none"/>
          <w:u w:val="single"/>
        </w:rPr>
      </w:r>
      <w:r/>
    </w:p>
    <w:p>
      <w:pPr>
        <w:pStyle w:val="1160"/>
        <w:ind w:firstLine="360"/>
        <w:spacing w:line="570" w:lineRule="exact"/>
        <w:shd w:val="clear" w:color="auto" w:fill="auto"/>
        <w:rPr>
          <w:rFonts w:hint="eastAsia" w:ascii="宋体" w:hAnsi="宋体" w:eastAsia="宋体" w:cs="宋体"/>
          <w:i/>
          <w:color w:val="000000"/>
          <w:sz w:val="24"/>
          <w:szCs w:val="24"/>
          <w:highlight w:val="none"/>
          <w:u w:val="single"/>
          <w:lang w:eastAsia="zh-CN"/>
        </w:rPr>
      </w:pP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（采购文件中明确的所属行业⑥）</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i/>
          <w:color w:val="000000"/>
          <w:sz w:val="24"/>
          <w:szCs w:val="24"/>
          <w:highlight w:val="none"/>
          <w:u w:val="single"/>
          <w:lang w:eastAsia="zh-CN"/>
        </w:rPr>
      </w:r>
      <w:r/>
    </w:p>
    <w:p>
      <w:pPr>
        <w:pStyle w:val="1160"/>
        <w:ind w:firstLine="360"/>
        <w:spacing w:line="570" w:lineRule="exact"/>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1160"/>
        <w:ind w:firstLine="36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160"/>
        <w:ind w:firstLine="36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1160"/>
        <w:ind w:right="72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60"/>
        <w:ind w:right="820" w:firstLine="360"/>
        <w:jc w:val="right"/>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企业名称（加盖CA电子公章）：⑫</w:t>
      </w:r>
      <w:r>
        <w:rPr>
          <w:rFonts w:hint="eastAsia" w:ascii="宋体" w:hAnsi="宋体" w:eastAsia="宋体" w:cs="宋体"/>
          <w:color w:val="000000"/>
          <w:sz w:val="24"/>
          <w:szCs w:val="24"/>
          <w:highlight w:val="none"/>
        </w:rPr>
      </w:r>
      <w:r/>
    </w:p>
    <w:p>
      <w:pPr>
        <w:pStyle w:val="1160"/>
        <w:ind w:right="1120"/>
        <w:jc w:val="center"/>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160"/>
        <w:spacing w:line="570" w:lineRule="exact"/>
        <w:shd w:val="clear" w:color="auto" w:fill="auto"/>
        <w:rPr>
          <w:rFonts w:hint="eastAsia" w:ascii="宋体" w:hAnsi="宋体" w:eastAsia="宋体" w:cs="宋体"/>
          <w:color w:val="000000"/>
          <w:sz w:val="24"/>
          <w:szCs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sz w:val="24"/>
          <w:szCs w:val="24"/>
          <w:highlight w:val="none"/>
        </w:rPr>
      </w:r>
      <w:r/>
    </w:p>
    <w:p>
      <w:pPr>
        <w:pStyle w:val="116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填写说明：</w:t>
      </w:r>
      <w:r>
        <w:rPr>
          <w:rFonts w:hint="eastAsia" w:ascii="宋体" w:hAnsi="宋体" w:eastAsia="宋体" w:cs="宋体"/>
          <w:color w:val="000000"/>
          <w:sz w:val="24"/>
          <w:szCs w:val="24"/>
          <w:highlight w:val="none"/>
        </w:rPr>
      </w:r>
      <w:r/>
    </w:p>
    <w:p>
      <w:pPr>
        <w:pStyle w:val="1160"/>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1.（采购单位名称①）：填写本项目采购人单位名称，如常州市XXX局。</w:t>
      </w:r>
      <w:r>
        <w:rPr>
          <w:rFonts w:hint="eastAsia" w:ascii="宋体" w:hAnsi="宋体" w:eastAsia="宋体" w:cs="宋体"/>
          <w:color w:val="000000"/>
          <w:sz w:val="24"/>
          <w:szCs w:val="24"/>
          <w:highlight w:val="none"/>
        </w:rPr>
      </w:r>
      <w:r/>
    </w:p>
    <w:p>
      <w:pPr>
        <w:pStyle w:val="1160"/>
        <w:ind w:firstLine="480"/>
        <w:spacing w:line="570" w:lineRule="exact"/>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2.采购编号为②：填写本项目编号，如JSZC-3204XX-SYZB-G20XX-XX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60"/>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3.（项目名称③）：填写本项目名称，如常州市XXX项目。</w:t>
      </w:r>
      <w:r>
        <w:rPr>
          <w:rFonts w:hint="eastAsia" w:ascii="宋体" w:hAnsi="宋体" w:eastAsia="宋体" w:cs="宋体"/>
          <w:color w:val="000000"/>
          <w:sz w:val="24"/>
          <w:szCs w:val="24"/>
          <w:highlight w:val="none"/>
        </w:rPr>
      </w:r>
      <w:r/>
    </w:p>
    <w:p>
      <w:pPr>
        <w:pStyle w:val="1160"/>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4.（分包号：④）：填写分包编号，如有分包的，分别填写分包号，没有的填“无”。</w:t>
      </w:r>
      <w:r>
        <w:rPr>
          <w:rFonts w:hint="eastAsia" w:ascii="宋体" w:hAnsi="宋体" w:eastAsia="宋体" w:cs="宋体"/>
          <w:color w:val="000000"/>
          <w:sz w:val="24"/>
          <w:szCs w:val="24"/>
          <w:highlight w:val="none"/>
        </w:rPr>
      </w:r>
      <w:r/>
    </w:p>
    <w:p>
      <w:pPr>
        <w:pStyle w:val="1160"/>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5.（标的名称⑤）：填写本项目标的名称，如有</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清单的请根据采购文件“第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章 采购需求”-“采购清单”中列出的名称进行填写，如：实验台等；如没有产品清单的可以填项目名称。如货物涉及不同制造商的，须分别一一列出全部货物所对应的制造商及相关信息。建议格式为：标的名称+（**货物1），属于（采购文件中明确的所属行业）；制造商为**企业1。标的名称+（**货物2），属于（采购文件中明确的所属行业）；制造商为**企业2……。</w:t>
      </w:r>
      <w:r>
        <w:rPr>
          <w:rFonts w:hint="eastAsia" w:ascii="宋体" w:hAnsi="宋体" w:eastAsia="宋体" w:cs="宋体"/>
          <w:color w:val="000000"/>
          <w:sz w:val="24"/>
          <w:szCs w:val="24"/>
          <w:highlight w:val="none"/>
        </w:rPr>
      </w:r>
      <w:r/>
    </w:p>
    <w:p>
      <w:pPr>
        <w:pStyle w:val="1160"/>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6.（采购文件中明确的所属行业⑥）：填写本项目采购标的所属行业。如：工业。</w:t>
      </w:r>
      <w:r>
        <w:rPr>
          <w:rFonts w:hint="eastAsia" w:ascii="宋体" w:hAnsi="宋体" w:eastAsia="宋体" w:cs="宋体"/>
          <w:color w:val="000000"/>
          <w:sz w:val="24"/>
          <w:szCs w:val="24"/>
          <w:highlight w:val="none"/>
        </w:rPr>
      </w:r>
      <w:r/>
    </w:p>
    <w:p>
      <w:pPr>
        <w:pStyle w:val="1160"/>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7.（企业名称⑦）：填写</w:t>
      </w:r>
      <w:r>
        <w:rPr>
          <w:rFonts w:hint="eastAsia" w:ascii="宋体" w:hAnsi="宋体" w:eastAsia="宋体" w:cs="宋体"/>
          <w:b/>
          <w:bCs/>
          <w:color w:val="000000"/>
          <w:sz w:val="24"/>
          <w:szCs w:val="24"/>
          <w:highlight w:val="none"/>
        </w:rPr>
        <w:t xml:space="preserve">货物制造商的名称</w:t>
      </w:r>
      <w:r>
        <w:rPr>
          <w:rFonts w:hint="eastAsia" w:ascii="宋体" w:hAnsi="宋体" w:eastAsia="宋体" w:cs="宋体"/>
          <w:color w:val="000000"/>
          <w:sz w:val="24"/>
          <w:szCs w:val="24"/>
          <w:highlight w:val="none"/>
        </w:rPr>
        <w:t xml:space="preserve">，如XXX企业。</w:t>
      </w:r>
      <w:r>
        <w:rPr>
          <w:rFonts w:hint="eastAsia" w:ascii="宋体" w:hAnsi="宋体" w:eastAsia="宋体" w:cs="宋体"/>
          <w:color w:val="000000"/>
          <w:sz w:val="24"/>
          <w:szCs w:val="24"/>
          <w:highlight w:val="none"/>
        </w:rPr>
      </w:r>
      <w:r/>
    </w:p>
    <w:p>
      <w:pPr>
        <w:pStyle w:val="1160"/>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8.从业人员⑧人，营业收入为⑨万元，资产总额为⑩万元：填报</w:t>
      </w:r>
      <w:r>
        <w:rPr>
          <w:rFonts w:hint="eastAsia" w:ascii="宋体" w:hAnsi="宋体" w:eastAsia="宋体" w:cs="宋体"/>
          <w:b/>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的从业人员、营业收入、资产总额上一年度数据，无上一年度数据的新成立企业可不填报。</w:t>
      </w:r>
      <w:r>
        <w:rPr>
          <w:rFonts w:hint="eastAsia" w:ascii="宋体" w:hAnsi="宋体" w:eastAsia="宋体" w:cs="宋体"/>
          <w:color w:val="000000"/>
          <w:sz w:val="24"/>
          <w:szCs w:val="24"/>
          <w:highlight w:val="none"/>
        </w:rPr>
      </w:r>
      <w:r/>
    </w:p>
    <w:p>
      <w:pPr>
        <w:pStyle w:val="1160"/>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9.（中型企业、小型企业、微型企业</w:t>
      </w:r>
      <w:r>
        <w:rPr>
          <w:rFonts w:hint="eastAsia" w:ascii="宋体" w:hAnsi="宋体" w:eastAsia="宋体" w:cs="宋体"/>
          <w:color w:val="000000"/>
          <w:sz w:val="24"/>
          <w:szCs w:val="24"/>
          <w:highlight w:val="none"/>
          <w:u w:val="single"/>
        </w:rPr>
        <w:t xml:space="preserve">⑪</w:t>
      </w:r>
      <w:r>
        <w:rPr>
          <w:rFonts w:hint="eastAsia" w:ascii="宋体" w:hAnsi="宋体" w:eastAsia="宋体" w:cs="宋体"/>
          <w:color w:val="000000"/>
          <w:sz w:val="24"/>
          <w:szCs w:val="24"/>
          <w:highlight w:val="none"/>
        </w:rPr>
        <w:t xml:space="preserve">）：须根据</w:t>
      </w:r>
      <w:r>
        <w:rPr>
          <w:rFonts w:hint="eastAsia" w:ascii="宋体" w:hAnsi="宋体" w:eastAsia="宋体" w:cs="宋体"/>
          <w:b/>
          <w:bCs/>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的企业规模情况填写中型企业、小型企业或微型企业</w:t>
      </w:r>
      <w:r>
        <w:rPr>
          <w:rFonts w:hint="eastAsia" w:ascii="宋体" w:hAnsi="宋体" w:eastAsia="宋体" w:cs="宋体"/>
          <w:b/>
          <w:bCs/>
          <w:color w:val="000000"/>
          <w:sz w:val="24"/>
          <w:szCs w:val="24"/>
          <w:highlight w:val="none"/>
        </w:rPr>
        <w:t xml:space="preserve">（只能填写三种其中的一种）</w:t>
      </w:r>
      <w:r>
        <w:rPr>
          <w:rFonts w:hint="eastAsia" w:ascii="宋体" w:hAnsi="宋体" w:eastAsia="宋体" w:cs="宋体"/>
          <w:color w:val="000000"/>
          <w:sz w:val="24"/>
          <w:szCs w:val="24"/>
          <w:highlight w:val="none"/>
        </w:rPr>
        <w:t xml:space="preserve">。中小企业划分见《关于印发中小企业划型标准规定的通知》（工信部联企业〔2011〕300号) 。</w:t>
      </w:r>
      <w:r>
        <w:rPr>
          <w:rFonts w:hint="eastAsia" w:ascii="宋体" w:hAnsi="宋体" w:eastAsia="宋体" w:cs="宋体"/>
          <w:color w:val="000000"/>
          <w:sz w:val="24"/>
          <w:szCs w:val="24"/>
          <w:highlight w:val="none"/>
        </w:rPr>
      </w:r>
      <w:r/>
    </w:p>
    <w:p>
      <w:pPr>
        <w:pStyle w:val="1160"/>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10.企业名称（盖章）⑫：加盖</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CA电子公章。</w:t>
      </w:r>
      <w:r>
        <w:rPr>
          <w:rFonts w:hint="eastAsia" w:ascii="宋体" w:hAnsi="宋体" w:eastAsia="宋体" w:cs="宋体"/>
          <w:color w:val="000000"/>
          <w:sz w:val="24"/>
          <w:szCs w:val="24"/>
          <w:highlight w:val="none"/>
        </w:rPr>
      </w:r>
      <w:r/>
    </w:p>
    <w:p>
      <w:pPr>
        <w:pStyle w:val="1160"/>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11.如是</w:t>
      </w:r>
      <w:r>
        <w:rPr>
          <w:rFonts w:hint="eastAsia" w:ascii="宋体" w:hAnsi="宋体" w:eastAsia="宋体" w:cs="宋体"/>
          <w:b/>
          <w:color w:val="000000"/>
          <w:sz w:val="24"/>
          <w:szCs w:val="24"/>
          <w:highlight w:val="none"/>
        </w:rPr>
        <w:t xml:space="preserve">专门面向中小企业预留份额</w:t>
      </w:r>
      <w:r>
        <w:rPr>
          <w:rFonts w:hint="eastAsia" w:ascii="宋体" w:hAnsi="宋体" w:eastAsia="宋体" w:cs="宋体"/>
          <w:color w:val="000000"/>
          <w:sz w:val="24"/>
          <w:szCs w:val="24"/>
          <w:highlight w:val="none"/>
        </w:rPr>
        <w:t xml:space="preserve">的采购项目，供应商未提供此声明函的，资格审查不予通过，作为</w:t>
      </w:r>
      <w:r>
        <w:rPr>
          <w:rFonts w:hint="eastAsia" w:ascii="宋体" w:hAnsi="宋体" w:eastAsia="宋体" w:cs="宋体"/>
          <w:b/>
          <w:color w:val="000000"/>
          <w:sz w:val="24"/>
          <w:szCs w:val="24"/>
          <w:highlight w:val="none"/>
        </w:rPr>
        <w:t xml:space="preserve">无效投标（响应）</w:t>
      </w:r>
      <w:r>
        <w:rPr>
          <w:rFonts w:hint="eastAsia" w:ascii="宋体" w:hAnsi="宋体" w:eastAsia="宋体" w:cs="宋体"/>
          <w:color w:val="000000"/>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宋体"/>
          <w:b/>
          <w:bCs/>
          <w:color w:val="000000"/>
          <w:sz w:val="24"/>
          <w:szCs w:val="24"/>
          <w:highlight w:val="none"/>
        </w:rPr>
        <w:t xml:space="preserve">货物制造商</w:t>
      </w:r>
      <w:r>
        <w:rPr>
          <w:rFonts w:hint="eastAsia" w:ascii="宋体" w:hAnsi="宋体" w:eastAsia="宋体" w:cs="宋体"/>
          <w:color w:val="000000"/>
          <w:sz w:val="24"/>
          <w:szCs w:val="24"/>
          <w:highlight w:val="none"/>
        </w:rPr>
        <w:t xml:space="preserve">是否属于中小微企业，并认真填写声明函，若有虚假将追究其责任。</w:t>
      </w:r>
      <w:r>
        <w:rPr>
          <w:rFonts w:hint="eastAsia" w:ascii="宋体" w:hAnsi="宋体" w:eastAsia="宋体" w:cs="宋体"/>
          <w:color w:val="000000"/>
          <w:sz w:val="24"/>
          <w:szCs w:val="24"/>
          <w:highlight w:val="none"/>
        </w:rPr>
      </w:r>
      <w:r/>
    </w:p>
    <w:p>
      <w:pPr>
        <w:pStyle w:val="1420"/>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12.温馨提示</w:t>
      </w:r>
      <w:r>
        <w:rPr>
          <w:rFonts w:hint="eastAsia" w:ascii="宋体" w:hAnsi="宋体" w:eastAsia="宋体" w:cs="宋体"/>
          <w:color w:val="000000"/>
          <w:sz w:val="24"/>
          <w:szCs w:val="24"/>
          <w:highlight w:val="none"/>
        </w:rPr>
      </w:r>
      <w:r/>
    </w:p>
    <w:p>
      <w:pPr>
        <w:pStyle w:val="1420"/>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（1）对于已纳入统计部门统计范围的企业，所属行业、从业人员、营业收入、资产总额、规模类型应与统计部门报表保持一致。</w:t>
      </w:r>
      <w:r>
        <w:rPr>
          <w:rFonts w:hint="eastAsia" w:ascii="宋体" w:hAnsi="宋体" w:eastAsia="宋体" w:cs="宋体"/>
          <w:color w:val="000000"/>
          <w:sz w:val="24"/>
          <w:szCs w:val="24"/>
          <w:highlight w:val="none"/>
        </w:rPr>
      </w:r>
      <w:r/>
    </w:p>
    <w:p>
      <w:pPr>
        <w:pStyle w:val="1420"/>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color w:val="000000"/>
          <w:sz w:val="24"/>
          <w:szCs w:val="24"/>
          <w:highlight w:val="none"/>
        </w:rPr>
      </w:r>
      <w:r/>
    </w:p>
    <w:p>
      <w:pPr>
        <w:pStyle w:val="1420"/>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color w:val="000000"/>
          <w:sz w:val="24"/>
          <w:szCs w:val="24"/>
          <w:highlight w:val="none"/>
        </w:rPr>
      </w:r>
      <w:r/>
    </w:p>
    <w:p>
      <w:pPr>
        <w:pStyle w:val="1420"/>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（4）对于采购文件确实允许非独立法人参与采购活动的，应按其所属集团公司合并财务报表数据情况予以填报。</w:t>
      </w:r>
      <w:r>
        <w:rPr>
          <w:rFonts w:hint="eastAsia" w:ascii="宋体" w:hAnsi="宋体" w:eastAsia="宋体" w:cs="宋体"/>
          <w:color w:val="000000"/>
          <w:sz w:val="24"/>
          <w:szCs w:val="24"/>
          <w:highlight w:val="none"/>
        </w:rPr>
      </w:r>
      <w:r/>
    </w:p>
    <w:p>
      <w:pPr>
        <w:pStyle w:val="1420"/>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hint="eastAsia" w:ascii="宋体" w:hAnsi="宋体" w:eastAsia="宋体" w:cs="宋体"/>
          <w:b/>
          <w:color w:val="000000"/>
          <w:sz w:val="24"/>
          <w:szCs w:val="24"/>
          <w:highlight w:val="none"/>
        </w:rPr>
        <w:t xml:space="preserve">货物制造商</w:t>
      </w:r>
      <w:r>
        <w:rPr>
          <w:rFonts w:hint="eastAsia" w:ascii="宋体" w:hAnsi="宋体" w:eastAsia="宋体" w:cs="宋体"/>
          <w:color w:val="000000"/>
          <w:sz w:val="24"/>
          <w:szCs w:val="24"/>
          <w:highlight w:val="none"/>
        </w:rPr>
        <w:t xml:space="preserve">的信息。</w:t>
      </w:r>
      <w:r>
        <w:rPr>
          <w:rFonts w:hint="eastAsia" w:ascii="宋体" w:hAnsi="宋体" w:eastAsia="宋体" w:cs="宋体"/>
          <w:color w:val="000000"/>
          <w:sz w:val="24"/>
          <w:szCs w:val="24"/>
          <w:highlight w:val="none"/>
        </w:rPr>
      </w:r>
      <w:r/>
    </w:p>
    <w:p>
      <w:pPr>
        <w:pStyle w:val="1420"/>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color w:val="000000"/>
          <w:sz w:val="24"/>
          <w:szCs w:val="24"/>
          <w:highlight w:val="none"/>
        </w:rPr>
      </w:r>
      <w:r/>
    </w:p>
    <w:p>
      <w:pPr>
        <w:pStyle w:val="1420"/>
        <w:ind w:firstLine="480"/>
        <w:spacing w:line="57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hint="eastAsia" w:ascii="宋体" w:hAnsi="宋体" w:eastAsia="宋体" w:cs="宋体"/>
          <w:color w:val="000000"/>
          <w:sz w:val="24"/>
          <w:szCs w:val="24"/>
          <w:highlight w:val="none"/>
        </w:rPr>
      </w:r>
      <w:r/>
    </w:p>
    <w:p>
      <w:pPr>
        <w:pStyle w:val="1160"/>
        <w:spacing w:line="360" w:lineRule="auto"/>
        <w:shd w:val="clear" w:color="auto" w:fill="auto"/>
        <w:rPr>
          <w:color w:val="000000"/>
          <w:sz w:val="24"/>
          <w:szCs w:val="20"/>
          <w:highlight w:val="none"/>
        </w:rPr>
        <w:outlineLvl w:val="9"/>
      </w:pPr>
      <w:r>
        <w:rPr>
          <w:color w:val="000000"/>
          <w:sz w:val="24"/>
          <w:highlight w:val="none"/>
        </w:rPr>
        <w:br w:type="page" w:clear="all"/>
      </w:r>
      <w:r>
        <w:rPr>
          <w:color w:val="000000"/>
          <w:sz w:val="24"/>
          <w:szCs w:val="20"/>
          <w:highlight w:val="none"/>
        </w:rPr>
      </w:r>
      <w:r/>
    </w:p>
    <w:p>
      <w:pPr>
        <w:pStyle w:val="1160"/>
        <w:jc w:val="center"/>
        <w:spacing w:before="240" w:after="240" w:line="360" w:lineRule="auto"/>
        <w:shd w:val="clear" w:color="auto" w:fill="auto"/>
        <w:rPr>
          <w:color w:val="000000"/>
          <w:sz w:val="36"/>
          <w:szCs w:val="36"/>
          <w:highlight w:val="none"/>
        </w:rPr>
        <w:outlineLvl w:val="9"/>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1160"/>
        <w:ind w:firstLine="504"/>
        <w:spacing w:line="588" w:lineRule="exact"/>
        <w:shd w:val="clear" w:color="auto" w:fill="auto"/>
        <w:rPr>
          <w:color w:val="000000"/>
          <w:spacing w:val="6"/>
          <w:sz w:val="24"/>
          <w:highlight w:val="none"/>
        </w:rPr>
        <w:outlineLvl w:val="9"/>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160"/>
        <w:ind w:firstLine="482"/>
        <w:spacing w:line="588" w:lineRule="exact"/>
        <w:shd w:val="clear" w:color="auto" w:fill="auto"/>
        <w:rPr>
          <w:b/>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160"/>
        <w:ind w:firstLine="482"/>
        <w:spacing w:line="588" w:lineRule="exact"/>
        <w:shd w:val="clear" w:color="auto" w:fill="auto"/>
        <w:rPr>
          <w:color w:val="000000"/>
          <w:spacing w:val="6"/>
          <w:sz w:val="24"/>
          <w:highlight w:val="none"/>
        </w:rPr>
        <w:outlineLvl w:val="9"/>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且本单位参加______单位的______项目采购活动提供本单位制造的货物，或者提供其他残疾人福利性单位制造的货物（不包括使用非残疾人福利性单位注册商标的货物）。</w:t>
      </w:r>
      <w:r>
        <w:rPr>
          <w:color w:val="000000"/>
          <w:spacing w:val="6"/>
          <w:sz w:val="24"/>
          <w:highlight w:val="none"/>
        </w:rPr>
      </w:r>
      <w:r/>
    </w:p>
    <w:p>
      <w:pPr>
        <w:pStyle w:val="1160"/>
        <w:ind w:firstLine="506"/>
        <w:spacing w:line="588" w:lineRule="exact"/>
        <w:shd w:val="clear" w:color="auto" w:fill="auto"/>
        <w:rPr>
          <w:color w:val="000000"/>
          <w:spacing w:val="6"/>
          <w:sz w:val="24"/>
          <w:highlight w:val="none"/>
        </w:rPr>
        <w:outlineLvl w:val="9"/>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160"/>
        <w:ind w:firstLine="504"/>
        <w:spacing w:line="588" w:lineRule="exact"/>
        <w:shd w:val="clear" w:color="auto" w:fill="auto"/>
        <w:rPr>
          <w:color w:val="000000"/>
          <w:spacing w:val="6"/>
          <w:sz w:val="24"/>
          <w:highlight w:val="none"/>
        </w:rPr>
        <w:outlineLvl w:val="9"/>
      </w:pPr>
      <w:r>
        <w:rPr>
          <w:color w:val="000000"/>
          <w:spacing w:val="6"/>
          <w:sz w:val="24"/>
          <w:highlight w:val="none"/>
        </w:rPr>
      </w:r>
      <w:r/>
    </w:p>
    <w:p>
      <w:pPr>
        <w:pStyle w:val="1160"/>
        <w:ind w:firstLine="504"/>
        <w:spacing w:line="588" w:lineRule="exact"/>
        <w:shd w:val="clear" w:color="auto" w:fill="auto"/>
        <w:rPr>
          <w:color w:val="000000"/>
          <w:spacing w:val="6"/>
          <w:sz w:val="24"/>
          <w:highlight w:val="none"/>
        </w:rPr>
        <w:outlineLvl w:val="9"/>
      </w:pPr>
      <w:r>
        <w:rPr>
          <w:color w:val="000000"/>
          <w:spacing w:val="6"/>
          <w:sz w:val="24"/>
          <w:highlight w:val="none"/>
        </w:rPr>
      </w:r>
      <w:r/>
    </w:p>
    <w:p>
      <w:pPr>
        <w:pStyle w:val="1160"/>
        <w:ind w:right="1560" w:firstLine="504"/>
        <w:jc w:val="center"/>
        <w:spacing w:line="588" w:lineRule="exact"/>
        <w:shd w:val="clear" w:color="auto" w:fill="auto"/>
        <w:tabs>
          <w:tab w:val="left" w:pos="4860" w:leader="none"/>
        </w:tabs>
        <w:rPr>
          <w:color w:val="000000"/>
          <w:spacing w:val="6"/>
          <w:sz w:val="24"/>
          <w:highlight w:val="none"/>
        </w:rPr>
        <w:outlineLvl w:val="9"/>
      </w:pPr>
      <w:r>
        <w:rPr>
          <w:color w:val="000000"/>
          <w:spacing w:val="6"/>
          <w:sz w:val="24"/>
          <w:highlight w:val="none"/>
        </w:rPr>
        <w:t xml:space="preserve">               单位名称（加盖公章）：</w:t>
      </w:r>
      <w:r>
        <w:rPr>
          <w:color w:val="000000"/>
          <w:spacing w:val="6"/>
          <w:sz w:val="24"/>
          <w:highlight w:val="none"/>
        </w:rPr>
      </w:r>
      <w:r/>
    </w:p>
    <w:p>
      <w:pPr>
        <w:pStyle w:val="1160"/>
        <w:ind w:right="1560" w:firstLine="504"/>
        <w:jc w:val="center"/>
        <w:spacing w:line="588" w:lineRule="exact"/>
        <w:shd w:val="clear" w:color="auto" w:fill="auto"/>
        <w:tabs>
          <w:tab w:val="left" w:pos="4860" w:leader="none"/>
        </w:tabs>
        <w:rPr>
          <w:color w:val="000000"/>
          <w:spacing w:val="6"/>
          <w:sz w:val="24"/>
          <w:highlight w:val="none"/>
        </w:rPr>
        <w:outlineLvl w:val="9"/>
      </w:pPr>
      <w:r>
        <w:rPr>
          <w:color w:val="000000"/>
          <w:spacing w:val="6"/>
          <w:sz w:val="24"/>
          <w:highlight w:val="none"/>
        </w:rPr>
        <w:t xml:space="preserve">       日  期：</w:t>
      </w:r>
      <w:r>
        <w:rPr>
          <w:color w:val="000000"/>
          <w:spacing w:val="6"/>
          <w:sz w:val="24"/>
          <w:highlight w:val="none"/>
        </w:rPr>
      </w:r>
      <w:r/>
    </w:p>
    <w:p>
      <w:pPr>
        <w:pStyle w:val="1160"/>
        <w:spacing w:line="360" w:lineRule="auto"/>
        <w:shd w:val="clear" w:color="auto" w:fill="auto"/>
        <w:rPr>
          <w:b/>
          <w:color w:val="000000"/>
          <w:sz w:val="24"/>
          <w:highlight w:val="none"/>
        </w:rPr>
        <w:outlineLvl w:val="9"/>
      </w:pPr>
      <w:r>
        <w:rPr>
          <w:b/>
          <w:color w:val="000000"/>
          <w:sz w:val="24"/>
          <w:highlight w:val="none"/>
        </w:rPr>
      </w:r>
      <w:r/>
    </w:p>
    <w:p>
      <w:pPr>
        <w:pStyle w:val="1160"/>
        <w:spacing w:line="360" w:lineRule="auto"/>
        <w:shd w:val="clear" w:color="auto" w:fill="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highlight w:val="none"/>
        </w:rPr>
        <w:br w:type="page" w:clear="all"/>
      </w:r>
      <w:r>
        <w:rPr>
          <w:rFonts w:hint="eastAsia" w:ascii="Times New Roman" w:hAnsi="Times New Roman" w:eastAsia="宋体" w:cs="Times New Roman"/>
          <w:color w:val="000000"/>
          <w:sz w:val="24"/>
          <w:szCs w:val="20"/>
          <w:highlight w:val="none"/>
          <w:lang w:val="en-US" w:eastAsia="zh-CN"/>
        </w:rPr>
        <w:t xml:space="preserve">3其他特定资格要求</w:t>
      </w:r>
      <w:r>
        <w:rPr>
          <w:rFonts w:hint="eastAsia" w:ascii="Times New Roman" w:hAnsi="Times New Roman" w:eastAsia="宋体" w:cs="Times New Roman"/>
          <w:color w:val="000000"/>
          <w:sz w:val="24"/>
          <w:szCs w:val="20"/>
          <w:highlight w:val="none"/>
          <w:lang w:val="en-US" w:eastAsia="zh-CN"/>
        </w:rPr>
      </w:r>
      <w:r/>
    </w:p>
    <w:p>
      <w:pPr>
        <w:pStyle w:val="1160"/>
        <w:ind w:firstLine="480"/>
        <w:spacing w:line="360" w:lineRule="auto"/>
        <w:shd w:val="clear" w:color="auto" w:fill="auto"/>
        <w:tabs>
          <w:tab w:val="left" w:pos="900" w:leader="none"/>
          <w:tab w:val="left" w:pos="1134" w:leader="none"/>
          <w:tab w:val="left" w:pos="1589" w:leader="none"/>
          <w:tab w:val="left" w:pos="5521" w:leader="none"/>
        </w:tabs>
        <w:rPr>
          <w:rFonts w:hint="eastAsia" w:ascii="宋体" w:hAnsi="宋体" w:cs="宋体"/>
          <w:color w:val="000000"/>
          <w:sz w:val="24"/>
          <w:highlight w:val="none"/>
          <w:u w:val="single"/>
          <w:lang w:val="en-US" w:eastAsia="zh-CN"/>
        </w:rPr>
      </w:pPr>
      <w:r>
        <w:rPr>
          <w:rFonts w:hint="eastAsia" w:ascii="Times New Roman" w:hAnsi="Times New Roman" w:eastAsia="宋体" w:cs="Times New Roman"/>
          <w:color w:val="000000"/>
          <w:sz w:val="24"/>
          <w:szCs w:val="20"/>
          <w:highlight w:val="none"/>
          <w:lang w:val="en-US"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lang w:val="en-US" w:eastAsia="zh-CN"/>
        </w:rPr>
      </w:r>
      <w:r/>
    </w:p>
    <w:p>
      <w:pPr>
        <w:pStyle w:val="1160"/>
        <w:ind w:firstLine="504"/>
        <w:spacing w:line="588" w:lineRule="exact"/>
        <w:shd w:val="clear" w:color="auto" w:fill="auto"/>
        <w:rPr>
          <w:rFonts w:hint="eastAsia" w:ascii="宋体" w:hAnsi="宋体"/>
          <w:b/>
          <w:color w:val="000000"/>
          <w:sz w:val="32"/>
          <w:szCs w:val="32"/>
          <w:highlight w:val="none"/>
        </w:rPr>
        <w:outlineLvl w:val="9"/>
      </w:pPr>
      <w:r>
        <w:rPr>
          <w:rFonts w:hint="eastAsia" w:ascii="Times New Roman" w:hAnsi="Times New Roman" w:eastAsia="宋体" w:cs="Times New Roman"/>
          <w:color w:val="000000"/>
          <w:spacing w:val="6"/>
          <w:sz w:val="24"/>
          <w:highlight w:val="none"/>
        </w:rPr>
        <w:br w:type="page" w:clear="all"/>
      </w:r>
      <w:r>
        <w:rPr>
          <w:rFonts w:ascii="宋体" w:hAnsi="宋体"/>
          <w:b/>
          <w:color w:val="000000"/>
          <w:sz w:val="32"/>
          <w:szCs w:val="32"/>
          <w:highlight w:val="none"/>
        </w:rPr>
        <w:t xml:space="preserve">二、商务技术文件格式</w:t>
      </w:r>
      <w:bookmarkStart w:id="719" w:name="_Toc226965746"/>
      <w:r/>
      <w:bookmarkStart w:id="720" w:name="_Toc520356217"/>
      <w:r/>
      <w:bookmarkStart w:id="721" w:name="_Toc226309800"/>
      <w:r/>
      <w:bookmarkStart w:id="722" w:name="_Toc226965829"/>
      <w:r/>
      <w:bookmarkStart w:id="723" w:name="_Toc480942349"/>
      <w:r/>
      <w:bookmarkStart w:id="724" w:name="_Toc195842921"/>
      <w:r/>
      <w:bookmarkStart w:id="725" w:name="_Ref467988698"/>
      <w:r/>
      <w:bookmarkStart w:id="726" w:name="_Toc142311058"/>
      <w:r/>
      <w:bookmarkStart w:id="727" w:name="_Toc127151556"/>
      <w:r/>
      <w:bookmarkStart w:id="728" w:name="_Toc150480794"/>
      <w:r/>
      <w:bookmarkStart w:id="729" w:name="_Toc150774761"/>
      <w:r/>
      <w:bookmarkStart w:id="730" w:name="_Toc226337252"/>
      <w:r>
        <w:rPr>
          <w:rFonts w:hint="eastAsia" w:ascii="宋体" w:hAnsi="宋体"/>
          <w:b/>
          <w:color w:val="000000"/>
          <w:sz w:val="32"/>
          <w:szCs w:val="32"/>
          <w:highlight w:val="none"/>
        </w:rPr>
      </w:r>
      <w:r/>
    </w:p>
    <w:p>
      <w:pPr>
        <w:pStyle w:val="1160"/>
        <w:jc w:val="center"/>
        <w:shd w:val="clear" w:color="auto" w:fill="auto"/>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60"/>
        <w:spacing w:line="360" w:lineRule="auto"/>
        <w:shd w:val="clear" w:color="auto" w:fill="auto"/>
        <w:rPr>
          <w:color w:val="000000"/>
          <w:sz w:val="24"/>
          <w:szCs w:val="20"/>
          <w:highlight w:val="none"/>
        </w:rPr>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rFonts w:hint="eastAsia"/>
          <w:color w:val="000000"/>
          <w:sz w:val="24"/>
          <w:highlight w:val="none"/>
        </w:rPr>
        <w:t xml:space="preserve">函</w:t>
      </w:r>
      <w:r>
        <w:rPr>
          <w:color w:val="000000"/>
          <w:sz w:val="24"/>
          <w:szCs w:val="20"/>
          <w:highlight w:val="none"/>
        </w:rPr>
      </w:r>
      <w:r/>
    </w:p>
    <w:p>
      <w:pPr>
        <w:pStyle w:val="1160"/>
        <w:spacing w:line="360" w:lineRule="auto"/>
        <w:shd w:val="clear" w:color="auto" w:fill="auto"/>
        <w:tabs>
          <w:tab w:val="left" w:pos="5580" w:leader="none"/>
        </w:tabs>
        <w:rPr>
          <w:color w:val="000000"/>
          <w:sz w:val="24"/>
          <w:highlight w:val="none"/>
        </w:rPr>
      </w:pPr>
      <w:r>
        <w:rPr>
          <w:color w:val="000000"/>
          <w:sz w:val="24"/>
          <w:highlight w:val="none"/>
        </w:rPr>
      </w:r>
      <w:r/>
    </w:p>
    <w:p>
      <w:pPr>
        <w:pStyle w:val="1160"/>
        <w:jc w:val="center"/>
        <w:spacing w:line="360" w:lineRule="auto"/>
        <w:shd w:val="clear" w:color="auto" w:fill="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1160"/>
        <w:spacing w:line="360" w:lineRule="auto"/>
        <w:shd w:val="clear" w:color="auto" w:fill="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采购人</w:t>
      </w:r>
      <w:r>
        <w:rPr>
          <w:color w:val="000000"/>
          <w:sz w:val="24"/>
          <w:highlight w:val="none"/>
          <w:u w:val="single"/>
        </w:rPr>
        <w:t xml:space="preserve">或采购代理机构）</w:t>
      </w:r>
      <w:r>
        <w:rPr>
          <w:color w:val="000000"/>
          <w:sz w:val="24"/>
          <w:highlight w:val="none"/>
        </w:rPr>
      </w:r>
      <w:r/>
    </w:p>
    <w:p>
      <w:pPr>
        <w:pStyle w:val="1160"/>
        <w:spacing w:line="360" w:lineRule="auto"/>
        <w:shd w:val="clear" w:color="auto" w:fill="auto"/>
        <w:tabs>
          <w:tab w:val="left" w:pos="5580" w:leader="none"/>
        </w:tabs>
        <w:rPr>
          <w:color w:val="000000"/>
          <w:sz w:val="24"/>
          <w:szCs w:val="20"/>
          <w:highlight w:val="none"/>
        </w:rPr>
      </w:pPr>
      <w:r>
        <w:rPr>
          <w:color w:val="000000"/>
          <w:sz w:val="24"/>
          <w:szCs w:val="20"/>
          <w:highlight w:val="none"/>
        </w:rPr>
      </w:r>
      <w:r/>
    </w:p>
    <w:p>
      <w:pPr>
        <w:pStyle w:val="1160"/>
        <w:ind w:firstLine="408"/>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我方参加你方就___________（项目名称，项目编号）组织的招标活动，并对此项目进行投标。</w:t>
      </w:r>
      <w:r>
        <w:rPr>
          <w:color w:val="000000"/>
          <w:sz w:val="24"/>
          <w:szCs w:val="20"/>
          <w:highlight w:val="none"/>
        </w:rPr>
      </w:r>
      <w:r/>
    </w:p>
    <w:p>
      <w:pPr>
        <w:pStyle w:val="1160"/>
        <w:ind w:firstLine="408"/>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1160"/>
        <w:ind w:left="360" w:firstLine="72"/>
        <w:spacing w:line="360" w:lineRule="auto"/>
        <w:shd w:val="clear" w:color="auto" w:fill="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1160"/>
        <w:ind w:left="360" w:firstLine="72"/>
        <w:spacing w:line="360" w:lineRule="auto"/>
        <w:shd w:val="clear" w:color="auto" w:fill="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1160"/>
        <w:ind w:firstLine="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160"/>
        <w:ind w:firstLine="420"/>
        <w:spacing w:line="360" w:lineRule="auto"/>
        <w:shd w:val="clear" w:color="auto" w:fill="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（4）如我方中标，我方将在法律规定的期限内与你方签订合同，并在合同约定的期限内完成合同规定的全部义务。</w:t>
      </w:r>
      <w:r>
        <w:rPr>
          <w:color w:val="000000"/>
          <w:sz w:val="24"/>
          <w:highlight w:val="none"/>
        </w:rPr>
      </w:r>
      <w:r/>
    </w:p>
    <w:p>
      <w:pPr>
        <w:pStyle w:val="1160"/>
        <w:ind w:left="420"/>
        <w:spacing w:line="360" w:lineRule="auto"/>
        <w:shd w:val="clear" w:color="auto" w:fill="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160"/>
        <w:ind w:firstLine="480"/>
        <w:spacing w:line="360" w:lineRule="auto"/>
        <w:shd w:val="clear" w:color="auto" w:fill="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1160"/>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r>
      <w:r/>
    </w:p>
    <w:p>
      <w:pPr>
        <w:pStyle w:val="1160"/>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1160"/>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1160"/>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r>
      <w:r/>
    </w:p>
    <w:p>
      <w:pPr>
        <w:pStyle w:val="1160"/>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1160"/>
        <w:ind w:left="420"/>
        <w:spacing w:line="360" w:lineRule="auto"/>
        <w:shd w:val="clear" w:color="auto" w:fill="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160"/>
        <w:ind w:left="420"/>
        <w:spacing w:line="360" w:lineRule="auto"/>
        <w:shd w:val="clear" w:color="auto" w:fill="auto"/>
        <w:tabs>
          <w:tab w:val="left" w:pos="5580" w:leader="none"/>
        </w:tabs>
        <w:rPr>
          <w:color w:val="000000"/>
          <w:sz w:val="24"/>
          <w:szCs w:val="20"/>
          <w:highlight w:val="none"/>
          <w:u w:val="single"/>
        </w:rPr>
      </w:pPr>
      <w:r>
        <w:rPr>
          <w:color w:val="000000"/>
          <w:sz w:val="24"/>
          <w:szCs w:val="20"/>
          <w:highlight w:val="none"/>
          <w:u w:val="single"/>
        </w:rPr>
      </w:r>
      <w:r/>
    </w:p>
    <w:p>
      <w:pPr>
        <w:pStyle w:val="1160"/>
        <w:jc w:val="left"/>
        <w:shd w:val="clear" w:color="auto" w:fill="auto"/>
        <w:widowControl/>
        <w:rPr>
          <w:rFonts w:hint="eastAsia"/>
          <w:color w:val="000000"/>
          <w:sz w:val="24"/>
          <w:highlight w:val="none"/>
        </w:rPr>
      </w:pPr>
      <w:r/>
      <w:bookmarkStart w:id="731" w:name="_Hlt520355938"/>
      <w:r/>
      <w:bookmarkEnd w:id="731"/>
      <w:r/>
      <w:bookmarkStart w:id="732" w:name="_Hlt520356243"/>
      <w:r/>
      <w:bookmarkEnd w:id="732"/>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rFonts w:hint="eastAsia"/>
          <w:color w:val="000000"/>
          <w:sz w:val="24"/>
          <w:highlight w:val="none"/>
        </w:rPr>
      </w:r>
      <w:r/>
    </w:p>
    <w:p>
      <w:pPr>
        <w:pStyle w:val="1160"/>
        <w:jc w:val="center"/>
        <w:spacing w:line="360" w:lineRule="auto"/>
        <w:shd w:val="clear" w:color="auto" w:fill="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60"/>
        <w:jc w:val="center"/>
        <w:spacing w:line="360" w:lineRule="auto"/>
        <w:shd w:val="clear" w:color="auto" w:fill="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160"/>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160"/>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160"/>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160"/>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（投标人名称）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160"/>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160"/>
        <w:spacing w:line="560" w:lineRule="exact"/>
        <w:shd w:val="clear" w:color="auto" w:fill="auto"/>
        <w:rPr>
          <w:rFonts w:ascii="宋体" w:hAnsi="宋体"/>
          <w:color w:val="000000"/>
          <w:sz w:val="24"/>
          <w:highlight w:val="none"/>
        </w:rPr>
      </w:pPr>
      <w:r>
        <w:rPr>
          <w:rFonts w:ascii="宋体" w:hAnsi="宋体"/>
          <w:color w:val="000000"/>
          <w:sz w:val="24"/>
          <w:highlight w:val="none"/>
        </w:rPr>
      </w:r>
      <w:r/>
    </w:p>
    <w:p>
      <w:pPr>
        <w:pStyle w:val="1191"/>
        <w:ind w:right="-46"/>
        <w:spacing w:line="583" w:lineRule="auto"/>
        <w:shd w:val="clear" w:color="auto" w:fill="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电子件。</w:t>
      </w:r>
      <w:r>
        <w:rPr>
          <w:color w:val="000000"/>
          <w:spacing w:val="-3"/>
          <w:highlight w:val="non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60"/>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60"/>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60"/>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160"/>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60"/>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60"/>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160"/>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160"/>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或签章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160"/>
        <w:ind w:firstLine="4320"/>
        <w:spacing w:line="56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160"/>
        <w:jc w:val="left"/>
        <w:shd w:val="clear" w:color="auto" w:fill="auto"/>
        <w:widowControl/>
        <w:rPr>
          <w:rFonts w:hint="eastAsia"/>
          <w:color w:val="000000"/>
          <w:sz w:val="24"/>
          <w:highlight w:val="none"/>
        </w:rPr>
      </w:pPr>
      <w:r>
        <w:rPr>
          <w:rFonts w:hint="eastAsia"/>
          <w:color w:val="000000"/>
          <w:sz w:val="24"/>
          <w:highlight w:val="none"/>
        </w:rPr>
      </w:r>
      <w:r/>
    </w:p>
    <w:p>
      <w:pPr>
        <w:pStyle w:val="1160"/>
        <w:shd w:val="clear" w:color="auto" w:fill="auto"/>
        <w:rPr>
          <w:rFonts w:hint="eastAsia"/>
          <w:color w:val="000000"/>
          <w:highlight w:val="none"/>
        </w:rPr>
      </w:pPr>
      <w:r>
        <w:rPr>
          <w:rFonts w:hint="eastAsia"/>
          <w:color w:val="000000"/>
          <w:highlight w:val="none"/>
        </w:rPr>
      </w:r>
      <w:r/>
    </w:p>
    <w:p>
      <w:pPr>
        <w:pStyle w:val="1160"/>
        <w:jc w:val="left"/>
        <w:shd w:val="clear" w:color="auto" w:fill="auto"/>
        <w:widowControl/>
        <w:rPr>
          <w:rFonts w:hint="eastAsia"/>
          <w:color w:val="000000"/>
          <w:sz w:val="24"/>
          <w:highlight w:val="none"/>
        </w:rPr>
      </w:pPr>
      <w:r>
        <w:rPr>
          <w:rFonts w:hint="eastAsia"/>
          <w:color w:val="000000"/>
          <w:sz w:val="24"/>
          <w:highlight w:val="none"/>
        </w:rPr>
      </w:r>
      <w:r/>
    </w:p>
    <w:p>
      <w:pPr>
        <w:pStyle w:val="1160"/>
        <w:jc w:val="left"/>
        <w:shd w:val="clear" w:color="auto" w:fill="auto"/>
        <w:widowControl/>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60"/>
        <w:jc w:val="left"/>
        <w:shd w:val="clear" w:color="auto" w:fill="auto"/>
        <w:widowControl/>
        <w:rPr>
          <w:rFonts w:hint="eastAsia"/>
          <w:color w:val="000000"/>
          <w:sz w:val="24"/>
          <w:highlight w:val="none"/>
        </w:rPr>
      </w:pPr>
      <w:r>
        <w:rPr>
          <w:rFonts w:hint="eastAsia"/>
          <w:color w:val="000000"/>
          <w:sz w:val="24"/>
          <w:highlight w:val="none"/>
        </w:rPr>
      </w:r>
      <w:r/>
    </w:p>
    <w:p>
      <w:pPr>
        <w:pStyle w:val="1160"/>
        <w:jc w:val="left"/>
        <w:shd w:val="clear" w:color="auto" w:fill="auto"/>
        <w:widowControl/>
        <w:rPr>
          <w:rFonts w:hint="eastAsia"/>
          <w:color w:val="000000"/>
          <w:sz w:val="24"/>
          <w:highlight w:val="none"/>
        </w:rPr>
      </w:pPr>
      <w:r>
        <w:rPr>
          <w:rFonts w:hint="eastAsia"/>
          <w:color w:val="000000"/>
          <w:sz w:val="24"/>
          <w:highlight w:val="none"/>
        </w:rPr>
      </w:r>
      <w:r/>
    </w:p>
    <w:p>
      <w:pPr>
        <w:pStyle w:val="1160"/>
        <w:jc w:val="left"/>
        <w:shd w:val="clear" w:color="auto" w:fill="auto"/>
        <w:widowControl/>
        <w:rPr>
          <w:rFonts w:hint="eastAsia"/>
          <w:color w:val="000000"/>
          <w:sz w:val="24"/>
          <w:highlight w:val="none"/>
        </w:rPr>
      </w:pPr>
      <w:r>
        <w:rPr>
          <w:rFonts w:hint="eastAsia"/>
          <w:color w:val="000000"/>
          <w:sz w:val="24"/>
          <w:highlight w:val="none"/>
        </w:rPr>
      </w:r>
      <w:r/>
    </w:p>
    <w:p>
      <w:pPr>
        <w:pStyle w:val="1160"/>
        <w:jc w:val="left"/>
        <w:shd w:val="clear" w:color="auto" w:fill="auto"/>
        <w:widowControl/>
        <w:rPr>
          <w:rFonts w:hint="eastAsia"/>
          <w:color w:val="000000"/>
          <w:sz w:val="24"/>
          <w:highlight w:val="none"/>
        </w:rPr>
        <w:sectPr>
          <w:headerReference w:type="even" r:id="rId15"/>
          <w:headerReference w:type="first" r:id="rId16"/>
          <w:footerReference w:type="even" r:id="rId23"/>
          <w:footerReference w:type="first" r:id="rId24"/>
          <w:footnotePr/>
          <w:endnotePr/>
          <w:type w:val="nextPage"/>
          <w:pgSz w:w="11907" w:h="16840" w:orient="portrait"/>
          <w:pgMar w:top="1418" w:right="1134" w:bottom="1418" w:left="1701" w:header="851" w:footer="851" w:gutter="0"/>
          <w:cols w:num="1" w:sep="0" w:space="1701" w:equalWidth="1"/>
          <w:docGrid w:linePitch="360"/>
        </w:sectPr>
      </w:pPr>
      <w:r>
        <w:rPr>
          <w:rFonts w:hint="eastAsia"/>
          <w:color w:val="000000"/>
          <w:sz w:val="24"/>
          <w:highlight w:val="none"/>
        </w:rPr>
      </w:r>
      <w:r/>
    </w:p>
    <w:p>
      <w:pPr>
        <w:pStyle w:val="1160"/>
        <w:jc w:val="left"/>
        <w:shd w:val="clear" w:color="auto" w:fill="auto"/>
        <w:widowControl/>
        <w:rPr>
          <w:rFonts w:hint="eastAsia"/>
          <w:color w:val="000000"/>
          <w:sz w:val="24"/>
          <w:highlight w:val="none"/>
        </w:rPr>
      </w:pPr>
      <w:r>
        <w:rPr>
          <w:rFonts w:hint="eastAsia"/>
          <w:color w:val="000000"/>
          <w:sz w:val="24"/>
          <w:highlight w:val="none"/>
        </w:rPr>
        <w:t xml:space="preserve">3  政府采购供应商信用承诺书</w:t>
      </w:r>
      <w:r>
        <w:rPr>
          <w:rFonts w:hint="eastAsia"/>
          <w:color w:val="000000"/>
          <w:sz w:val="24"/>
          <w:highlight w:val="none"/>
        </w:rPr>
      </w:r>
      <w:r/>
    </w:p>
    <w:p>
      <w:pPr>
        <w:pStyle w:val="1160"/>
        <w:ind w:firstLine="321"/>
        <w:jc w:val="center"/>
        <w:spacing w:line="560" w:lineRule="exact"/>
        <w:shd w:val="clear" w:color="auto" w:fill="auto"/>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160"/>
        <w:ind w:firstLine="321"/>
        <w:jc w:val="center"/>
        <w:spacing w:line="560" w:lineRule="exact"/>
        <w:shd w:val="clear" w:color="auto" w:fill="auto"/>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160"/>
        <w:ind w:firstLine="640"/>
        <w:shd w:val="clear" w:color="auto" w:fill="auto"/>
        <w:rPr>
          <w:color w:val="000000"/>
          <w:highlight w:val="none"/>
        </w:rPr>
      </w:pPr>
      <w:r>
        <w:rPr>
          <w:color w:val="000000"/>
          <w:highlight w:val="none"/>
        </w:rPr>
      </w:r>
      <w:r/>
    </w:p>
    <w:p>
      <w:pPr>
        <w:pStyle w:val="1160"/>
        <w:ind w:firstLine="480"/>
        <w:spacing w:line="276" w:lineRule="auto"/>
        <w:shd w:val="clear" w:color="auto" w:fill="auto"/>
        <w:rPr>
          <w:rFonts w:ascii="宋体" w:hAnsi="宋体"/>
          <w:color w:val="000000"/>
          <w:sz w:val="24"/>
          <w:highlight w:val="none"/>
        </w:rPr>
      </w:pPr>
      <w:r/>
      <w:bookmarkStart w:id="733" w:name="_Hlt520343392"/>
      <w:r/>
      <w:bookmarkEnd w:id="733"/>
      <w:r/>
      <w:bookmarkStart w:id="734" w:name="_Hlt520273711"/>
      <w:r/>
      <w:bookmarkEnd w:id="734"/>
      <w:r/>
      <w:bookmarkStart w:id="735" w:name="_Hlt520274065"/>
      <w:r/>
      <w:bookmarkEnd w:id="735"/>
      <w:r/>
      <w:bookmarkStart w:id="736" w:name="_Hlt520343000"/>
      <w:r/>
      <w:bookmarkEnd w:id="736"/>
      <w:r/>
      <w:bookmarkStart w:id="737" w:name="_Hlt520271212"/>
      <w:r/>
      <w:bookmarkEnd w:id="737"/>
      <w:r/>
      <w:bookmarkStart w:id="738" w:name="_Hlt520274393"/>
      <w:r/>
      <w:bookmarkEnd w:id="738"/>
      <w:r/>
      <w:bookmarkStart w:id="739" w:name="_Hlt520274407"/>
      <w:r/>
      <w:bookmarkEnd w:id="739"/>
      <w:r/>
      <w:bookmarkStart w:id="740" w:name="_Hlt520355504"/>
      <w:r/>
      <w:bookmarkEnd w:id="740"/>
      <w:r/>
      <w:bookmarkStart w:id="741" w:name="_Hlt520350918"/>
      <w:r/>
      <w:bookmarkEnd w:id="741"/>
      <w:r/>
      <w:bookmarkStart w:id="742" w:name="_Hlt520274121"/>
      <w:r/>
      <w:bookmarkEnd w:id="742"/>
      <w:r/>
      <w:bookmarkStart w:id="743" w:name="_Toc150774762"/>
      <w:r/>
      <w:bookmarkStart w:id="744" w:name="_Toc226965830"/>
      <w:r/>
      <w:bookmarkStart w:id="745" w:name="_Toc150480795"/>
      <w:r/>
      <w:bookmarkStart w:id="746" w:name="_Toc127151557"/>
      <w:r/>
      <w:bookmarkStart w:id="747" w:name="_Toc226309801"/>
      <w:r/>
      <w:bookmarkStart w:id="748" w:name="_Toc195842922"/>
      <w:r/>
      <w:bookmarkStart w:id="749" w:name="_Toc265228395"/>
      <w:r/>
      <w:bookmarkStart w:id="750" w:name="_Toc520356218"/>
      <w:r/>
      <w:bookmarkStart w:id="751" w:name="_Toc226965747"/>
      <w:r/>
      <w:bookmarkStart w:id="752" w:name="_Toc305158899"/>
      <w:r/>
      <w:bookmarkStart w:id="753" w:name="_Ref467988705"/>
      <w:r/>
      <w:bookmarkStart w:id="754" w:name="_Toc142311059"/>
      <w:r/>
      <w:bookmarkStart w:id="755" w:name="_Toc305158825"/>
      <w:r/>
      <w:bookmarkStart w:id="756" w:name="_Toc226337253"/>
      <w:r/>
      <w:bookmarkStart w:id="757" w:name="_Toc480942350"/>
      <w:r/>
      <w:bookmarkStart w:id="758" w:name="_Toc264969247"/>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160"/>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160"/>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160"/>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160"/>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160"/>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160"/>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160"/>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160"/>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160"/>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160"/>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160"/>
        <w:ind w:firstLine="480"/>
        <w:spacing w:line="276" w:lineRule="auto"/>
        <w:shd w:val="clear" w:color="auto" w:fill="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50"/>
        <w:ind w:right="1050" w:firstLine="2880"/>
        <w:jc w:val="both"/>
        <w:spacing w:line="276" w:lineRule="auto"/>
        <w:shd w:val="clear" w:color="auto" w:fill="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160"/>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160"/>
        <w:jc w:val="left"/>
        <w:shd w:val="clear" w:color="auto" w:fill="auto"/>
        <w:widowControl/>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br w:type="page" w:clear="all"/>
      </w:r>
      <w:r>
        <w:rPr>
          <w:rFonts w:hint="eastAsia"/>
          <w:color w:val="000000"/>
          <w:sz w:val="24"/>
          <w:szCs w:val="20"/>
          <w:highlight w:val="none"/>
        </w:rPr>
        <w:t xml:space="preserve">4</w:t>
      </w:r>
      <w:r>
        <w:rPr>
          <w:color w:val="000000"/>
          <w:sz w:val="24"/>
          <w:szCs w:val="20"/>
          <w:highlight w:val="none"/>
        </w:rPr>
        <w:t xml:space="preserve">  开标一览表</w:t>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rPr>
          <w:color w:val="000000"/>
          <w:sz w:val="24"/>
          <w:szCs w:val="20"/>
          <w:highlight w:val="none"/>
        </w:rPr>
      </w:r>
      <w:r/>
    </w:p>
    <w:p>
      <w:pPr>
        <w:pStyle w:val="1160"/>
        <w:jc w:val="center"/>
        <w:spacing w:line="360" w:lineRule="auto"/>
        <w:shd w:val="clear" w:color="auto" w:fill="auto"/>
        <w:tabs>
          <w:tab w:val="left" w:pos="2775" w:leader="none"/>
          <w:tab w:val="center" w:pos="4153" w:leader="none"/>
        </w:tabs>
        <w:rPr>
          <w:rFonts w:hint="eastAsia"/>
          <w:b/>
          <w:color w:val="000000"/>
          <w:sz w:val="36"/>
          <w:szCs w:val="36"/>
          <w:highlight w:val="none"/>
        </w:rPr>
      </w:pPr>
      <w:r/>
      <w:bookmarkStart w:id="759" w:name="_Toc226965831"/>
      <w:r/>
      <w:bookmarkStart w:id="760" w:name="_Toc226965748"/>
      <w:r/>
      <w:bookmarkStart w:id="761" w:name="_Toc264969248"/>
      <w:r/>
      <w:bookmarkStart w:id="762" w:name="_Toc305158826"/>
      <w:r/>
      <w:bookmarkStart w:id="763" w:name="_Toc164608827"/>
      <w:r/>
      <w:bookmarkStart w:id="764" w:name="_Toc265228396"/>
      <w:r/>
      <w:bookmarkStart w:id="765" w:name="_Toc226309802"/>
      <w:r/>
      <w:bookmarkStart w:id="766" w:name="_Toc305158900"/>
      <w:r/>
      <w:bookmarkStart w:id="767" w:name="_Toc164608672"/>
      <w:r/>
      <w:bookmarkStart w:id="768" w:name="_Toc195842923"/>
      <w:r/>
      <w:bookmarkStart w:id="769" w:name="_Toc226337254"/>
      <w:r>
        <w:rPr>
          <w:rFonts w:hint="eastAsia"/>
          <w:b/>
          <w:color w:val="000000"/>
          <w:sz w:val="36"/>
          <w:szCs w:val="36"/>
          <w:highlight w:val="none"/>
        </w:rPr>
        <w:t xml:space="preserve">开标一览表</w:t>
      </w:r>
      <w:bookmarkEnd w:id="759"/>
      <w:r/>
      <w:bookmarkEnd w:id="760"/>
      <w:r/>
      <w:bookmarkEnd w:id="761"/>
      <w:r/>
      <w:bookmarkEnd w:id="762"/>
      <w:r/>
      <w:bookmarkEnd w:id="763"/>
      <w:r/>
      <w:bookmarkEnd w:id="764"/>
      <w:r/>
      <w:bookmarkEnd w:id="765"/>
      <w:r/>
      <w:bookmarkEnd w:id="766"/>
      <w:r/>
      <w:bookmarkEnd w:id="767"/>
      <w:r/>
      <w:bookmarkEnd w:id="768"/>
      <w:r/>
      <w:bookmarkEnd w:id="769"/>
      <w:r>
        <w:rPr>
          <w:rFonts w:hint="eastAsia"/>
          <w:b/>
          <w:color w:val="000000"/>
          <w:sz w:val="36"/>
          <w:szCs w:val="36"/>
          <w:highlight w:val="none"/>
        </w:rPr>
      </w:r>
      <w:r/>
    </w:p>
    <w:p>
      <w:pPr>
        <w:pStyle w:val="1160"/>
        <w:jc w:val="left"/>
        <w:spacing w:line="360" w:lineRule="auto"/>
        <w:shd w:val="clear" w:color="auto" w:fill="auto"/>
        <w:tabs>
          <w:tab w:val="left" w:pos="1800" w:leader="none"/>
          <w:tab w:val="left" w:pos="5580" w:leader="none"/>
        </w:tabs>
        <w:rPr>
          <w:i/>
          <w:color w:val="000000"/>
          <w:sz w:val="24"/>
          <w:highlight w:val="none"/>
        </w:rPr>
      </w:pPr>
      <w:r>
        <w:rPr>
          <w:i/>
          <w:color w:val="000000"/>
          <w:sz w:val="24"/>
          <w:highlight w:val="none"/>
        </w:rPr>
      </w:r>
      <w:r/>
    </w:p>
    <w:p>
      <w:pPr>
        <w:pStyle w:val="1160"/>
        <w:ind w:firstLine="240"/>
        <w:jc w:val="left"/>
        <w:spacing w:line="360" w:lineRule="auto"/>
        <w:shd w:val="clear" w:color="auto" w:fill="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w:t>
      </w:r>
      <w:r>
        <w:rPr>
          <w:color w:val="000000"/>
          <w:sz w:val="24"/>
          <w:highlight w:val="none"/>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690" w:type="dxa"/>
            <w:vAlign w:val="center"/>
            <w:vMerge w:val="restart"/>
            <w:textDirection w:val="lrTb"/>
            <w:noWrap w:val="false"/>
          </w:tcPr>
          <w:p>
            <w:pPr>
              <w:pStyle w:val="1160"/>
              <w:jc w:val="center"/>
              <w:shd w:val="clear" w:color="auto" w:fill="auto"/>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3709" w:type="dxa"/>
            <w:vAlign w:val="center"/>
            <w:vMerge w:val="restart"/>
            <w:textDirection w:val="lrTb"/>
            <w:noWrap w:val="false"/>
          </w:tcPr>
          <w:p>
            <w:pPr>
              <w:pStyle w:val="1160"/>
              <w:jc w:val="center"/>
              <w:shd w:val="clear" w:color="auto" w:fill="auto"/>
              <w:tabs>
                <w:tab w:val="left" w:pos="5580" w:leader="none"/>
              </w:tabs>
              <w:rPr>
                <w:b/>
                <w:color w:val="000000"/>
                <w:sz w:val="24"/>
                <w:highlight w:val="none"/>
              </w:rPr>
            </w:pPr>
            <w:r>
              <w:rPr>
                <w:b/>
                <w:color w:val="000000"/>
                <w:sz w:val="24"/>
                <w:highlight w:val="none"/>
              </w:rPr>
              <w:t xml:space="preserve">投标人名称</w:t>
            </w:r>
            <w:r>
              <w:rPr>
                <w:b/>
                <w:color w:val="000000"/>
                <w:sz w:val="24"/>
                <w:highlight w:val="none"/>
              </w:rPr>
            </w:r>
            <w:r/>
          </w:p>
        </w:tc>
        <w:tc>
          <w:tcPr>
            <w:gridSpan w:val="2"/>
            <w:tcW w:w="3973" w:type="dxa"/>
            <w:vAlign w:val="center"/>
            <w:textDirection w:val="lrTb"/>
            <w:noWrap w:val="false"/>
          </w:tcPr>
          <w:p>
            <w:pPr>
              <w:pStyle w:val="1160"/>
              <w:jc w:val="center"/>
              <w:shd w:val="clear" w:color="auto" w:fill="auto"/>
              <w:tabs>
                <w:tab w:val="left" w:pos="5580" w:leader="none"/>
              </w:tabs>
              <w:rPr>
                <w:rFonts w:hint="eastAsia"/>
                <w:b/>
                <w:color w:val="000000"/>
                <w:sz w:val="24"/>
                <w:highlight w:val="none"/>
              </w:rPr>
            </w:pPr>
            <w:r>
              <w:rPr>
                <w:b/>
                <w:color w:val="000000"/>
                <w:sz w:val="24"/>
                <w:highlight w:val="none"/>
              </w:rPr>
              <w:t xml:space="preserve">投标报价</w:t>
            </w:r>
            <w:r>
              <w:rPr>
                <w:rFonts w:hint="eastAsia"/>
                <w:b/>
                <w:color w:val="000000"/>
                <w:sz w:val="24"/>
                <w:highlight w:val="none"/>
              </w:rPr>
              <w:t xml:space="preserve">（人民币：元）</w:t>
            </w:r>
            <w:r>
              <w:rPr>
                <w:rFonts w:hint="eastAsia"/>
                <w:b/>
                <w:color w:val="000000"/>
                <w:sz w:val="24"/>
                <w:highlight w:val="none"/>
              </w:rPr>
            </w:r>
            <w:r/>
          </w:p>
        </w:tc>
      </w:tr>
      <w:tr>
        <w:trPr>
          <w:trHeight w:val="674"/>
        </w:trPr>
        <w:tc>
          <w:tcPr>
            <w:tcW w:w="690" w:type="dxa"/>
            <w:vAlign w:val="center"/>
            <w:vMerge w:val="continue"/>
            <w:textDirection w:val="lrTb"/>
            <w:noWrap w:val="false"/>
          </w:tcPr>
          <w:p>
            <w:pPr>
              <w:pStyle w:val="1160"/>
              <w:jc w:val="center"/>
              <w:shd w:val="clear" w:color="auto" w:fill="auto"/>
              <w:tabs>
                <w:tab w:val="left" w:pos="5580" w:leader="none"/>
              </w:tabs>
              <w:rPr>
                <w:color w:val="000000"/>
                <w:sz w:val="24"/>
                <w:highlight w:val="none"/>
              </w:rPr>
            </w:pPr>
            <w:r>
              <w:rPr>
                <w:color w:val="000000"/>
                <w:sz w:val="24"/>
                <w:highlight w:val="none"/>
              </w:rPr>
            </w:r>
            <w:r/>
          </w:p>
        </w:tc>
        <w:tc>
          <w:tcPr>
            <w:tcW w:w="3709" w:type="dxa"/>
            <w:vAlign w:val="center"/>
            <w:vMerge w:val="continue"/>
            <w:textDirection w:val="lrTb"/>
            <w:noWrap w:val="false"/>
          </w:tcPr>
          <w:p>
            <w:pPr>
              <w:pStyle w:val="1160"/>
              <w:jc w:val="center"/>
              <w:shd w:val="clear" w:color="auto" w:fill="auto"/>
              <w:tabs>
                <w:tab w:val="left" w:pos="5580" w:leader="none"/>
              </w:tabs>
              <w:rPr>
                <w:color w:val="000000"/>
                <w:sz w:val="24"/>
                <w:highlight w:val="none"/>
              </w:rPr>
            </w:pPr>
            <w:r>
              <w:rPr>
                <w:color w:val="000000"/>
                <w:sz w:val="24"/>
                <w:highlight w:val="none"/>
              </w:rPr>
            </w:r>
            <w:r/>
          </w:p>
        </w:tc>
        <w:tc>
          <w:tcPr>
            <w:tcW w:w="1989" w:type="dxa"/>
            <w:vAlign w:val="center"/>
            <w:textDirection w:val="lrTb"/>
            <w:noWrap w:val="false"/>
          </w:tcPr>
          <w:p>
            <w:pPr>
              <w:pStyle w:val="1160"/>
              <w:jc w:val="center"/>
              <w:shd w:val="clear" w:color="auto" w:fill="auto"/>
              <w:tabs>
                <w:tab w:val="left" w:pos="5580" w:leader="none"/>
              </w:tabs>
              <w:rPr>
                <w:b/>
                <w:color w:val="000000"/>
                <w:sz w:val="24"/>
                <w:highlight w:val="none"/>
              </w:rPr>
            </w:pPr>
            <w:r>
              <w:rPr>
                <w:b/>
                <w:color w:val="000000"/>
                <w:sz w:val="24"/>
                <w:highlight w:val="none"/>
              </w:rPr>
              <w:t xml:space="preserve">大写</w:t>
            </w:r>
            <w:r>
              <w:rPr>
                <w:b/>
                <w:color w:val="000000"/>
                <w:sz w:val="24"/>
                <w:highlight w:val="none"/>
              </w:rPr>
            </w:r>
            <w:r/>
          </w:p>
        </w:tc>
        <w:tc>
          <w:tcPr>
            <w:tcW w:w="1984" w:type="dxa"/>
            <w:vAlign w:val="center"/>
            <w:textDirection w:val="lrTb"/>
            <w:noWrap w:val="false"/>
          </w:tcPr>
          <w:p>
            <w:pPr>
              <w:pStyle w:val="1160"/>
              <w:jc w:val="center"/>
              <w:shd w:val="clear" w:color="auto" w:fill="auto"/>
              <w:tabs>
                <w:tab w:val="left" w:pos="5580" w:leader="none"/>
              </w:tabs>
              <w:rPr>
                <w:b/>
                <w:color w:val="000000"/>
                <w:sz w:val="24"/>
                <w:highlight w:val="none"/>
              </w:rPr>
            </w:pPr>
            <w:r>
              <w:rPr>
                <w:b/>
                <w:color w:val="000000"/>
                <w:sz w:val="24"/>
                <w:highlight w:val="none"/>
              </w:rPr>
              <w:t xml:space="preserve">小写</w:t>
            </w:r>
            <w:r>
              <w:rPr>
                <w:b/>
                <w:color w:val="000000"/>
                <w:sz w:val="24"/>
                <w:highlight w:val="none"/>
              </w:rPr>
            </w:r>
            <w:r/>
          </w:p>
        </w:tc>
      </w:tr>
      <w:tr>
        <w:trPr>
          <w:trHeight w:val="976"/>
        </w:trPr>
        <w:tc>
          <w:tcPr>
            <w:tcW w:w="690" w:type="dxa"/>
            <w:vAlign w:val="center"/>
            <w:textDirection w:val="lrTb"/>
            <w:noWrap w:val="false"/>
          </w:tcPr>
          <w:p>
            <w:pPr>
              <w:pStyle w:val="1160"/>
              <w:jc w:val="center"/>
              <w:shd w:val="clear" w:color="auto" w:fill="auto"/>
              <w:tabs>
                <w:tab w:val="left" w:pos="5580" w:leader="none"/>
              </w:tabs>
              <w:rPr>
                <w:color w:val="000000"/>
                <w:sz w:val="24"/>
                <w:highlight w:val="none"/>
              </w:rPr>
            </w:pPr>
            <w:r>
              <w:rPr>
                <w:color w:val="000000"/>
                <w:sz w:val="24"/>
                <w:highlight w:val="none"/>
              </w:rPr>
            </w:r>
            <w:r/>
          </w:p>
        </w:tc>
        <w:tc>
          <w:tcPr>
            <w:tcW w:w="3709" w:type="dxa"/>
            <w:vAlign w:val="center"/>
            <w:textDirection w:val="lrTb"/>
            <w:noWrap w:val="false"/>
          </w:tcPr>
          <w:p>
            <w:pPr>
              <w:pStyle w:val="1160"/>
              <w:jc w:val="center"/>
              <w:shd w:val="clear" w:color="auto" w:fill="auto"/>
              <w:tabs>
                <w:tab w:val="left" w:pos="5580" w:leader="none"/>
              </w:tabs>
              <w:rPr>
                <w:color w:val="000000"/>
                <w:sz w:val="24"/>
                <w:highlight w:val="none"/>
              </w:rPr>
            </w:pPr>
            <w:r>
              <w:rPr>
                <w:color w:val="000000"/>
                <w:sz w:val="24"/>
                <w:highlight w:val="none"/>
              </w:rPr>
            </w:r>
            <w:r/>
          </w:p>
        </w:tc>
        <w:tc>
          <w:tcPr>
            <w:tcW w:w="1989" w:type="dxa"/>
            <w:vAlign w:val="center"/>
            <w:textDirection w:val="lrTb"/>
            <w:noWrap w:val="false"/>
          </w:tcPr>
          <w:p>
            <w:pPr>
              <w:pStyle w:val="1160"/>
              <w:jc w:val="center"/>
              <w:shd w:val="clear" w:color="auto" w:fill="auto"/>
              <w:tabs>
                <w:tab w:val="left" w:pos="5580" w:leader="none"/>
              </w:tabs>
              <w:rPr>
                <w:color w:val="000000"/>
                <w:sz w:val="24"/>
                <w:highlight w:val="none"/>
              </w:rPr>
            </w:pPr>
            <w:r>
              <w:rPr>
                <w:color w:val="000000"/>
                <w:sz w:val="24"/>
                <w:highlight w:val="none"/>
              </w:rPr>
            </w:r>
            <w:r/>
          </w:p>
        </w:tc>
        <w:tc>
          <w:tcPr>
            <w:tcW w:w="1984" w:type="dxa"/>
            <w:vAlign w:val="center"/>
            <w:textDirection w:val="lrTb"/>
            <w:noWrap w:val="false"/>
          </w:tcPr>
          <w:p>
            <w:pPr>
              <w:pStyle w:val="1160"/>
              <w:jc w:val="center"/>
              <w:shd w:val="clear" w:color="auto" w:fill="auto"/>
              <w:tabs>
                <w:tab w:val="left" w:pos="5580" w:leader="none"/>
              </w:tabs>
              <w:rPr>
                <w:color w:val="000000"/>
                <w:sz w:val="24"/>
                <w:highlight w:val="none"/>
              </w:rPr>
            </w:pPr>
            <w:r>
              <w:rPr>
                <w:color w:val="000000"/>
                <w:sz w:val="24"/>
                <w:highlight w:val="none"/>
              </w:rPr>
            </w:r>
            <w:r/>
          </w:p>
        </w:tc>
      </w:tr>
    </w:tbl>
    <w:p>
      <w:pPr>
        <w:pStyle w:val="1160"/>
        <w:jc w:val="left"/>
        <w:shd w:val="clear" w:color="auto" w:fill="auto"/>
        <w:rPr>
          <w:color w:val="000000"/>
          <w:sz w:val="24"/>
          <w:highlight w:val="none"/>
        </w:rPr>
      </w:pPr>
      <w:r>
        <w:rPr>
          <w:color w:val="000000"/>
          <w:sz w:val="24"/>
          <w:highlight w:val="none"/>
        </w:rPr>
      </w:r>
      <w:r/>
    </w:p>
    <w:p>
      <w:pPr>
        <w:pStyle w:val="1160"/>
        <w:jc w:val="left"/>
        <w:shd w:val="clear" w:color="auto" w:fill="auto"/>
        <w:rPr>
          <w:color w:val="000000"/>
          <w:sz w:val="24"/>
          <w:szCs w:val="20"/>
          <w:highlight w:val="none"/>
        </w:rPr>
      </w:pPr>
      <w:r>
        <w:rPr>
          <w:color w:val="000000"/>
          <w:sz w:val="24"/>
          <w:highlight w:val="none"/>
        </w:rPr>
        <w:t xml:space="preserve">注：</w:t>
      </w:r>
      <w:r>
        <w:rPr>
          <w:color w:val="000000"/>
          <w:sz w:val="24"/>
          <w:szCs w:val="20"/>
          <w:highlight w:val="none"/>
        </w:rPr>
        <w:t xml:space="preserve">此表的投标报价应和《投标分项报价表》中的总价相一致。</w:t>
      </w:r>
      <w:r>
        <w:rPr>
          <w:color w:val="000000"/>
          <w:sz w:val="24"/>
          <w:szCs w:val="20"/>
          <w:highlight w:val="none"/>
        </w:rPr>
      </w:r>
      <w:r/>
    </w:p>
    <w:p>
      <w:pPr>
        <w:pStyle w:val="1160"/>
        <w:spacing w:before="25" w:after="25" w:line="360" w:lineRule="auto"/>
        <w:shd w:val="clear" w:color="auto" w:fill="auto"/>
        <w:rPr>
          <w:color w:val="000000"/>
          <w:sz w:val="24"/>
          <w:highlight w:val="none"/>
          <w:lang w:val="zh-CN"/>
        </w:rPr>
      </w:pPr>
      <w:r>
        <w:rPr>
          <w:color w:val="000000"/>
          <w:sz w:val="24"/>
          <w:highlight w:val="none"/>
          <w:lang w:val="zh-CN"/>
        </w:rPr>
      </w:r>
      <w:r/>
    </w:p>
    <w:p>
      <w:pPr>
        <w:pStyle w:val="1160"/>
        <w:spacing w:before="25" w:after="25" w:line="360" w:lineRule="auto"/>
        <w:shd w:val="clear" w:color="auto" w:fill="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160"/>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160"/>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60"/>
        <w:jc w:val="left"/>
        <w:shd w:val="clear" w:color="auto" w:fill="auto"/>
        <w:widowControl/>
        <w:rPr>
          <w:rFonts w:hint="eastAsia"/>
          <w:color w:val="000000"/>
          <w:sz w:val="24"/>
          <w:highlight w:val="none"/>
        </w:rPr>
      </w:pPr>
      <w:r/>
      <w:bookmarkStart w:id="770" w:name="_Toc226965749"/>
      <w:r/>
      <w:bookmarkStart w:id="771" w:name="_Toc226337255"/>
      <w:r/>
      <w:bookmarkStart w:id="772" w:name="_Toc226309803"/>
      <w:r/>
      <w:bookmarkStart w:id="773" w:name="_Toc265228397"/>
      <w:r/>
      <w:bookmarkStart w:id="774" w:name="_Toc226965832"/>
      <w:r/>
      <w:bookmarkStart w:id="775" w:name="_Toc142311060"/>
      <w:r/>
      <w:bookmarkStart w:id="776" w:name="_Toc305158827"/>
      <w:r/>
      <w:bookmarkStart w:id="777" w:name="_Toc195842924"/>
      <w:r/>
      <w:bookmarkStart w:id="778" w:name="_Toc127151558"/>
      <w:r/>
      <w:bookmarkStart w:id="779" w:name="_Toc150480796"/>
      <w:r/>
      <w:bookmarkStart w:id="780" w:name="_Toc264969249"/>
      <w:r/>
      <w:bookmarkStart w:id="781" w:name="_Toc150774763"/>
      <w:r/>
      <w:bookmarkStart w:id="782" w:name="_Toc305158901"/>
      <w:r>
        <w:rPr>
          <w:color w:val="000000"/>
          <w:sz w:val="24"/>
          <w:szCs w:val="20"/>
          <w:highlight w:val="none"/>
        </w:rPr>
        <w:br w:type="page" w:clear="all"/>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rPr>
          <w:rFonts w:hint="eastAsia"/>
          <w:color w:val="000000"/>
          <w:sz w:val="24"/>
          <w:szCs w:val="20"/>
          <w:highlight w:val="none"/>
        </w:rPr>
        <w:t xml:space="preserve">5</w:t>
      </w:r>
      <w:r>
        <w:rPr>
          <w:color w:val="000000"/>
          <w:sz w:val="24"/>
          <w:szCs w:val="20"/>
          <w:highlight w:val="none"/>
        </w:rPr>
        <w:t xml:space="preserve">  投标分项报价表（实质性格式）</w:t>
      </w:r>
      <w:r>
        <w:rPr>
          <w:rFonts w:hint="eastAsia"/>
          <w:color w:val="000000"/>
          <w:sz w:val="24"/>
          <w:highlight w:val="none"/>
        </w:rPr>
      </w:r>
      <w:r/>
    </w:p>
    <w:p>
      <w:pPr>
        <w:pStyle w:val="1160"/>
        <w:jc w:val="left"/>
        <w:shd w:val="clear" w:color="auto" w:fill="auto"/>
        <w:widowControl/>
        <w:rPr>
          <w:color w:val="000000"/>
          <w:sz w:val="24"/>
          <w:szCs w:val="20"/>
          <w:highlight w:val="none"/>
        </w:rPr>
      </w:pPr>
      <w:r>
        <w:rPr>
          <w:color w:val="000000"/>
          <w:sz w:val="24"/>
          <w:szCs w:val="20"/>
          <w:highlight w:val="none"/>
        </w:rPr>
      </w:r>
      <w:r/>
    </w:p>
    <w:p>
      <w:pPr>
        <w:pStyle w:val="1160"/>
        <w:jc w:val="center"/>
        <w:spacing w:line="360" w:lineRule="exact"/>
        <w:shd w:val="clear" w:color="auto" w:fill="auto"/>
        <w:rPr>
          <w:color w:val="000000"/>
          <w:sz w:val="36"/>
          <w:szCs w:val="36"/>
          <w:highlight w:val="none"/>
        </w:rPr>
      </w:pPr>
      <w:r>
        <w:rPr>
          <w:color w:val="000000"/>
          <w:sz w:val="36"/>
          <w:szCs w:val="36"/>
          <w:highlight w:val="none"/>
        </w:rPr>
      </w:r>
      <w:r/>
    </w:p>
    <w:p>
      <w:pPr>
        <w:pStyle w:val="1160"/>
        <w:jc w:val="center"/>
        <w:spacing w:line="360" w:lineRule="auto"/>
        <w:shd w:val="clear" w:color="auto" w:fill="auto"/>
        <w:tabs>
          <w:tab w:val="left" w:pos="2775" w:leader="none"/>
          <w:tab w:val="center" w:pos="4153" w:leader="none"/>
        </w:tabs>
        <w:rPr>
          <w:rFonts w:hint="eastAsia"/>
          <w:b/>
          <w:color w:val="000000"/>
          <w:sz w:val="36"/>
          <w:szCs w:val="36"/>
          <w:highlight w:val="none"/>
        </w:rPr>
      </w:pPr>
      <w:r>
        <w:rPr>
          <w:rFonts w:hint="eastAsia"/>
          <w:b/>
          <w:color w:val="000000"/>
          <w:sz w:val="36"/>
          <w:szCs w:val="36"/>
          <w:highlight w:val="none"/>
        </w:rPr>
        <w:t xml:space="preserve">投标分项报价表</w:t>
      </w:r>
      <w:r>
        <w:rPr>
          <w:rFonts w:hint="eastAsia"/>
          <w:b/>
          <w:color w:val="000000"/>
          <w:sz w:val="36"/>
          <w:szCs w:val="36"/>
          <w:highlight w:val="none"/>
        </w:rPr>
      </w:r>
      <w:r/>
    </w:p>
    <w:p>
      <w:pPr>
        <w:pStyle w:val="1160"/>
        <w:jc w:val="center"/>
        <w:spacing w:line="260" w:lineRule="exact"/>
        <w:shd w:val="clear" w:color="auto" w:fill="auto"/>
        <w:rPr>
          <w:color w:val="000000"/>
          <w:sz w:val="36"/>
          <w:szCs w:val="36"/>
          <w:highlight w:val="none"/>
        </w:rPr>
      </w:pPr>
      <w:r>
        <w:rPr>
          <w:color w:val="000000"/>
          <w:sz w:val="36"/>
          <w:szCs w:val="36"/>
          <w:highlight w:val="none"/>
        </w:rPr>
      </w:r>
      <w:r/>
    </w:p>
    <w:p>
      <w:pPr>
        <w:pStyle w:val="1160"/>
        <w:shd w:val="clear" w:color="auto" w:fill="auto"/>
        <w:tabs>
          <w:tab w:val="left" w:pos="1800" w:leader="none"/>
          <w:tab w:val="left" w:pos="5580" w:leader="none"/>
        </w:tabs>
        <w:rPr>
          <w:color w:val="000000"/>
          <w:sz w:val="24"/>
          <w:highlight w:val="none"/>
        </w:rPr>
      </w:pPr>
      <w:r>
        <w:rPr>
          <w:color w:val="000000"/>
          <w:sz w:val="24"/>
          <w:highlight w:val="none"/>
        </w:rPr>
      </w:r>
      <w:r/>
    </w:p>
    <w:p>
      <w:pPr>
        <w:pStyle w:val="1160"/>
        <w:shd w:val="clear" w:color="auto" w:fill="auto"/>
        <w:tabs>
          <w:tab w:val="left" w:pos="1800" w:leader="none"/>
          <w:tab w:val="left" w:pos="5580" w:leader="none"/>
        </w:tabs>
        <w:rPr>
          <w:color w:val="000000"/>
          <w:sz w:val="24"/>
          <w:highlight w:val="none"/>
        </w:rPr>
      </w:pPr>
      <w:r>
        <w:rPr>
          <w:color w:val="000000"/>
          <w:sz w:val="24"/>
          <w:highlight w:val="none"/>
        </w:rPr>
        <w:t xml:space="preserve">项目编号：___________ 项目名称：__________报价单位：人民币元</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160"/>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160"/>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160"/>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160"/>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160"/>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160"/>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160"/>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160"/>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160"/>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881" w:type="dxa"/>
            <w:vAlign w:val="center"/>
            <w:vMerge w:val="continue"/>
            <w:textDirection w:val="lrTb"/>
            <w:noWrap w:val="false"/>
          </w:tcPr>
          <w:p>
            <w:pPr>
              <w:pStyle w:val="1160"/>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780" w:type="dxa"/>
            <w:vAlign w:val="center"/>
            <w:vMerge w:val="continue"/>
            <w:textDirection w:val="lrTb"/>
            <w:noWrap w:val="false"/>
          </w:tcPr>
          <w:p>
            <w:pPr>
              <w:pStyle w:val="1160"/>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vMerge w:val="continue"/>
            <w:textDirection w:val="lrTb"/>
            <w:noWrap w:val="false"/>
          </w:tcPr>
          <w:p>
            <w:pPr>
              <w:pStyle w:val="1160"/>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vMerge w:val="continue"/>
            <w:textDirection w:val="lrTb"/>
            <w:noWrap w:val="false"/>
          </w:tcPr>
          <w:p>
            <w:pPr>
              <w:pStyle w:val="1160"/>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vMerge w:val="continue"/>
            <w:textDirection w:val="lrTb"/>
            <w:noWrap w:val="false"/>
          </w:tcPr>
          <w:p>
            <w:pPr>
              <w:pStyle w:val="1160"/>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vMerge w:val="continue"/>
            <w:textDirection w:val="lrTb"/>
            <w:noWrap w:val="false"/>
          </w:tcPr>
          <w:p>
            <w:pPr>
              <w:pStyle w:val="1160"/>
              <w:jc w:val="left"/>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160"/>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160"/>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160"/>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160"/>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160"/>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160"/>
              <w:jc w:val="center"/>
              <w:spacing w:line="360" w:lineRule="auto"/>
              <w:widowControl/>
              <w:rPr>
                <w:rFonts w:ascii="宋体" w:hAnsi="宋体" w:cs="Arial"/>
                <w:b/>
                <w:bCs/>
                <w:color w:val="000000"/>
                <w:sz w:val="24"/>
                <w:highlight w:val="none"/>
              </w:rPr>
              <w:outlineLvl w:val="9"/>
            </w:pPr>
            <w:r>
              <w:rPr>
                <w:rFonts w:ascii="宋体" w:hAnsi="宋体" w:cs="Arial"/>
                <w:b/>
                <w:bCs/>
                <w:color w:val="000000"/>
                <w:sz w:val="24"/>
                <w:highlight w:val="none"/>
              </w:rPr>
            </w:r>
            <w:r/>
          </w:p>
        </w:tc>
        <w:tc>
          <w:tcPr>
            <w:tcW w:w="780"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337"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799"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3"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618"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919"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c>
          <w:tcPr>
            <w:tcW w:w="1072" w:type="dxa"/>
            <w:vAlign w:val="center"/>
            <w:textDirection w:val="lrTb"/>
            <w:noWrap w:val="false"/>
          </w:tcPr>
          <w:p>
            <w:pPr>
              <w:pStyle w:val="1160"/>
              <w:jc w:val="center"/>
              <w:spacing w:line="360" w:lineRule="auto"/>
              <w:widowControl/>
              <w:rPr>
                <w:rFonts w:ascii="宋体" w:hAnsi="宋体" w:cs="Arial"/>
                <w:color w:val="000000"/>
                <w:sz w:val="24"/>
                <w:highlight w:val="none"/>
              </w:rPr>
              <w:outlineLvl w:val="9"/>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160"/>
              <w:jc w:val="both"/>
              <w:spacing w:line="360" w:lineRule="auto"/>
              <w:widowControl/>
              <w:rPr>
                <w:rFonts w:ascii="宋体" w:hAnsi="宋体" w:cs="Arial"/>
                <w:color w:val="000000"/>
                <w:sz w:val="24"/>
                <w:highlight w:val="none"/>
              </w:rPr>
              <w:outlineLvl w:val="9"/>
            </w:pPr>
            <w:r>
              <w:rPr>
                <w:rFonts w:hint="eastAsia" w:ascii="宋体" w:hAnsi="宋体" w:eastAsia="宋体" w:cs="Arial"/>
                <w:b/>
                <w:bCs/>
                <w:color w:val="000000"/>
                <w:sz w:val="24"/>
                <w:highlight w:val="none"/>
                <w:lang w:val="en-US" w:eastAsia="zh-CN"/>
              </w:rPr>
              <w:t xml:space="preserve">注：</w:t>
            </w:r>
            <w:r>
              <w:rPr>
                <w:rFonts w:hint="eastAsia" w:ascii="宋体" w:hAnsi="宋体" w:eastAsia="宋体" w:cs="Arial"/>
                <w:b/>
                <w:bCs/>
                <w:color w:val="000000"/>
                <w:sz w:val="24"/>
                <w:highlight w:val="none"/>
              </w:rPr>
              <w:t xml:space="preserve">本采购包中提供的符合本国产品标准的产品成本之和占该采购包提供的全部产品成本之和的比例为</w:t>
            </w:r>
            <w:r>
              <w:rPr>
                <w:rFonts w:hint="eastAsia" w:ascii="宋体" w:hAnsi="宋体" w:eastAsia="宋体" w:cs="Arial"/>
                <w:b/>
                <w:bCs/>
                <w:color w:val="000000"/>
                <w:sz w:val="24"/>
                <w:highlight w:val="none"/>
                <w:u w:val="single"/>
                <w:lang w:val="en-US" w:eastAsia="zh-CN"/>
              </w:rPr>
              <w:t xml:space="preserve">      </w:t>
            </w:r>
            <w:r>
              <w:rPr>
                <w:rFonts w:hint="eastAsia" w:ascii="宋体" w:hAnsi="宋体" w:eastAsia="宋体" w:cs="Arial"/>
                <w:b/>
                <w:bCs/>
                <w:color w:val="000000"/>
                <w:sz w:val="24"/>
                <w:highlight w:val="none"/>
              </w:rPr>
              <w:t xml:space="preserve">%。</w:t>
            </w:r>
            <w:r>
              <w:rPr>
                <w:rFonts w:ascii="宋体" w:hAnsi="宋体" w:cs="Arial"/>
                <w:color w:val="000000"/>
                <w:sz w:val="24"/>
                <w:highlight w:val="none"/>
              </w:rPr>
            </w:r>
            <w:r/>
          </w:p>
        </w:tc>
      </w:tr>
    </w:tbl>
    <w:p>
      <w:pPr>
        <w:pStyle w:val="1160"/>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1160"/>
        <w:ind w:firstLine="480"/>
        <w:jc w:val="left"/>
        <w:shd w:val="clear" w:color="auto" w:fill="auto"/>
        <w:tabs>
          <w:tab w:val="left" w:pos="1800" w:leader="none"/>
          <w:tab w:val="left" w:pos="5580" w:leader="none"/>
        </w:tabs>
        <w:rPr>
          <w:rFonts w:hint="eastAsia"/>
          <w:color w:val="000000"/>
          <w:sz w:val="24"/>
          <w:highlight w:val="none"/>
        </w:rPr>
      </w:pPr>
      <w:r>
        <w:rPr>
          <w:rFonts w:hint="eastAsia"/>
          <w:color w:val="000000"/>
          <w:sz w:val="24"/>
          <w:highlight w:val="none"/>
        </w:rPr>
        <w:t xml:space="preserve">注：1.如果不提供分项报价将视为没有实质性响应招标文件。</w:t>
      </w:r>
      <w:r>
        <w:rPr>
          <w:rFonts w:hint="eastAsia"/>
          <w:color w:val="000000"/>
          <w:sz w:val="24"/>
          <w:highlight w:val="none"/>
        </w:rPr>
      </w:r>
      <w:r/>
    </w:p>
    <w:p>
      <w:pPr>
        <w:pStyle w:val="1160"/>
        <w:ind w:firstLine="480"/>
        <w:jc w:val="left"/>
        <w:shd w:val="clear" w:color="auto" w:fill="auto"/>
        <w:tabs>
          <w:tab w:val="left" w:pos="1800" w:leader="none"/>
          <w:tab w:val="left" w:pos="5580" w:leader="none"/>
        </w:tabs>
        <w:rPr>
          <w:rFonts w:hint="eastAsia"/>
          <w:color w:val="000000"/>
          <w:sz w:val="24"/>
          <w:highlight w:val="none"/>
        </w:rPr>
      </w:pPr>
      <w:r>
        <w:rPr>
          <w:rFonts w:hint="eastAsia"/>
          <w:color w:val="000000"/>
          <w:sz w:val="24"/>
          <w:highlight w:val="none"/>
        </w:rPr>
        <w:t xml:space="preserve">2.本表行数可以按照项目分项情况增加。</w:t>
      </w:r>
      <w:r>
        <w:rPr>
          <w:rFonts w:hint="eastAsia"/>
          <w:color w:val="000000"/>
          <w:sz w:val="24"/>
          <w:highlight w:val="none"/>
        </w:rPr>
      </w:r>
      <w:r/>
    </w:p>
    <w:p>
      <w:pPr>
        <w:pStyle w:val="1160"/>
        <w:ind w:firstLine="480"/>
        <w:jc w:val="left"/>
        <w:shd w:val="clear" w:color="auto" w:fill="auto"/>
        <w:tabs>
          <w:tab w:val="left" w:pos="1800" w:leader="none"/>
          <w:tab w:val="left" w:pos="5580" w:leader="none"/>
        </w:tabs>
        <w:rPr>
          <w:rFonts w:hint="eastAsia"/>
          <w:color w:val="000000"/>
          <w:sz w:val="24"/>
          <w:highlight w:val="none"/>
        </w:rPr>
      </w:pPr>
      <w:r>
        <w:rPr>
          <w:rFonts w:hint="eastAsia"/>
          <w:color w:val="000000"/>
          <w:sz w:val="24"/>
          <w:highlight w:val="none"/>
        </w:rPr>
        <w:t xml:space="preserve">3.上述各项的详细规格、技术参数如表格中填写不下的，可以逐项另页描述。</w:t>
      </w:r>
      <w:r>
        <w:rPr>
          <w:rFonts w:hint="eastAsia"/>
          <w:color w:val="000000"/>
          <w:sz w:val="24"/>
          <w:highlight w:val="none"/>
        </w:rPr>
      </w:r>
      <w:r/>
    </w:p>
    <w:p>
      <w:pPr>
        <w:pStyle w:val="1160"/>
        <w:ind w:firstLine="480"/>
        <w:jc w:val="left"/>
        <w:shd w:val="clear" w:color="auto" w:fill="auto"/>
        <w:tabs>
          <w:tab w:val="left" w:pos="1800" w:leader="none"/>
          <w:tab w:val="left" w:pos="5580" w:leader="none"/>
        </w:tabs>
        <w:rPr>
          <w:rFonts w:hint="eastAsia"/>
          <w:color w:val="000000"/>
          <w:sz w:val="24"/>
          <w:highlight w:val="none"/>
        </w:rPr>
      </w:pPr>
      <w:r>
        <w:rPr>
          <w:rFonts w:hint="eastAsia"/>
          <w:color w:val="000000"/>
          <w:sz w:val="24"/>
          <w:highlight w:val="none"/>
        </w:rPr>
        <w:t xml:space="preserve">4.本采购包中含有多种产品时，投标人未填写本采购包中提供的符合本国产品标准的产</w:t>
      </w:r>
      <w:r>
        <w:rPr>
          <w:rFonts w:hint="eastAsia"/>
          <w:color w:val="000000"/>
          <w:sz w:val="24"/>
          <w:highlight w:val="none"/>
        </w:rPr>
      </w:r>
      <w:r/>
    </w:p>
    <w:p>
      <w:pPr>
        <w:pStyle w:val="1160"/>
        <w:ind w:firstLine="480"/>
        <w:jc w:val="left"/>
        <w:shd w:val="clear" w:color="auto" w:fill="auto"/>
        <w:tabs>
          <w:tab w:val="left" w:pos="1800" w:leader="none"/>
          <w:tab w:val="left" w:pos="5580" w:leader="none"/>
        </w:tabs>
        <w:rPr>
          <w:rFonts w:hint="eastAsia"/>
          <w:color w:val="000000"/>
          <w:sz w:val="24"/>
          <w:highlight w:val="none"/>
        </w:rPr>
      </w:pPr>
      <w:r>
        <w:rPr>
          <w:rFonts w:hint="eastAsia"/>
          <w:color w:val="000000"/>
          <w:sz w:val="24"/>
          <w:highlight w:val="none"/>
        </w:rPr>
        <w:t xml:space="preserve">品成本之和占该采购包提供的全部产品成本之和的比例数值的，或比例数值未达到80%的，将不享受本国产品价格评审优惠。</w:t>
      </w:r>
      <w:r>
        <w:rPr>
          <w:rFonts w:hint="eastAsia"/>
          <w:color w:val="000000"/>
          <w:sz w:val="24"/>
          <w:highlight w:val="none"/>
        </w:rPr>
      </w:r>
      <w:r/>
    </w:p>
    <w:p>
      <w:pPr>
        <w:pStyle w:val="1160"/>
        <w:ind w:firstLine="480"/>
        <w:jc w:val="left"/>
        <w:shd w:val="clear" w:color="auto" w:fill="auto"/>
        <w:tabs>
          <w:tab w:val="left" w:pos="1800" w:leader="none"/>
          <w:tab w:val="left" w:pos="5580" w:leader="none"/>
        </w:tabs>
        <w:rPr>
          <w:rFonts w:hint="eastAsia"/>
          <w:color w:val="000000"/>
          <w:sz w:val="24"/>
          <w:highlight w:val="none"/>
        </w:rPr>
      </w:pPr>
      <w:r>
        <w:rPr>
          <w:rFonts w:hint="eastAsia"/>
          <w:color w:val="000000"/>
          <w:sz w:val="24"/>
          <w:highlight w:val="none"/>
        </w:rPr>
        <w:t xml:space="preserve">5.价格扣除优惠，仅适用于采购活动中实际存在非本国产品参与竞争的情形。如果所有</w:t>
      </w:r>
      <w:r>
        <w:rPr>
          <w:rFonts w:hint="eastAsia"/>
          <w:color w:val="000000"/>
          <w:sz w:val="24"/>
          <w:highlight w:val="none"/>
        </w:rPr>
      </w:r>
      <w:r/>
    </w:p>
    <w:p>
      <w:pPr>
        <w:pStyle w:val="1160"/>
        <w:ind w:firstLine="480"/>
        <w:jc w:val="left"/>
        <w:shd w:val="clear" w:color="auto" w:fill="auto"/>
        <w:tabs>
          <w:tab w:val="left" w:pos="1800" w:leader="none"/>
          <w:tab w:val="left" w:pos="5580" w:leader="none"/>
        </w:tabs>
        <w:rPr>
          <w:color w:val="000000"/>
          <w:sz w:val="24"/>
          <w:highlight w:val="none"/>
        </w:rPr>
      </w:pPr>
      <w:r>
        <w:rPr>
          <w:rFonts w:hint="eastAsia"/>
          <w:color w:val="000000"/>
          <w:sz w:val="24"/>
          <w:highlight w:val="none"/>
        </w:rPr>
        <w:t xml:space="preserve">有效投标人提供的产品均为本国产品（即不存在非本国产品竞争），则不执行本国产品的价格扣除政策。</w:t>
      </w:r>
      <w:r>
        <w:rPr>
          <w:color w:val="000000"/>
          <w:sz w:val="24"/>
          <w:highlight w:val="none"/>
        </w:rPr>
      </w:r>
      <w:r/>
    </w:p>
    <w:p>
      <w:pPr>
        <w:pStyle w:val="1160"/>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160"/>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60"/>
        <w:spacing w:line="360" w:lineRule="auto"/>
        <w:shd w:val="clear" w:color="auto" w:fill="auto"/>
        <w:rPr>
          <w:color w:val="000000"/>
          <w:sz w:val="24"/>
          <w:szCs w:val="20"/>
          <w:highlight w:val="none"/>
        </w:rPr>
      </w:pPr>
      <w:r>
        <w:rPr>
          <w:color w:val="000000"/>
          <w:sz w:val="24"/>
          <w:szCs w:val="20"/>
          <w:highlight w:val="none"/>
        </w:rPr>
        <w:br w:type="page" w:clear="all"/>
      </w:r>
      <w:bookmarkStart w:id="783" w:name="_Toc150480798"/>
      <w:r/>
      <w:bookmarkStart w:id="784" w:name="_Toc305158830"/>
      <w:r/>
      <w:bookmarkStart w:id="785" w:name="_Toc226309806"/>
      <w:r/>
      <w:bookmarkStart w:id="786" w:name="_Toc226337258"/>
      <w:r/>
      <w:bookmarkStart w:id="787" w:name="_Toc142311062"/>
      <w:r/>
      <w:bookmarkStart w:id="788" w:name="_Toc127151562"/>
      <w:r/>
      <w:bookmarkStart w:id="789" w:name="_Toc150774765"/>
      <w:r/>
      <w:bookmarkStart w:id="790" w:name="_Toc305158904"/>
      <w:r/>
      <w:bookmarkStart w:id="791" w:name="_Toc264969252"/>
      <w:r/>
      <w:bookmarkStart w:id="792" w:name="_Toc195842927"/>
      <w:r/>
      <w:bookmarkStart w:id="793" w:name="_Toc265228400"/>
      <w:r/>
      <w:bookmarkStart w:id="794" w:name="_Toc226965752"/>
      <w:r/>
      <w:bookmarkStart w:id="795" w:name="_Toc226965835"/>
      <w:r/>
      <w:bookmarkStart w:id="796" w:name="_Toc226309805"/>
      <w:r/>
      <w:bookmarkStart w:id="797" w:name="_Toc226337257"/>
      <w:r/>
      <w:bookmarkStart w:id="798" w:name="_Toc226965834"/>
      <w:r/>
      <w:bookmarkStart w:id="799" w:name="_Toc142311061"/>
      <w:r/>
      <w:bookmarkStart w:id="800" w:name="_Toc226965751"/>
      <w:r/>
      <w:bookmarkStart w:id="801" w:name="_Toc305158829"/>
      <w:r/>
      <w:bookmarkStart w:id="802" w:name="_Toc265228399"/>
      <w:r/>
      <w:bookmarkStart w:id="803" w:name="_Toc264969251"/>
      <w:r/>
      <w:bookmarkStart w:id="804" w:name="_Toc195842926"/>
      <w:r/>
      <w:bookmarkStart w:id="805" w:name="_Toc127151561"/>
      <w:r/>
      <w:bookmarkStart w:id="806" w:name="_Toc305158903"/>
      <w:r/>
      <w:bookmarkStart w:id="807" w:name="_Toc150480797"/>
      <w:r/>
      <w:bookmarkStart w:id="808" w:name="_Toc150774764"/>
      <w:r>
        <w:rPr>
          <w:rFonts w:hint="eastAsia"/>
          <w:color w:val="000000"/>
          <w:sz w:val="24"/>
          <w:szCs w:val="20"/>
          <w:highlight w:val="none"/>
          <w:lang w:val="en-US" w:eastAsia="zh-CN"/>
        </w:rPr>
        <w:t xml:space="preserve">6</w:t>
      </w:r>
      <w:r>
        <w:rPr>
          <w:color w:val="000000"/>
          <w:sz w:val="24"/>
          <w:szCs w:val="20"/>
          <w:highlight w:val="none"/>
        </w:rPr>
        <w:t xml:space="preserve">  合同条款偏离表</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rPr>
          <w:color w:val="000000"/>
          <w:sz w:val="24"/>
          <w:szCs w:val="20"/>
          <w:highlight w:val="none"/>
        </w:rPr>
        <w:t xml:space="preserve">（实质性格式）</w:t>
      </w:r>
      <w:r>
        <w:rPr>
          <w:color w:val="000000"/>
          <w:sz w:val="24"/>
          <w:szCs w:val="20"/>
          <w:highlight w:val="none"/>
        </w:rPr>
      </w:r>
      <w:r/>
    </w:p>
    <w:p>
      <w:pPr>
        <w:pStyle w:val="1160"/>
        <w:spacing w:line="360" w:lineRule="auto"/>
        <w:shd w:val="clear" w:color="auto" w:fill="auto"/>
        <w:rPr>
          <w:color w:val="000000"/>
          <w:sz w:val="24"/>
          <w:szCs w:val="20"/>
          <w:highlight w:val="none"/>
        </w:rPr>
      </w:pPr>
      <w:r>
        <w:rPr>
          <w:color w:val="000000"/>
          <w:sz w:val="24"/>
          <w:szCs w:val="20"/>
          <w:highlight w:val="none"/>
        </w:rPr>
      </w:r>
      <w:r/>
    </w:p>
    <w:p>
      <w:pPr>
        <w:pStyle w:val="1160"/>
        <w:jc w:val="center"/>
        <w:spacing w:line="360" w:lineRule="auto"/>
        <w:shd w:val="clear" w:color="auto" w:fill="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160"/>
        <w:spacing w:line="360" w:lineRule="auto"/>
        <w:shd w:val="clear" w:color="auto" w:fill="auto"/>
        <w:rPr>
          <w:color w:val="000000"/>
          <w:sz w:val="24"/>
          <w:szCs w:val="20"/>
          <w:highlight w:val="none"/>
        </w:rPr>
      </w:pPr>
      <w:r>
        <w:rPr>
          <w:color w:val="000000"/>
          <w:sz w:val="24"/>
          <w:szCs w:val="20"/>
          <w:highlight w:val="none"/>
        </w:rPr>
      </w:r>
      <w:r/>
    </w:p>
    <w:p>
      <w:pPr>
        <w:pStyle w:val="1160"/>
        <w:ind w:firstLine="360"/>
        <w:jc w:val="left"/>
        <w:spacing w:line="360" w:lineRule="auto"/>
        <w:shd w:val="clear" w:color="auto" w:fill="auto"/>
        <w:tabs>
          <w:tab w:val="left" w:pos="1800" w:leader="none"/>
          <w:tab w:val="left" w:pos="5580" w:leader="none"/>
        </w:tabs>
        <w:rPr>
          <w:color w:val="000000"/>
          <w:sz w:val="24"/>
          <w:highlight w:val="none"/>
        </w:rPr>
      </w:pPr>
      <w:r>
        <w:rPr>
          <w:color w:val="000000"/>
          <w:sz w:val="24"/>
          <w:highlight w:val="none"/>
        </w:rPr>
        <w:t xml:space="preserve">项目编号：_____________________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160"/>
              <w:jc w:val="left"/>
              <w:shd w:val="clear" w:color="auto" w:fill="auto"/>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1160"/>
              <w:jc w:val="left"/>
              <w:shd w:val="clear" w:color="auto" w:fill="auto"/>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160"/>
              <w:jc w:val="left"/>
              <w:shd w:val="clear" w:color="auto" w:fill="auto"/>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2"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t xml:space="preserve">序号</w:t>
            </w:r>
            <w:r>
              <w:rPr>
                <w:color w:val="000000"/>
                <w:sz w:val="24"/>
                <w:highlight w:val="none"/>
              </w:rPr>
            </w:r>
            <w:r/>
          </w:p>
        </w:tc>
        <w:tc>
          <w:tcPr>
            <w:tcW w:w="1290" w:type="dxa"/>
            <w:vAlign w:val="center"/>
            <w:textDirection w:val="lrTb"/>
            <w:noWrap w:val="false"/>
          </w:tcPr>
          <w:p>
            <w:pPr>
              <w:pStyle w:val="1160"/>
              <w:jc w:val="center"/>
              <w:shd w:val="clear" w:color="auto" w:fill="auto"/>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1980" w:type="dxa"/>
            <w:vAlign w:val="center"/>
            <w:textDirection w:val="lrTb"/>
            <w:noWrap w:val="false"/>
          </w:tcPr>
          <w:p>
            <w:pPr>
              <w:pStyle w:val="1160"/>
              <w:jc w:val="center"/>
              <w:shd w:val="clear" w:color="auto" w:fill="auto"/>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1981"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t xml:space="preserve">投标文件内容</w:t>
            </w:r>
            <w:r>
              <w:rPr>
                <w:color w:val="000000"/>
                <w:sz w:val="24"/>
                <w:highlight w:val="none"/>
              </w:rPr>
            </w:r>
            <w:r/>
          </w:p>
        </w:tc>
        <w:tc>
          <w:tcPr>
            <w:tcW w:w="2423"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t xml:space="preserve">偏离情况</w:t>
            </w:r>
            <w:r>
              <w:rPr>
                <w:color w:val="000000"/>
                <w:sz w:val="24"/>
                <w:highlight w:val="none"/>
              </w:rPr>
            </w:r>
            <w:r/>
          </w:p>
        </w:tc>
        <w:tc>
          <w:tcPr>
            <w:tcW w:w="782"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2"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290"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980"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981"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2423"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782"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290"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980"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981"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2423"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782"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290"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980"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981"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2423"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782"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r>
      <w:tr>
        <w:trPr>
          <w:trHeight w:val="930"/>
        </w:trPr>
        <w:tc>
          <w:tcPr>
            <w:tcW w:w="832"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t xml:space="preserve">……</w:t>
            </w:r>
            <w:r>
              <w:rPr>
                <w:color w:val="000000"/>
                <w:sz w:val="24"/>
                <w:highlight w:val="none"/>
              </w:rPr>
            </w:r>
            <w:r/>
          </w:p>
        </w:tc>
        <w:tc>
          <w:tcPr>
            <w:tcW w:w="1290"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980"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981"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2423"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782"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r>
    </w:tbl>
    <w:p>
      <w:pPr>
        <w:pStyle w:val="1160"/>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1160"/>
        <w:jc w:val="left"/>
        <w:shd w:val="clear" w:color="auto" w:fill="auto"/>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160"/>
        <w:jc w:val="left"/>
        <w:shd w:val="clear" w:color="auto" w:fill="auto"/>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160"/>
        <w:jc w:val="left"/>
        <w:shd w:val="clear" w:color="auto" w:fill="auto"/>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填写“正偏离”或“负偏离”。</w:t>
      </w:r>
      <w:r>
        <w:rPr>
          <w:color w:val="000000"/>
          <w:sz w:val="24"/>
          <w:highlight w:val="none"/>
        </w:rPr>
      </w:r>
      <w:r/>
    </w:p>
    <w:p>
      <w:pPr>
        <w:pStyle w:val="1160"/>
        <w:spacing w:line="360" w:lineRule="auto"/>
        <w:shd w:val="clear" w:color="auto" w:fill="auto"/>
        <w:rPr>
          <w:color w:val="000000"/>
          <w:sz w:val="24"/>
          <w:szCs w:val="20"/>
          <w:highlight w:val="none"/>
        </w:rPr>
      </w:pPr>
      <w:r>
        <w:rPr>
          <w:color w:val="000000"/>
          <w:sz w:val="24"/>
          <w:szCs w:val="20"/>
          <w:highlight w:val="none"/>
        </w:rPr>
      </w:r>
      <w:r/>
    </w:p>
    <w:p>
      <w:pPr>
        <w:pStyle w:val="1160"/>
        <w:spacing w:before="25" w:after="25" w:line="360" w:lineRule="auto"/>
        <w:shd w:val="clear" w:color="auto" w:fill="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160"/>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60"/>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60"/>
        <w:spacing w:line="360" w:lineRule="auto"/>
        <w:shd w:val="clear" w:color="auto" w:fill="auto"/>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w:t>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rPr>
          <w:color w:val="000000"/>
          <w:sz w:val="24"/>
          <w:szCs w:val="20"/>
          <w:highlight w:val="none"/>
        </w:rPr>
        <w:t xml:space="preserve">采购需求偏离表（实质性格式）</w:t>
      </w:r>
      <w:r>
        <w:rPr>
          <w:color w:val="000000"/>
          <w:sz w:val="24"/>
          <w:szCs w:val="20"/>
          <w:highlight w:val="none"/>
        </w:rPr>
      </w:r>
      <w:r/>
    </w:p>
    <w:p>
      <w:pPr>
        <w:pStyle w:val="1160"/>
        <w:jc w:val="center"/>
        <w:spacing w:line="360" w:lineRule="auto"/>
        <w:shd w:val="clear" w:color="auto" w:fill="auto"/>
        <w:rPr>
          <w:rFonts w:hint="eastAsia"/>
          <w:b/>
          <w:color w:val="000000"/>
          <w:sz w:val="36"/>
          <w:szCs w:val="36"/>
          <w:highlight w:val="none"/>
        </w:rPr>
      </w:pPr>
      <w:r>
        <w:rPr>
          <w:rFonts w:hint="eastAsia"/>
          <w:b/>
          <w:color w:val="000000"/>
          <w:sz w:val="36"/>
          <w:szCs w:val="36"/>
          <w:highlight w:val="none"/>
        </w:rPr>
      </w:r>
      <w:r/>
    </w:p>
    <w:p>
      <w:pPr>
        <w:pStyle w:val="1160"/>
        <w:jc w:val="center"/>
        <w:spacing w:line="360" w:lineRule="auto"/>
        <w:shd w:val="clear" w:color="auto" w:fill="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160"/>
        <w:ind w:firstLine="360"/>
        <w:jc w:val="left"/>
        <w:spacing w:line="360" w:lineRule="auto"/>
        <w:shd w:val="clear" w:color="auto" w:fill="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482"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2384"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2126"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875"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009"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482"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2384"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2126"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875"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009"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482"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2384"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2126"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875"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009"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482"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2384"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2126"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875"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009"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482"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2384"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2126"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875"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009"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2384"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2126"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875"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c>
          <w:tcPr>
            <w:tcW w:w="1009" w:type="dxa"/>
            <w:vAlign w:val="center"/>
            <w:textDirection w:val="lrTb"/>
            <w:noWrap w:val="false"/>
          </w:tcPr>
          <w:p>
            <w:pPr>
              <w:pStyle w:val="1160"/>
              <w:jc w:val="center"/>
              <w:shd w:val="clear" w:color="auto" w:fill="auto"/>
              <w:rPr>
                <w:color w:val="000000"/>
                <w:sz w:val="24"/>
                <w:highlight w:val="none"/>
              </w:rPr>
            </w:pPr>
            <w:r>
              <w:rPr>
                <w:color w:val="000000"/>
                <w:sz w:val="24"/>
                <w:highlight w:val="none"/>
              </w:rPr>
            </w:r>
            <w:r/>
          </w:p>
        </w:tc>
      </w:tr>
    </w:tbl>
    <w:p>
      <w:pPr>
        <w:pStyle w:val="1160"/>
        <w:ind w:firstLine="360"/>
        <w:jc w:val="left"/>
        <w:spacing w:line="360" w:lineRule="auto"/>
        <w:shd w:val="clear" w:color="auto" w:fill="auto"/>
        <w:tabs>
          <w:tab w:val="left" w:pos="1800" w:leader="none"/>
          <w:tab w:val="left" w:pos="5580" w:leader="none"/>
        </w:tabs>
        <w:rPr>
          <w:color w:val="000000"/>
          <w:sz w:val="24"/>
          <w:highlight w:val="none"/>
          <w:u w:val="single"/>
        </w:rPr>
      </w:pPr>
      <w:r>
        <w:rPr>
          <w:color w:val="000000"/>
          <w:sz w:val="24"/>
          <w:highlight w:val="none"/>
          <w:u w:val="single"/>
        </w:rPr>
      </w:r>
      <w:r/>
    </w:p>
    <w:p>
      <w:pPr>
        <w:pStyle w:val="1160"/>
        <w:jc w:val="left"/>
        <w:shd w:val="clear" w:color="auto" w:fill="auto"/>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160"/>
        <w:jc w:val="left"/>
        <w:shd w:val="clear" w:color="auto" w:fill="auto"/>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此表中若无任何文字说明，内容为空白，</w:t>
      </w:r>
      <w:r>
        <w:rPr>
          <w:rFonts w:hint="eastAsia"/>
          <w:b/>
          <w:color w:val="000000"/>
          <w:sz w:val="24"/>
          <w:highlight w:val="none"/>
        </w:rPr>
        <w:t xml:space="preserve">投标无效。</w:t>
      </w:r>
      <w:r>
        <w:rPr>
          <w:color w:val="000000"/>
          <w:sz w:val="24"/>
          <w:highlight w:val="none"/>
        </w:rPr>
      </w:r>
      <w:r/>
    </w:p>
    <w:p>
      <w:pPr>
        <w:pStyle w:val="1160"/>
        <w:jc w:val="left"/>
        <w:shd w:val="clear" w:color="auto" w:fill="auto"/>
        <w:tabs>
          <w:tab w:val="left" w:pos="1800" w:leader="none"/>
          <w:tab w:val="left" w:pos="5580" w:leader="none"/>
        </w:tabs>
        <w:rPr>
          <w:rFonts w:hint="eastAsia"/>
          <w:color w:val="000000"/>
          <w:sz w:val="24"/>
          <w:highlight w:val="none"/>
        </w:rPr>
      </w:pPr>
      <w:r>
        <w:rPr>
          <w:rFonts w:hint="eastAsia"/>
          <w:color w:val="000000"/>
          <w:sz w:val="24"/>
          <w:highlight w:val="none"/>
        </w:rPr>
        <w:t xml:space="preserve">2.“偏离情况”列应据实填写“正偏离”、“负偏离”，若不存在偏离情况，只需在此表中填写“无偏离”。</w:t>
      </w:r>
      <w:r>
        <w:rPr>
          <w:rFonts w:hint="eastAsia"/>
          <w:color w:val="000000"/>
          <w:sz w:val="24"/>
          <w:highlight w:val="none"/>
        </w:rPr>
      </w:r>
      <w:r/>
    </w:p>
    <w:p>
      <w:pPr>
        <w:pStyle w:val="1160"/>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1160"/>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1160"/>
        <w:shd w:val="clear" w:color="auto" w:fill="auto"/>
        <w:rPr>
          <w:color w:val="000000"/>
          <w:sz w:val="24"/>
          <w:szCs w:val="20"/>
          <w:highlight w:val="none"/>
        </w:rPr>
      </w:pPr>
      <w:r>
        <w:rPr>
          <w:color w:val="000000"/>
          <w:sz w:val="24"/>
          <w:szCs w:val="20"/>
          <w:highlight w:val="none"/>
        </w:rPr>
      </w:r>
      <w:r/>
    </w:p>
    <w:p>
      <w:pPr>
        <w:pStyle w:val="1160"/>
        <w:spacing w:before="25" w:after="25" w:line="360" w:lineRule="auto"/>
        <w:shd w:val="clear" w:color="auto" w:fill="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160"/>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60"/>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60"/>
        <w:rPr>
          <w:rFonts w:hint="eastAsia"/>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8</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rFonts w:hint="eastAsia"/>
          <w:color w:val="000000"/>
          <w:sz w:val="24"/>
          <w:szCs w:val="20"/>
          <w:highlight w:val="none"/>
        </w:rPr>
      </w:r>
      <w:r/>
    </w:p>
    <w:p>
      <w:pPr>
        <w:pStyle w:val="1193"/>
        <w:ind w:firstLine="0"/>
        <w:shd w:val="clear" w:color="auto" w:fill="auto"/>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1）</w:t>
      </w:r>
      <w:r>
        <w:rPr>
          <w:rFonts w:hint="eastAsia" w:ascii="Times New Roman" w:hAnsi="Times New Roman" w:eastAsia="宋体" w:cs="Times New Roman"/>
          <w:color w:val="000000"/>
          <w:highlight w:val="none"/>
          <w:lang w:eastAsia="zh-CN"/>
        </w:rPr>
        <w:t xml:space="preserve">项目实施方案</w:t>
      </w:r>
      <w:r>
        <w:rPr>
          <w:rFonts w:hint="eastAsia" w:ascii="Times New Roman" w:hAnsi="Times New Roman" w:eastAsia="宋体" w:cs="Times New Roman"/>
          <w:color w:val="000000"/>
          <w:highlight w:val="none"/>
          <w:lang w:eastAsia="zh-CN"/>
        </w:rPr>
      </w:r>
      <w:r/>
    </w:p>
    <w:p>
      <w:pPr>
        <w:pStyle w:val="1193"/>
        <w:ind w:firstLine="0"/>
        <w:shd w:val="clear" w:color="auto" w:fill="auto"/>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2）进度及</w:t>
      </w:r>
      <w:r>
        <w:rPr>
          <w:rFonts w:hint="eastAsia" w:ascii="Times New Roman" w:hAnsi="Times New Roman" w:eastAsia="宋体" w:cs="Times New Roman"/>
          <w:color w:val="000000"/>
          <w:highlight w:val="none"/>
          <w:lang w:eastAsia="zh-CN"/>
        </w:rPr>
        <w:t xml:space="preserve">质量保障措施</w:t>
      </w:r>
      <w:r>
        <w:rPr>
          <w:rFonts w:hint="eastAsia" w:ascii="Times New Roman" w:hAnsi="Times New Roman" w:eastAsia="宋体" w:cs="Times New Roman"/>
          <w:color w:val="000000"/>
          <w:highlight w:val="none"/>
          <w:lang w:eastAsia="zh-CN"/>
        </w:rPr>
      </w:r>
      <w:r/>
    </w:p>
    <w:p>
      <w:pPr>
        <w:pStyle w:val="1193"/>
        <w:ind w:firstLine="0"/>
        <w:shd w:val="clear" w:color="auto" w:fill="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3）</w:t>
      </w:r>
      <w:r>
        <w:rPr>
          <w:rFonts w:hint="eastAsia" w:ascii="Times New Roman" w:hAnsi="Times New Roman" w:eastAsia="宋体" w:cs="Times New Roman"/>
          <w:color w:val="000000"/>
          <w:highlight w:val="none"/>
          <w:lang w:eastAsia="zh-CN"/>
        </w:rPr>
        <w:t xml:space="preserve">售后服务方案</w:t>
      </w:r>
      <w:r>
        <w:rPr>
          <w:rFonts w:hint="eastAsia" w:ascii="Times New Roman" w:hAnsi="Times New Roman" w:eastAsia="宋体" w:cs="Times New Roman"/>
          <w:color w:val="000000"/>
          <w:highlight w:val="none"/>
        </w:rPr>
      </w:r>
      <w:r/>
    </w:p>
    <w:p>
      <w:pPr>
        <w:pStyle w:val="1193"/>
        <w:ind w:firstLine="0"/>
        <w:shd w:val="clear" w:color="auto" w:fill="auto"/>
        <w:rPr>
          <w:color w:val="000000"/>
          <w:sz w:val="24"/>
          <w:szCs w:val="20"/>
          <w:highlight w:val="none"/>
        </w:rPr>
      </w:pPr>
      <w:r>
        <w:rPr>
          <w:rFonts w:hint="eastAsia" w:ascii="Times New Roman" w:hAnsi="Times New Roman" w:eastAsia="宋体" w:cs="Times New Roman"/>
          <w:color w:val="000000"/>
          <w:highlight w:val="none"/>
        </w:rPr>
        <w:br w:type="page" w:clear="all"/>
      </w:r>
      <w:r>
        <w:rPr>
          <w:rFonts w:hint="eastAsia"/>
          <w:color w:val="000000"/>
          <w:sz w:val="24"/>
          <w:szCs w:val="20"/>
          <w:highlight w:val="none"/>
          <w:lang w:val="en-US" w:eastAsia="zh-CN"/>
        </w:rPr>
        <w:t xml:space="preserve">9</w:t>
      </w:r>
      <w:r>
        <w:rPr>
          <w:rFonts w:hint="eastAsia"/>
          <w:color w:val="000000"/>
          <w:sz w:val="24"/>
          <w:szCs w:val="20"/>
          <w:highlight w:val="none"/>
        </w:rPr>
        <w:t xml:space="preserve"> 参加本项目人员一览表</w:t>
      </w:r>
      <w:r>
        <w:rPr>
          <w:color w:val="000000"/>
          <w:sz w:val="24"/>
          <w:szCs w:val="20"/>
          <w:highlight w:val="none"/>
        </w:rPr>
      </w:r>
      <w:r/>
    </w:p>
    <w:p>
      <w:pPr>
        <w:pStyle w:val="1160"/>
        <w:jc w:val="center"/>
        <w:spacing w:line="360" w:lineRule="auto"/>
        <w:shd w:val="clear" w:color="auto" w:fill="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60"/>
        <w:jc w:val="center"/>
        <w:spacing w:line="360" w:lineRule="auto"/>
        <w:shd w:val="clear" w:color="auto" w:fill="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160"/>
        <w:spacing w:line="360" w:lineRule="auto"/>
        <w:shd w:val="clear" w:color="auto" w:fill="auto"/>
        <w:rPr>
          <w:rFonts w:ascii="宋体" w:hAnsi="宋体"/>
          <w:color w:val="000000"/>
          <w:sz w:val="22"/>
          <w:highlight w:val="none"/>
        </w:rPr>
      </w:pPr>
      <w:r>
        <w:rPr>
          <w:rFonts w:ascii="宋体" w:hAnsi="宋体"/>
          <w:color w:val="000000"/>
          <w:sz w:val="22"/>
          <w:highlight w:val="none"/>
        </w:rPr>
      </w:r>
      <w:r/>
    </w:p>
    <w:p>
      <w:pPr>
        <w:pStyle w:val="116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tblInd w:w="-5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60"/>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160"/>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160"/>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160"/>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160"/>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160"/>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160"/>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160"/>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160"/>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160"/>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160"/>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160"/>
              <w:jc w:val="center"/>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160"/>
        <w:shd w:val="clear" w:color="auto" w:fill="auto"/>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160"/>
        <w:spacing w:line="360" w:lineRule="auto"/>
        <w:shd w:val="clear" w:color="auto" w:fill="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160"/>
        <w:spacing w:line="360" w:lineRule="auto"/>
        <w:shd w:val="clear" w:color="auto" w:fill="auto"/>
        <w:rPr>
          <w:rFonts w:ascii="宋体" w:hAnsi="宋体"/>
          <w:color w:val="000000"/>
          <w:sz w:val="24"/>
          <w:highlight w:val="none"/>
        </w:rPr>
      </w:pPr>
      <w:r>
        <w:rPr>
          <w:rFonts w:ascii="宋体" w:hAnsi="宋体"/>
          <w:color w:val="000000"/>
          <w:sz w:val="24"/>
          <w:highlight w:val="none"/>
        </w:rPr>
      </w:r>
      <w:r/>
    </w:p>
    <w:p>
      <w:pPr>
        <w:pStyle w:val="1160"/>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60"/>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60"/>
        <w:shd w:val="clear" w:color="auto" w:fill="auto"/>
        <w:rPr>
          <w:color w:val="000000"/>
          <w:sz w:val="24"/>
          <w:szCs w:val="20"/>
          <w:highlight w:val="none"/>
        </w:rPr>
      </w:pPr>
      <w:r>
        <w:rPr>
          <w:color w:val="000000"/>
          <w:sz w:val="22"/>
          <w:highlight w:val="none"/>
        </w:rPr>
        <w:br w:type="page" w:clear="all"/>
      </w:r>
      <w:bookmarkStart w:id="809" w:name="_Toc288738839"/>
      <w:r/>
      <w:bookmarkStart w:id="810" w:name="_Toc288738397"/>
      <w:r>
        <w:rPr>
          <w:rFonts w:hint="eastAsia"/>
          <w:color w:val="000000"/>
          <w:sz w:val="24"/>
          <w:szCs w:val="20"/>
          <w:highlight w:val="none"/>
          <w:lang w:val="en-US" w:eastAsia="zh-CN"/>
        </w:rPr>
        <w:t xml:space="preserve">10</w:t>
      </w:r>
      <w:r>
        <w:rPr>
          <w:rFonts w:hint="eastAsia"/>
          <w:color w:val="000000"/>
          <w:sz w:val="24"/>
          <w:szCs w:val="20"/>
          <w:highlight w:val="none"/>
        </w:rPr>
        <w:t xml:space="preserve">  相关业绩案例一览表</w:t>
      </w:r>
      <w:r>
        <w:rPr>
          <w:color w:val="000000"/>
          <w:sz w:val="24"/>
          <w:szCs w:val="20"/>
          <w:highlight w:val="none"/>
        </w:rPr>
      </w:r>
      <w:r/>
    </w:p>
    <w:p>
      <w:pPr>
        <w:pStyle w:val="1160"/>
        <w:shd w:val="clear" w:color="auto" w:fill="auto"/>
        <w:rPr>
          <w:color w:val="000000"/>
          <w:sz w:val="24"/>
          <w:szCs w:val="20"/>
          <w:highlight w:val="none"/>
        </w:rPr>
      </w:pPr>
      <w:r>
        <w:rPr>
          <w:color w:val="000000"/>
          <w:sz w:val="24"/>
          <w:szCs w:val="20"/>
          <w:highlight w:val="none"/>
        </w:rPr>
      </w:r>
      <w:r/>
    </w:p>
    <w:p>
      <w:pPr>
        <w:pStyle w:val="1160"/>
        <w:jc w:val="center"/>
        <w:shd w:val="clear" w:color="auto" w:fill="auto"/>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809"/>
      <w:r/>
      <w:bookmarkEnd w:id="810"/>
      <w:r>
        <w:rPr>
          <w:rFonts w:ascii="宋体" w:hAnsi="宋体"/>
          <w:b/>
          <w:color w:val="000000"/>
          <w:sz w:val="32"/>
          <w:szCs w:val="32"/>
          <w:highlight w:val="none"/>
        </w:rPr>
      </w:r>
      <w:r/>
    </w:p>
    <w:p>
      <w:pPr>
        <w:pStyle w:val="1160"/>
        <w:jc w:val="center"/>
        <w:spacing w:line="360" w:lineRule="auto"/>
        <w:shd w:val="clear" w:color="auto" w:fill="auto"/>
        <w:rPr>
          <w:rFonts w:ascii="宋体" w:hAnsi="宋体"/>
          <w:b/>
          <w:color w:val="000000"/>
          <w:sz w:val="28"/>
          <w:szCs w:val="30"/>
          <w:highlight w:val="none"/>
        </w:rPr>
      </w:pPr>
      <w:r>
        <w:rPr>
          <w:rFonts w:ascii="宋体" w:hAnsi="宋体"/>
          <w:b/>
          <w:color w:val="000000"/>
          <w:sz w:val="28"/>
          <w:szCs w:val="30"/>
          <w:highlight w:val="none"/>
        </w:rPr>
      </w:r>
      <w:r/>
    </w:p>
    <w:p>
      <w:pPr>
        <w:pStyle w:val="1160"/>
        <w:ind w:firstLine="480"/>
        <w:spacing w:line="360" w:lineRule="auto"/>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60"/>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60"/>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60"/>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60"/>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60"/>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60"/>
              <w:jc w:val="center"/>
              <w:spacing w:line="360" w:lineRule="auto"/>
              <w:shd w:val="clear" w:color="auto" w:fill="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60"/>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60"/>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60"/>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60"/>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60"/>
              <w:ind w:hanging="523"/>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60"/>
              <w:ind w:hanging="523"/>
              <w:jc w:val="center"/>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60"/>
              <w:spacing w:line="360" w:lineRule="auto"/>
              <w:shd w:val="clear" w:color="auto" w:fill="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160"/>
        <w:shd w:val="clear" w:color="auto" w:fill="auto"/>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160"/>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1160"/>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60"/>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60"/>
        <w:shd w:val="clear" w:color="auto" w:fill="auto"/>
        <w:rPr>
          <w:color w:val="000000"/>
          <w:highlight w:val="none"/>
        </w:rPr>
      </w:pPr>
      <w:r>
        <w:rPr>
          <w:color w:val="000000"/>
          <w:highlight w:val="none"/>
        </w:rPr>
      </w:r>
      <w:r/>
    </w:p>
    <w:p>
      <w:pPr>
        <w:pStyle w:val="1160"/>
        <w:shd w:val="clear" w:color="auto" w:fill="auto"/>
        <w:rPr>
          <w:color w:val="000000"/>
          <w:highlight w:val="none"/>
        </w:rPr>
      </w:pPr>
      <w:r>
        <w:rPr>
          <w:color w:val="000000"/>
          <w:highlight w:val="none"/>
        </w:rPr>
      </w:r>
      <w:r/>
    </w:p>
    <w:p>
      <w:pPr>
        <w:pStyle w:val="1160"/>
        <w:shd w:val="clear" w:color="auto" w:fill="auto"/>
        <w:rPr>
          <w:color w:val="000000"/>
          <w:highlight w:val="none"/>
        </w:rPr>
      </w:pPr>
      <w:r>
        <w:rPr>
          <w:color w:val="000000"/>
          <w:highlight w:val="none"/>
        </w:rPr>
      </w:r>
      <w:r/>
    </w:p>
    <w:p>
      <w:pPr>
        <w:pStyle w:val="1160"/>
        <w:shd w:val="clear" w:color="auto" w:fill="auto"/>
        <w:rPr>
          <w:color w:val="000000"/>
          <w:highlight w:val="none"/>
        </w:rPr>
      </w:pPr>
      <w:r>
        <w:rPr>
          <w:color w:val="000000"/>
          <w:highlight w:val="none"/>
        </w:rPr>
      </w:r>
      <w:r/>
    </w:p>
    <w:p>
      <w:pPr>
        <w:pStyle w:val="1160"/>
        <w:shd w:val="clear" w:color="auto" w:fill="auto"/>
        <w:rPr>
          <w:color w:val="000000"/>
          <w:highlight w:val="none"/>
        </w:rPr>
      </w:pPr>
      <w:r>
        <w:rPr>
          <w:color w:val="000000"/>
          <w:highlight w:val="none"/>
        </w:rPr>
      </w:r>
      <w:r/>
    </w:p>
    <w:p>
      <w:pPr>
        <w:pStyle w:val="116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116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116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116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116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116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116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116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116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116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1160"/>
        <w:spacing w:line="360" w:lineRule="auto"/>
        <w:shd w:val="clear" w:color="auto" w:fill="auto"/>
        <w:rPr>
          <w:rFonts w:hint="eastAsia"/>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color w:val="000000"/>
          <w:sz w:val="24"/>
          <w:szCs w:val="20"/>
          <w:highlight w:val="none"/>
        </w:rPr>
      </w:r>
      <w:r/>
    </w:p>
    <w:p>
      <w:pPr>
        <w:pStyle w:val="1160"/>
        <w:spacing w:line="360" w:lineRule="auto"/>
        <w:shd w:val="clear" w:color="auto" w:fill="auto"/>
        <w:rPr>
          <w:color w:val="000000"/>
          <w:sz w:val="24"/>
          <w:szCs w:val="20"/>
          <w:highlight w:val="none"/>
        </w:rPr>
      </w:pPr>
      <w:r>
        <w:rPr>
          <w:rFonts w:hint="eastAsia"/>
          <w:color w:val="000000"/>
          <w:sz w:val="24"/>
          <w:szCs w:val="20"/>
          <w:highlight w:val="none"/>
          <w:lang w:val="en-US" w:eastAsia="zh-CN"/>
        </w:rPr>
        <w:t xml:space="preserve">11</w:t>
      </w:r>
      <w:r>
        <w:rPr>
          <w:rFonts w:hint="eastAsia"/>
          <w:color w:val="000000"/>
          <w:sz w:val="24"/>
          <w:szCs w:val="20"/>
          <w:highlight w:val="none"/>
        </w:rPr>
        <w:t xml:space="preserve">  关于符合本国产品标准的声明函</w:t>
      </w:r>
      <w:r>
        <w:rPr>
          <w:color w:val="000000"/>
          <w:sz w:val="24"/>
          <w:szCs w:val="20"/>
          <w:highlight w:val="none"/>
        </w:rPr>
      </w:r>
      <w:r/>
    </w:p>
    <w:p>
      <w:pPr>
        <w:pStyle w:val="1160"/>
        <w:jc w:val="center"/>
        <w:spacing w:line="360" w:lineRule="auto"/>
        <w:shd w:val="clear" w:color="auto" w:fill="auto"/>
        <w:rPr>
          <w:rFonts w:hint="eastAsia" w:ascii="方正魏碑_GBK" w:hAnsi="方正魏碑_GBK" w:eastAsia="方正魏碑_GBK" w:cs="方正魏碑_GBK"/>
          <w:color w:val="000000"/>
          <w:sz w:val="24"/>
          <w:szCs w:val="24"/>
          <w:highlight w:val="none"/>
          <w:lang w:val="en-US" w:eastAsia="zh-CN"/>
        </w:rPr>
      </w:pPr>
      <w:r>
        <w:rPr>
          <w:rFonts w:hint="eastAsia" w:ascii="方正魏碑_GBK" w:hAnsi="方正魏碑_GBK" w:eastAsia="方正魏碑_GBK" w:cs="方正魏碑_GBK"/>
          <w:b/>
          <w:color w:val="000000"/>
          <w:sz w:val="24"/>
          <w:szCs w:val="24"/>
          <w:highlight w:val="none"/>
        </w:rPr>
        <w:t xml:space="preserve">关于符合本国产品标准的声明函</w:t>
      </w:r>
      <w:r>
        <w:rPr>
          <w:rFonts w:hint="eastAsia" w:ascii="方正魏碑_GBK" w:hAnsi="方正魏碑_GBK" w:eastAsia="方正魏碑_GBK" w:cs="方正魏碑_GBK"/>
          <w:b/>
          <w:color w:val="000000"/>
          <w:sz w:val="24"/>
          <w:szCs w:val="24"/>
          <w:highlight w:val="none"/>
          <w:lang w:val="en-US" w:eastAsia="zh-CN"/>
        </w:rPr>
        <w:t xml:space="preserve"> </w:t>
      </w:r>
      <w:r>
        <w:rPr>
          <w:rFonts w:hint="eastAsia" w:ascii="方正魏碑_GBK" w:hAnsi="方正魏碑_GBK" w:eastAsia="方正魏碑_GBK" w:cs="方正魏碑_GBK"/>
          <w:color w:val="000000"/>
          <w:sz w:val="24"/>
          <w:szCs w:val="24"/>
          <w:highlight w:val="none"/>
          <w:lang w:val="en-US" w:eastAsia="zh-CN"/>
        </w:rPr>
      </w:r>
      <w:r/>
    </w:p>
    <w:p>
      <w:pPr>
        <w:pStyle w:val="1422"/>
        <w:ind w:firstLine="420"/>
        <w:spacing w:before="0" w:beforeAutospacing="0" w:after="0" w:afterAutospacing="0" w:line="360" w:lineRule="auto"/>
        <w:shd w:val="clear" w:color="auto" w:fill="auto"/>
        <w:rPr>
          <w:rFonts w:ascii="方正魏碑_GBK" w:hAnsi="方正魏碑_GBK" w:eastAsia="方正魏碑_GBK" w:cs="方正魏碑_GBK"/>
          <w:color w:val="000000"/>
          <w:sz w:val="24"/>
          <w:szCs w:val="24"/>
          <w:highlight w:val="none"/>
        </w:rPr>
      </w:pPr>
      <w:r>
        <w:rPr>
          <w:rFonts w:ascii="方正魏碑_GBK" w:hAnsi="方正魏碑_GBK" w:eastAsia="方正魏碑_GBK" w:cs="方正魏碑_GBK"/>
          <w:color w:val="000000"/>
          <w:sz w:val="24"/>
          <w:szCs w:val="24"/>
          <w:highlight w:val="none"/>
        </w:rPr>
      </w:r>
      <w:r/>
    </w:p>
    <w:p>
      <w:pPr>
        <w:pStyle w:val="1422"/>
        <w:ind w:firstLine="420"/>
        <w:spacing w:before="0" w:beforeAutospacing="0" w:after="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sz w:val="24"/>
          <w:szCs w:val="24"/>
          <w:highlight w:val="none"/>
        </w:rPr>
      </w:r>
      <w:r/>
    </w:p>
    <w:p>
      <w:pPr>
        <w:pStyle w:val="1422"/>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1.</w:t>
      </w:r>
      <w:r>
        <w:rPr>
          <w:rStyle w:val="1238"/>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Style w:val="1238"/>
          <w:rFonts w:hint="eastAsia" w:ascii="方正魏碑_GBK" w:hAnsi="方正魏碑_GBK" w:eastAsia="方正魏碑_GBK" w:cs="方正魏碑_GBK"/>
          <w:i w:val="0"/>
          <w:color w:val="000000"/>
          <w:sz w:val="24"/>
          <w:szCs w:val="24"/>
          <w:highlight w:val="none"/>
          <w:shd w:val="clear" w:color="auto" w:fill="ffffff"/>
          <w:vertAlign w:val="superscript"/>
        </w:rPr>
        <w:t xml:space="preserve">1</w:t>
      </w:r>
      <w:r>
        <w:rPr>
          <w:rFonts w:hint="eastAsia" w:ascii="方正魏碑_GBK" w:hAnsi="方正魏碑_GBK" w:eastAsia="方正魏碑_GBK" w:cs="方正魏碑_GBK"/>
          <w:color w:val="000000"/>
          <w:sz w:val="24"/>
          <w:szCs w:val="24"/>
          <w:highlight w:val="none"/>
          <w:shd w:val="clear" w:color="auto" w:fill="ffffff"/>
        </w:rPr>
        <w:t xml:space="preserve">，生产厂为</w:t>
      </w:r>
      <w:r>
        <w:rPr>
          <w:rStyle w:val="1238"/>
          <w:rFonts w:hint="eastAsia" w:ascii="方正魏碑_GBK" w:hAnsi="方正魏碑_GBK" w:eastAsia="方正魏碑_GBK" w:cs="方正魏碑_GBK"/>
          <w:i w:val="0"/>
          <w:color w:val="000000"/>
          <w:sz w:val="24"/>
          <w:szCs w:val="24"/>
          <w:highlight w:val="none"/>
          <w:u w:val="single"/>
          <w:shd w:val="clear" w:color="auto" w:fill="ffffff"/>
        </w:rPr>
        <w:t xml:space="preserve">（厂名）</w:t>
      </w:r>
      <w:r>
        <w:rPr>
          <w:rStyle w:val="1238"/>
          <w:rFonts w:hint="eastAsia" w:ascii="方正魏碑_GBK" w:hAnsi="方正魏碑_GBK" w:eastAsia="方正魏碑_GBK" w:cs="方正魏碑_GBK"/>
          <w:i w:val="0"/>
          <w:color w:val="000000"/>
          <w:sz w:val="24"/>
          <w:szCs w:val="24"/>
          <w:highlight w:val="none"/>
          <w:shd w:val="clear" w:color="auto" w:fill="ffffff"/>
          <w:vertAlign w:val="superscript"/>
        </w:rPr>
        <w:t xml:space="preserve">2</w:t>
      </w:r>
      <w:r>
        <w:rPr>
          <w:rFonts w:hint="eastAsia" w:ascii="方正魏碑_GBK" w:hAnsi="方正魏碑_GBK" w:eastAsia="方正魏碑_GBK" w:cs="方正魏碑_GBK"/>
          <w:color w:val="000000"/>
          <w:sz w:val="24"/>
          <w:szCs w:val="24"/>
          <w:highlight w:val="none"/>
          <w:shd w:val="clear" w:color="auto" w:fill="ffffff"/>
        </w:rPr>
        <w:t xml:space="preserve">，厂址为</w:t>
      </w:r>
      <w:r>
        <w:rPr>
          <w:rStyle w:val="1238"/>
          <w:rFonts w:hint="eastAsia" w:ascii="方正魏碑_GBK" w:hAnsi="方正魏碑_GBK" w:eastAsia="方正魏碑_GBK" w:cs="方正魏碑_GBK"/>
          <w:i w:val="0"/>
          <w:color w:val="000000"/>
          <w:sz w:val="24"/>
          <w:szCs w:val="24"/>
          <w:highlight w:val="none"/>
          <w:u w:val="single"/>
          <w:shd w:val="clear" w:color="auto" w:fill="ffffff"/>
        </w:rPr>
        <w:t xml:space="preserve">（生产厂址）</w:t>
      </w:r>
      <w:r>
        <w:rPr>
          <w:rFonts w:hint="eastAsia" w:ascii="方正魏碑_GBK" w:hAnsi="方正魏碑_GBK" w:eastAsia="方正魏碑_GBK" w:cs="方正魏碑_GBK"/>
          <w:color w:val="000000"/>
          <w:sz w:val="24"/>
          <w:szCs w:val="24"/>
          <w:highlight w:val="none"/>
          <w:shd w:val="clear" w:color="auto" w:fill="ffffff"/>
        </w:rPr>
        <w:t xml:space="preserve">。</w:t>
      </w:r>
      <w:r>
        <w:rPr>
          <w:rFonts w:hint="eastAsia" w:ascii="方正魏碑_GBK" w:hAnsi="方正魏碑_GBK" w:eastAsia="方正魏碑_GBK" w:cs="方正魏碑_GBK"/>
          <w:color w:val="000000"/>
          <w:sz w:val="24"/>
          <w:szCs w:val="24"/>
          <w:highlight w:val="none"/>
          <w:u w:val="single"/>
          <w:shd w:val="clear" w:color="auto" w:fill="ffffff"/>
        </w:rPr>
        <w:t xml:space="preserve"> </w:t>
      </w:r>
      <w:r>
        <w:rPr>
          <w:rStyle w:val="1238"/>
          <w:rFonts w:hint="eastAsia" w:ascii="方正魏碑_GBK" w:hAnsi="方正魏碑_GBK" w:eastAsia="方正魏碑_GBK" w:cs="方正魏碑_GBK"/>
          <w:i w:val="0"/>
          <w:color w:val="000000"/>
          <w:sz w:val="24"/>
          <w:szCs w:val="24"/>
          <w:highlight w:val="none"/>
          <w:u w:val="single"/>
          <w:shd w:val="clear" w:color="auto" w:fill="ffffff"/>
        </w:rPr>
        <w:t xml:space="preserve">（产品名称1） </w:t>
      </w:r>
      <w:r>
        <w:rPr>
          <w:rFonts w:hint="eastAsia" w:ascii="方正魏碑_GBK" w:hAnsi="方正魏碑_GBK" w:eastAsia="方正魏碑_GBK" w:cs="方正魏碑_GBK"/>
          <w:color w:val="000000"/>
          <w:sz w:val="24"/>
          <w:szCs w:val="24"/>
          <w:highlight w:val="none"/>
          <w:shd w:val="clear" w:color="auto" w:fill="ffffff"/>
        </w:rPr>
        <w:t xml:space="preserve">的中国境内生产的组件成本占比≥</w:t>
      </w:r>
      <w:r>
        <w:rPr>
          <w:rStyle w:val="1238"/>
          <w:rFonts w:hint="eastAsia" w:ascii="方正魏碑_GBK" w:hAnsi="方正魏碑_GBK" w:eastAsia="方正魏碑_GBK" w:cs="方正魏碑_GBK"/>
          <w:i w:val="0"/>
          <w:color w:val="000000"/>
          <w:sz w:val="24"/>
          <w:szCs w:val="24"/>
          <w:highlight w:val="none"/>
          <w:u w:val="single"/>
          <w:shd w:val="clear" w:color="auto" w:fill="ffffff"/>
        </w:rPr>
        <w:t xml:space="preserve">（规定</w:t>
      </w:r>
      <w:r>
        <w:rPr>
          <w:rStyle w:val="1238"/>
          <w:rFonts w:ascii="方正魏碑_GBK" w:hAnsi="方正魏碑_GBK" w:eastAsia="方正魏碑_GBK" w:cs="方正魏碑_GBK"/>
          <w:i w:val="0"/>
          <w:color w:val="000000"/>
          <w:sz w:val="24"/>
          <w:szCs w:val="24"/>
          <w:highlight w:val="none"/>
          <w:u w:val="single"/>
          <w:shd w:val="clear" w:color="auto" w:fill="ffffff"/>
        </w:rPr>
        <w:t xml:space="preserve">比例</w:t>
      </w:r>
      <w:r>
        <w:rPr>
          <w:rStyle w:val="1238"/>
          <w:rFonts w:hint="eastAsia" w:ascii="方正魏碑_GBK" w:hAnsi="方正魏碑_GBK" w:eastAsia="方正魏碑_GBK" w:cs="方正魏碑_GBK"/>
          <w:i w:val="0"/>
          <w:color w:val="000000"/>
          <w:sz w:val="24"/>
          <w:szCs w:val="24"/>
          <w:highlight w:val="none"/>
          <w:u w:val="single"/>
          <w:shd w:val="clear" w:color="auto" w:fill="ffffff"/>
        </w:rPr>
        <w:t xml:space="preserve">）</w:t>
      </w:r>
      <w:r>
        <w:rPr>
          <w:rStyle w:val="1238"/>
          <w:rFonts w:hint="eastAsia" w:ascii="方正魏碑_GBK" w:hAnsi="方正魏碑_GBK" w:eastAsia="方正魏碑_GBK" w:cs="方正魏碑_GBK"/>
          <w:i w:val="0"/>
          <w:color w:val="000000"/>
          <w:sz w:val="24"/>
          <w:szCs w:val="24"/>
          <w:highlight w:val="none"/>
          <w:shd w:val="clear" w:color="auto" w:fill="ffffff"/>
          <w:vertAlign w:val="superscript"/>
        </w:rPr>
        <w:t xml:space="preserve">3</w:t>
      </w:r>
      <w:r>
        <w:rPr>
          <w:rFonts w:hint="eastAsia" w:ascii="方正魏碑_GBK" w:hAnsi="方正魏碑_GBK" w:eastAsia="方正魏碑_GBK" w:cs="方正魏碑_GBK"/>
          <w:color w:val="000000"/>
          <w:sz w:val="24"/>
          <w:szCs w:val="24"/>
          <w:highlight w:val="none"/>
          <w:shd w:val="clear" w:color="auto" w:fill="ffffff"/>
        </w:rPr>
        <w:t xml:space="preserve">。</w:t>
      </w:r>
      <w:r>
        <w:rPr>
          <w:rStyle w:val="1238"/>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Fonts w:hint="eastAsia" w:ascii="方正魏碑_GBK" w:hAnsi="方正魏碑_GBK" w:eastAsia="方正魏碑_GBK" w:cs="方正魏碑_GBK"/>
          <w:color w:val="000000"/>
          <w:sz w:val="24"/>
          <w:szCs w:val="24"/>
          <w:highlight w:val="none"/>
          <w:shd w:val="clear" w:color="auto" w:fill="ffffff"/>
        </w:rPr>
        <w:t xml:space="preserve">的</w:t>
      </w:r>
      <w:r>
        <w:rPr>
          <w:rStyle w:val="1238"/>
          <w:rFonts w:hint="eastAsia" w:ascii="方正魏碑_GBK" w:hAnsi="方正魏碑_GBK" w:eastAsia="方正魏碑_GBK" w:cs="方正魏碑_GBK"/>
          <w:i w:val="0"/>
          <w:color w:val="000000"/>
          <w:sz w:val="24"/>
          <w:szCs w:val="24"/>
          <w:highlight w:val="none"/>
          <w:u w:val="single"/>
          <w:shd w:val="clear" w:color="auto" w:fill="ffffff"/>
        </w:rPr>
        <w:t xml:space="preserve">（关键</w:t>
      </w:r>
      <w:r>
        <w:rPr>
          <w:rStyle w:val="1238"/>
          <w:rFonts w:ascii="方正魏碑_GBK" w:hAnsi="方正魏碑_GBK" w:eastAsia="方正魏碑_GBK" w:cs="方正魏碑_GBK"/>
          <w:i w:val="0"/>
          <w:color w:val="000000"/>
          <w:sz w:val="24"/>
          <w:szCs w:val="24"/>
          <w:highlight w:val="none"/>
          <w:u w:val="single"/>
          <w:shd w:val="clear" w:color="auto" w:fill="ffffff"/>
        </w:rPr>
        <w:t xml:space="preserve">组件</w:t>
      </w:r>
      <w:r>
        <w:rPr>
          <w:rStyle w:val="1238"/>
          <w:rFonts w:hint="eastAsia" w:ascii="方正魏碑_GBK" w:hAnsi="方正魏碑_GBK" w:eastAsia="方正魏碑_GBK" w:cs="方正魏碑_GBK"/>
          <w:i w:val="0"/>
          <w:color w:val="000000"/>
          <w:sz w:val="24"/>
          <w:szCs w:val="24"/>
          <w:highlight w:val="none"/>
          <w:u w:val="single"/>
          <w:shd w:val="clear" w:color="auto" w:fill="ffffff"/>
        </w:rPr>
        <w:t xml:space="preserve">）</w:t>
      </w:r>
      <w:r>
        <w:rPr>
          <w:rStyle w:val="1238"/>
          <w:rFonts w:hint="eastAsia" w:ascii="方正魏碑_GBK" w:hAnsi="方正魏碑_GBK" w:eastAsia="方正魏碑_GBK" w:cs="方正魏碑_GBK"/>
          <w:i w:val="0"/>
          <w:color w:val="000000"/>
          <w:sz w:val="24"/>
          <w:szCs w:val="24"/>
          <w:highlight w:val="none"/>
          <w:shd w:val="clear" w:color="auto" w:fill="ffffff"/>
          <w:vertAlign w:val="superscript"/>
        </w:rPr>
        <w:t xml:space="preserve">4</w:t>
      </w:r>
      <w:r>
        <w:rPr>
          <w:rFonts w:hint="eastAsia" w:ascii="方正魏碑_GBK" w:hAnsi="方正魏碑_GBK" w:eastAsia="方正魏碑_GBK" w:cs="方正魏碑_GBK"/>
          <w:color w:val="000000"/>
          <w:sz w:val="24"/>
          <w:szCs w:val="24"/>
          <w:highlight w:val="none"/>
          <w:shd w:val="clear" w:color="auto" w:fill="ffffff"/>
        </w:rPr>
        <w:t xml:space="preserve">在中国境内生产。</w:t>
      </w:r>
      <w:r>
        <w:rPr>
          <w:rStyle w:val="1238"/>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Fonts w:hint="eastAsia" w:ascii="方正魏碑_GBK" w:hAnsi="方正魏碑_GBK" w:eastAsia="方正魏碑_GBK" w:cs="方正魏碑_GBK"/>
          <w:color w:val="000000"/>
          <w:sz w:val="24"/>
          <w:szCs w:val="24"/>
          <w:highlight w:val="none"/>
          <w:shd w:val="clear" w:color="auto" w:fill="ffffff"/>
        </w:rPr>
        <w:t xml:space="preserve">的</w:t>
      </w:r>
      <w:r>
        <w:rPr>
          <w:rStyle w:val="1238"/>
          <w:rFonts w:hint="eastAsia" w:ascii="方正魏碑_GBK" w:hAnsi="方正魏碑_GBK" w:eastAsia="方正魏碑_GBK" w:cs="方正魏碑_GBK"/>
          <w:i w:val="0"/>
          <w:color w:val="000000"/>
          <w:sz w:val="24"/>
          <w:szCs w:val="24"/>
          <w:highlight w:val="none"/>
          <w:u w:val="single"/>
          <w:shd w:val="clear" w:color="auto" w:fill="ffffff"/>
        </w:rPr>
        <w:t xml:space="preserve">（关键工序）</w:t>
      </w:r>
      <w:r>
        <w:rPr>
          <w:rStyle w:val="1238"/>
          <w:rFonts w:hint="eastAsia" w:ascii="方正魏碑_GBK" w:hAnsi="方正魏碑_GBK" w:eastAsia="方正魏碑_GBK" w:cs="方正魏碑_GBK"/>
          <w:i w:val="0"/>
          <w:color w:val="000000"/>
          <w:sz w:val="24"/>
          <w:szCs w:val="24"/>
          <w:highlight w:val="none"/>
          <w:shd w:val="clear" w:color="auto" w:fill="ffffff"/>
          <w:vertAlign w:val="superscript"/>
        </w:rPr>
        <w:t xml:space="preserve">5</w:t>
      </w:r>
      <w:r>
        <w:rPr>
          <w:rFonts w:hint="eastAsia" w:ascii="方正魏碑_GBK" w:hAnsi="方正魏碑_GBK" w:eastAsia="方正魏碑_GBK" w:cs="方正魏碑_GBK"/>
          <w:color w:val="000000"/>
          <w:sz w:val="24"/>
          <w:szCs w:val="24"/>
          <w:highlight w:val="none"/>
          <w:shd w:val="clear" w:color="auto" w:fill="ffffff"/>
        </w:rPr>
        <w:t xml:space="preserve">在中国境内完成。</w:t>
      </w:r>
      <w:r>
        <w:rPr>
          <w:rFonts w:hint="eastAsia" w:ascii="方正魏碑_GBK" w:hAnsi="方正魏碑_GBK" w:eastAsia="方正魏碑_GBK" w:cs="方正魏碑_GBK"/>
          <w:color w:val="000000"/>
          <w:sz w:val="24"/>
          <w:szCs w:val="24"/>
          <w:highlight w:val="none"/>
        </w:rPr>
      </w:r>
      <w:r/>
    </w:p>
    <w:p>
      <w:pPr>
        <w:pStyle w:val="1422"/>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2.</w:t>
      </w:r>
      <w:r>
        <w:rPr>
          <w:rStyle w:val="1238"/>
          <w:rFonts w:hint="eastAsia" w:ascii="方正魏碑_GBK" w:hAnsi="方正魏碑_GBK" w:eastAsia="方正魏碑_GBK" w:cs="方正魏碑_GBK"/>
          <w:i w:val="0"/>
          <w:color w:val="000000"/>
          <w:sz w:val="24"/>
          <w:szCs w:val="24"/>
          <w:highlight w:val="none"/>
          <w:u w:val="single"/>
          <w:shd w:val="clear" w:color="auto" w:fill="ffffff"/>
        </w:rPr>
        <w:t xml:space="preserve">（产品名称2）</w:t>
      </w:r>
      <w:r>
        <w:rPr>
          <w:rFonts w:hint="eastAsia" w:ascii="方正魏碑_GBK" w:hAnsi="方正魏碑_GBK" w:eastAsia="方正魏碑_GBK" w:cs="方正魏碑_GBK"/>
          <w:color w:val="000000"/>
          <w:sz w:val="24"/>
          <w:szCs w:val="24"/>
          <w:highlight w:val="none"/>
          <w:shd w:val="clear" w:color="auto" w:fill="ffffff"/>
        </w:rPr>
        <w:t xml:space="preserve">，生产厂为</w:t>
      </w:r>
      <w:r>
        <w:rPr>
          <w:rStyle w:val="1238"/>
          <w:rFonts w:hint="eastAsia" w:ascii="方正魏碑_GBK" w:hAnsi="方正魏碑_GBK" w:eastAsia="方正魏碑_GBK" w:cs="方正魏碑_GBK"/>
          <w:i w:val="0"/>
          <w:color w:val="000000"/>
          <w:sz w:val="24"/>
          <w:szCs w:val="24"/>
          <w:highlight w:val="none"/>
          <w:u w:val="single"/>
          <w:shd w:val="clear" w:color="auto" w:fill="ffffff"/>
        </w:rPr>
        <w:t xml:space="preserve">（厂名）</w:t>
      </w:r>
      <w:r>
        <w:rPr>
          <w:rFonts w:hint="eastAsia" w:ascii="方正魏碑_GBK" w:hAnsi="方正魏碑_GBK" w:eastAsia="方正魏碑_GBK" w:cs="方正魏碑_GBK"/>
          <w:color w:val="000000"/>
          <w:sz w:val="24"/>
          <w:szCs w:val="24"/>
          <w:highlight w:val="none"/>
          <w:shd w:val="clear" w:color="auto" w:fill="ffffff"/>
        </w:rPr>
        <w:t xml:space="preserve">，厂址为</w:t>
      </w:r>
      <w:r>
        <w:rPr>
          <w:rStyle w:val="1238"/>
          <w:rFonts w:hint="eastAsia" w:ascii="方正魏碑_GBK" w:hAnsi="方正魏碑_GBK" w:eastAsia="方正魏碑_GBK" w:cs="方正魏碑_GBK"/>
          <w:i w:val="0"/>
          <w:color w:val="000000"/>
          <w:sz w:val="24"/>
          <w:szCs w:val="24"/>
          <w:highlight w:val="none"/>
          <w:u w:val="single"/>
          <w:shd w:val="clear" w:color="auto" w:fill="ffffff"/>
        </w:rPr>
        <w:t xml:space="preserve">（生产厂址）</w:t>
      </w:r>
      <w:r>
        <w:rPr>
          <w:rFonts w:hint="eastAsia" w:ascii="方正魏碑_GBK" w:hAnsi="方正魏碑_GBK" w:eastAsia="方正魏碑_GBK" w:cs="方正魏碑_GBK"/>
          <w:color w:val="000000"/>
          <w:sz w:val="24"/>
          <w:szCs w:val="24"/>
          <w:highlight w:val="none"/>
          <w:shd w:val="clear" w:color="auto" w:fill="ffffff"/>
        </w:rPr>
        <w:t xml:space="preserve">。</w:t>
      </w:r>
      <w:r>
        <w:rPr>
          <w:rStyle w:val="1238"/>
          <w:rFonts w:hint="eastAsia" w:ascii="方正魏碑_GBK" w:hAnsi="方正魏碑_GBK" w:eastAsia="方正魏碑_GBK" w:cs="方正魏碑_GBK"/>
          <w:i w:val="0"/>
          <w:color w:val="000000"/>
          <w:sz w:val="24"/>
          <w:szCs w:val="24"/>
          <w:highlight w:val="none"/>
          <w:u w:val="single"/>
          <w:shd w:val="clear" w:color="auto" w:fill="ffffff"/>
        </w:rPr>
        <w:t xml:space="preserve">（产品名称2）</w:t>
      </w:r>
      <w:r>
        <w:rPr>
          <w:rFonts w:hint="eastAsia" w:ascii="方正魏碑_GBK" w:hAnsi="方正魏碑_GBK" w:eastAsia="方正魏碑_GBK" w:cs="方正魏碑_GBK"/>
          <w:color w:val="000000"/>
          <w:sz w:val="24"/>
          <w:szCs w:val="24"/>
          <w:highlight w:val="none"/>
          <w:shd w:val="clear" w:color="auto" w:fill="ffffff"/>
        </w:rPr>
        <w:t xml:space="preserve">的中国境内生产的组件成本占比≥</w:t>
      </w:r>
      <w:r>
        <w:rPr>
          <w:rStyle w:val="1238"/>
          <w:rFonts w:hint="eastAsia" w:ascii="方正魏碑_GBK" w:hAnsi="方正魏碑_GBK" w:eastAsia="方正魏碑_GBK" w:cs="方正魏碑_GBK"/>
          <w:i w:val="0"/>
          <w:color w:val="000000"/>
          <w:sz w:val="24"/>
          <w:szCs w:val="24"/>
          <w:highlight w:val="none"/>
          <w:u w:val="single"/>
          <w:shd w:val="clear" w:color="auto" w:fill="ffffff"/>
        </w:rPr>
        <w:t xml:space="preserve">（规定</w:t>
      </w:r>
      <w:r>
        <w:rPr>
          <w:rStyle w:val="1238"/>
          <w:rFonts w:ascii="方正魏碑_GBK" w:hAnsi="方正魏碑_GBK" w:eastAsia="方正魏碑_GBK" w:cs="方正魏碑_GBK"/>
          <w:i w:val="0"/>
          <w:color w:val="000000"/>
          <w:sz w:val="24"/>
          <w:szCs w:val="24"/>
          <w:highlight w:val="none"/>
          <w:u w:val="single"/>
          <w:shd w:val="clear" w:color="auto" w:fill="ffffff"/>
        </w:rPr>
        <w:t xml:space="preserve">比例</w:t>
      </w:r>
      <w:r>
        <w:rPr>
          <w:rStyle w:val="1238"/>
          <w:rFonts w:hint="eastAsia" w:ascii="方正魏碑_GBK" w:hAnsi="方正魏碑_GBK" w:eastAsia="方正魏碑_GBK" w:cs="方正魏碑_GBK"/>
          <w:i w:val="0"/>
          <w:color w:val="000000"/>
          <w:sz w:val="24"/>
          <w:szCs w:val="24"/>
          <w:highlight w:val="none"/>
          <w:u w:val="single"/>
          <w:shd w:val="clear" w:color="auto" w:fill="ffffff"/>
        </w:rPr>
        <w:t xml:space="preserve">）</w:t>
      </w:r>
      <w:r>
        <w:rPr>
          <w:rFonts w:hint="eastAsia" w:ascii="方正魏碑_GBK" w:hAnsi="方正魏碑_GBK" w:eastAsia="方正魏碑_GBK" w:cs="方正魏碑_GBK"/>
          <w:color w:val="000000"/>
          <w:sz w:val="24"/>
          <w:szCs w:val="24"/>
          <w:highlight w:val="none"/>
          <w:shd w:val="clear" w:color="auto" w:fill="ffffff"/>
        </w:rPr>
        <w:t xml:space="preserve">。</w:t>
      </w:r>
      <w:r>
        <w:rPr>
          <w:rStyle w:val="1238"/>
          <w:rFonts w:hint="eastAsia" w:ascii="方正魏碑_GBK" w:hAnsi="方正魏碑_GBK" w:eastAsia="方正魏碑_GBK" w:cs="方正魏碑_GBK"/>
          <w:i w:val="0"/>
          <w:color w:val="000000"/>
          <w:sz w:val="24"/>
          <w:szCs w:val="24"/>
          <w:highlight w:val="none"/>
          <w:u w:val="single"/>
          <w:shd w:val="clear" w:color="auto" w:fill="ffffff"/>
        </w:rPr>
        <w:t xml:space="preserve">（产品名称2）</w:t>
      </w:r>
      <w:r>
        <w:rPr>
          <w:rFonts w:hint="eastAsia" w:ascii="方正魏碑_GBK" w:hAnsi="方正魏碑_GBK" w:eastAsia="方正魏碑_GBK" w:cs="方正魏碑_GBK"/>
          <w:color w:val="000000"/>
          <w:sz w:val="24"/>
          <w:szCs w:val="24"/>
          <w:highlight w:val="none"/>
          <w:shd w:val="clear" w:color="auto" w:fill="ffffff"/>
        </w:rPr>
        <w:t xml:space="preserve">的</w:t>
      </w:r>
      <w:r>
        <w:rPr>
          <w:rStyle w:val="1238"/>
          <w:rFonts w:hint="eastAsia" w:ascii="方正魏碑_GBK" w:hAnsi="方正魏碑_GBK" w:eastAsia="方正魏碑_GBK" w:cs="方正魏碑_GBK"/>
          <w:i w:val="0"/>
          <w:color w:val="000000"/>
          <w:sz w:val="24"/>
          <w:szCs w:val="24"/>
          <w:highlight w:val="none"/>
          <w:u w:val="single"/>
          <w:shd w:val="clear" w:color="auto" w:fill="ffffff"/>
        </w:rPr>
        <w:t xml:space="preserve">（关键</w:t>
      </w:r>
      <w:r>
        <w:rPr>
          <w:rStyle w:val="1238"/>
          <w:rFonts w:ascii="方正魏碑_GBK" w:hAnsi="方正魏碑_GBK" w:eastAsia="方正魏碑_GBK" w:cs="方正魏碑_GBK"/>
          <w:i w:val="0"/>
          <w:color w:val="000000"/>
          <w:sz w:val="24"/>
          <w:szCs w:val="24"/>
          <w:highlight w:val="none"/>
          <w:u w:val="single"/>
          <w:shd w:val="clear" w:color="auto" w:fill="ffffff"/>
        </w:rPr>
        <w:t xml:space="preserve">组件</w:t>
      </w:r>
      <w:r>
        <w:rPr>
          <w:rStyle w:val="1238"/>
          <w:rFonts w:hint="eastAsia" w:ascii="方正魏碑_GBK" w:hAnsi="方正魏碑_GBK" w:eastAsia="方正魏碑_GBK" w:cs="方正魏碑_GBK"/>
          <w:i w:val="0"/>
          <w:color w:val="000000"/>
          <w:sz w:val="24"/>
          <w:szCs w:val="24"/>
          <w:highlight w:val="none"/>
          <w:u w:val="single"/>
          <w:shd w:val="clear" w:color="auto" w:fill="ffffff"/>
        </w:rPr>
        <w:t xml:space="preserve">）</w:t>
      </w:r>
      <w:r>
        <w:rPr>
          <w:rFonts w:hint="eastAsia" w:ascii="方正魏碑_GBK" w:hAnsi="方正魏碑_GBK" w:eastAsia="方正魏碑_GBK" w:cs="方正魏碑_GBK"/>
          <w:color w:val="000000"/>
          <w:sz w:val="24"/>
          <w:szCs w:val="24"/>
          <w:highlight w:val="none"/>
          <w:shd w:val="clear" w:color="auto" w:fill="ffffff"/>
        </w:rPr>
        <w:t xml:space="preserve">在中国境内生产。</w:t>
      </w:r>
      <w:r>
        <w:rPr>
          <w:rStyle w:val="1238"/>
          <w:rFonts w:hint="eastAsia" w:ascii="方正魏碑_GBK" w:hAnsi="方正魏碑_GBK" w:eastAsia="方正魏碑_GBK" w:cs="方正魏碑_GBK"/>
          <w:i w:val="0"/>
          <w:color w:val="000000"/>
          <w:sz w:val="24"/>
          <w:szCs w:val="24"/>
          <w:highlight w:val="none"/>
          <w:u w:val="single"/>
          <w:shd w:val="clear" w:color="auto" w:fill="ffffff"/>
        </w:rPr>
        <w:t xml:space="preserve">（产品名称1）</w:t>
      </w:r>
      <w:r>
        <w:rPr>
          <w:rFonts w:hint="eastAsia" w:ascii="方正魏碑_GBK" w:hAnsi="方正魏碑_GBK" w:eastAsia="方正魏碑_GBK" w:cs="方正魏碑_GBK"/>
          <w:color w:val="000000"/>
          <w:sz w:val="24"/>
          <w:szCs w:val="24"/>
          <w:highlight w:val="none"/>
          <w:shd w:val="clear" w:color="auto" w:fill="ffffff"/>
        </w:rPr>
        <w:t xml:space="preserve">的</w:t>
      </w:r>
      <w:r>
        <w:rPr>
          <w:rStyle w:val="1238"/>
          <w:rFonts w:hint="eastAsia" w:ascii="方正魏碑_GBK" w:hAnsi="方正魏碑_GBK" w:eastAsia="方正魏碑_GBK" w:cs="方正魏碑_GBK"/>
          <w:i w:val="0"/>
          <w:color w:val="000000"/>
          <w:sz w:val="24"/>
          <w:szCs w:val="24"/>
          <w:highlight w:val="none"/>
          <w:u w:val="single"/>
          <w:shd w:val="clear" w:color="auto" w:fill="ffffff"/>
        </w:rPr>
        <w:t xml:space="preserve">（关键工序）</w:t>
      </w:r>
      <w:r>
        <w:rPr>
          <w:rFonts w:hint="eastAsia" w:ascii="方正魏碑_GBK" w:hAnsi="方正魏碑_GBK" w:eastAsia="方正魏碑_GBK" w:cs="方正魏碑_GBK"/>
          <w:color w:val="000000"/>
          <w:sz w:val="24"/>
          <w:szCs w:val="24"/>
          <w:highlight w:val="none"/>
          <w:shd w:val="clear" w:color="auto" w:fill="ffffff"/>
        </w:rPr>
        <w:t xml:space="preserve">在中国境内完成。</w:t>
      </w:r>
      <w:r>
        <w:rPr>
          <w:rFonts w:hint="eastAsia" w:ascii="方正魏碑_GBK" w:hAnsi="方正魏碑_GBK" w:eastAsia="方正魏碑_GBK" w:cs="方正魏碑_GBK"/>
          <w:color w:val="000000"/>
          <w:sz w:val="24"/>
          <w:szCs w:val="24"/>
          <w:highlight w:val="none"/>
        </w:rPr>
      </w:r>
      <w:r/>
    </w:p>
    <w:p>
      <w:pPr>
        <w:pStyle w:val="1422"/>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w:t>
      </w:r>
      <w:r>
        <w:rPr>
          <w:rFonts w:hint="eastAsia" w:ascii="方正魏碑_GBK" w:hAnsi="方正魏碑_GBK" w:eastAsia="方正魏碑_GBK" w:cs="方正魏碑_GBK"/>
          <w:color w:val="000000"/>
          <w:sz w:val="24"/>
          <w:szCs w:val="24"/>
          <w:highlight w:val="none"/>
        </w:rPr>
      </w:r>
      <w:r/>
    </w:p>
    <w:p>
      <w:pPr>
        <w:pStyle w:val="1422"/>
        <w:ind w:firstLine="4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sz w:val="24"/>
          <w:szCs w:val="24"/>
          <w:highlight w:val="none"/>
        </w:rPr>
      </w:r>
      <w:r/>
    </w:p>
    <w:p>
      <w:pPr>
        <w:pStyle w:val="1422"/>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rPr>
      </w:r>
      <w:r/>
    </w:p>
    <w:p>
      <w:pPr>
        <w:pStyle w:val="1422"/>
        <w:ind w:right="480" w:firstLine="3720"/>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公司（单位）名称（盖章）：　        </w:t>
      </w:r>
      <w:r>
        <w:rPr>
          <w:rFonts w:hint="eastAsia" w:ascii="方正魏碑_GBK" w:hAnsi="方正魏碑_GBK" w:eastAsia="方正魏碑_GBK" w:cs="方正魏碑_GBK"/>
          <w:color w:val="000000"/>
          <w:sz w:val="24"/>
          <w:szCs w:val="24"/>
          <w:highlight w:val="none"/>
        </w:rPr>
      </w:r>
      <w:r/>
    </w:p>
    <w:p>
      <w:pPr>
        <w:pStyle w:val="1422"/>
        <w:jc w:val="center"/>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                    </w:t>
      </w:r>
      <w:r>
        <w:rPr>
          <w:rFonts w:ascii="方正魏碑_GBK" w:hAnsi="方正魏碑_GBK" w:eastAsia="方正魏碑_GBK" w:cs="方正魏碑_GBK"/>
          <w:color w:val="000000"/>
          <w:sz w:val="24"/>
          <w:szCs w:val="24"/>
          <w:highlight w:val="none"/>
          <w:shd w:val="clear" w:color="auto" w:fill="ffffff"/>
        </w:rPr>
        <w:t xml:space="preserve">            </w:t>
      </w:r>
      <w:r>
        <w:rPr>
          <w:rFonts w:hint="eastAsia" w:ascii="方正魏碑_GBK" w:hAnsi="方正魏碑_GBK" w:eastAsia="方正魏碑_GBK" w:cs="方正魏碑_GBK"/>
          <w:color w:val="000000"/>
          <w:sz w:val="24"/>
          <w:szCs w:val="24"/>
          <w:highlight w:val="none"/>
          <w:shd w:val="clear" w:color="auto" w:fill="ffffff"/>
        </w:rPr>
        <w:t xml:space="preserve">日期：　   年　  月　  日         </w:t>
      </w:r>
      <w:r>
        <w:rPr>
          <w:rFonts w:hint="eastAsia" w:ascii="方正魏碑_GBK" w:hAnsi="方正魏碑_GBK" w:eastAsia="方正魏碑_GBK" w:cs="方正魏碑_GBK"/>
          <w:color w:val="000000"/>
          <w:sz w:val="24"/>
          <w:szCs w:val="24"/>
          <w:highlight w:val="none"/>
        </w:rPr>
      </w:r>
      <w:r/>
    </w:p>
    <w:p>
      <w:pPr>
        <w:pStyle w:val="1422"/>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__________________</w:t>
      </w:r>
      <w:r>
        <w:rPr>
          <w:rFonts w:hint="eastAsia" w:ascii="方正魏碑_GBK" w:hAnsi="方正魏碑_GBK" w:eastAsia="方正魏碑_GBK" w:cs="方正魏碑_GBK"/>
          <w:color w:val="000000"/>
          <w:sz w:val="24"/>
          <w:szCs w:val="24"/>
          <w:highlight w:val="none"/>
        </w:rPr>
      </w:r>
      <w:r/>
    </w:p>
    <w:p>
      <w:pPr>
        <w:pStyle w:val="1422"/>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4"/>
          <w:szCs w:val="24"/>
          <w:highlight w:val="none"/>
        </w:rPr>
      </w:r>
      <w:r/>
    </w:p>
    <w:p>
      <w:pPr>
        <w:pStyle w:val="1422"/>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4"/>
          <w:szCs w:val="24"/>
          <w:highlight w:val="none"/>
        </w:rPr>
      </w:r>
      <w:r/>
    </w:p>
    <w:p>
      <w:pPr>
        <w:pStyle w:val="1422"/>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4"/>
          <w:szCs w:val="24"/>
          <w:highlight w:val="none"/>
        </w:rPr>
      </w:r>
      <w:r/>
    </w:p>
    <w:p>
      <w:pPr>
        <w:pStyle w:val="1422"/>
        <w:spacing w:before="30" w:beforeAutospacing="0" w:after="30" w:afterAutospacing="0" w:line="360" w:lineRule="auto"/>
        <w:shd w:val="clear" w:color="auto" w:fill="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4"/>
          <w:szCs w:val="24"/>
          <w:highlight w:val="none"/>
        </w:rPr>
      </w:r>
      <w:r/>
    </w:p>
    <w:p>
      <w:pPr>
        <w:pStyle w:val="1422"/>
        <w:spacing w:before="30" w:beforeAutospacing="0" w:after="30" w:afterAutospacing="0" w:line="360" w:lineRule="auto"/>
        <w:shd w:val="clear" w:color="auto" w:fill="auto"/>
        <w:rPr>
          <w:rFonts w:ascii="方正魏碑_GBK" w:hAnsi="方正魏碑_GBK" w:eastAsia="方正魏碑_GBK" w:cs="方正魏碑_GBK"/>
          <w:color w:val="000000"/>
          <w:sz w:val="24"/>
          <w:szCs w:val="24"/>
          <w:highlight w:val="none"/>
          <w:shd w:val="clear" w:color="auto" w:fill="ffffff"/>
        </w:rPr>
      </w:pPr>
      <w:r>
        <w:rPr>
          <w:rFonts w:hint="eastAsia" w:ascii="方正魏碑_GBK" w:hAnsi="方正魏碑_GBK" w:eastAsia="方正魏碑_GBK" w:cs="方正魏碑_GBK"/>
          <w:color w:val="000000"/>
          <w:sz w:val="24"/>
          <w:szCs w:val="24"/>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4"/>
          <w:szCs w:val="24"/>
          <w:highlight w:val="none"/>
          <w:shd w:val="clear" w:color="auto" w:fill="ffffff"/>
        </w:rPr>
      </w:r>
      <w:r/>
    </w:p>
    <w:p>
      <w:pPr>
        <w:pStyle w:val="1422"/>
        <w:spacing w:before="30" w:beforeAutospacing="0" w:after="30" w:afterAutospacing="0" w:line="360" w:lineRule="auto"/>
        <w:shd w:val="clear" w:color="auto" w:fill="auto"/>
        <w:rPr>
          <w:rFonts w:ascii="方正魏碑_GBK" w:hAnsi="方正魏碑_GBK" w:eastAsia="方正魏碑_GBK" w:cs="方正魏碑_GBK"/>
          <w:color w:val="000000"/>
          <w:sz w:val="24"/>
          <w:szCs w:val="24"/>
          <w:highlight w:val="none"/>
          <w:shd w:val="clear" w:color="auto" w:fill="ffffff"/>
        </w:rPr>
      </w:pPr>
      <w:r>
        <w:rPr>
          <w:rFonts w:hint="eastAsia" w:ascii="方正魏碑_GBK" w:hAnsi="方正魏碑_GBK" w:eastAsia="方正魏碑_GBK" w:cs="方正魏碑_GBK"/>
          <w:color w:val="000000"/>
          <w:sz w:val="24"/>
          <w:szCs w:val="24"/>
          <w:highlight w:val="none"/>
          <w:shd w:val="clear" w:color="auto" w:fill="ffffff"/>
        </w:rPr>
        <w:t xml:space="preserve">6.用斜线划除的地方无需填写。</w:t>
      </w:r>
      <w:r>
        <w:rPr>
          <w:rFonts w:ascii="方正魏碑_GBK" w:hAnsi="方正魏碑_GBK" w:eastAsia="方正魏碑_GBK" w:cs="方正魏碑_GBK"/>
          <w:color w:val="000000"/>
          <w:sz w:val="24"/>
          <w:szCs w:val="24"/>
          <w:highlight w:val="none"/>
          <w:shd w:val="clear" w:color="auto" w:fill="ffffff"/>
        </w:rPr>
      </w:r>
      <w:r/>
    </w:p>
    <w:p>
      <w:pPr>
        <w:pStyle w:val="1160"/>
        <w:spacing w:line="360" w:lineRule="auto"/>
        <w:shd w:val="clear" w:color="auto" w:fill="auto"/>
        <w:rPr>
          <w:rFonts w:hint="eastAsia"/>
          <w:color w:val="000000"/>
          <w:sz w:val="24"/>
          <w:szCs w:val="20"/>
          <w:highlight w:val="none"/>
        </w:rPr>
      </w:pPr>
      <w:r>
        <w:rPr>
          <w:rFonts w:hint="eastAsia"/>
          <w:color w:val="000000"/>
          <w:sz w:val="24"/>
          <w:szCs w:val="20"/>
          <w:highlight w:val="none"/>
        </w:rPr>
      </w:r>
      <w:r/>
    </w:p>
    <w:p>
      <w:pPr>
        <w:pStyle w:val="1160"/>
        <w:spacing w:line="360" w:lineRule="auto"/>
        <w:shd w:val="clear" w:color="auto" w:fill="auto"/>
        <w:rPr>
          <w:rFonts w:hint="eastAsia"/>
          <w:color w:val="000000"/>
          <w:sz w:val="24"/>
          <w:szCs w:val="20"/>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color w:val="000000"/>
          <w:sz w:val="24"/>
          <w:szCs w:val="20"/>
          <w:highlight w:val="none"/>
        </w:rPr>
      </w:r>
      <w:r/>
    </w:p>
    <w:p>
      <w:pPr>
        <w:pStyle w:val="1160"/>
        <w:spacing w:line="360" w:lineRule="auto"/>
        <w:shd w:val="clear" w:color="auto" w:fill="auto"/>
        <w:rPr>
          <w:color w:val="000000"/>
          <w:sz w:val="24"/>
          <w:szCs w:val="20"/>
          <w:highlight w:val="none"/>
        </w:rPr>
      </w:pPr>
      <w:r>
        <w:rPr>
          <w:rFonts w:hint="eastAsia"/>
          <w:color w:val="000000"/>
          <w:sz w:val="24"/>
          <w:szCs w:val="20"/>
          <w:highlight w:val="none"/>
          <w:lang w:val="en-US" w:eastAsia="zh-CN"/>
        </w:rPr>
        <w:t xml:space="preserve">12</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rPr>
          <w:color w:val="000000"/>
          <w:sz w:val="24"/>
          <w:szCs w:val="20"/>
          <w:highlight w:val="none"/>
        </w:rPr>
      </w:r>
      <w:r/>
    </w:p>
    <w:p>
      <w:pPr>
        <w:pStyle w:val="1160"/>
        <w:jc w:val="left"/>
        <w:shd w:val="clear" w:color="auto" w:fill="auto"/>
        <w:widowControl/>
        <w:rPr>
          <w:b/>
          <w:color w:val="000000"/>
          <w:sz w:val="36"/>
          <w:szCs w:val="36"/>
          <w:highlight w:val="none"/>
        </w:rPr>
      </w:pPr>
      <w:r>
        <w:rPr>
          <w:b/>
          <w:color w:val="000000"/>
          <w:sz w:val="36"/>
          <w:szCs w:val="36"/>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仿宋">
    <w:panose1 w:val="02010609060101010101"/>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8"/>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16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8"/>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160"/>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16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16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8"/>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16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8"/>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16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right" w:pos="8306" w:leader="none"/>
      </w:tabs>
      <w:rPr>
        <w:rStyle w:val="123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8"/>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1160"/>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8"/>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1160"/>
                    </w:pPr>
                    <w:r/>
                    <w:r/>
                  </w:p>
                </w:txbxContent>
              </v:textbox>
            </v:shape>
          </w:pict>
        </mc:Fallback>
      </mc:AlternateContent>
    </w:r>
    <w:r>
      <w:rPr>
        <w:rStyle w:val="1232"/>
      </w:rPr>
    </w:r>
    <w:r/>
  </w:p>
  <w:p>
    <w:pPr>
      <w:pStyle w:val="1208"/>
      <w:ind w:right="360"/>
      <w:jc w:val="right"/>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right" w:pos="8306" w:leader="none"/>
      </w:tabs>
      <w:rPr>
        <w:rStyle w:val="1232"/>
      </w:rPr>
      <w:framePr w:wrap="around" w:vAnchor="text" w:hAnchor="margin" w:xAlign="right" w:y="1"/>
    </w:pPr>
    <w:r>
      <w:rPr>
        <w:rStyle w:val="1232"/>
      </w:rPr>
      <w:fldChar w:fldCharType="begin"/>
    </w:r>
    <w:r>
      <w:rPr>
        <w:rStyle w:val="1232"/>
      </w:rPr>
      <w:instrText xml:space="preserve">PAGE  </w:instrText>
    </w:r>
    <w:r>
      <w:rPr>
        <w:rStyle w:val="1232"/>
      </w:rPr>
      <w:fldChar w:fldCharType="end"/>
    </w:r>
    <w:r>
      <w:rPr>
        <w:rStyle w:val="1232"/>
      </w:rPr>
    </w:r>
    <w:r/>
  </w:p>
  <w:p>
    <w:pPr>
      <w:pStyle w:val="1208"/>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right" w:pos="8306" w:leader="none"/>
      </w:tabs>
      <w:rPr>
        <w:rStyle w:val="1232"/>
      </w:rPr>
      <w:framePr w:wrap="around" w:vAnchor="text" w:hAnchor="margin" w:xAlign="right" w:y="1"/>
    </w:pPr>
    <w:r>
      <w:rPr>
        <w:rStyle w:val="1232"/>
      </w:rPr>
      <w:fldChar w:fldCharType="begin"/>
    </w:r>
    <w:r>
      <w:rPr>
        <w:rStyle w:val="1232"/>
      </w:rPr>
      <w:instrText xml:space="preserve">PAGE  </w:instrText>
    </w:r>
    <w:r>
      <w:rPr>
        <w:rStyle w:val="1232"/>
      </w:rPr>
      <w:fldChar w:fldCharType="end"/>
    </w:r>
    <w:r>
      <w:rPr>
        <w:rStyle w:val="1232"/>
      </w:rPr>
    </w:r>
    <w:r/>
  </w:p>
  <w:p>
    <w:pPr>
      <w:pStyle w:val="1208"/>
      <w:ind w:right="360"/>
      <w:tabs>
        <w:tab w:val="center" w:pos="4153" w:leader="none"/>
        <w:tab w:val="right" w:pos="8306" w:leader="none"/>
      </w:tabs>
    </w:pPr>
    <w:r/>
    <w:r/>
  </w:p>
  <w:p>
    <w:pPr>
      <w:pStyle w:val="11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right"/>
      <w:tabs>
        <w:tab w:val="center" w:pos="4153" w:leader="none"/>
        <w:tab w:val="right" w:pos="8306" w:leader="none"/>
      </w:tabs>
      <w:rPr>
        <w:sz w:val="21"/>
        <w:szCs w:val="21"/>
      </w:rPr>
    </w:pPr>
    <w:r>
      <w:rPr>
        <w:rFonts w:hint="eastAsia"/>
        <w:sz w:val="21"/>
        <w:szCs w:val="21"/>
        <w:lang w:eastAsia="zh-CN"/>
      </w:rPr>
      <w:t xml:space="preserve">武进人民医院南院一批办公家具采购项目</w:t>
    </w:r>
    <w:r>
      <w:rPr>
        <w:rFonts w:hint="eastAsia"/>
        <w:sz w:val="21"/>
        <w:szCs w:val="21"/>
      </w:rPr>
      <w:t xml:space="preserve">公开招标文件</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right"/>
      <w:tabs>
        <w:tab w:val="center" w:pos="4153" w:leader="none"/>
        <w:tab w:val="right" w:pos="8306" w:leader="none"/>
      </w:tabs>
      <w:rPr>
        <w:sz w:val="21"/>
        <w:szCs w:val="21"/>
      </w:rPr>
    </w:pPr>
    <w:r>
      <w:rPr>
        <w:rFonts w:hint="eastAsia"/>
        <w:sz w:val="21"/>
        <w:szCs w:val="21"/>
        <w:lang w:eastAsia="zh-CN"/>
      </w:rPr>
      <w:t xml:space="preserve">武进人民医院南院一批办公家具采购项目</w:t>
    </w:r>
    <w:r>
      <w:rPr>
        <w:rFonts w:hint="eastAsia"/>
        <w:sz w:val="21"/>
        <w:szCs w:val="21"/>
      </w:rPr>
      <w:t xml:space="preserve">公开招标文件</w:t>
    </w:r>
    <w:r>
      <w:rPr>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right"/>
      <w:tabs>
        <w:tab w:val="center" w:pos="4153" w:leader="none"/>
        <w:tab w:val="right" w:pos="8306" w:leader="none"/>
      </w:tabs>
      <w:rPr>
        <w:rFonts w:hint="eastAsia"/>
      </w:rPr>
    </w:pPr>
    <w:r>
      <w:rPr>
        <w:rFonts w:hint="eastAsia"/>
        <w:lang w:eastAsia="zh-CN"/>
      </w:rPr>
      <w:t xml:space="preserve">武进人民医院南院一批办公家具采购项目</w:t>
    </w:r>
    <w:r>
      <w:rPr>
        <w:rFonts w:hint="eastAsia"/>
      </w:rPr>
      <w:t xml:space="preserve">公开招标文件</w:t>
    </w: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right"/>
      <w:tabs>
        <w:tab w:val="center" w:pos="4153" w:leader="none"/>
        <w:tab w:val="right" w:pos="8306" w:leader="none"/>
      </w:tabs>
      <w:rPr>
        <w:rFonts w:hint="eastAsia"/>
      </w:rPr>
    </w:pPr>
    <w:r>
      <w:rPr>
        <w:rFonts w:hint="eastAsia"/>
        <w:color w:val="000000"/>
        <w:lang w:eastAsia="zh-CN"/>
      </w:rPr>
      <w:t xml:space="preserve">武进人民医院南院一批办公家具采购项目</w:t>
    </w:r>
    <w:r>
      <w:rPr>
        <w:rFonts w:hint="eastAsia"/>
      </w:rPr>
      <w:t xml:space="preserve">公开招标文件</w:t>
    </w: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tabs>
        <w:tab w:val="center" w:pos="4153" w:leader="none"/>
        <w:tab w:val="right" w:pos="8306"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tabs>
        <w:tab w:val="center" w:pos="4153" w:leader="none"/>
        <w:tab w:val="right" w:pos="8306" w:leader="none"/>
      </w:tabs>
    </w:pPr>
    <w:r/>
    <w:r/>
  </w:p>
  <w:p>
    <w:pPr>
      <w:pStyle w:val="1160"/>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60"/>
      </w:pPr>
      <w:rPr>
        <w:color w:val="ff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160"/>
      </w:pPr>
      <w:rPr>
        <w:color w:val="ff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1160"/>
        <w:ind w:left="4941" w:hanging="1140"/>
        <w:tabs>
          <w:tab w:val="num" w:pos="4941" w:leader="none"/>
        </w:tabs>
      </w:pPr>
      <w:rPr>
        <w:rFonts w:hint="eastAsia"/>
      </w:rPr>
    </w:lvl>
    <w:lvl w:ilvl="1">
      <w:start w:val="1"/>
      <w:numFmt w:val="lowerLetter"/>
      <w:isLgl w:val="false"/>
      <w:suff w:val="tab"/>
      <w:lvlText w:val="%2)"/>
      <w:lvlJc w:val="left"/>
      <w:pPr>
        <w:pStyle w:val="1160"/>
        <w:ind w:left="4641" w:hanging="420"/>
        <w:tabs>
          <w:tab w:val="num" w:pos="4641" w:leader="none"/>
        </w:tabs>
      </w:pPr>
    </w:lvl>
    <w:lvl w:ilvl="2">
      <w:start w:val="1"/>
      <w:numFmt w:val="lowerRoman"/>
      <w:isLgl w:val="false"/>
      <w:suff w:val="tab"/>
      <w:lvlText w:val="%3."/>
      <w:lvlJc w:val="right"/>
      <w:pPr>
        <w:pStyle w:val="1160"/>
        <w:ind w:left="5061" w:hanging="420"/>
        <w:tabs>
          <w:tab w:val="num" w:pos="5061" w:leader="none"/>
        </w:tabs>
      </w:pPr>
    </w:lvl>
    <w:lvl w:ilvl="3">
      <w:start w:val="1"/>
      <w:numFmt w:val="decimal"/>
      <w:isLgl w:val="false"/>
      <w:suff w:val="tab"/>
      <w:lvlText w:val="%4."/>
      <w:lvlJc w:val="left"/>
      <w:pPr>
        <w:pStyle w:val="1160"/>
        <w:ind w:left="5481" w:hanging="420"/>
        <w:tabs>
          <w:tab w:val="num" w:pos="5481" w:leader="none"/>
        </w:tabs>
      </w:pPr>
    </w:lvl>
    <w:lvl w:ilvl="4">
      <w:start w:val="1"/>
      <w:numFmt w:val="lowerLetter"/>
      <w:isLgl w:val="false"/>
      <w:suff w:val="tab"/>
      <w:lvlText w:val="%5)"/>
      <w:lvlJc w:val="left"/>
      <w:pPr>
        <w:pStyle w:val="1160"/>
        <w:ind w:left="5901" w:hanging="420"/>
        <w:tabs>
          <w:tab w:val="num" w:pos="5901" w:leader="none"/>
        </w:tabs>
      </w:pPr>
    </w:lvl>
    <w:lvl w:ilvl="5">
      <w:start w:val="1"/>
      <w:numFmt w:val="lowerRoman"/>
      <w:isLgl w:val="false"/>
      <w:suff w:val="tab"/>
      <w:lvlText w:val="%6."/>
      <w:lvlJc w:val="right"/>
      <w:pPr>
        <w:pStyle w:val="1160"/>
        <w:ind w:left="6321" w:hanging="420"/>
        <w:tabs>
          <w:tab w:val="num" w:pos="6321" w:leader="none"/>
        </w:tabs>
      </w:pPr>
    </w:lvl>
    <w:lvl w:ilvl="6">
      <w:start w:val="1"/>
      <w:numFmt w:val="decimal"/>
      <w:isLgl w:val="false"/>
      <w:suff w:val="tab"/>
      <w:lvlText w:val="%7."/>
      <w:lvlJc w:val="left"/>
      <w:pPr>
        <w:pStyle w:val="1160"/>
        <w:ind w:left="6741" w:hanging="420"/>
        <w:tabs>
          <w:tab w:val="num" w:pos="6741" w:leader="none"/>
        </w:tabs>
      </w:pPr>
    </w:lvl>
    <w:lvl w:ilvl="7">
      <w:start w:val="1"/>
      <w:numFmt w:val="lowerLetter"/>
      <w:isLgl w:val="false"/>
      <w:suff w:val="tab"/>
      <w:lvlText w:val="%8)"/>
      <w:lvlJc w:val="left"/>
      <w:pPr>
        <w:pStyle w:val="1160"/>
        <w:ind w:left="7161" w:hanging="420"/>
        <w:tabs>
          <w:tab w:val="num" w:pos="7161" w:leader="none"/>
        </w:tabs>
      </w:pPr>
    </w:lvl>
    <w:lvl w:ilvl="8">
      <w:start w:val="1"/>
      <w:numFmt w:val="lowerRoman"/>
      <w:isLgl w:val="false"/>
      <w:suff w:val="tab"/>
      <w:lvlText w:val="%9."/>
      <w:lvlJc w:val="right"/>
      <w:pPr>
        <w:pStyle w:val="1160"/>
        <w:ind w:left="7581" w:hanging="420"/>
        <w:tabs>
          <w:tab w:val="num" w:pos="7581" w:leader="none"/>
        </w:tabs>
      </w:pPr>
    </w:lvl>
  </w:abstractNum>
  <w:abstractNum w:abstractNumId="3">
    <w:multiLevelType w:val="hybridMultilevel"/>
    <w:lvl w:ilvl="0">
      <w:start w:val="1"/>
      <w:numFmt w:val="decimal"/>
      <w:pStyle w:val="1358"/>
      <w:isLgl w:val="false"/>
      <w:suff w:val="tab"/>
      <w:lvlText w:val="%1."/>
      <w:lvlJc w:val="left"/>
      <w:pPr>
        <w:pStyle w:val="1160"/>
        <w:ind w:left="420" w:hanging="420"/>
      </w:pPr>
    </w:lvl>
    <w:lvl w:ilvl="1">
      <w:start w:val="1"/>
      <w:numFmt w:val="decimal"/>
      <w:isLgl w:val="false"/>
      <w:suff w:val="tab"/>
      <w:lvlText w:val="（%2）"/>
      <w:lvlJc w:val="left"/>
      <w:pPr>
        <w:pStyle w:val="1160"/>
        <w:ind w:left="1140" w:hanging="720"/>
        <w:tabs>
          <w:tab w:val="num" w:pos="1140" w:leader="none"/>
        </w:tabs>
      </w:pPr>
      <w:rPr>
        <w:rFonts w:hint="eastAsia"/>
      </w:rPr>
    </w:lvl>
    <w:lvl w:ilvl="2">
      <w:start w:val="1"/>
      <w:numFmt w:val="lowerRoman"/>
      <w:isLgl w:val="false"/>
      <w:suff w:val="tab"/>
      <w:lvlText w:val="%3."/>
      <w:lvlJc w:val="right"/>
      <w:pPr>
        <w:pStyle w:val="1160"/>
        <w:ind w:left="1260" w:hanging="420"/>
      </w:pPr>
    </w:lvl>
    <w:lvl w:ilvl="3">
      <w:start w:val="1"/>
      <w:numFmt w:val="decimal"/>
      <w:isLgl w:val="false"/>
      <w:suff w:val="tab"/>
      <w:lvlText w:val="%4."/>
      <w:lvlJc w:val="left"/>
      <w:pPr>
        <w:pStyle w:val="1160"/>
        <w:ind w:left="1680" w:hanging="420"/>
      </w:pPr>
    </w:lvl>
    <w:lvl w:ilvl="4">
      <w:start w:val="1"/>
      <w:numFmt w:val="lowerLetter"/>
      <w:isLgl w:val="false"/>
      <w:suff w:val="tab"/>
      <w:lvlText w:val="%5)"/>
      <w:lvlJc w:val="left"/>
      <w:pPr>
        <w:pStyle w:val="1160"/>
        <w:ind w:left="2100" w:hanging="420"/>
      </w:pPr>
    </w:lvl>
    <w:lvl w:ilvl="5">
      <w:start w:val="1"/>
      <w:numFmt w:val="lowerRoman"/>
      <w:isLgl w:val="false"/>
      <w:suff w:val="tab"/>
      <w:lvlText w:val="%6."/>
      <w:lvlJc w:val="right"/>
      <w:pPr>
        <w:pStyle w:val="1160"/>
        <w:ind w:left="2520" w:hanging="420"/>
      </w:pPr>
    </w:lvl>
    <w:lvl w:ilvl="6">
      <w:start w:val="1"/>
      <w:numFmt w:val="decimal"/>
      <w:isLgl w:val="false"/>
      <w:suff w:val="tab"/>
      <w:lvlText w:val="%7."/>
      <w:lvlJc w:val="left"/>
      <w:pPr>
        <w:pStyle w:val="1160"/>
        <w:ind w:left="2940" w:hanging="420"/>
      </w:pPr>
    </w:lvl>
    <w:lvl w:ilvl="7">
      <w:start w:val="1"/>
      <w:numFmt w:val="lowerLetter"/>
      <w:isLgl w:val="false"/>
      <w:suff w:val="tab"/>
      <w:lvlText w:val="%8)"/>
      <w:lvlJc w:val="left"/>
      <w:pPr>
        <w:pStyle w:val="1160"/>
        <w:ind w:left="3360" w:hanging="420"/>
      </w:pPr>
    </w:lvl>
    <w:lvl w:ilvl="8">
      <w:start w:val="1"/>
      <w:numFmt w:val="lowerRoman"/>
      <w:isLgl w:val="false"/>
      <w:suff w:val="tab"/>
      <w:lvlText w:val="%9."/>
      <w:lvlJc w:val="right"/>
      <w:pPr>
        <w:pStyle w:val="1160"/>
        <w:ind w:left="3780" w:hanging="420"/>
      </w:pPr>
    </w:lvl>
  </w:abstractNum>
  <w:abstractNum w:abstractNumId="4">
    <w:multiLevelType w:val="hybridMultilevel"/>
    <w:lvl w:ilvl="0">
      <w:start w:val="1"/>
      <w:numFmt w:val="lowerLetter"/>
      <w:pStyle w:val="1342"/>
      <w:isLgl w:val="false"/>
      <w:suff w:val="tab"/>
      <w:lvlText w:val="%1)"/>
      <w:lvlJc w:val="left"/>
      <w:pPr>
        <w:pStyle w:val="1160"/>
        <w:ind w:left="902" w:hanging="420"/>
      </w:pPr>
      <w:rPr>
        <w:color w:val="000000"/>
      </w:rPr>
    </w:lvl>
    <w:lvl w:ilvl="1">
      <w:start w:val="1"/>
      <w:numFmt w:val="lowerLetter"/>
      <w:isLgl w:val="false"/>
      <w:suff w:val="tab"/>
      <w:lvlText w:val="%2)"/>
      <w:lvlJc w:val="left"/>
      <w:pPr>
        <w:pStyle w:val="1160"/>
        <w:ind w:left="1322" w:hanging="420"/>
      </w:pPr>
    </w:lvl>
    <w:lvl w:ilvl="2">
      <w:start w:val="1"/>
      <w:numFmt w:val="lowerRoman"/>
      <w:isLgl w:val="false"/>
      <w:suff w:val="tab"/>
      <w:lvlText w:val="%3."/>
      <w:lvlJc w:val="right"/>
      <w:pPr>
        <w:pStyle w:val="1160"/>
        <w:ind w:left="1742" w:hanging="420"/>
      </w:pPr>
    </w:lvl>
    <w:lvl w:ilvl="3">
      <w:start w:val="1"/>
      <w:numFmt w:val="decimal"/>
      <w:isLgl w:val="false"/>
      <w:suff w:val="tab"/>
      <w:lvlText w:val="%4."/>
      <w:lvlJc w:val="left"/>
      <w:pPr>
        <w:pStyle w:val="1160"/>
        <w:ind w:left="2162" w:hanging="420"/>
      </w:pPr>
    </w:lvl>
    <w:lvl w:ilvl="4">
      <w:start w:val="1"/>
      <w:numFmt w:val="lowerLetter"/>
      <w:isLgl w:val="false"/>
      <w:suff w:val="tab"/>
      <w:lvlText w:val="%5)"/>
      <w:lvlJc w:val="left"/>
      <w:pPr>
        <w:pStyle w:val="1160"/>
        <w:ind w:left="2582" w:hanging="420"/>
      </w:pPr>
    </w:lvl>
    <w:lvl w:ilvl="5">
      <w:start w:val="1"/>
      <w:numFmt w:val="lowerRoman"/>
      <w:isLgl w:val="false"/>
      <w:suff w:val="tab"/>
      <w:lvlText w:val="%6."/>
      <w:lvlJc w:val="right"/>
      <w:pPr>
        <w:pStyle w:val="1160"/>
        <w:ind w:left="3002" w:hanging="420"/>
      </w:pPr>
    </w:lvl>
    <w:lvl w:ilvl="6">
      <w:start w:val="1"/>
      <w:numFmt w:val="decimal"/>
      <w:isLgl w:val="false"/>
      <w:suff w:val="tab"/>
      <w:lvlText w:val="%7."/>
      <w:lvlJc w:val="left"/>
      <w:pPr>
        <w:pStyle w:val="1160"/>
        <w:ind w:left="3422" w:hanging="420"/>
      </w:pPr>
    </w:lvl>
    <w:lvl w:ilvl="7">
      <w:start w:val="1"/>
      <w:numFmt w:val="lowerLetter"/>
      <w:isLgl w:val="false"/>
      <w:suff w:val="tab"/>
      <w:lvlText w:val="%8)"/>
      <w:lvlJc w:val="left"/>
      <w:pPr>
        <w:pStyle w:val="1160"/>
        <w:ind w:left="3842" w:hanging="420"/>
      </w:pPr>
    </w:lvl>
    <w:lvl w:ilvl="8">
      <w:start w:val="1"/>
      <w:numFmt w:val="lowerRoman"/>
      <w:isLgl w:val="false"/>
      <w:suff w:val="tab"/>
      <w:lvlText w:val="%9."/>
      <w:lvlJc w:val="right"/>
      <w:pPr>
        <w:pStyle w:val="1160"/>
        <w:ind w:left="4262" w:hanging="420"/>
      </w:pPr>
    </w:lvl>
  </w:abstractNum>
  <w:abstractNum w:abstractNumId="5">
    <w:multiLevelType w:val="hybridMultilevel"/>
    <w:lvl w:ilvl="0">
      <w:start w:val="1"/>
      <w:numFmt w:val="decimal"/>
      <w:pStyle w:val="1408"/>
      <w:isLgl w:val="false"/>
      <w:suff w:val="tab"/>
      <w:lvlText w:val="%1."/>
      <w:lvlJc w:val="left"/>
      <w:pPr>
        <w:pStyle w:val="116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05"/>
      <w:isLgl w:val="false"/>
      <w:suff w:val="nothing"/>
      <w:lvlText w:val="%1　"/>
      <w:lvlJc w:val="left"/>
      <w:pPr>
        <w:pStyle w:val="116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6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60"/>
        <w:ind w:left="-25" w:firstLine="0"/>
      </w:pPr>
      <w:rPr>
        <w:rFonts w:ascii="Times New Roman" w:hAnsi="Times New Roman" w:eastAsia="黑体"/>
        <w:b/>
        <w:i w:val="0"/>
        <w:sz w:val="28"/>
      </w:rPr>
    </w:lvl>
    <w:lvl w:ilvl="3">
      <w:start w:val="1"/>
      <w:numFmt w:val="decimal"/>
      <w:pStyle w:val="1310"/>
      <w:isLgl w:val="false"/>
      <w:suff w:val="nothing"/>
      <w:lvlText w:val="%1.%2.%3.%4　"/>
      <w:lvlJc w:val="left"/>
      <w:pPr>
        <w:pStyle w:val="116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6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60"/>
        <w:ind w:left="-25" w:firstLine="0"/>
      </w:pPr>
      <w:rPr>
        <w:rFonts w:ascii="Times New Roman" w:hAnsi="Times New Roman" w:eastAsia="宋体"/>
        <w:b/>
        <w:i w:val="0"/>
        <w:sz w:val="28"/>
      </w:rPr>
    </w:lvl>
    <w:lvl w:ilvl="6">
      <w:start w:val="1"/>
      <w:numFmt w:val="lowerLetter"/>
      <w:pStyle w:val="1379"/>
      <w:isLgl w:val="false"/>
      <w:suff w:val="tab"/>
      <w:lvlText w:val="%7) "/>
      <w:lvlJc w:val="left"/>
      <w:pPr>
        <w:pStyle w:val="1160"/>
        <w:ind w:left="-125" w:firstLine="400"/>
        <w:tabs>
          <w:tab w:val="num" w:pos="635" w:leader="none"/>
        </w:tabs>
      </w:pPr>
      <w:rPr>
        <w:rFonts w:ascii="Times New Roman" w:hAnsi="Times New Roman" w:eastAsia="宋体"/>
        <w:b/>
        <w:i w:val="0"/>
        <w:color w:val="000000"/>
        <w:sz w:val="28"/>
        <w:u w:val="none"/>
      </w:rPr>
    </w:lvl>
    <w:lvl w:ilvl="7">
      <w:start w:val="1"/>
      <w:numFmt w:val="decimal"/>
      <w:pStyle w:val="1299"/>
      <w:isLgl w:val="false"/>
      <w:suff w:val="tab"/>
      <w:lvlText w:val="%8) "/>
      <w:lvlJc w:val="left"/>
      <w:pPr>
        <w:pStyle w:val="116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60"/>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160"/>
        <w:ind w:left="768" w:hanging="360"/>
        <w:tabs>
          <w:tab w:val="num" w:pos="768" w:leader="none"/>
        </w:tabs>
      </w:pPr>
      <w:rPr>
        <w:rFonts w:hint="eastAsia"/>
      </w:rPr>
    </w:lvl>
    <w:lvl w:ilvl="1">
      <w:start w:val="1"/>
      <w:numFmt w:val="decimal"/>
      <w:pStyle w:val="1385"/>
      <w:isLgl w:val="false"/>
      <w:suff w:val="tab"/>
      <w:lvlText w:val="%2、"/>
      <w:lvlJc w:val="left"/>
      <w:pPr>
        <w:pStyle w:val="1160"/>
        <w:ind w:left="1188" w:hanging="360"/>
        <w:tabs>
          <w:tab w:val="num" w:pos="1188" w:leader="none"/>
        </w:tabs>
      </w:pPr>
      <w:rPr>
        <w:rFonts w:hint="eastAsia"/>
      </w:rPr>
    </w:lvl>
    <w:lvl w:ilvl="2">
      <w:start w:val="1"/>
      <w:numFmt w:val="decimal"/>
      <w:isLgl w:val="false"/>
      <w:suff w:val="tab"/>
      <w:lvlText w:val="（%3）"/>
      <w:lvlJc w:val="left"/>
      <w:pPr>
        <w:pStyle w:val="1160"/>
        <w:ind w:left="1968" w:hanging="720"/>
        <w:tabs>
          <w:tab w:val="num" w:pos="1968" w:leader="none"/>
        </w:tabs>
      </w:pPr>
      <w:rPr>
        <w:rFonts w:hint="eastAsia"/>
        <w:u w:val="none"/>
      </w:rPr>
    </w:lvl>
    <w:lvl w:ilvl="3">
      <w:start w:val="1"/>
      <w:numFmt w:val="decimal"/>
      <w:isLgl w:val="false"/>
      <w:suff w:val="tab"/>
      <w:lvlText w:val="%4."/>
      <w:lvlJc w:val="left"/>
      <w:pPr>
        <w:pStyle w:val="1160"/>
        <w:ind w:left="2088" w:hanging="420"/>
        <w:tabs>
          <w:tab w:val="num" w:pos="2088" w:leader="none"/>
        </w:tabs>
      </w:pPr>
    </w:lvl>
    <w:lvl w:ilvl="4">
      <w:start w:val="1"/>
      <w:numFmt w:val="lowerLetter"/>
      <w:isLgl w:val="false"/>
      <w:suff w:val="tab"/>
      <w:lvlText w:val="%5)"/>
      <w:lvlJc w:val="left"/>
      <w:pPr>
        <w:pStyle w:val="1160"/>
        <w:ind w:left="2508" w:hanging="420"/>
        <w:tabs>
          <w:tab w:val="num" w:pos="2508" w:leader="none"/>
        </w:tabs>
      </w:pPr>
    </w:lvl>
    <w:lvl w:ilvl="5">
      <w:start w:val="1"/>
      <w:numFmt w:val="lowerRoman"/>
      <w:isLgl w:val="false"/>
      <w:suff w:val="tab"/>
      <w:lvlText w:val="%6."/>
      <w:lvlJc w:val="right"/>
      <w:pPr>
        <w:pStyle w:val="1160"/>
        <w:ind w:left="2928" w:hanging="420"/>
        <w:tabs>
          <w:tab w:val="num" w:pos="2928" w:leader="none"/>
        </w:tabs>
      </w:pPr>
    </w:lvl>
    <w:lvl w:ilvl="6">
      <w:start w:val="1"/>
      <w:numFmt w:val="decimal"/>
      <w:isLgl w:val="false"/>
      <w:suff w:val="tab"/>
      <w:lvlText w:val="%7."/>
      <w:lvlJc w:val="left"/>
      <w:pPr>
        <w:pStyle w:val="1160"/>
        <w:ind w:left="3348" w:hanging="420"/>
        <w:tabs>
          <w:tab w:val="num" w:pos="3348" w:leader="none"/>
        </w:tabs>
      </w:pPr>
    </w:lvl>
    <w:lvl w:ilvl="7">
      <w:start w:val="1"/>
      <w:numFmt w:val="lowerLetter"/>
      <w:isLgl w:val="false"/>
      <w:suff w:val="tab"/>
      <w:lvlText w:val="%8)"/>
      <w:lvlJc w:val="left"/>
      <w:pPr>
        <w:pStyle w:val="1160"/>
        <w:ind w:left="3768" w:hanging="420"/>
        <w:tabs>
          <w:tab w:val="num" w:pos="3768" w:leader="none"/>
        </w:tabs>
      </w:pPr>
    </w:lvl>
    <w:lvl w:ilvl="8">
      <w:start w:val="1"/>
      <w:numFmt w:val="lowerRoman"/>
      <w:isLgl w:val="false"/>
      <w:suff w:val="tab"/>
      <w:lvlText w:val="%9."/>
      <w:lvlJc w:val="right"/>
      <w:pPr>
        <w:pStyle w:val="1160"/>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160"/>
        <w:ind w:left="900" w:hanging="900"/>
        <w:tabs>
          <w:tab w:val="num" w:pos="900" w:leader="none"/>
        </w:tabs>
      </w:pPr>
      <w:rPr>
        <w:rFonts w:hint="eastAsia"/>
      </w:rPr>
    </w:lvl>
    <w:lvl w:ilvl="1">
      <w:start w:val="1"/>
      <w:numFmt w:val="decimal"/>
      <w:isLgl w:val="false"/>
      <w:suff w:val="tab"/>
      <w:lvlText w:val="%1.%2"/>
      <w:lvlJc w:val="left"/>
      <w:pPr>
        <w:pStyle w:val="116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60"/>
        <w:ind w:left="1980" w:hanging="900"/>
        <w:tabs>
          <w:tab w:val="num" w:pos="1980" w:leader="none"/>
        </w:tabs>
      </w:pPr>
      <w:rPr>
        <w:rFonts w:hint="eastAsia"/>
      </w:rPr>
    </w:lvl>
    <w:lvl w:ilvl="3">
      <w:start w:val="1"/>
      <w:numFmt w:val="decimal"/>
      <w:isLgl w:val="false"/>
      <w:suff w:val="tab"/>
      <w:lvlText w:val="%1.%2.%3.%4"/>
      <w:lvlJc w:val="left"/>
      <w:pPr>
        <w:pStyle w:val="1160"/>
        <w:ind w:left="900" w:hanging="900"/>
        <w:tabs>
          <w:tab w:val="num" w:pos="900" w:leader="none"/>
        </w:tabs>
      </w:pPr>
      <w:rPr>
        <w:rFonts w:hint="eastAsia"/>
      </w:rPr>
    </w:lvl>
    <w:lvl w:ilvl="4">
      <w:start w:val="1"/>
      <w:numFmt w:val="decimal"/>
      <w:isLgl w:val="false"/>
      <w:suff w:val="tab"/>
      <w:lvlText w:val="%1.%2.%3.%4.%5"/>
      <w:lvlJc w:val="left"/>
      <w:pPr>
        <w:pStyle w:val="1160"/>
        <w:ind w:left="900" w:hanging="900"/>
        <w:tabs>
          <w:tab w:val="num" w:pos="900" w:leader="none"/>
        </w:tabs>
      </w:pPr>
      <w:rPr>
        <w:rFonts w:hint="eastAsia"/>
      </w:rPr>
    </w:lvl>
    <w:lvl w:ilvl="5">
      <w:start w:val="1"/>
      <w:numFmt w:val="decimal"/>
      <w:isLgl w:val="false"/>
      <w:suff w:val="tab"/>
      <w:lvlText w:val="%1.%2.%3.%4.%5.%6"/>
      <w:lvlJc w:val="left"/>
      <w:pPr>
        <w:pStyle w:val="1160"/>
        <w:ind w:left="900" w:hanging="900"/>
        <w:tabs>
          <w:tab w:val="num" w:pos="900" w:leader="none"/>
        </w:tabs>
      </w:pPr>
      <w:rPr>
        <w:rFonts w:hint="eastAsia"/>
      </w:rPr>
    </w:lvl>
    <w:lvl w:ilvl="6">
      <w:start w:val="1"/>
      <w:numFmt w:val="decimal"/>
      <w:isLgl w:val="false"/>
      <w:suff w:val="tab"/>
      <w:lvlText w:val="%1.%2.%3.%4.%5.%6.%7"/>
      <w:lvlJc w:val="left"/>
      <w:pPr>
        <w:pStyle w:val="1160"/>
        <w:ind w:left="900" w:hanging="900"/>
        <w:tabs>
          <w:tab w:val="num" w:pos="900" w:leader="none"/>
        </w:tabs>
      </w:pPr>
      <w:rPr>
        <w:rFonts w:hint="eastAsia"/>
      </w:rPr>
    </w:lvl>
    <w:lvl w:ilvl="7">
      <w:start w:val="1"/>
      <w:numFmt w:val="decimal"/>
      <w:isLgl w:val="false"/>
      <w:suff w:val="tab"/>
      <w:lvlText w:val="%1.%2.%3.%4.%5.%6.%7.%8"/>
      <w:lvlJc w:val="left"/>
      <w:pPr>
        <w:pStyle w:val="1160"/>
        <w:ind w:left="900" w:hanging="900"/>
        <w:tabs>
          <w:tab w:val="num" w:pos="900" w:leader="none"/>
        </w:tabs>
      </w:pPr>
      <w:rPr>
        <w:rFonts w:hint="eastAsia"/>
      </w:rPr>
    </w:lvl>
    <w:lvl w:ilvl="8">
      <w:start w:val="1"/>
      <w:numFmt w:val="decimal"/>
      <w:isLgl w:val="false"/>
      <w:suff w:val="tab"/>
      <w:lvlText w:val="%1.%2.%3.%4.%5.%6.%7.%8.%9"/>
      <w:lvlJc w:val="left"/>
      <w:pPr>
        <w:pStyle w:val="1160"/>
        <w:ind w:left="900" w:hanging="900"/>
        <w:tabs>
          <w:tab w:val="num" w:pos="900" w:leader="none"/>
        </w:tabs>
      </w:pPr>
      <w:rPr>
        <w:rFonts w:hint="eastAsia"/>
      </w:rPr>
    </w:lvl>
  </w:abstractNum>
  <w:abstractNum w:abstractNumId="9">
    <w:multiLevelType w:val="hybridMultilevel"/>
    <w:lvl w:ilvl="0">
      <w:start w:val="1"/>
      <w:numFmt w:val="decimal"/>
      <w:pStyle w:val="1384"/>
      <w:isLgl w:val="false"/>
      <w:suff w:val="tab"/>
      <w:lvlText w:val="%1)"/>
      <w:lvlJc w:val="left"/>
      <w:pPr>
        <w:pStyle w:val="1160"/>
        <w:ind w:left="420" w:hanging="420"/>
      </w:pPr>
    </w:lvl>
    <w:lvl w:ilvl="1">
      <w:start w:val="1"/>
      <w:numFmt w:val="lowerLetter"/>
      <w:isLgl w:val="false"/>
      <w:suff w:val="tab"/>
      <w:lvlText w:val="%2)"/>
      <w:lvlJc w:val="left"/>
      <w:pPr>
        <w:pStyle w:val="1160"/>
        <w:ind w:left="840" w:hanging="420"/>
      </w:pPr>
    </w:lvl>
    <w:lvl w:ilvl="2">
      <w:start w:val="1"/>
      <w:numFmt w:val="lowerRoman"/>
      <w:isLgl w:val="false"/>
      <w:suff w:val="tab"/>
      <w:lvlText w:val="%3."/>
      <w:lvlJc w:val="right"/>
      <w:pPr>
        <w:pStyle w:val="1160"/>
        <w:ind w:left="1260" w:hanging="420"/>
      </w:pPr>
    </w:lvl>
    <w:lvl w:ilvl="3">
      <w:start w:val="1"/>
      <w:numFmt w:val="decimal"/>
      <w:isLgl w:val="false"/>
      <w:suff w:val="tab"/>
      <w:lvlText w:val="%4."/>
      <w:lvlJc w:val="left"/>
      <w:pPr>
        <w:pStyle w:val="1160"/>
        <w:ind w:left="1680" w:hanging="420"/>
      </w:pPr>
    </w:lvl>
    <w:lvl w:ilvl="4">
      <w:start w:val="1"/>
      <w:numFmt w:val="lowerLetter"/>
      <w:isLgl w:val="false"/>
      <w:suff w:val="tab"/>
      <w:lvlText w:val="%5)"/>
      <w:lvlJc w:val="left"/>
      <w:pPr>
        <w:pStyle w:val="1160"/>
        <w:ind w:left="2100" w:hanging="420"/>
      </w:pPr>
    </w:lvl>
    <w:lvl w:ilvl="5">
      <w:start w:val="1"/>
      <w:numFmt w:val="lowerRoman"/>
      <w:isLgl w:val="false"/>
      <w:suff w:val="tab"/>
      <w:lvlText w:val="%6."/>
      <w:lvlJc w:val="right"/>
      <w:pPr>
        <w:pStyle w:val="1160"/>
        <w:ind w:left="2520" w:hanging="420"/>
      </w:pPr>
    </w:lvl>
    <w:lvl w:ilvl="6">
      <w:start w:val="1"/>
      <w:numFmt w:val="decimal"/>
      <w:isLgl w:val="false"/>
      <w:suff w:val="tab"/>
      <w:lvlText w:val="%7."/>
      <w:lvlJc w:val="left"/>
      <w:pPr>
        <w:pStyle w:val="1160"/>
        <w:ind w:left="2940" w:hanging="420"/>
      </w:pPr>
    </w:lvl>
    <w:lvl w:ilvl="7">
      <w:start w:val="1"/>
      <w:numFmt w:val="lowerLetter"/>
      <w:isLgl w:val="false"/>
      <w:suff w:val="tab"/>
      <w:lvlText w:val="%8)"/>
      <w:lvlJc w:val="left"/>
      <w:pPr>
        <w:pStyle w:val="1160"/>
        <w:ind w:left="3360" w:hanging="420"/>
      </w:pPr>
    </w:lvl>
    <w:lvl w:ilvl="8">
      <w:start w:val="1"/>
      <w:numFmt w:val="lowerRoman"/>
      <w:isLgl w:val="false"/>
      <w:suff w:val="tab"/>
      <w:lvlText w:val="%9."/>
      <w:lvlJc w:val="right"/>
      <w:pPr>
        <w:pStyle w:val="1160"/>
        <w:ind w:left="3780" w:hanging="420"/>
      </w:pPr>
    </w:lvl>
  </w:abstractNum>
  <w:abstractNum w:abstractNumId="10">
    <w:multiLevelType w:val="hybridMultilevel"/>
    <w:lvl w:ilvl="0">
      <w:start w:val="1"/>
      <w:numFmt w:val="decimal"/>
      <w:isLgl w:val="false"/>
      <w:suff w:val="nothing"/>
      <w:lvlText w:val="%1、"/>
      <w:lvlJc w:val="left"/>
      <w:pPr>
        <w:pStyle w:val="11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360"/>
      <w:isLgl w:val="false"/>
      <w:suff w:val="tab"/>
      <w:lvlText w:val="%1"/>
      <w:lvlJc w:val="left"/>
      <w:pPr>
        <w:pStyle w:val="1160"/>
        <w:ind w:left="680" w:hanging="680"/>
      </w:pPr>
      <w:rPr>
        <w:rFonts w:hint="eastAsia" w:ascii="宋体" w:hAnsi="宋体" w:eastAsia="宋体"/>
      </w:rPr>
    </w:lvl>
    <w:lvl w:ilvl="1">
      <w:start w:val="1"/>
      <w:numFmt w:val="decimal"/>
      <w:pStyle w:val="1353"/>
      <w:isLgl w:val="false"/>
      <w:suff w:val="tab"/>
      <w:lvlText w:val="%1.%2"/>
      <w:lvlJc w:val="left"/>
      <w:pPr>
        <w:pStyle w:val="1160"/>
        <w:ind w:left="851" w:hanging="851"/>
      </w:pPr>
      <w:rPr>
        <w:rFonts w:hint="eastAsia" w:ascii="宋体" w:hAnsi="宋体" w:eastAsia="宋体"/>
        <w:color w:val="000000"/>
      </w:rPr>
    </w:lvl>
    <w:lvl w:ilvl="2">
      <w:start w:val="1"/>
      <w:numFmt w:val="decimal"/>
      <w:pStyle w:val="1371"/>
      <w:isLgl w:val="false"/>
      <w:suff w:val="tab"/>
      <w:lvlText w:val="%1.%2.%3"/>
      <w:lvlJc w:val="left"/>
      <w:pPr>
        <w:pStyle w:val="1160"/>
        <w:ind w:left="851" w:hanging="851"/>
      </w:pPr>
      <w:rPr>
        <w:rFonts w:hint="eastAsia"/>
      </w:rPr>
    </w:lvl>
    <w:lvl w:ilvl="3">
      <w:start w:val="1"/>
      <w:numFmt w:val="decimal"/>
      <w:isLgl w:val="false"/>
      <w:suff w:val="tab"/>
      <w:lvlText w:val="%1.%2.%3.%4"/>
      <w:lvlJc w:val="left"/>
      <w:pPr>
        <w:pStyle w:val="1160"/>
        <w:ind w:left="680" w:hanging="680"/>
      </w:pPr>
      <w:rPr>
        <w:rFonts w:hint="eastAsia"/>
      </w:rPr>
    </w:lvl>
    <w:lvl w:ilvl="4">
      <w:start w:val="1"/>
      <w:numFmt w:val="decimal"/>
      <w:isLgl w:val="false"/>
      <w:suff w:val="tab"/>
      <w:lvlText w:val="%1.%2.%3.%4.%5"/>
      <w:lvlJc w:val="left"/>
      <w:pPr>
        <w:pStyle w:val="1160"/>
        <w:ind w:left="680" w:hanging="680"/>
      </w:pPr>
      <w:rPr>
        <w:rFonts w:hint="eastAsia"/>
      </w:rPr>
    </w:lvl>
    <w:lvl w:ilvl="5">
      <w:start w:val="1"/>
      <w:numFmt w:val="decimal"/>
      <w:isLgl w:val="false"/>
      <w:suff w:val="tab"/>
      <w:lvlText w:val="%1.%2.%3.%4.%5.%6"/>
      <w:lvlJc w:val="left"/>
      <w:pPr>
        <w:pStyle w:val="1160"/>
        <w:ind w:left="680" w:hanging="680"/>
      </w:pPr>
      <w:rPr>
        <w:rFonts w:hint="eastAsia"/>
      </w:rPr>
    </w:lvl>
    <w:lvl w:ilvl="6">
      <w:start w:val="1"/>
      <w:numFmt w:val="decimal"/>
      <w:isLgl w:val="false"/>
      <w:suff w:val="tab"/>
      <w:lvlText w:val="%1.%2.%3.%4.%5.%6.%7"/>
      <w:lvlJc w:val="left"/>
      <w:pPr>
        <w:pStyle w:val="1160"/>
        <w:ind w:left="680" w:hanging="680"/>
      </w:pPr>
      <w:rPr>
        <w:rFonts w:hint="eastAsia"/>
      </w:rPr>
    </w:lvl>
    <w:lvl w:ilvl="7">
      <w:start w:val="1"/>
      <w:numFmt w:val="decimal"/>
      <w:isLgl w:val="false"/>
      <w:suff w:val="tab"/>
      <w:lvlText w:val="%1.%2.%3.%4.%5.%6.%7.%8"/>
      <w:lvlJc w:val="left"/>
      <w:pPr>
        <w:pStyle w:val="1160"/>
        <w:ind w:left="680" w:hanging="680"/>
      </w:pPr>
      <w:rPr>
        <w:rFonts w:hint="eastAsia"/>
      </w:rPr>
    </w:lvl>
    <w:lvl w:ilvl="8">
      <w:start w:val="1"/>
      <w:numFmt w:val="decimal"/>
      <w:isLgl w:val="false"/>
      <w:suff w:val="tab"/>
      <w:lvlText w:val="%1.%2.%3.%4.%5.%6.%7.%8.%9"/>
      <w:lvlJc w:val="left"/>
      <w:pPr>
        <w:pStyle w:val="1160"/>
        <w:ind w:left="680" w:hanging="680"/>
      </w:pPr>
      <w:rPr>
        <w:rFonts w:hint="eastAsia"/>
      </w:rPr>
    </w:lvl>
  </w:abstractNum>
  <w:abstractNum w:abstractNumId="12">
    <w:multiLevelType w:val="hybridMultilevel"/>
    <w:lvl w:ilvl="0">
      <w:start w:val="1"/>
      <w:numFmt w:val="decimal"/>
      <w:isLgl w:val="false"/>
      <w:suff w:val="tab"/>
      <w:lvlText w:val="%1"/>
      <w:lvlJc w:val="left"/>
      <w:pPr>
        <w:pStyle w:val="1160"/>
        <w:ind w:left="900" w:hanging="900"/>
        <w:tabs>
          <w:tab w:val="num" w:pos="900" w:leader="none"/>
        </w:tabs>
      </w:pPr>
      <w:rPr>
        <w:rFonts w:hint="eastAsia"/>
      </w:rPr>
    </w:lvl>
    <w:lvl w:ilvl="1">
      <w:start w:val="1"/>
      <w:numFmt w:val="decimal"/>
      <w:isLgl w:val="false"/>
      <w:suff w:val="tab"/>
      <w:lvlText w:val="%1.%2"/>
      <w:lvlJc w:val="left"/>
      <w:pPr>
        <w:pStyle w:val="116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60"/>
        <w:ind w:left="1980" w:hanging="900"/>
        <w:tabs>
          <w:tab w:val="num" w:pos="1980" w:leader="none"/>
        </w:tabs>
      </w:pPr>
      <w:rPr>
        <w:rFonts w:hint="eastAsia"/>
      </w:rPr>
    </w:lvl>
    <w:lvl w:ilvl="3">
      <w:start w:val="1"/>
      <w:numFmt w:val="decimal"/>
      <w:isLgl w:val="false"/>
      <w:suff w:val="tab"/>
      <w:lvlText w:val="%1.%2.%3.%4"/>
      <w:lvlJc w:val="left"/>
      <w:pPr>
        <w:pStyle w:val="1160"/>
        <w:ind w:left="900" w:hanging="900"/>
        <w:tabs>
          <w:tab w:val="num" w:pos="900" w:leader="none"/>
        </w:tabs>
      </w:pPr>
      <w:rPr>
        <w:rFonts w:hint="eastAsia"/>
      </w:rPr>
    </w:lvl>
    <w:lvl w:ilvl="4">
      <w:start w:val="1"/>
      <w:numFmt w:val="decimal"/>
      <w:isLgl w:val="false"/>
      <w:suff w:val="tab"/>
      <w:lvlText w:val="%1.%2.%3.%4.%5"/>
      <w:lvlJc w:val="left"/>
      <w:pPr>
        <w:pStyle w:val="1160"/>
        <w:ind w:left="900" w:hanging="900"/>
        <w:tabs>
          <w:tab w:val="num" w:pos="900" w:leader="none"/>
        </w:tabs>
      </w:pPr>
      <w:rPr>
        <w:rFonts w:hint="eastAsia"/>
      </w:rPr>
    </w:lvl>
    <w:lvl w:ilvl="5">
      <w:start w:val="1"/>
      <w:numFmt w:val="decimal"/>
      <w:isLgl w:val="false"/>
      <w:suff w:val="tab"/>
      <w:lvlText w:val="%1.%2.%3.%4.%5.%6"/>
      <w:lvlJc w:val="left"/>
      <w:pPr>
        <w:pStyle w:val="1160"/>
        <w:ind w:left="900" w:hanging="900"/>
        <w:tabs>
          <w:tab w:val="num" w:pos="900" w:leader="none"/>
        </w:tabs>
      </w:pPr>
      <w:rPr>
        <w:rFonts w:hint="eastAsia"/>
      </w:rPr>
    </w:lvl>
    <w:lvl w:ilvl="6">
      <w:start w:val="1"/>
      <w:numFmt w:val="decimal"/>
      <w:isLgl w:val="false"/>
      <w:suff w:val="tab"/>
      <w:lvlText w:val="%1.%2.%3.%4.%5.%6.%7"/>
      <w:lvlJc w:val="left"/>
      <w:pPr>
        <w:pStyle w:val="1160"/>
        <w:ind w:left="900" w:hanging="900"/>
        <w:tabs>
          <w:tab w:val="num" w:pos="900" w:leader="none"/>
        </w:tabs>
      </w:pPr>
      <w:rPr>
        <w:rFonts w:hint="eastAsia"/>
      </w:rPr>
    </w:lvl>
    <w:lvl w:ilvl="7">
      <w:start w:val="1"/>
      <w:numFmt w:val="decimal"/>
      <w:isLgl w:val="false"/>
      <w:suff w:val="tab"/>
      <w:lvlText w:val="%1.%2.%3.%4.%5.%6.%7.%8"/>
      <w:lvlJc w:val="left"/>
      <w:pPr>
        <w:pStyle w:val="1160"/>
        <w:ind w:left="900" w:hanging="900"/>
        <w:tabs>
          <w:tab w:val="num" w:pos="900" w:leader="none"/>
        </w:tabs>
      </w:pPr>
      <w:rPr>
        <w:rFonts w:hint="eastAsia"/>
      </w:rPr>
    </w:lvl>
    <w:lvl w:ilvl="8">
      <w:start w:val="1"/>
      <w:numFmt w:val="decimal"/>
      <w:isLgl w:val="false"/>
      <w:suff w:val="tab"/>
      <w:lvlText w:val="%1.%2.%3.%4.%5.%6.%7.%8.%9"/>
      <w:lvlJc w:val="left"/>
      <w:pPr>
        <w:pStyle w:val="1160"/>
        <w:ind w:left="900" w:hanging="900"/>
        <w:tabs>
          <w:tab w:val="num" w:pos="900" w:leader="none"/>
        </w:tabs>
      </w:pPr>
      <w:rPr>
        <w:rFonts w:hint="eastAsia"/>
      </w:rPr>
    </w:lvl>
  </w:abstractNum>
  <w:abstractNum w:abstractNumId="13">
    <w:multiLevelType w:val="hybridMultilevel"/>
    <w:lvl w:ilvl="0">
      <w:start w:val="1"/>
      <w:numFmt w:val="decimal"/>
      <w:isLgl w:val="false"/>
      <w:suff w:val="nothing"/>
      <w:lvlText w:val="%1、"/>
      <w:lvlJc w:val="left"/>
      <w:pPr>
        <w:pStyle w:val="1160"/>
      </w:pPr>
      <w:rPr>
        <w:color w:val="ff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1160"/>
        <w:ind w:left="900" w:hanging="900"/>
        <w:tabs>
          <w:tab w:val="num" w:pos="900" w:leader="none"/>
        </w:tabs>
      </w:pPr>
      <w:rPr>
        <w:rFonts w:hint="eastAsia"/>
      </w:rPr>
    </w:lvl>
    <w:lvl w:ilvl="1">
      <w:start w:val="1"/>
      <w:numFmt w:val="decimal"/>
      <w:isLgl w:val="false"/>
      <w:suff w:val="tab"/>
      <w:lvlText w:val="%1.%2"/>
      <w:lvlJc w:val="left"/>
      <w:pPr>
        <w:pStyle w:val="116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60"/>
        <w:ind w:left="1980" w:hanging="900"/>
        <w:tabs>
          <w:tab w:val="num" w:pos="1980" w:leader="none"/>
        </w:tabs>
      </w:pPr>
      <w:rPr>
        <w:rFonts w:hint="eastAsia"/>
      </w:rPr>
    </w:lvl>
    <w:lvl w:ilvl="3">
      <w:start w:val="1"/>
      <w:numFmt w:val="decimal"/>
      <w:isLgl w:val="false"/>
      <w:suff w:val="tab"/>
      <w:lvlText w:val="%1.%2.%3.%4"/>
      <w:lvlJc w:val="left"/>
      <w:pPr>
        <w:pStyle w:val="1160"/>
        <w:ind w:left="900" w:hanging="900"/>
        <w:tabs>
          <w:tab w:val="num" w:pos="900" w:leader="none"/>
        </w:tabs>
      </w:pPr>
      <w:rPr>
        <w:rFonts w:hint="eastAsia"/>
      </w:rPr>
    </w:lvl>
    <w:lvl w:ilvl="4">
      <w:start w:val="1"/>
      <w:numFmt w:val="decimal"/>
      <w:isLgl w:val="false"/>
      <w:suff w:val="tab"/>
      <w:lvlText w:val="%1.%2.%3.%4.%5"/>
      <w:lvlJc w:val="left"/>
      <w:pPr>
        <w:pStyle w:val="1160"/>
        <w:ind w:left="900" w:hanging="900"/>
        <w:tabs>
          <w:tab w:val="num" w:pos="900" w:leader="none"/>
        </w:tabs>
      </w:pPr>
      <w:rPr>
        <w:rFonts w:hint="eastAsia"/>
      </w:rPr>
    </w:lvl>
    <w:lvl w:ilvl="5">
      <w:start w:val="1"/>
      <w:numFmt w:val="decimal"/>
      <w:isLgl w:val="false"/>
      <w:suff w:val="tab"/>
      <w:lvlText w:val="%1.%2.%3.%4.%5.%6"/>
      <w:lvlJc w:val="left"/>
      <w:pPr>
        <w:pStyle w:val="1160"/>
        <w:ind w:left="900" w:hanging="900"/>
        <w:tabs>
          <w:tab w:val="num" w:pos="900" w:leader="none"/>
        </w:tabs>
      </w:pPr>
      <w:rPr>
        <w:rFonts w:hint="eastAsia"/>
      </w:rPr>
    </w:lvl>
    <w:lvl w:ilvl="6">
      <w:start w:val="1"/>
      <w:numFmt w:val="decimal"/>
      <w:isLgl w:val="false"/>
      <w:suff w:val="tab"/>
      <w:lvlText w:val="%1.%2.%3.%4.%5.%6.%7"/>
      <w:lvlJc w:val="left"/>
      <w:pPr>
        <w:pStyle w:val="1160"/>
        <w:ind w:left="900" w:hanging="900"/>
        <w:tabs>
          <w:tab w:val="num" w:pos="900" w:leader="none"/>
        </w:tabs>
      </w:pPr>
      <w:rPr>
        <w:rFonts w:hint="eastAsia"/>
      </w:rPr>
    </w:lvl>
    <w:lvl w:ilvl="7">
      <w:start w:val="1"/>
      <w:numFmt w:val="decimal"/>
      <w:isLgl w:val="false"/>
      <w:suff w:val="tab"/>
      <w:lvlText w:val="%1.%2.%3.%4.%5.%6.%7.%8"/>
      <w:lvlJc w:val="left"/>
      <w:pPr>
        <w:pStyle w:val="1160"/>
        <w:ind w:left="900" w:hanging="900"/>
        <w:tabs>
          <w:tab w:val="num" w:pos="900" w:leader="none"/>
        </w:tabs>
      </w:pPr>
      <w:rPr>
        <w:rFonts w:hint="eastAsia"/>
      </w:rPr>
    </w:lvl>
    <w:lvl w:ilvl="8">
      <w:start w:val="1"/>
      <w:numFmt w:val="decimal"/>
      <w:isLgl w:val="false"/>
      <w:suff w:val="tab"/>
      <w:lvlText w:val="%1.%2.%3.%4.%5.%6.%7.%8.%9"/>
      <w:lvlJc w:val="left"/>
      <w:pPr>
        <w:pStyle w:val="1160"/>
        <w:ind w:left="900" w:hanging="900"/>
        <w:tabs>
          <w:tab w:val="num" w:pos="900" w:leader="none"/>
        </w:tabs>
      </w:pPr>
      <w:rPr>
        <w:rFonts w:hint="eastAsia"/>
      </w:rPr>
    </w:lvl>
  </w:abstractNum>
  <w:abstractNum w:abstractNumId="15">
    <w:multiLevelType w:val="hybridMultilevel"/>
    <w:lvl w:ilvl="0">
      <w:start w:val="1"/>
      <w:numFmt w:val="decimal"/>
      <w:isLgl w:val="false"/>
      <w:suff w:val="tab"/>
      <w:lvlText w:val="%1"/>
      <w:lvlJc w:val="left"/>
      <w:pPr>
        <w:pStyle w:val="1160"/>
        <w:ind w:left="900" w:hanging="900"/>
        <w:tabs>
          <w:tab w:val="num" w:pos="900" w:leader="none"/>
        </w:tabs>
      </w:pPr>
      <w:rPr>
        <w:rFonts w:hint="eastAsia"/>
      </w:rPr>
    </w:lvl>
    <w:lvl w:ilvl="1">
      <w:start w:val="1"/>
      <w:numFmt w:val="decimal"/>
      <w:isLgl w:val="false"/>
      <w:suff w:val="tab"/>
      <w:lvlText w:val="%1.%2"/>
      <w:lvlJc w:val="left"/>
      <w:pPr>
        <w:pStyle w:val="116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60"/>
        <w:ind w:left="1980" w:hanging="900"/>
        <w:tabs>
          <w:tab w:val="num" w:pos="1980" w:leader="none"/>
        </w:tabs>
      </w:pPr>
      <w:rPr>
        <w:rFonts w:hint="eastAsia"/>
      </w:rPr>
    </w:lvl>
    <w:lvl w:ilvl="3">
      <w:start w:val="1"/>
      <w:numFmt w:val="decimal"/>
      <w:isLgl w:val="false"/>
      <w:suff w:val="tab"/>
      <w:lvlText w:val="%1.%2.%3.%4"/>
      <w:lvlJc w:val="left"/>
      <w:pPr>
        <w:pStyle w:val="1160"/>
        <w:ind w:left="900" w:hanging="900"/>
        <w:tabs>
          <w:tab w:val="num" w:pos="900" w:leader="none"/>
        </w:tabs>
      </w:pPr>
      <w:rPr>
        <w:rFonts w:hint="eastAsia"/>
      </w:rPr>
    </w:lvl>
    <w:lvl w:ilvl="4">
      <w:start w:val="1"/>
      <w:numFmt w:val="decimal"/>
      <w:isLgl w:val="false"/>
      <w:suff w:val="tab"/>
      <w:lvlText w:val="%1.%2.%3.%4.%5"/>
      <w:lvlJc w:val="left"/>
      <w:pPr>
        <w:pStyle w:val="1160"/>
        <w:ind w:left="900" w:hanging="900"/>
        <w:tabs>
          <w:tab w:val="num" w:pos="900" w:leader="none"/>
        </w:tabs>
      </w:pPr>
      <w:rPr>
        <w:rFonts w:hint="eastAsia"/>
      </w:rPr>
    </w:lvl>
    <w:lvl w:ilvl="5">
      <w:start w:val="1"/>
      <w:numFmt w:val="decimal"/>
      <w:isLgl w:val="false"/>
      <w:suff w:val="tab"/>
      <w:lvlText w:val="%1.%2.%3.%4.%5.%6"/>
      <w:lvlJc w:val="left"/>
      <w:pPr>
        <w:pStyle w:val="1160"/>
        <w:ind w:left="900" w:hanging="900"/>
        <w:tabs>
          <w:tab w:val="num" w:pos="900" w:leader="none"/>
        </w:tabs>
      </w:pPr>
      <w:rPr>
        <w:rFonts w:hint="eastAsia"/>
      </w:rPr>
    </w:lvl>
    <w:lvl w:ilvl="6">
      <w:start w:val="1"/>
      <w:numFmt w:val="decimal"/>
      <w:isLgl w:val="false"/>
      <w:suff w:val="tab"/>
      <w:lvlText w:val="%1.%2.%3.%4.%5.%6.%7"/>
      <w:lvlJc w:val="left"/>
      <w:pPr>
        <w:pStyle w:val="1160"/>
        <w:ind w:left="900" w:hanging="900"/>
        <w:tabs>
          <w:tab w:val="num" w:pos="900" w:leader="none"/>
        </w:tabs>
      </w:pPr>
      <w:rPr>
        <w:rFonts w:hint="eastAsia"/>
      </w:rPr>
    </w:lvl>
    <w:lvl w:ilvl="7">
      <w:start w:val="1"/>
      <w:numFmt w:val="decimal"/>
      <w:isLgl w:val="false"/>
      <w:suff w:val="tab"/>
      <w:lvlText w:val="%1.%2.%3.%4.%5.%6.%7.%8"/>
      <w:lvlJc w:val="left"/>
      <w:pPr>
        <w:pStyle w:val="1160"/>
        <w:ind w:left="900" w:hanging="900"/>
        <w:tabs>
          <w:tab w:val="num" w:pos="900" w:leader="none"/>
        </w:tabs>
      </w:pPr>
      <w:rPr>
        <w:rFonts w:hint="eastAsia"/>
      </w:rPr>
    </w:lvl>
    <w:lvl w:ilvl="8">
      <w:start w:val="1"/>
      <w:numFmt w:val="decimal"/>
      <w:isLgl w:val="false"/>
      <w:suff w:val="tab"/>
      <w:lvlText w:val="%1.%2.%3.%4.%5.%6.%7.%8.%9"/>
      <w:lvlJc w:val="left"/>
      <w:pPr>
        <w:pStyle w:val="1160"/>
        <w:ind w:left="900" w:hanging="900"/>
        <w:tabs>
          <w:tab w:val="num" w:pos="900" w:leader="none"/>
        </w:tabs>
      </w:pPr>
      <w:rPr>
        <w:rFonts w:hint="eastAsia"/>
      </w:rPr>
    </w:lvl>
  </w:abstractNum>
  <w:abstractNum w:abstractNumId="16">
    <w:multiLevelType w:val="hybridMultilevel"/>
    <w:lvl w:ilvl="0">
      <w:start w:val="1"/>
      <w:numFmt w:val="decimal"/>
      <w:isLgl w:val="false"/>
      <w:suff w:val="nothing"/>
      <w:lvlText w:val="%1、"/>
      <w:lvlJc w:val="left"/>
      <w:pPr>
        <w:pStyle w:val="11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11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pStyle w:val="1160"/>
        <w:ind w:left="900" w:hanging="900"/>
        <w:tabs>
          <w:tab w:val="num" w:pos="900" w:leader="none"/>
        </w:tabs>
      </w:pPr>
      <w:rPr>
        <w:rFonts w:hint="eastAsia"/>
      </w:rPr>
    </w:lvl>
    <w:lvl w:ilvl="1">
      <w:start w:val="1"/>
      <w:numFmt w:val="decimal"/>
      <w:isLgl w:val="false"/>
      <w:suff w:val="tab"/>
      <w:lvlText w:val="%1.%2"/>
      <w:lvlJc w:val="left"/>
      <w:pPr>
        <w:pStyle w:val="116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60"/>
        <w:ind w:left="1980" w:hanging="900"/>
        <w:tabs>
          <w:tab w:val="num" w:pos="1980" w:leader="none"/>
        </w:tabs>
      </w:pPr>
      <w:rPr>
        <w:rFonts w:hint="eastAsia"/>
      </w:rPr>
    </w:lvl>
    <w:lvl w:ilvl="3">
      <w:start w:val="1"/>
      <w:numFmt w:val="decimal"/>
      <w:isLgl w:val="false"/>
      <w:suff w:val="tab"/>
      <w:lvlText w:val="%1.%2.%3.%4"/>
      <w:lvlJc w:val="left"/>
      <w:pPr>
        <w:pStyle w:val="1160"/>
        <w:ind w:left="900" w:hanging="900"/>
        <w:tabs>
          <w:tab w:val="num" w:pos="900" w:leader="none"/>
        </w:tabs>
      </w:pPr>
      <w:rPr>
        <w:rFonts w:hint="eastAsia"/>
      </w:rPr>
    </w:lvl>
    <w:lvl w:ilvl="4">
      <w:start w:val="1"/>
      <w:numFmt w:val="decimal"/>
      <w:isLgl w:val="false"/>
      <w:suff w:val="tab"/>
      <w:lvlText w:val="%1.%2.%3.%4.%5"/>
      <w:lvlJc w:val="left"/>
      <w:pPr>
        <w:pStyle w:val="1160"/>
        <w:ind w:left="900" w:hanging="900"/>
        <w:tabs>
          <w:tab w:val="num" w:pos="900" w:leader="none"/>
        </w:tabs>
      </w:pPr>
      <w:rPr>
        <w:rFonts w:hint="eastAsia"/>
      </w:rPr>
    </w:lvl>
    <w:lvl w:ilvl="5">
      <w:start w:val="1"/>
      <w:numFmt w:val="decimal"/>
      <w:isLgl w:val="false"/>
      <w:suff w:val="tab"/>
      <w:lvlText w:val="%1.%2.%3.%4.%5.%6"/>
      <w:lvlJc w:val="left"/>
      <w:pPr>
        <w:pStyle w:val="1160"/>
        <w:ind w:left="900" w:hanging="900"/>
        <w:tabs>
          <w:tab w:val="num" w:pos="900" w:leader="none"/>
        </w:tabs>
      </w:pPr>
      <w:rPr>
        <w:rFonts w:hint="eastAsia"/>
      </w:rPr>
    </w:lvl>
    <w:lvl w:ilvl="6">
      <w:start w:val="1"/>
      <w:numFmt w:val="decimal"/>
      <w:isLgl w:val="false"/>
      <w:suff w:val="tab"/>
      <w:lvlText w:val="%1.%2.%3.%4.%5.%6.%7"/>
      <w:lvlJc w:val="left"/>
      <w:pPr>
        <w:pStyle w:val="1160"/>
        <w:ind w:left="900" w:hanging="900"/>
        <w:tabs>
          <w:tab w:val="num" w:pos="900" w:leader="none"/>
        </w:tabs>
      </w:pPr>
      <w:rPr>
        <w:rFonts w:hint="eastAsia"/>
      </w:rPr>
    </w:lvl>
    <w:lvl w:ilvl="7">
      <w:start w:val="1"/>
      <w:numFmt w:val="decimal"/>
      <w:isLgl w:val="false"/>
      <w:suff w:val="tab"/>
      <w:lvlText w:val="%1.%2.%3.%4.%5.%6.%7.%8"/>
      <w:lvlJc w:val="left"/>
      <w:pPr>
        <w:pStyle w:val="1160"/>
        <w:ind w:left="900" w:hanging="900"/>
        <w:tabs>
          <w:tab w:val="num" w:pos="900" w:leader="none"/>
        </w:tabs>
      </w:pPr>
      <w:rPr>
        <w:rFonts w:hint="eastAsia"/>
      </w:rPr>
    </w:lvl>
    <w:lvl w:ilvl="8">
      <w:start w:val="1"/>
      <w:numFmt w:val="decimal"/>
      <w:isLgl w:val="false"/>
      <w:suff w:val="tab"/>
      <w:lvlText w:val="%1.%2.%3.%4.%5.%6.%7.%8.%9"/>
      <w:lvlJc w:val="left"/>
      <w:pPr>
        <w:pStyle w:val="1160"/>
        <w:ind w:left="900" w:hanging="900"/>
        <w:tabs>
          <w:tab w:val="num" w:pos="900" w:leader="none"/>
        </w:tabs>
      </w:pPr>
      <w:rPr>
        <w:rFonts w:hint="eastAsia"/>
      </w:rPr>
    </w:lvl>
  </w:abstractNum>
  <w:abstractNum w:abstractNumId="19">
    <w:multiLevelType w:val="hybridMultilevel"/>
    <w:lvl w:ilvl="0">
      <w:start w:val="1"/>
      <w:numFmt w:val="decimal"/>
      <w:isLgl w:val="false"/>
      <w:suff w:val="nothing"/>
      <w:lvlText w:val="%1、"/>
      <w:lvlJc w:val="left"/>
      <w:pPr>
        <w:pStyle w:val="1160"/>
      </w:pPr>
      <w:rPr>
        <w:color w:val="ff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1"/>
  </w:num>
  <w:num w:numId="4">
    <w:abstractNumId w:val="3"/>
  </w:num>
  <w:num w:numId="5">
    <w:abstractNumId w:val="9"/>
  </w:num>
  <w:num w:numId="6">
    <w:abstractNumId w:val="7"/>
  </w:num>
  <w:num w:numId="7">
    <w:abstractNumId w:val="5"/>
  </w:num>
  <w:num w:numId="8">
    <w:abstractNumId w:val="8"/>
  </w:num>
  <w:num w:numId="9">
    <w:abstractNumId w:val="14"/>
  </w:num>
  <w:num w:numId="10">
    <w:abstractNumId w:val="2"/>
  </w:num>
  <w:num w:numId="11">
    <w:abstractNumId w:val="15"/>
  </w:num>
  <w:num w:numId="12">
    <w:abstractNumId w:val="12"/>
  </w:num>
  <w:num w:numId="13">
    <w:abstractNumId w:val="18"/>
  </w:num>
  <w:num w:numId="14">
    <w:abstractNumId w:val="10"/>
  </w:num>
  <w:num w:numId="15">
    <w:abstractNumId w:val="17"/>
  </w:num>
  <w:num w:numId="16">
    <w:abstractNumId w:val="16"/>
  </w:num>
  <w:num w:numId="17">
    <w:abstractNumId w:val="13"/>
  </w:num>
  <w:num w:numId="18">
    <w:abstractNumId w:val="19"/>
  </w:num>
  <w:num w:numId="19">
    <w:abstractNumId w:val="0"/>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2">
    <w:name w:val="Heading 1"/>
    <w:basedOn w:val="1160"/>
    <w:next w:val="1160"/>
    <w:link w:val="983"/>
    <w:uiPriority w:val="9"/>
    <w:qFormat/>
    <w:pPr>
      <w:keepLines/>
      <w:keepNext/>
      <w:spacing w:before="480" w:after="200"/>
      <w:outlineLvl w:val="0"/>
    </w:pPr>
    <w:rPr>
      <w:rFonts w:ascii="Arial" w:hAnsi="Arial" w:eastAsia="Arial" w:cs="Arial"/>
      <w:sz w:val="40"/>
      <w:szCs w:val="40"/>
    </w:rPr>
  </w:style>
  <w:style w:type="character" w:styleId="983">
    <w:name w:val="Heading 1 Char"/>
    <w:link w:val="982"/>
    <w:uiPriority w:val="9"/>
    <w:rPr>
      <w:rFonts w:ascii="Arial" w:hAnsi="Arial" w:eastAsia="Arial" w:cs="Arial"/>
      <w:sz w:val="40"/>
      <w:szCs w:val="40"/>
    </w:rPr>
  </w:style>
  <w:style w:type="paragraph" w:styleId="984">
    <w:name w:val="Heading 2"/>
    <w:basedOn w:val="1160"/>
    <w:next w:val="1160"/>
    <w:link w:val="985"/>
    <w:uiPriority w:val="9"/>
    <w:unhideWhenUsed/>
    <w:qFormat/>
    <w:pPr>
      <w:keepLines/>
      <w:keepNext/>
      <w:spacing w:before="360" w:after="200"/>
      <w:outlineLvl w:val="1"/>
    </w:pPr>
    <w:rPr>
      <w:rFonts w:ascii="Arial" w:hAnsi="Arial" w:eastAsia="Arial" w:cs="Arial"/>
      <w:sz w:val="34"/>
    </w:rPr>
  </w:style>
  <w:style w:type="character" w:styleId="985">
    <w:name w:val="Heading 2 Char"/>
    <w:link w:val="984"/>
    <w:uiPriority w:val="9"/>
    <w:rPr>
      <w:rFonts w:ascii="Arial" w:hAnsi="Arial" w:eastAsia="Arial" w:cs="Arial"/>
      <w:sz w:val="34"/>
    </w:rPr>
  </w:style>
  <w:style w:type="paragraph" w:styleId="986">
    <w:name w:val="Heading 3"/>
    <w:basedOn w:val="1160"/>
    <w:next w:val="1160"/>
    <w:link w:val="987"/>
    <w:uiPriority w:val="9"/>
    <w:unhideWhenUsed/>
    <w:qFormat/>
    <w:pPr>
      <w:keepLines/>
      <w:keepNext/>
      <w:spacing w:before="320" w:after="200"/>
      <w:outlineLvl w:val="2"/>
    </w:pPr>
    <w:rPr>
      <w:rFonts w:ascii="Arial" w:hAnsi="Arial" w:eastAsia="Arial" w:cs="Arial"/>
      <w:sz w:val="30"/>
      <w:szCs w:val="30"/>
    </w:rPr>
  </w:style>
  <w:style w:type="character" w:styleId="987">
    <w:name w:val="Heading 3 Char"/>
    <w:link w:val="986"/>
    <w:uiPriority w:val="9"/>
    <w:rPr>
      <w:rFonts w:ascii="Arial" w:hAnsi="Arial" w:eastAsia="Arial" w:cs="Arial"/>
      <w:sz w:val="30"/>
      <w:szCs w:val="30"/>
    </w:rPr>
  </w:style>
  <w:style w:type="paragraph" w:styleId="988">
    <w:name w:val="Heading 4"/>
    <w:basedOn w:val="1160"/>
    <w:next w:val="1160"/>
    <w:link w:val="989"/>
    <w:uiPriority w:val="9"/>
    <w:unhideWhenUsed/>
    <w:qFormat/>
    <w:pPr>
      <w:keepLines/>
      <w:keepNext/>
      <w:spacing w:before="320" w:after="200"/>
      <w:outlineLvl w:val="3"/>
    </w:pPr>
    <w:rPr>
      <w:rFonts w:ascii="Arial" w:hAnsi="Arial" w:eastAsia="Arial" w:cs="Arial"/>
      <w:b/>
      <w:bCs/>
      <w:sz w:val="26"/>
      <w:szCs w:val="26"/>
    </w:rPr>
  </w:style>
  <w:style w:type="character" w:styleId="989">
    <w:name w:val="Heading 4 Char"/>
    <w:link w:val="988"/>
    <w:uiPriority w:val="9"/>
    <w:rPr>
      <w:rFonts w:ascii="Arial" w:hAnsi="Arial" w:eastAsia="Arial" w:cs="Arial"/>
      <w:b/>
      <w:bCs/>
      <w:sz w:val="26"/>
      <w:szCs w:val="26"/>
    </w:rPr>
  </w:style>
  <w:style w:type="paragraph" w:styleId="990">
    <w:name w:val="Heading 5"/>
    <w:basedOn w:val="1160"/>
    <w:next w:val="1160"/>
    <w:link w:val="991"/>
    <w:uiPriority w:val="9"/>
    <w:unhideWhenUsed/>
    <w:qFormat/>
    <w:pPr>
      <w:keepLines/>
      <w:keepNext/>
      <w:spacing w:before="320" w:after="200"/>
      <w:outlineLvl w:val="4"/>
    </w:pPr>
    <w:rPr>
      <w:rFonts w:ascii="Arial" w:hAnsi="Arial" w:eastAsia="Arial" w:cs="Arial"/>
      <w:b/>
      <w:bCs/>
      <w:sz w:val="24"/>
      <w:szCs w:val="24"/>
    </w:rPr>
  </w:style>
  <w:style w:type="character" w:styleId="991">
    <w:name w:val="Heading 5 Char"/>
    <w:link w:val="990"/>
    <w:uiPriority w:val="9"/>
    <w:rPr>
      <w:rFonts w:ascii="Arial" w:hAnsi="Arial" w:eastAsia="Arial" w:cs="Arial"/>
      <w:b/>
      <w:bCs/>
      <w:sz w:val="24"/>
      <w:szCs w:val="24"/>
    </w:rPr>
  </w:style>
  <w:style w:type="paragraph" w:styleId="992">
    <w:name w:val="Heading 6"/>
    <w:basedOn w:val="1160"/>
    <w:next w:val="1160"/>
    <w:link w:val="993"/>
    <w:uiPriority w:val="9"/>
    <w:unhideWhenUsed/>
    <w:qFormat/>
    <w:pPr>
      <w:keepLines/>
      <w:keepNext/>
      <w:spacing w:before="320" w:after="200"/>
      <w:outlineLvl w:val="5"/>
    </w:pPr>
    <w:rPr>
      <w:rFonts w:ascii="Arial" w:hAnsi="Arial" w:eastAsia="Arial" w:cs="Arial"/>
      <w:b/>
      <w:bCs/>
      <w:sz w:val="22"/>
      <w:szCs w:val="22"/>
    </w:rPr>
  </w:style>
  <w:style w:type="character" w:styleId="993">
    <w:name w:val="Heading 6 Char"/>
    <w:link w:val="992"/>
    <w:uiPriority w:val="9"/>
    <w:rPr>
      <w:rFonts w:ascii="Arial" w:hAnsi="Arial" w:eastAsia="Arial" w:cs="Arial"/>
      <w:b/>
      <w:bCs/>
      <w:sz w:val="22"/>
      <w:szCs w:val="22"/>
    </w:rPr>
  </w:style>
  <w:style w:type="paragraph" w:styleId="994">
    <w:name w:val="Heading 7"/>
    <w:basedOn w:val="1160"/>
    <w:next w:val="1160"/>
    <w:link w:val="995"/>
    <w:uiPriority w:val="9"/>
    <w:unhideWhenUsed/>
    <w:qFormat/>
    <w:pPr>
      <w:keepLines/>
      <w:keepNext/>
      <w:spacing w:before="320" w:after="200"/>
      <w:outlineLvl w:val="6"/>
    </w:pPr>
    <w:rPr>
      <w:rFonts w:ascii="Arial" w:hAnsi="Arial" w:eastAsia="Arial" w:cs="Arial"/>
      <w:b/>
      <w:bCs/>
      <w:i/>
      <w:iCs/>
      <w:sz w:val="22"/>
      <w:szCs w:val="22"/>
    </w:rPr>
  </w:style>
  <w:style w:type="character" w:styleId="995">
    <w:name w:val="Heading 7 Char"/>
    <w:link w:val="994"/>
    <w:uiPriority w:val="9"/>
    <w:rPr>
      <w:rFonts w:ascii="Arial" w:hAnsi="Arial" w:eastAsia="Arial" w:cs="Arial"/>
      <w:b/>
      <w:bCs/>
      <w:i/>
      <w:iCs/>
      <w:sz w:val="22"/>
      <w:szCs w:val="22"/>
    </w:rPr>
  </w:style>
  <w:style w:type="paragraph" w:styleId="996">
    <w:name w:val="Heading 8"/>
    <w:basedOn w:val="1160"/>
    <w:next w:val="1160"/>
    <w:link w:val="997"/>
    <w:uiPriority w:val="9"/>
    <w:unhideWhenUsed/>
    <w:qFormat/>
    <w:pPr>
      <w:keepLines/>
      <w:keepNext/>
      <w:spacing w:before="320" w:after="200"/>
      <w:outlineLvl w:val="7"/>
    </w:pPr>
    <w:rPr>
      <w:rFonts w:ascii="Arial" w:hAnsi="Arial" w:eastAsia="Arial" w:cs="Arial"/>
      <w:i/>
      <w:iCs/>
      <w:sz w:val="22"/>
      <w:szCs w:val="22"/>
    </w:rPr>
  </w:style>
  <w:style w:type="character" w:styleId="997">
    <w:name w:val="Heading 8 Char"/>
    <w:link w:val="996"/>
    <w:uiPriority w:val="9"/>
    <w:rPr>
      <w:rFonts w:ascii="Arial" w:hAnsi="Arial" w:eastAsia="Arial" w:cs="Arial"/>
      <w:i/>
      <w:iCs/>
      <w:sz w:val="22"/>
      <w:szCs w:val="22"/>
    </w:rPr>
  </w:style>
  <w:style w:type="paragraph" w:styleId="998">
    <w:name w:val="Heading 9"/>
    <w:basedOn w:val="1160"/>
    <w:next w:val="1160"/>
    <w:link w:val="999"/>
    <w:uiPriority w:val="9"/>
    <w:unhideWhenUsed/>
    <w:qFormat/>
    <w:pPr>
      <w:keepLines/>
      <w:keepNext/>
      <w:spacing w:before="320" w:after="200"/>
      <w:outlineLvl w:val="8"/>
    </w:pPr>
    <w:rPr>
      <w:rFonts w:ascii="Arial" w:hAnsi="Arial" w:eastAsia="Arial" w:cs="Arial"/>
      <w:i/>
      <w:iCs/>
      <w:sz w:val="21"/>
      <w:szCs w:val="21"/>
    </w:rPr>
  </w:style>
  <w:style w:type="character" w:styleId="999">
    <w:name w:val="Heading 9 Char"/>
    <w:link w:val="998"/>
    <w:uiPriority w:val="9"/>
    <w:rPr>
      <w:rFonts w:ascii="Arial" w:hAnsi="Arial" w:eastAsia="Arial" w:cs="Arial"/>
      <w:i/>
      <w:iCs/>
      <w:sz w:val="21"/>
      <w:szCs w:val="21"/>
    </w:rPr>
  </w:style>
  <w:style w:type="paragraph" w:styleId="1000">
    <w:name w:val="List Paragraph"/>
    <w:basedOn w:val="1160"/>
    <w:uiPriority w:val="34"/>
    <w:qFormat/>
    <w:pPr>
      <w:contextualSpacing/>
      <w:ind w:left="720"/>
    </w:pPr>
  </w:style>
  <w:style w:type="paragraph" w:styleId="1001">
    <w:name w:val="No Spacing"/>
    <w:uiPriority w:val="1"/>
    <w:qFormat/>
    <w:pPr>
      <w:spacing w:before="0" w:after="0" w:line="240" w:lineRule="auto"/>
    </w:pPr>
  </w:style>
  <w:style w:type="paragraph" w:styleId="1002">
    <w:name w:val="Title"/>
    <w:basedOn w:val="1160"/>
    <w:next w:val="1160"/>
    <w:link w:val="1003"/>
    <w:uiPriority w:val="10"/>
    <w:qFormat/>
    <w:pPr>
      <w:contextualSpacing/>
      <w:spacing w:before="300" w:after="200"/>
    </w:pPr>
    <w:rPr>
      <w:sz w:val="48"/>
      <w:szCs w:val="48"/>
    </w:rPr>
  </w:style>
  <w:style w:type="character" w:styleId="1003">
    <w:name w:val="Title Char"/>
    <w:link w:val="1002"/>
    <w:uiPriority w:val="10"/>
    <w:rPr>
      <w:sz w:val="48"/>
      <w:szCs w:val="48"/>
    </w:rPr>
  </w:style>
  <w:style w:type="paragraph" w:styleId="1004">
    <w:name w:val="Subtitle"/>
    <w:basedOn w:val="1160"/>
    <w:next w:val="1160"/>
    <w:link w:val="1005"/>
    <w:uiPriority w:val="11"/>
    <w:qFormat/>
    <w:pPr>
      <w:spacing w:before="200" w:after="200"/>
    </w:pPr>
    <w:rPr>
      <w:sz w:val="24"/>
      <w:szCs w:val="24"/>
    </w:rPr>
  </w:style>
  <w:style w:type="character" w:styleId="1005">
    <w:name w:val="Subtitle Char"/>
    <w:link w:val="1004"/>
    <w:uiPriority w:val="11"/>
    <w:rPr>
      <w:sz w:val="24"/>
      <w:szCs w:val="24"/>
    </w:rPr>
  </w:style>
  <w:style w:type="paragraph" w:styleId="1006">
    <w:name w:val="Quote"/>
    <w:basedOn w:val="1160"/>
    <w:next w:val="1160"/>
    <w:link w:val="1007"/>
    <w:uiPriority w:val="29"/>
    <w:qFormat/>
    <w:pPr>
      <w:ind w:left="720" w:right="720"/>
    </w:pPr>
    <w:rPr>
      <w:i/>
    </w:rPr>
  </w:style>
  <w:style w:type="character" w:styleId="1007">
    <w:name w:val="Quote Char"/>
    <w:link w:val="1006"/>
    <w:uiPriority w:val="29"/>
    <w:rPr>
      <w:i/>
    </w:rPr>
  </w:style>
  <w:style w:type="paragraph" w:styleId="1008">
    <w:name w:val="Intense Quote"/>
    <w:basedOn w:val="1160"/>
    <w:next w:val="1160"/>
    <w:link w:val="10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9">
    <w:name w:val="Intense Quote Char"/>
    <w:link w:val="1008"/>
    <w:uiPriority w:val="30"/>
    <w:rPr>
      <w:i/>
    </w:rPr>
  </w:style>
  <w:style w:type="paragraph" w:styleId="1010">
    <w:name w:val="Header"/>
    <w:basedOn w:val="1160"/>
    <w:link w:val="1011"/>
    <w:uiPriority w:val="99"/>
    <w:unhideWhenUsed/>
    <w:pPr>
      <w:spacing w:after="0" w:line="240" w:lineRule="auto"/>
      <w:tabs>
        <w:tab w:val="center" w:pos="7143" w:leader="none"/>
        <w:tab w:val="right" w:pos="14287" w:leader="none"/>
      </w:tabs>
    </w:pPr>
  </w:style>
  <w:style w:type="character" w:styleId="1011">
    <w:name w:val="Header Char"/>
    <w:link w:val="1010"/>
    <w:uiPriority w:val="99"/>
  </w:style>
  <w:style w:type="paragraph" w:styleId="1012">
    <w:name w:val="Footer"/>
    <w:basedOn w:val="1160"/>
    <w:link w:val="1015"/>
    <w:uiPriority w:val="99"/>
    <w:unhideWhenUsed/>
    <w:pPr>
      <w:spacing w:after="0" w:line="240" w:lineRule="auto"/>
      <w:tabs>
        <w:tab w:val="center" w:pos="7143" w:leader="none"/>
        <w:tab w:val="right" w:pos="14287" w:leader="none"/>
      </w:tabs>
    </w:pPr>
  </w:style>
  <w:style w:type="character" w:styleId="1013">
    <w:name w:val="Footer Char"/>
    <w:link w:val="1012"/>
    <w:uiPriority w:val="99"/>
  </w:style>
  <w:style w:type="paragraph" w:styleId="1014">
    <w:name w:val="Caption"/>
    <w:basedOn w:val="1160"/>
    <w:next w:val="1160"/>
    <w:uiPriority w:val="35"/>
    <w:semiHidden/>
    <w:unhideWhenUsed/>
    <w:qFormat/>
    <w:pPr>
      <w:spacing w:line="276" w:lineRule="auto"/>
    </w:pPr>
    <w:rPr>
      <w:b/>
      <w:bCs/>
      <w:color w:val="4f81bd" w:themeColor="accent1"/>
      <w:sz w:val="18"/>
      <w:szCs w:val="18"/>
    </w:rPr>
  </w:style>
  <w:style w:type="character" w:styleId="1015">
    <w:name w:val="Caption Char"/>
    <w:basedOn w:val="1014"/>
    <w:link w:val="1012"/>
    <w:uiPriority w:val="99"/>
  </w:style>
  <w:style w:type="table" w:styleId="10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42">
    <w:name w:val="Hyperlink"/>
    <w:uiPriority w:val="99"/>
    <w:unhideWhenUsed/>
    <w:rPr>
      <w:color w:val="0000ff" w:themeColor="hyperlink"/>
      <w:u w:val="single"/>
    </w:rPr>
  </w:style>
  <w:style w:type="paragraph" w:styleId="1143">
    <w:name w:val="footnote text"/>
    <w:basedOn w:val="1160"/>
    <w:link w:val="1144"/>
    <w:uiPriority w:val="99"/>
    <w:semiHidden/>
    <w:unhideWhenUsed/>
    <w:pPr>
      <w:spacing w:after="40" w:line="240" w:lineRule="auto"/>
    </w:pPr>
    <w:rPr>
      <w:sz w:val="18"/>
    </w:rPr>
  </w:style>
  <w:style w:type="character" w:styleId="1144">
    <w:name w:val="Footnote Text Char"/>
    <w:link w:val="1143"/>
    <w:uiPriority w:val="99"/>
    <w:rPr>
      <w:sz w:val="18"/>
    </w:rPr>
  </w:style>
  <w:style w:type="character" w:styleId="1145">
    <w:name w:val="footnote reference"/>
    <w:uiPriority w:val="99"/>
    <w:unhideWhenUsed/>
    <w:rPr>
      <w:vertAlign w:val="superscript"/>
    </w:rPr>
  </w:style>
  <w:style w:type="paragraph" w:styleId="1146">
    <w:name w:val="endnote text"/>
    <w:basedOn w:val="1160"/>
    <w:link w:val="1147"/>
    <w:uiPriority w:val="99"/>
    <w:semiHidden/>
    <w:unhideWhenUsed/>
    <w:pPr>
      <w:spacing w:after="0" w:line="240" w:lineRule="auto"/>
    </w:pPr>
    <w:rPr>
      <w:sz w:val="20"/>
    </w:rPr>
  </w:style>
  <w:style w:type="character" w:styleId="1147">
    <w:name w:val="Endnote Text Char"/>
    <w:link w:val="1146"/>
    <w:uiPriority w:val="99"/>
    <w:rPr>
      <w:sz w:val="20"/>
    </w:rPr>
  </w:style>
  <w:style w:type="character" w:styleId="1148">
    <w:name w:val="endnote reference"/>
    <w:uiPriority w:val="99"/>
    <w:semiHidden/>
    <w:unhideWhenUsed/>
    <w:rPr>
      <w:vertAlign w:val="superscript"/>
    </w:rPr>
  </w:style>
  <w:style w:type="paragraph" w:styleId="1149">
    <w:name w:val="toc 1"/>
    <w:basedOn w:val="1160"/>
    <w:next w:val="1160"/>
    <w:uiPriority w:val="39"/>
    <w:unhideWhenUsed/>
    <w:pPr>
      <w:ind w:left="0" w:right="0" w:firstLine="0"/>
      <w:spacing w:after="57"/>
    </w:pPr>
  </w:style>
  <w:style w:type="paragraph" w:styleId="1150">
    <w:name w:val="toc 2"/>
    <w:basedOn w:val="1160"/>
    <w:next w:val="1160"/>
    <w:uiPriority w:val="39"/>
    <w:unhideWhenUsed/>
    <w:pPr>
      <w:ind w:left="283" w:right="0" w:firstLine="0"/>
      <w:spacing w:after="57"/>
    </w:pPr>
  </w:style>
  <w:style w:type="paragraph" w:styleId="1151">
    <w:name w:val="toc 3"/>
    <w:basedOn w:val="1160"/>
    <w:next w:val="1160"/>
    <w:uiPriority w:val="39"/>
    <w:unhideWhenUsed/>
    <w:pPr>
      <w:ind w:left="567" w:right="0" w:firstLine="0"/>
      <w:spacing w:after="57"/>
    </w:pPr>
  </w:style>
  <w:style w:type="paragraph" w:styleId="1152">
    <w:name w:val="toc 4"/>
    <w:basedOn w:val="1160"/>
    <w:next w:val="1160"/>
    <w:uiPriority w:val="39"/>
    <w:unhideWhenUsed/>
    <w:pPr>
      <w:ind w:left="850" w:right="0" w:firstLine="0"/>
      <w:spacing w:after="57"/>
    </w:pPr>
  </w:style>
  <w:style w:type="paragraph" w:styleId="1153">
    <w:name w:val="toc 5"/>
    <w:basedOn w:val="1160"/>
    <w:next w:val="1160"/>
    <w:uiPriority w:val="39"/>
    <w:unhideWhenUsed/>
    <w:pPr>
      <w:ind w:left="1134" w:right="0" w:firstLine="0"/>
      <w:spacing w:after="57"/>
    </w:pPr>
  </w:style>
  <w:style w:type="paragraph" w:styleId="1154">
    <w:name w:val="toc 6"/>
    <w:basedOn w:val="1160"/>
    <w:next w:val="1160"/>
    <w:uiPriority w:val="39"/>
    <w:unhideWhenUsed/>
    <w:pPr>
      <w:ind w:left="1417" w:right="0" w:firstLine="0"/>
      <w:spacing w:after="57"/>
    </w:pPr>
  </w:style>
  <w:style w:type="paragraph" w:styleId="1155">
    <w:name w:val="toc 7"/>
    <w:basedOn w:val="1160"/>
    <w:next w:val="1160"/>
    <w:uiPriority w:val="39"/>
    <w:unhideWhenUsed/>
    <w:pPr>
      <w:ind w:left="1701" w:right="0" w:firstLine="0"/>
      <w:spacing w:after="57"/>
    </w:pPr>
  </w:style>
  <w:style w:type="paragraph" w:styleId="1156">
    <w:name w:val="toc 8"/>
    <w:basedOn w:val="1160"/>
    <w:next w:val="1160"/>
    <w:uiPriority w:val="39"/>
    <w:unhideWhenUsed/>
    <w:pPr>
      <w:ind w:left="1984" w:right="0" w:firstLine="0"/>
      <w:spacing w:after="57"/>
    </w:pPr>
  </w:style>
  <w:style w:type="paragraph" w:styleId="1157">
    <w:name w:val="toc 9"/>
    <w:basedOn w:val="1160"/>
    <w:next w:val="1160"/>
    <w:uiPriority w:val="39"/>
    <w:unhideWhenUsed/>
    <w:pPr>
      <w:ind w:left="2268" w:right="0" w:firstLine="0"/>
      <w:spacing w:after="57"/>
    </w:pPr>
  </w:style>
  <w:style w:type="paragraph" w:styleId="1158">
    <w:name w:val="TOC Heading"/>
    <w:uiPriority w:val="39"/>
    <w:unhideWhenUsed/>
  </w:style>
  <w:style w:type="paragraph" w:styleId="1159">
    <w:name w:val="table of figures"/>
    <w:basedOn w:val="1160"/>
    <w:next w:val="1160"/>
    <w:uiPriority w:val="99"/>
    <w:unhideWhenUsed/>
    <w:pPr>
      <w:spacing w:after="0" w:afterAutospacing="0"/>
    </w:pPr>
  </w:style>
  <w:style w:type="paragraph" w:styleId="1160" w:default="1">
    <w:name w:val="Normal"/>
    <w:next w:val="1160"/>
    <w:link w:val="1160"/>
    <w:qFormat/>
    <w:pPr>
      <w:jc w:val="both"/>
      <w:widowControl w:val="off"/>
    </w:pPr>
    <w:rPr>
      <w:sz w:val="21"/>
      <w:szCs w:val="24"/>
      <w:lang w:val="en-US" w:eastAsia="zh-CN" w:bidi="ar-SA"/>
    </w:rPr>
  </w:style>
  <w:style w:type="paragraph" w:styleId="1161">
    <w:name w:val="标题 1"/>
    <w:basedOn w:val="1160"/>
    <w:next w:val="1160"/>
    <w:link w:val="1172"/>
    <w:qFormat/>
    <w:pPr>
      <w:jc w:val="center"/>
      <w:keepLines/>
      <w:keepNext/>
      <w:spacing w:before="240" w:after="120" w:line="300" w:lineRule="auto"/>
      <w:outlineLvl w:val="0"/>
    </w:pPr>
    <w:rPr>
      <w:rFonts w:ascii="宋体"/>
      <w:b/>
      <w:sz w:val="32"/>
      <w:szCs w:val="20"/>
    </w:rPr>
  </w:style>
  <w:style w:type="paragraph" w:styleId="1162">
    <w:name w:val="标题 2"/>
    <w:basedOn w:val="1160"/>
    <w:next w:val="1174"/>
    <w:link w:val="1173"/>
    <w:qFormat/>
    <w:pPr>
      <w:jc w:val="center"/>
      <w:keepLines/>
      <w:keepNext/>
      <w:spacing w:before="120" w:line="300" w:lineRule="auto"/>
      <w:outlineLvl w:val="1"/>
    </w:pPr>
    <w:rPr>
      <w:rFonts w:ascii="Arial" w:hAnsi="Arial" w:eastAsia="黑体"/>
      <w:b/>
      <w:sz w:val="30"/>
      <w:szCs w:val="20"/>
    </w:rPr>
  </w:style>
  <w:style w:type="paragraph" w:styleId="1163">
    <w:name w:val="标题 3"/>
    <w:basedOn w:val="1160"/>
    <w:next w:val="1160"/>
    <w:link w:val="1176"/>
    <w:qFormat/>
    <w:pPr>
      <w:jc w:val="left"/>
      <w:keepLines/>
      <w:keepNext/>
      <w:spacing w:before="360" w:after="120"/>
      <w:outlineLvl w:val="2"/>
    </w:pPr>
    <w:rPr>
      <w:rFonts w:ascii="宋体"/>
      <w:b/>
      <w:sz w:val="24"/>
      <w:szCs w:val="20"/>
      <w:u w:val="single"/>
    </w:rPr>
  </w:style>
  <w:style w:type="paragraph" w:styleId="1164">
    <w:name w:val="标题 4"/>
    <w:basedOn w:val="1160"/>
    <w:next w:val="1174"/>
    <w:link w:val="1177"/>
    <w:qFormat/>
    <w:pPr>
      <w:keepLines/>
      <w:keepNext/>
      <w:spacing w:before="280" w:after="290" w:line="376" w:lineRule="atLeast"/>
      <w:outlineLvl w:val="3"/>
    </w:pPr>
    <w:rPr>
      <w:rFonts w:ascii="Arial" w:hAnsi="Arial" w:eastAsia="黑体"/>
      <w:b/>
      <w:sz w:val="28"/>
      <w:szCs w:val="20"/>
    </w:rPr>
  </w:style>
  <w:style w:type="paragraph" w:styleId="1165">
    <w:name w:val="标题 5"/>
    <w:basedOn w:val="1160"/>
    <w:next w:val="1160"/>
    <w:link w:val="1178"/>
    <w:qFormat/>
    <w:pPr>
      <w:keepLines/>
      <w:keepNext/>
      <w:spacing w:before="280" w:after="290" w:line="376" w:lineRule="atLeast"/>
      <w:outlineLvl w:val="4"/>
    </w:pPr>
    <w:rPr>
      <w:b/>
      <w:sz w:val="28"/>
      <w:szCs w:val="20"/>
    </w:rPr>
  </w:style>
  <w:style w:type="paragraph" w:styleId="1166">
    <w:name w:val="标题 6"/>
    <w:basedOn w:val="1160"/>
    <w:next w:val="1160"/>
    <w:link w:val="1179"/>
    <w:qFormat/>
    <w:pPr>
      <w:keepLines/>
      <w:keepNext/>
      <w:spacing w:before="240" w:after="64" w:line="320" w:lineRule="atLeast"/>
      <w:outlineLvl w:val="5"/>
    </w:pPr>
    <w:rPr>
      <w:rFonts w:ascii="Arial" w:hAnsi="Arial" w:eastAsia="黑体"/>
      <w:b/>
      <w:sz w:val="24"/>
      <w:szCs w:val="20"/>
    </w:rPr>
  </w:style>
  <w:style w:type="paragraph" w:styleId="1167">
    <w:name w:val="标题 7"/>
    <w:basedOn w:val="1160"/>
    <w:next w:val="1160"/>
    <w:link w:val="1180"/>
    <w:qFormat/>
    <w:pPr>
      <w:keepLines/>
      <w:keepNext/>
      <w:spacing w:before="240" w:after="64" w:line="320" w:lineRule="atLeast"/>
      <w:outlineLvl w:val="6"/>
    </w:pPr>
    <w:rPr>
      <w:b/>
      <w:sz w:val="24"/>
      <w:szCs w:val="20"/>
    </w:rPr>
  </w:style>
  <w:style w:type="paragraph" w:styleId="1168">
    <w:name w:val="标题 8"/>
    <w:basedOn w:val="1160"/>
    <w:next w:val="1160"/>
    <w:link w:val="1181"/>
    <w:qFormat/>
    <w:pPr>
      <w:keepLines/>
      <w:keepNext/>
      <w:spacing w:before="240" w:after="64" w:line="320" w:lineRule="atLeast"/>
      <w:outlineLvl w:val="7"/>
    </w:pPr>
    <w:rPr>
      <w:rFonts w:ascii="Arial" w:hAnsi="Arial" w:eastAsia="黑体"/>
      <w:sz w:val="24"/>
      <w:szCs w:val="20"/>
    </w:rPr>
  </w:style>
  <w:style w:type="paragraph" w:styleId="1169">
    <w:name w:val="标题 9"/>
    <w:basedOn w:val="1160"/>
    <w:next w:val="1160"/>
    <w:link w:val="1182"/>
    <w:qFormat/>
    <w:pPr>
      <w:keepLines/>
      <w:keepNext/>
      <w:spacing w:before="240" w:after="64" w:line="320" w:lineRule="atLeast"/>
      <w:outlineLvl w:val="8"/>
    </w:pPr>
    <w:rPr>
      <w:rFonts w:ascii="Arial" w:hAnsi="Arial" w:eastAsia="黑体"/>
      <w:szCs w:val="20"/>
    </w:rPr>
  </w:style>
  <w:style w:type="character" w:styleId="1170">
    <w:name w:val="默认段落字体"/>
    <w:next w:val="1170"/>
    <w:link w:val="1160"/>
    <w:uiPriority w:val="1"/>
    <w:unhideWhenUsed/>
    <w:qFormat/>
  </w:style>
  <w:style w:type="table" w:styleId="1171">
    <w:name w:val="普通表格"/>
    <w:next w:val="1171"/>
    <w:link w:val="1160"/>
    <w:uiPriority w:val="99"/>
    <w:unhideWhenUsed/>
    <w:qFormat/>
    <w:tblPr/>
  </w:style>
  <w:style w:type="character" w:styleId="1172">
    <w:name w:val="标题 1 Char"/>
    <w:next w:val="1172"/>
    <w:link w:val="1161"/>
    <w:qFormat/>
    <w:rPr>
      <w:rFonts w:ascii="宋体"/>
      <w:b/>
      <w:sz w:val="32"/>
    </w:rPr>
  </w:style>
  <w:style w:type="character" w:styleId="1173">
    <w:name w:val="标题 2 Char1"/>
    <w:next w:val="1173"/>
    <w:link w:val="1162"/>
    <w:qFormat/>
    <w:rPr>
      <w:rFonts w:ascii="Arial" w:hAnsi="Arial" w:eastAsia="黑体"/>
      <w:b/>
      <w:sz w:val="30"/>
      <w:lang w:val="en-US" w:eastAsia="zh-CN" w:bidi="ar-SA"/>
    </w:rPr>
  </w:style>
  <w:style w:type="paragraph" w:styleId="1174">
    <w:name w:val="正文缩进"/>
    <w:basedOn w:val="1160"/>
    <w:next w:val="1160"/>
    <w:link w:val="1175"/>
    <w:qFormat/>
    <w:pPr>
      <w:ind w:firstLine="420"/>
      <w:jc w:val="left"/>
    </w:pPr>
    <w:rPr>
      <w:rFonts w:ascii="宋体"/>
      <w:sz w:val="24"/>
    </w:rPr>
  </w:style>
  <w:style w:type="character" w:styleId="1175">
    <w:name w:val="正文缩进 Char1"/>
    <w:next w:val="1175"/>
    <w:link w:val="1174"/>
    <w:qFormat/>
    <w:rPr>
      <w:rFonts w:ascii="宋体" w:eastAsia="宋体"/>
      <w:sz w:val="24"/>
      <w:szCs w:val="24"/>
      <w:lang w:val="en-US" w:eastAsia="zh-CN" w:bidi="ar-SA"/>
    </w:rPr>
  </w:style>
  <w:style w:type="character" w:styleId="1176">
    <w:name w:val="标题 3 Char1"/>
    <w:next w:val="1176"/>
    <w:link w:val="1163"/>
    <w:qFormat/>
    <w:rPr>
      <w:rFonts w:ascii="宋体" w:eastAsia="宋体"/>
      <w:b/>
      <w:sz w:val="24"/>
      <w:u w:val="single"/>
      <w:lang w:val="en-US" w:eastAsia="zh-CN" w:bidi="ar-SA"/>
    </w:rPr>
  </w:style>
  <w:style w:type="character" w:styleId="1177">
    <w:name w:val="标题 4 Char"/>
    <w:next w:val="1177"/>
    <w:link w:val="1164"/>
    <w:qFormat/>
    <w:rPr>
      <w:rFonts w:ascii="Arial" w:hAnsi="Arial" w:eastAsia="黑体"/>
      <w:b/>
      <w:sz w:val="28"/>
    </w:rPr>
  </w:style>
  <w:style w:type="character" w:styleId="1178">
    <w:name w:val="标题 5 Char"/>
    <w:next w:val="1178"/>
    <w:link w:val="1165"/>
    <w:qFormat/>
    <w:rPr>
      <w:b/>
      <w:sz w:val="28"/>
    </w:rPr>
  </w:style>
  <w:style w:type="character" w:styleId="1179">
    <w:name w:val="标题 6 Char"/>
    <w:next w:val="1179"/>
    <w:link w:val="1166"/>
    <w:qFormat/>
    <w:rPr>
      <w:rFonts w:ascii="Arial" w:hAnsi="Arial" w:eastAsia="黑体"/>
      <w:b/>
      <w:sz w:val="24"/>
    </w:rPr>
  </w:style>
  <w:style w:type="character" w:styleId="1180">
    <w:name w:val="标题 7 Char"/>
    <w:next w:val="1180"/>
    <w:link w:val="1167"/>
    <w:qFormat/>
    <w:rPr>
      <w:b/>
      <w:sz w:val="24"/>
    </w:rPr>
  </w:style>
  <w:style w:type="character" w:styleId="1181">
    <w:name w:val="标题 8 Char"/>
    <w:next w:val="1181"/>
    <w:link w:val="1168"/>
    <w:qFormat/>
    <w:rPr>
      <w:rFonts w:ascii="Arial" w:hAnsi="Arial" w:eastAsia="黑体"/>
      <w:sz w:val="24"/>
    </w:rPr>
  </w:style>
  <w:style w:type="character" w:styleId="1182">
    <w:name w:val="标题 9 Char"/>
    <w:next w:val="1182"/>
    <w:link w:val="1169"/>
    <w:qFormat/>
    <w:rPr>
      <w:rFonts w:ascii="Arial" w:hAnsi="Arial" w:eastAsia="黑体"/>
      <w:sz w:val="21"/>
    </w:rPr>
  </w:style>
  <w:style w:type="paragraph" w:styleId="1183">
    <w:name w:val="目录 7"/>
    <w:basedOn w:val="1160"/>
    <w:next w:val="1160"/>
    <w:link w:val="1160"/>
    <w:qFormat/>
    <w:pPr>
      <w:ind w:left="2520"/>
    </w:pPr>
  </w:style>
  <w:style w:type="paragraph" w:styleId="1184">
    <w:name w:val="题注"/>
    <w:basedOn w:val="1160"/>
    <w:next w:val="1160"/>
    <w:link w:val="1160"/>
    <w:qFormat/>
    <w:pPr>
      <w:spacing w:line="480" w:lineRule="auto"/>
    </w:pPr>
    <w:rPr>
      <w:rFonts w:ascii="华文中宋" w:hAnsi="华文中宋" w:eastAsia="华文中宋"/>
      <w:sz w:val="36"/>
      <w:szCs w:val="20"/>
    </w:rPr>
  </w:style>
  <w:style w:type="paragraph" w:styleId="1185">
    <w:name w:val="文档结构图"/>
    <w:basedOn w:val="1160"/>
    <w:next w:val="1185"/>
    <w:link w:val="1186"/>
    <w:qFormat/>
    <w:pPr>
      <w:shd w:val="clear" w:color="auto" w:fill="000080"/>
    </w:pPr>
  </w:style>
  <w:style w:type="character" w:styleId="1186">
    <w:name w:val="文档结构图 Char"/>
    <w:next w:val="1186"/>
    <w:link w:val="1185"/>
    <w:qFormat/>
    <w:rPr>
      <w:sz w:val="21"/>
      <w:szCs w:val="24"/>
      <w:shd w:val="clear" w:color="auto" w:fill="000080"/>
    </w:rPr>
  </w:style>
  <w:style w:type="paragraph" w:styleId="1187">
    <w:name w:val="批注文字"/>
    <w:basedOn w:val="1160"/>
    <w:next w:val="1187"/>
    <w:link w:val="1188"/>
    <w:qFormat/>
    <w:pPr>
      <w:jc w:val="left"/>
    </w:pPr>
  </w:style>
  <w:style w:type="character" w:styleId="1188">
    <w:name w:val="批注文字 Char1"/>
    <w:next w:val="1188"/>
    <w:link w:val="1187"/>
    <w:uiPriority w:val="99"/>
    <w:qFormat/>
    <w:rPr>
      <w:sz w:val="21"/>
      <w:szCs w:val="24"/>
    </w:rPr>
  </w:style>
  <w:style w:type="paragraph" w:styleId="1189">
    <w:name w:val="正文文本 3"/>
    <w:basedOn w:val="1160"/>
    <w:next w:val="1189"/>
    <w:link w:val="1190"/>
    <w:qFormat/>
    <w:pPr>
      <w:spacing w:after="120"/>
    </w:pPr>
    <w:rPr>
      <w:sz w:val="16"/>
      <w:szCs w:val="16"/>
    </w:rPr>
  </w:style>
  <w:style w:type="character" w:styleId="1190">
    <w:name w:val="正文文本 3 Char"/>
    <w:next w:val="1190"/>
    <w:link w:val="1189"/>
    <w:qFormat/>
    <w:rPr>
      <w:sz w:val="16"/>
      <w:szCs w:val="16"/>
    </w:rPr>
  </w:style>
  <w:style w:type="paragraph" w:styleId="1191">
    <w:name w:val="正文文本"/>
    <w:basedOn w:val="1160"/>
    <w:next w:val="1160"/>
    <w:link w:val="1192"/>
    <w:qFormat/>
    <w:pPr>
      <w:spacing w:before="120" w:line="22" w:lineRule="atLeast"/>
      <w:tabs>
        <w:tab w:val="left" w:pos="567" w:leader="none"/>
      </w:tabs>
    </w:pPr>
    <w:rPr>
      <w:rFonts w:ascii="宋体" w:hAnsi="宋体"/>
      <w:sz w:val="24"/>
    </w:rPr>
  </w:style>
  <w:style w:type="character" w:styleId="1192">
    <w:name w:val="正文文本 Char"/>
    <w:next w:val="1192"/>
    <w:link w:val="1191"/>
    <w:qFormat/>
    <w:rPr>
      <w:rFonts w:ascii="宋体" w:hAnsi="宋体"/>
      <w:sz w:val="24"/>
      <w:szCs w:val="24"/>
    </w:rPr>
  </w:style>
  <w:style w:type="paragraph" w:styleId="1193">
    <w:name w:val="正文文本缩进"/>
    <w:basedOn w:val="1160"/>
    <w:next w:val="1160"/>
    <w:link w:val="1194"/>
    <w:qFormat/>
    <w:pPr>
      <w:ind w:firstLine="570"/>
      <w:spacing w:line="360" w:lineRule="auto"/>
    </w:pPr>
    <w:rPr>
      <w:sz w:val="24"/>
    </w:rPr>
  </w:style>
  <w:style w:type="character" w:styleId="1194">
    <w:name w:val="正文文本缩进 Char2"/>
    <w:next w:val="1194"/>
    <w:link w:val="1193"/>
    <w:qFormat/>
    <w:rPr>
      <w:rFonts w:eastAsia="宋体"/>
      <w:sz w:val="24"/>
      <w:szCs w:val="24"/>
      <w:lang w:val="en-US" w:eastAsia="zh-CN" w:bidi="ar-SA"/>
    </w:rPr>
  </w:style>
  <w:style w:type="paragraph" w:styleId="1195">
    <w:name w:val="列表 2"/>
    <w:basedOn w:val="1160"/>
    <w:next w:val="1195"/>
    <w:link w:val="1160"/>
    <w:qFormat/>
    <w:pPr>
      <w:ind w:left="100" w:hanging="200"/>
    </w:pPr>
  </w:style>
  <w:style w:type="paragraph" w:styleId="1196">
    <w:name w:val="文本块"/>
    <w:basedOn w:val="1160"/>
    <w:next w:val="1196"/>
    <w:link w:val="1160"/>
    <w:qFormat/>
    <w:pPr>
      <w:ind w:left="480" w:right="-341" w:firstLine="513"/>
      <w:widowControl/>
    </w:pPr>
    <w:rPr>
      <w:sz w:val="24"/>
      <w:szCs w:val="20"/>
    </w:rPr>
  </w:style>
  <w:style w:type="paragraph" w:styleId="1197">
    <w:name w:val="目录 5"/>
    <w:basedOn w:val="1160"/>
    <w:next w:val="1160"/>
    <w:link w:val="1160"/>
    <w:qFormat/>
    <w:pPr>
      <w:ind w:left="1680"/>
    </w:pPr>
  </w:style>
  <w:style w:type="paragraph" w:styleId="1198">
    <w:name w:val="目录 3"/>
    <w:basedOn w:val="1160"/>
    <w:next w:val="1160"/>
    <w:link w:val="1160"/>
    <w:uiPriority w:val="39"/>
    <w:qFormat/>
    <w:pPr>
      <w:ind w:left="840"/>
    </w:pPr>
  </w:style>
  <w:style w:type="paragraph" w:styleId="1199">
    <w:name w:val="纯文本"/>
    <w:basedOn w:val="1160"/>
    <w:next w:val="1174"/>
    <w:link w:val="1200"/>
    <w:qFormat/>
    <w:rPr>
      <w:rFonts w:hint="eastAsia" w:ascii="宋体" w:hAnsi="Courier New"/>
      <w:szCs w:val="20"/>
    </w:rPr>
  </w:style>
  <w:style w:type="character" w:styleId="1200">
    <w:name w:val="纯文本 Char"/>
    <w:next w:val="1200"/>
    <w:link w:val="1199"/>
    <w:qFormat/>
    <w:rPr>
      <w:rFonts w:hint="eastAsia" w:ascii="宋体" w:hAnsi="Courier New" w:eastAsia="宋体" w:cs="宋体"/>
      <w:sz w:val="21"/>
    </w:rPr>
  </w:style>
  <w:style w:type="paragraph" w:styleId="1201">
    <w:name w:val="目录 8"/>
    <w:basedOn w:val="1160"/>
    <w:next w:val="1160"/>
    <w:link w:val="1160"/>
    <w:qFormat/>
    <w:pPr>
      <w:ind w:left="2940"/>
    </w:pPr>
  </w:style>
  <w:style w:type="paragraph" w:styleId="1202">
    <w:name w:val="日期"/>
    <w:basedOn w:val="1160"/>
    <w:next w:val="1160"/>
    <w:link w:val="1203"/>
    <w:qFormat/>
    <w:pPr>
      <w:ind w:left="100"/>
    </w:pPr>
    <w:rPr>
      <w:rFonts w:ascii="仿宋_GB2312" w:hAnsi="宋体" w:eastAsia="仿宋_GB2312"/>
      <w:color w:val="000000"/>
      <w:sz w:val="24"/>
    </w:rPr>
  </w:style>
  <w:style w:type="character" w:styleId="1203">
    <w:name w:val="日期 Char"/>
    <w:next w:val="1203"/>
    <w:link w:val="1202"/>
    <w:qFormat/>
    <w:rPr>
      <w:rFonts w:ascii="仿宋_GB2312" w:hAnsi="宋体" w:eastAsia="仿宋_GB2312"/>
      <w:color w:val="000000"/>
      <w:sz w:val="24"/>
      <w:szCs w:val="24"/>
    </w:rPr>
  </w:style>
  <w:style w:type="paragraph" w:styleId="1204">
    <w:name w:val="正文文本缩进 2"/>
    <w:basedOn w:val="1160"/>
    <w:next w:val="1204"/>
    <w:link w:val="1205"/>
    <w:qFormat/>
    <w:pPr>
      <w:ind w:firstLine="480"/>
    </w:pPr>
    <w:rPr>
      <w:rFonts w:ascii="仿宋_GB2312" w:eastAsia="仿宋_GB2312"/>
      <w:sz w:val="24"/>
    </w:rPr>
  </w:style>
  <w:style w:type="character" w:styleId="1205">
    <w:name w:val="正文文本缩进 2 Char"/>
    <w:next w:val="1205"/>
    <w:link w:val="1204"/>
    <w:qFormat/>
    <w:rPr>
      <w:rFonts w:ascii="仿宋_GB2312" w:eastAsia="仿宋_GB2312"/>
      <w:sz w:val="24"/>
      <w:szCs w:val="24"/>
    </w:rPr>
  </w:style>
  <w:style w:type="paragraph" w:styleId="1206">
    <w:name w:val="批注框文本"/>
    <w:basedOn w:val="1160"/>
    <w:next w:val="1206"/>
    <w:link w:val="1207"/>
    <w:qFormat/>
    <w:rPr>
      <w:sz w:val="18"/>
      <w:szCs w:val="18"/>
    </w:rPr>
  </w:style>
  <w:style w:type="character" w:styleId="1207">
    <w:name w:val="批注框文本 Char"/>
    <w:next w:val="1207"/>
    <w:link w:val="1206"/>
    <w:qFormat/>
    <w:rPr>
      <w:sz w:val="18"/>
      <w:szCs w:val="18"/>
    </w:rPr>
  </w:style>
  <w:style w:type="paragraph" w:styleId="1208">
    <w:name w:val="页脚"/>
    <w:basedOn w:val="1160"/>
    <w:next w:val="1208"/>
    <w:link w:val="1209"/>
    <w:uiPriority w:val="99"/>
    <w:qFormat/>
    <w:pPr>
      <w:jc w:val="left"/>
      <w:tabs>
        <w:tab w:val="center" w:pos="4153" w:leader="none"/>
        <w:tab w:val="right" w:pos="8306" w:leader="none"/>
      </w:tabs>
    </w:pPr>
    <w:rPr>
      <w:rFonts w:ascii="宋体"/>
      <w:sz w:val="18"/>
      <w:szCs w:val="20"/>
    </w:rPr>
  </w:style>
  <w:style w:type="character" w:styleId="1209">
    <w:name w:val="页脚 Char1"/>
    <w:next w:val="1209"/>
    <w:link w:val="1208"/>
    <w:uiPriority w:val="99"/>
    <w:qFormat/>
    <w:rPr>
      <w:rFonts w:ascii="宋体" w:eastAsia="宋体"/>
      <w:sz w:val="18"/>
      <w:lang w:val="en-US" w:eastAsia="zh-CN" w:bidi="ar-SA"/>
    </w:rPr>
  </w:style>
  <w:style w:type="paragraph" w:styleId="1210">
    <w:name w:val="页眉"/>
    <w:basedOn w:val="1160"/>
    <w:next w:val="1210"/>
    <w:link w:val="1211"/>
    <w:qFormat/>
    <w:pPr>
      <w:jc w:val="center"/>
      <w:tabs>
        <w:tab w:val="center" w:pos="4153" w:leader="none"/>
        <w:tab w:val="right" w:pos="8306" w:leader="none"/>
      </w:tabs>
      <w:pBdr>
        <w:bottom w:val="single" w:color="000000" w:sz="6" w:space="1"/>
      </w:pBdr>
    </w:pPr>
    <w:rPr>
      <w:sz w:val="18"/>
      <w:szCs w:val="18"/>
    </w:rPr>
  </w:style>
  <w:style w:type="character" w:styleId="1211">
    <w:name w:val="页眉 Char1"/>
    <w:next w:val="1211"/>
    <w:link w:val="1210"/>
    <w:qFormat/>
    <w:rPr>
      <w:rFonts w:eastAsia="宋体"/>
      <w:sz w:val="18"/>
      <w:szCs w:val="18"/>
      <w:lang w:val="en-US" w:eastAsia="zh-CN" w:bidi="ar-SA"/>
    </w:rPr>
  </w:style>
  <w:style w:type="paragraph" w:styleId="1212">
    <w:name w:val="目录 1"/>
    <w:basedOn w:val="1160"/>
    <w:next w:val="1160"/>
    <w:link w:val="1160"/>
    <w:uiPriority w:val="39"/>
    <w:qFormat/>
    <w:pPr>
      <w:spacing w:line="300" w:lineRule="auto"/>
      <w:tabs>
        <w:tab w:val="left" w:pos="1050" w:leader="none"/>
        <w:tab w:val="right" w:pos="8937" w:leader="dot"/>
      </w:tabs>
    </w:pPr>
    <w:rPr>
      <w:rFonts w:ascii="宋体" w:hAnsi="宋体"/>
      <w:b/>
      <w:sz w:val="24"/>
    </w:rPr>
  </w:style>
  <w:style w:type="paragraph" w:styleId="1213">
    <w:name w:val="目录 4"/>
    <w:basedOn w:val="1160"/>
    <w:next w:val="1160"/>
    <w:link w:val="1160"/>
    <w:qFormat/>
    <w:pPr>
      <w:ind w:left="1260"/>
    </w:pPr>
  </w:style>
  <w:style w:type="paragraph" w:styleId="1214">
    <w:name w:val="目录 6"/>
    <w:basedOn w:val="1160"/>
    <w:next w:val="1160"/>
    <w:link w:val="1160"/>
    <w:qFormat/>
    <w:pPr>
      <w:ind w:left="2100"/>
    </w:pPr>
  </w:style>
  <w:style w:type="paragraph" w:styleId="1215">
    <w:name w:val="正文文本缩进 3"/>
    <w:basedOn w:val="1160"/>
    <w:next w:val="1215"/>
    <w:link w:val="1216"/>
    <w:qFormat/>
    <w:pPr>
      <w:ind w:left="720" w:firstLine="480"/>
      <w:jc w:val="left"/>
      <w:spacing w:before="120" w:line="22" w:lineRule="atLeast"/>
    </w:pPr>
    <w:rPr>
      <w:rFonts w:ascii="宋体"/>
      <w:sz w:val="24"/>
      <w:szCs w:val="20"/>
    </w:rPr>
  </w:style>
  <w:style w:type="character" w:styleId="1216">
    <w:name w:val="正文文本缩进 3 Char"/>
    <w:next w:val="1216"/>
    <w:link w:val="1215"/>
    <w:qFormat/>
    <w:rPr>
      <w:rFonts w:ascii="宋体"/>
      <w:sz w:val="24"/>
    </w:rPr>
  </w:style>
  <w:style w:type="paragraph" w:styleId="1217">
    <w:name w:val="目录 2"/>
    <w:basedOn w:val="1160"/>
    <w:next w:val="1160"/>
    <w:link w:val="1160"/>
    <w:uiPriority w:val="39"/>
    <w:qFormat/>
    <w:pPr>
      <w:ind w:left="420"/>
      <w:spacing w:line="312" w:lineRule="auto"/>
      <w:tabs>
        <w:tab w:val="right" w:pos="8937" w:leader="dot"/>
      </w:tabs>
    </w:pPr>
  </w:style>
  <w:style w:type="paragraph" w:styleId="1218">
    <w:name w:val="目录 9"/>
    <w:basedOn w:val="1160"/>
    <w:next w:val="1160"/>
    <w:link w:val="1160"/>
    <w:qFormat/>
    <w:pPr>
      <w:ind w:left="3360"/>
    </w:pPr>
  </w:style>
  <w:style w:type="paragraph" w:styleId="1219">
    <w:name w:val="HTML 预设格式"/>
    <w:basedOn w:val="1160"/>
    <w:next w:val="1219"/>
    <w:link w:val="122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20">
    <w:name w:val="HTML 预设格式 Char"/>
    <w:next w:val="1220"/>
    <w:link w:val="1219"/>
    <w:qFormat/>
    <w:rPr>
      <w:rFonts w:ascii="宋体" w:hAnsi="宋体" w:cs="宋体"/>
      <w:sz w:val="24"/>
      <w:szCs w:val="24"/>
    </w:rPr>
  </w:style>
  <w:style w:type="paragraph" w:styleId="1221">
    <w:name w:val="普通(网站)"/>
    <w:basedOn w:val="1160"/>
    <w:next w:val="1221"/>
    <w:link w:val="1160"/>
    <w:uiPriority w:val="99"/>
    <w:unhideWhenUsed/>
    <w:qFormat/>
    <w:pPr>
      <w:jc w:val="left"/>
      <w:spacing w:before="100" w:beforeAutospacing="1" w:after="100" w:afterAutospacing="1"/>
      <w:widowControl/>
    </w:pPr>
    <w:rPr>
      <w:rFonts w:ascii="宋体" w:hAnsi="宋体" w:cs="宋体"/>
      <w:sz w:val="24"/>
    </w:rPr>
  </w:style>
  <w:style w:type="paragraph" w:styleId="1222">
    <w:name w:val="索引 1"/>
    <w:basedOn w:val="1160"/>
    <w:next w:val="1160"/>
    <w:link w:val="1160"/>
    <w:qFormat/>
    <w:rPr>
      <w:szCs w:val="20"/>
    </w:rPr>
  </w:style>
  <w:style w:type="paragraph" w:styleId="1223">
    <w:name w:val="标题"/>
    <w:basedOn w:val="1160"/>
    <w:next w:val="1223"/>
    <w:link w:val="1224"/>
    <w:qFormat/>
    <w:pPr>
      <w:jc w:val="center"/>
      <w:outlineLvl w:val="0"/>
    </w:pPr>
    <w:rPr>
      <w:b/>
      <w:sz w:val="32"/>
      <w:szCs w:val="20"/>
    </w:rPr>
  </w:style>
  <w:style w:type="character" w:styleId="1224">
    <w:name w:val="标题 Char1"/>
    <w:next w:val="1224"/>
    <w:link w:val="1223"/>
    <w:qFormat/>
    <w:rPr>
      <w:b/>
      <w:sz w:val="32"/>
    </w:rPr>
  </w:style>
  <w:style w:type="paragraph" w:styleId="1225">
    <w:name w:val="批注主题"/>
    <w:basedOn w:val="1187"/>
    <w:next w:val="1187"/>
    <w:link w:val="1226"/>
    <w:qFormat/>
    <w:rPr>
      <w:b/>
      <w:bCs/>
    </w:rPr>
  </w:style>
  <w:style w:type="character" w:styleId="1226">
    <w:name w:val="批注主题 Char"/>
    <w:next w:val="1226"/>
    <w:link w:val="1225"/>
    <w:qFormat/>
    <w:rPr>
      <w:rFonts w:ascii="Times New Roman" w:hAnsi="Times New Roman" w:eastAsia="宋体" w:cs="Times New Roman"/>
      <w:b/>
      <w:bCs/>
      <w:sz w:val="21"/>
      <w:szCs w:val="24"/>
      <w:lang w:val="en-US" w:eastAsia="zh-CN" w:bidi="ar-SA"/>
    </w:rPr>
  </w:style>
  <w:style w:type="paragraph" w:styleId="1227">
    <w:name w:val="正文首行缩进 2"/>
    <w:basedOn w:val="1193"/>
    <w:next w:val="1160"/>
    <w:link w:val="1228"/>
    <w:qFormat/>
    <w:pPr>
      <w:ind w:left="420" w:firstLine="420"/>
      <w:spacing w:after="120" w:line="480" w:lineRule="exact"/>
    </w:pPr>
    <w:rPr>
      <w:szCs w:val="20"/>
    </w:rPr>
  </w:style>
  <w:style w:type="character" w:styleId="1228">
    <w:name w:val="正文首行缩进 2 Char"/>
    <w:next w:val="1228"/>
    <w:link w:val="1227"/>
    <w:qFormat/>
    <w:rPr>
      <w:rFonts w:eastAsia="宋体"/>
      <w:sz w:val="24"/>
      <w:szCs w:val="24"/>
      <w:lang w:val="en-US" w:eastAsia="zh-CN" w:bidi="ar-SA"/>
    </w:rPr>
  </w:style>
  <w:style w:type="table" w:styleId="1229">
    <w:name w:val="网格型"/>
    <w:basedOn w:val="1171"/>
    <w:next w:val="1229"/>
    <w:link w:val="1160"/>
    <w:uiPriority w:val="39"/>
    <w:qFormat/>
    <w:tblPr/>
  </w:style>
  <w:style w:type="table" w:styleId="1230">
    <w:name w:val="中等深浅网格 1 - 强调文字颜色 2"/>
    <w:basedOn w:val="1171"/>
    <w:next w:val="1230"/>
    <w:link w:val="1160"/>
    <w:qFormat/>
    <w:rPr>
      <w:sz w:val="21"/>
      <w:szCs w:val="24"/>
    </w:rPr>
    <w:tblPr/>
  </w:style>
  <w:style w:type="character" w:styleId="1231">
    <w:name w:val="要点"/>
    <w:next w:val="1231"/>
    <w:link w:val="1160"/>
    <w:qFormat/>
    <w:rPr>
      <w:b/>
      <w:bCs/>
    </w:rPr>
  </w:style>
  <w:style w:type="character" w:styleId="1232">
    <w:name w:val="页码"/>
    <w:next w:val="1232"/>
    <w:link w:val="1160"/>
    <w:qFormat/>
  </w:style>
  <w:style w:type="character" w:styleId="1233">
    <w:name w:val="已访问的超链接"/>
    <w:next w:val="1233"/>
    <w:link w:val="1160"/>
    <w:uiPriority w:val="99"/>
    <w:qFormat/>
    <w:rPr>
      <w:color w:val="800080"/>
      <w:u w:val="single"/>
    </w:rPr>
  </w:style>
  <w:style w:type="character" w:styleId="1234">
    <w:name w:val="强调"/>
    <w:next w:val="1234"/>
    <w:link w:val="1160"/>
    <w:qFormat/>
    <w:rPr>
      <w:color w:val="cc0033"/>
    </w:rPr>
  </w:style>
  <w:style w:type="character" w:styleId="1235">
    <w:name w:val="超链接"/>
    <w:next w:val="1235"/>
    <w:link w:val="1160"/>
    <w:uiPriority w:val="99"/>
    <w:qFormat/>
    <w:rPr>
      <w:color w:val="0000ff"/>
      <w:u w:val="single"/>
    </w:rPr>
  </w:style>
  <w:style w:type="character" w:styleId="1236">
    <w:name w:val="批注引用"/>
    <w:next w:val="1236"/>
    <w:link w:val="1160"/>
    <w:qFormat/>
    <w:rPr>
      <w:sz w:val="21"/>
      <w:szCs w:val="21"/>
    </w:rPr>
  </w:style>
  <w:style w:type="character" w:styleId="1237">
    <w:name w:val="HTML 引文"/>
    <w:next w:val="1237"/>
    <w:link w:val="1160"/>
    <w:qFormat/>
    <w:rPr>
      <w:i/>
      <w:iCs/>
    </w:rPr>
  </w:style>
  <w:style w:type="character" w:styleId="1238">
    <w:name w:val="强调1"/>
    <w:next w:val="1238"/>
    <w:link w:val="1160"/>
    <w:qFormat/>
    <w:rPr>
      <w:sz w:val="21"/>
      <w:szCs w:val="24"/>
      <w:lang w:val="en-US" w:eastAsia="zh-CN" w:bidi="ar-SA"/>
    </w:rPr>
  </w:style>
  <w:style w:type="character" w:styleId="1239">
    <w:name w:val="批注文字 字符"/>
    <w:next w:val="1239"/>
    <w:link w:val="1160"/>
    <w:qFormat/>
    <w:rPr>
      <w:rFonts w:ascii="Times New Roman" w:hAnsi="Times New Roman" w:eastAsia="宋体" w:cs="Times New Roman"/>
      <w:sz w:val="24"/>
      <w:lang w:val="en-US" w:eastAsia="zh-CN" w:bidi="ar-SA"/>
    </w:rPr>
  </w:style>
  <w:style w:type="character" w:styleId="1240">
    <w:name w:val="中等深浅网格 1 - 强调文字颜色 2 Char"/>
    <w:next w:val="1240"/>
    <w:link w:val="1241"/>
    <w:qFormat/>
    <w:rPr>
      <w:sz w:val="21"/>
      <w:szCs w:val="24"/>
      <w:lang w:val="zh-CN" w:eastAsia="zh-CN" w:bidi="ar-SA"/>
    </w:rPr>
  </w:style>
  <w:style w:type="paragraph" w:styleId="1241">
    <w:name w:val="1"/>
    <w:next w:val="1241"/>
    <w:link w:val="1240"/>
    <w:qFormat/>
    <w:rPr>
      <w:sz w:val="21"/>
      <w:szCs w:val="24"/>
      <w:lang w:val="zh-CN" w:eastAsia="zh-CN" w:bidi="ar-SA"/>
    </w:rPr>
  </w:style>
  <w:style w:type="character" w:styleId="1242">
    <w:name w:val="正文文本缩进 Char1"/>
    <w:next w:val="1242"/>
    <w:link w:val="1243"/>
    <w:qFormat/>
    <w:rPr>
      <w:rFonts w:ascii="宋体" w:hAnsi="宋体" w:eastAsia="宋体"/>
      <w:sz w:val="24"/>
      <w:szCs w:val="24"/>
      <w:lang w:bidi="ar-SA"/>
    </w:rPr>
  </w:style>
  <w:style w:type="paragraph" w:styleId="1243">
    <w:name w:val="正文文本缩进1"/>
    <w:basedOn w:val="1160"/>
    <w:next w:val="1243"/>
    <w:link w:val="1242"/>
    <w:qFormat/>
    <w:pPr>
      <w:ind w:firstLine="480"/>
      <w:spacing w:line="480" w:lineRule="exact"/>
    </w:pPr>
    <w:rPr>
      <w:rFonts w:ascii="宋体" w:hAnsi="宋体"/>
      <w:sz w:val="24"/>
    </w:rPr>
  </w:style>
  <w:style w:type="character" w:styleId="1244">
    <w:name w:val="chanpin拷贝"/>
    <w:next w:val="1244"/>
    <w:link w:val="1160"/>
    <w:qFormat/>
  </w:style>
  <w:style w:type="character" w:styleId="1245">
    <w:name w:val="纯文本 字符1"/>
    <w:next w:val="1245"/>
    <w:link w:val="1160"/>
    <w:qFormat/>
    <w:rPr>
      <w:rFonts w:ascii="宋体" w:hAnsi="Courier New"/>
    </w:rPr>
  </w:style>
  <w:style w:type="character" w:styleId="1246">
    <w:name w:val="street-address"/>
    <w:next w:val="1246"/>
    <w:link w:val="1160"/>
    <w:qFormat/>
  </w:style>
  <w:style w:type="character" w:styleId="1247">
    <w:name w:val="正文格式 Char"/>
    <w:next w:val="1247"/>
    <w:link w:val="1248"/>
    <w:qFormat/>
    <w:rPr>
      <w:rFonts w:ascii="宋体" w:hAnsi="宋体"/>
      <w:sz w:val="24"/>
      <w:szCs w:val="24"/>
      <w:lang w:val="en-GB"/>
    </w:rPr>
  </w:style>
  <w:style w:type="paragraph" w:styleId="1248">
    <w:name w:val="正文格式"/>
    <w:basedOn w:val="1160"/>
    <w:next w:val="1248"/>
    <w:link w:val="1247"/>
    <w:qFormat/>
    <w:pPr>
      <w:ind w:firstLine="480"/>
      <w:spacing w:line="360" w:lineRule="auto"/>
    </w:pPr>
    <w:rPr>
      <w:rFonts w:ascii="宋体" w:hAnsi="宋体"/>
      <w:sz w:val="24"/>
      <w:lang w:val="en-GB"/>
    </w:rPr>
  </w:style>
  <w:style w:type="character" w:styleId="1249">
    <w:name w:val="成文日期 Char"/>
    <w:next w:val="1249"/>
    <w:link w:val="1250"/>
    <w:rPr>
      <w:rFonts w:ascii="仿宋_GB2312" w:eastAsia="仿宋_GB2312"/>
      <w:sz w:val="32"/>
    </w:rPr>
  </w:style>
  <w:style w:type="paragraph" w:styleId="1250">
    <w:name w:val="成文日期"/>
    <w:basedOn w:val="1160"/>
    <w:next w:val="1250"/>
    <w:link w:val="1249"/>
    <w:qFormat/>
    <w:pPr>
      <w:ind w:right="400" w:firstLine="200"/>
      <w:jc w:val="right"/>
      <w:spacing w:line="570" w:lineRule="exact"/>
    </w:pPr>
    <w:rPr>
      <w:rFonts w:ascii="仿宋_GB2312" w:eastAsia="仿宋_GB2312"/>
      <w:sz w:val="32"/>
      <w:szCs w:val="20"/>
    </w:rPr>
  </w:style>
  <w:style w:type="character" w:styleId="1251">
    <w:name w:val="正文表格 Char"/>
    <w:next w:val="1251"/>
    <w:link w:val="1252"/>
    <w:qFormat/>
    <w:rPr>
      <w:rFonts w:ascii="宋体" w:hAnsi="宋体"/>
      <w:color w:val="000000"/>
      <w:sz w:val="21"/>
      <w:szCs w:val="21"/>
    </w:rPr>
  </w:style>
  <w:style w:type="paragraph" w:styleId="1252">
    <w:name w:val="正文表格"/>
    <w:basedOn w:val="1160"/>
    <w:next w:val="1252"/>
    <w:link w:val="1251"/>
    <w:qFormat/>
    <w:pPr>
      <w:jc w:val="left"/>
    </w:pPr>
    <w:rPr>
      <w:rFonts w:ascii="宋体" w:hAnsi="宋体"/>
      <w:color w:val="000000"/>
      <w:szCs w:val="21"/>
    </w:rPr>
  </w:style>
  <w:style w:type="character" w:styleId="1253">
    <w:name w:val="正文大标题 Char"/>
    <w:next w:val="1253"/>
    <w:link w:val="1254"/>
    <w:qFormat/>
    <w:rPr>
      <w:rFonts w:ascii="宋体" w:hAnsi="宋体"/>
      <w:b/>
      <w:color w:val="000000"/>
      <w:sz w:val="28"/>
      <w:szCs w:val="21"/>
    </w:rPr>
  </w:style>
  <w:style w:type="paragraph" w:styleId="1254">
    <w:name w:val="正文大标题"/>
    <w:basedOn w:val="1255"/>
    <w:next w:val="1174"/>
    <w:link w:val="1253"/>
    <w:qFormat/>
    <w:pPr>
      <w:jc w:val="center"/>
    </w:pPr>
    <w:rPr>
      <w:i w:val="0"/>
      <w:color w:val="000000"/>
      <w:sz w:val="28"/>
      <w:szCs w:val="21"/>
    </w:rPr>
  </w:style>
  <w:style w:type="paragraph" w:styleId="1255">
    <w:name w:val="正文小标题"/>
    <w:basedOn w:val="1160"/>
    <w:next w:val="1174"/>
    <w:link w:val="1256"/>
    <w:qFormat/>
    <w:pPr>
      <w:ind w:firstLine="482"/>
      <w:jc w:val="left"/>
      <w:spacing w:before="312" w:after="312"/>
    </w:pPr>
    <w:rPr>
      <w:rFonts w:ascii="宋体" w:hAnsi="宋体"/>
      <w:b/>
      <w:i/>
      <w:color w:val="ff0000"/>
      <w:sz w:val="24"/>
      <w:szCs w:val="20"/>
    </w:rPr>
  </w:style>
  <w:style w:type="character" w:styleId="1256">
    <w:name w:val="正文小标题 Char"/>
    <w:next w:val="1256"/>
    <w:link w:val="1255"/>
    <w:qFormat/>
    <w:rPr>
      <w:rFonts w:ascii="宋体" w:hAnsi="宋体"/>
      <w:b/>
      <w:i/>
      <w:color w:val="ff0000"/>
      <w:sz w:val="24"/>
    </w:rPr>
  </w:style>
  <w:style w:type="character" w:styleId="1257">
    <w:name w:val="bjh-p"/>
    <w:next w:val="1257"/>
    <w:link w:val="1160"/>
    <w:qFormat/>
  </w:style>
  <w:style w:type="character" w:styleId="1258">
    <w:name w:val="正文缩进 Char Char"/>
    <w:next w:val="1258"/>
    <w:link w:val="1259"/>
    <w:qFormat/>
    <w:rPr>
      <w:rFonts w:ascii="宋体" w:eastAsia="宋体"/>
      <w:color w:val="000000"/>
      <w:sz w:val="28"/>
      <w:lang w:bidi="ar-SA"/>
    </w:rPr>
  </w:style>
  <w:style w:type="paragraph" w:styleId="1259">
    <w:name w:val="正文缩进1"/>
    <w:basedOn w:val="1160"/>
    <w:next w:val="1259"/>
    <w:link w:val="1258"/>
    <w:qFormat/>
    <w:pPr>
      <w:ind w:firstLine="567"/>
      <w:spacing w:line="480" w:lineRule="exact"/>
      <w:widowControl/>
    </w:pPr>
    <w:rPr>
      <w:rFonts w:ascii="宋体"/>
      <w:color w:val="000000"/>
      <w:sz w:val="28"/>
      <w:szCs w:val="20"/>
    </w:rPr>
  </w:style>
  <w:style w:type="character" w:styleId="1260">
    <w:name w:val="标题 Char"/>
    <w:next w:val="1260"/>
    <w:link w:val="1160"/>
    <w:qFormat/>
    <w:rPr>
      <w:b/>
      <w:sz w:val="32"/>
    </w:rPr>
  </w:style>
  <w:style w:type="character" w:styleId="1261">
    <w:name w:val="列出段落 Char"/>
    <w:next w:val="1261"/>
    <w:link w:val="1160"/>
    <w:qFormat/>
    <w:rPr>
      <w:rFonts w:ascii="Calibri" w:hAnsi="Calibri" w:eastAsia="宋体"/>
      <w:sz w:val="21"/>
      <w:szCs w:val="22"/>
      <w:lang w:val="en-US" w:eastAsia="zh-CN" w:bidi="ar-SA"/>
    </w:rPr>
  </w:style>
  <w:style w:type="character" w:styleId="1262">
    <w:name w:val="Char Char111"/>
    <w:next w:val="1262"/>
    <w:link w:val="1160"/>
    <w:qFormat/>
    <w:rPr>
      <w:rFonts w:ascii="宋体" w:eastAsia="宋体"/>
      <w:b/>
      <w:sz w:val="24"/>
      <w:u w:val="single"/>
      <w:lang w:val="en-US" w:eastAsia="zh-CN" w:bidi="ar-SA"/>
    </w:rPr>
  </w:style>
  <w:style w:type="character" w:styleId="1263">
    <w:name w:val="列出段落 Char1"/>
    <w:next w:val="1263"/>
    <w:link w:val="1264"/>
    <w:uiPriority w:val="34"/>
    <w:qFormat/>
    <w:rPr>
      <w:rFonts w:ascii="Calibri" w:hAnsi="Calibri" w:eastAsia="宋体"/>
      <w:sz w:val="21"/>
      <w:szCs w:val="22"/>
      <w:lang w:val="en-US" w:eastAsia="zh-CN" w:bidi="ar-SA"/>
    </w:rPr>
  </w:style>
  <w:style w:type="paragraph" w:styleId="1264">
    <w:name w:val="列出段落"/>
    <w:basedOn w:val="1160"/>
    <w:next w:val="1264"/>
    <w:link w:val="1263"/>
    <w:uiPriority w:val="34"/>
    <w:qFormat/>
    <w:pPr>
      <w:ind w:firstLine="420"/>
    </w:pPr>
    <w:rPr>
      <w:rFonts w:ascii="Calibri" w:hAnsi="Calibri"/>
      <w:szCs w:val="22"/>
    </w:rPr>
  </w:style>
  <w:style w:type="character" w:styleId="1265">
    <w:name w:val="注释 Char"/>
    <w:next w:val="1265"/>
    <w:link w:val="1266"/>
    <w:qFormat/>
    <w:rPr>
      <w:rFonts w:ascii="宋体" w:hAnsi="宋体"/>
      <w:sz w:val="21"/>
      <w:szCs w:val="21"/>
    </w:rPr>
  </w:style>
  <w:style w:type="paragraph" w:styleId="1266">
    <w:name w:val="注释"/>
    <w:basedOn w:val="1160"/>
    <w:next w:val="1266"/>
    <w:link w:val="1265"/>
    <w:qFormat/>
    <w:pPr>
      <w:ind w:left="420" w:hanging="420"/>
      <w:jc w:val="left"/>
    </w:pPr>
    <w:rPr>
      <w:rFonts w:ascii="宋体" w:hAnsi="宋体"/>
      <w:szCs w:val="21"/>
    </w:rPr>
  </w:style>
  <w:style w:type="character" w:styleId="1267">
    <w:name w:val="txt"/>
    <w:next w:val="1267"/>
    <w:link w:val="1160"/>
    <w:qFormat/>
  </w:style>
  <w:style w:type="character" w:styleId="1268">
    <w:name w:val="标题 2 Char Char"/>
    <w:next w:val="1268"/>
    <w:link w:val="1160"/>
    <w:qFormat/>
    <w:rPr>
      <w:rFonts w:ascii="Arial" w:hAnsi="Arial" w:eastAsia="黑体"/>
      <w:b/>
      <w:bCs/>
      <w:sz w:val="32"/>
      <w:szCs w:val="32"/>
      <w:lang w:val="en-US" w:eastAsia="zh-CN" w:bidi="ar-SA"/>
    </w:rPr>
  </w:style>
  <w:style w:type="character" w:styleId="1269">
    <w:name w:val="纯文本 Char1"/>
    <w:next w:val="1269"/>
    <w:link w:val="1160"/>
    <w:qFormat/>
    <w:rPr>
      <w:rFonts w:ascii="宋体" w:hAnsi="Courier New" w:eastAsia="宋体"/>
      <w:sz w:val="21"/>
      <w:lang w:val="en-US" w:eastAsia="zh-CN" w:bidi="ar-SA"/>
    </w:rPr>
  </w:style>
  <w:style w:type="character" w:styleId="1270">
    <w:name w:val="c21"/>
    <w:next w:val="1270"/>
    <w:link w:val="1160"/>
    <w:qFormat/>
    <w:rPr>
      <w:rFonts w:ascii="ˎ̥" w:hAnsi="ˎ̥"/>
      <w:color w:val="000000"/>
      <w:sz w:val="20"/>
      <w:szCs w:val="20"/>
      <w:u w:val="none"/>
    </w:rPr>
  </w:style>
  <w:style w:type="character" w:styleId="1271">
    <w:name w:val="title4"/>
    <w:next w:val="1271"/>
    <w:link w:val="1160"/>
    <w:qFormat/>
    <w:rPr>
      <w:b/>
      <w:bCs/>
      <w:color w:val="1d87b3"/>
      <w:sz w:val="15"/>
      <w:szCs w:val="15"/>
    </w:rPr>
  </w:style>
  <w:style w:type="character" w:styleId="1272">
    <w:name w:val="页脚 Char"/>
    <w:next w:val="1272"/>
    <w:link w:val="1160"/>
    <w:qFormat/>
    <w:rPr>
      <w:rFonts w:ascii="宋体" w:eastAsia="宋体"/>
      <w:sz w:val="18"/>
      <w:lang w:val="en-US" w:eastAsia="zh-CN" w:bidi="ar-SA"/>
    </w:rPr>
  </w:style>
  <w:style w:type="character" w:styleId="1273">
    <w:name w:val="locality"/>
    <w:next w:val="1273"/>
    <w:link w:val="1160"/>
    <w:qFormat/>
  </w:style>
  <w:style w:type="character" w:styleId="1274">
    <w:name w:val="black1"/>
    <w:next w:val="1274"/>
    <w:link w:val="1160"/>
    <w:qFormat/>
    <w:rPr>
      <w:color w:val="000000"/>
    </w:rPr>
  </w:style>
  <w:style w:type="character" w:styleId="1275">
    <w:name w:val="chanpin1"/>
    <w:next w:val="1275"/>
    <w:link w:val="1160"/>
    <w:qFormat/>
    <w:rPr>
      <w:rFonts w:ascii="ˎ̥" w:hAnsi="ˎ̥"/>
      <w:color w:val="000000"/>
      <w:sz w:val="20"/>
      <w:szCs w:val="20"/>
      <w:u w:val="none"/>
    </w:rPr>
  </w:style>
  <w:style w:type="character" w:styleId="1276">
    <w:name w:val="段1 Char"/>
    <w:next w:val="1276"/>
    <w:link w:val="1160"/>
    <w:qFormat/>
    <w:rPr>
      <w:rFonts w:ascii="宋体" w:eastAsia="宋体"/>
      <w:sz w:val="24"/>
      <w:lang w:val="en-US" w:eastAsia="zh-CN" w:bidi="ar-SA"/>
    </w:rPr>
  </w:style>
  <w:style w:type="character" w:styleId="1277">
    <w:name w:val="标题 3 Char"/>
    <w:next w:val="1277"/>
    <w:link w:val="1160"/>
    <w:qFormat/>
    <w:rPr>
      <w:rFonts w:ascii="宋体" w:eastAsia="宋体"/>
      <w:b/>
      <w:sz w:val="24"/>
      <w:u w:val="single"/>
      <w:lang w:val="en-US" w:eastAsia="zh-CN" w:bidi="ar-SA"/>
    </w:rPr>
  </w:style>
  <w:style w:type="character" w:styleId="1278">
    <w:name w:val="标题 2 Char"/>
    <w:next w:val="1278"/>
    <w:link w:val="1160"/>
    <w:qFormat/>
    <w:rPr>
      <w:rFonts w:ascii="Arial" w:hAnsi="Arial" w:eastAsia="黑体"/>
      <w:b/>
      <w:sz w:val="30"/>
      <w:lang w:val="en-US" w:eastAsia="zh-CN" w:bidi="ar-SA"/>
    </w:rPr>
  </w:style>
  <w:style w:type="character" w:styleId="1279">
    <w:name w:val="正文文本缩进 Char"/>
    <w:next w:val="1279"/>
    <w:link w:val="1160"/>
    <w:qFormat/>
    <w:rPr>
      <w:rFonts w:eastAsia="宋体"/>
      <w:sz w:val="24"/>
      <w:szCs w:val="24"/>
      <w:lang w:val="en-US" w:eastAsia="zh-CN" w:bidi="ar-SA"/>
    </w:rPr>
  </w:style>
  <w:style w:type="character" w:styleId="1280">
    <w:name w:val="Char Char11"/>
    <w:next w:val="1280"/>
    <w:link w:val="1160"/>
    <w:qFormat/>
    <w:rPr>
      <w:rFonts w:ascii="宋体" w:eastAsia="宋体"/>
      <w:b/>
      <w:sz w:val="24"/>
      <w:u w:val="single"/>
      <w:lang w:val="en-US" w:eastAsia="zh-CN" w:bidi="ar-SA"/>
    </w:rPr>
  </w:style>
  <w:style w:type="character" w:styleId="1281">
    <w:name w:val="页眉 Char"/>
    <w:next w:val="1281"/>
    <w:link w:val="1160"/>
    <w:qFormat/>
    <w:rPr>
      <w:rFonts w:eastAsia="宋体"/>
      <w:sz w:val="18"/>
      <w:szCs w:val="18"/>
      <w:lang w:val="en-US" w:eastAsia="zh-CN" w:bidi="ar-SA"/>
    </w:rPr>
  </w:style>
  <w:style w:type="character" w:styleId="1282">
    <w:name w:val="纯文本 字符"/>
    <w:next w:val="1282"/>
    <w:link w:val="1160"/>
    <w:uiPriority w:val="99"/>
    <w:qFormat/>
    <w:rPr>
      <w:rFonts w:ascii="宋体" w:hAnsi="Courier New" w:eastAsia="宋体" w:cs="Times New Roman"/>
      <w:sz w:val="21"/>
      <w:szCs w:val="21"/>
      <w:lang w:val="en-US" w:eastAsia="zh-CN" w:bidi="ar-SA"/>
    </w:rPr>
  </w:style>
  <w:style w:type="character" w:styleId="1283">
    <w:name w:val="正文重点 Char"/>
    <w:next w:val="1283"/>
    <w:link w:val="1284"/>
    <w:qFormat/>
    <w:rPr>
      <w:b/>
      <w:sz w:val="24"/>
    </w:rPr>
  </w:style>
  <w:style w:type="paragraph" w:styleId="1284">
    <w:name w:val="正文重点"/>
    <w:basedOn w:val="1160"/>
    <w:next w:val="1284"/>
    <w:link w:val="1283"/>
    <w:qFormat/>
    <w:pPr>
      <w:ind w:firstLine="482"/>
      <w:jc w:val="left"/>
      <w:spacing w:line="360" w:lineRule="auto"/>
    </w:pPr>
    <w:rPr>
      <w:b/>
      <w:sz w:val="24"/>
      <w:szCs w:val="20"/>
    </w:rPr>
  </w:style>
  <w:style w:type="character" w:styleId="1285">
    <w:name w:val="正文缩进 Char"/>
    <w:next w:val="1285"/>
    <w:link w:val="1160"/>
    <w:qFormat/>
    <w:rPr>
      <w:rFonts w:ascii="宋体" w:eastAsia="宋体"/>
      <w:sz w:val="24"/>
      <w:szCs w:val="24"/>
      <w:lang w:val="en-US" w:eastAsia="zh-CN" w:bidi="ar-SA"/>
    </w:rPr>
  </w:style>
  <w:style w:type="character" w:styleId="1286">
    <w:name w:val="普通文字1 Char1"/>
    <w:next w:val="1286"/>
    <w:link w:val="1160"/>
    <w:qFormat/>
    <w:rPr>
      <w:rFonts w:ascii="宋体" w:hAnsi="Courier New" w:eastAsia="宋体"/>
      <w:sz w:val="21"/>
      <w:lang w:val="en-US" w:eastAsia="zh-CN" w:bidi="ar-SA"/>
    </w:rPr>
  </w:style>
  <w:style w:type="character" w:styleId="1287">
    <w:name w:val="批注文字 Char"/>
    <w:next w:val="1287"/>
    <w:link w:val="1160"/>
    <w:uiPriority w:val="99"/>
    <w:qFormat/>
    <w:rPr>
      <w:sz w:val="21"/>
      <w:szCs w:val="24"/>
    </w:rPr>
  </w:style>
  <w:style w:type="character" w:styleId="1288">
    <w:name w:val="apple-style-span"/>
    <w:next w:val="1288"/>
    <w:link w:val="1160"/>
    <w:qFormat/>
    <w:rPr>
      <w:rFonts w:cs="Times New Roman"/>
    </w:rPr>
  </w:style>
  <w:style w:type="character" w:styleId="1289">
    <w:name w:val="标题 3 Char Char"/>
    <w:next w:val="1289"/>
    <w:link w:val="1160"/>
    <w:qFormat/>
    <w:rPr>
      <w:rFonts w:eastAsia="宋体"/>
      <w:b/>
      <w:bCs/>
      <w:sz w:val="32"/>
      <w:szCs w:val="32"/>
      <w:lang w:val="en-US" w:eastAsia="zh-CN" w:bidi="ar-SA"/>
    </w:rPr>
  </w:style>
  <w:style w:type="paragraph" w:styleId="1290">
    <w:name w:val="无间隔"/>
    <w:next w:val="1290"/>
    <w:link w:val="1160"/>
    <w:qFormat/>
    <w:pPr>
      <w:jc w:val="both"/>
      <w:widowControl w:val="off"/>
    </w:pPr>
    <w:rPr>
      <w:sz w:val="21"/>
      <w:szCs w:val="24"/>
      <w:lang w:val="en-US" w:eastAsia="zh-CN" w:bidi="ar-SA"/>
    </w:rPr>
  </w:style>
  <w:style w:type="paragraph" w:styleId="1291">
    <w:name w:val="xl38"/>
    <w:basedOn w:val="1160"/>
    <w:next w:val="1291"/>
    <w:link w:val="11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92">
    <w:name w:val="Char"/>
    <w:basedOn w:val="1160"/>
    <w:next w:val="1292"/>
    <w:link w:val="1160"/>
    <w:qFormat/>
    <w:pPr>
      <w:tabs>
        <w:tab w:val="left" w:pos="360" w:leader="none"/>
      </w:tabs>
    </w:pPr>
    <w:rPr>
      <w:sz w:val="24"/>
    </w:rPr>
  </w:style>
  <w:style w:type="paragraph" w:styleId="1293">
    <w:name w:val="xl25"/>
    <w:basedOn w:val="1160"/>
    <w:next w:val="1293"/>
    <w:link w:val="11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4">
    <w:name w:val="xl45"/>
    <w:basedOn w:val="1160"/>
    <w:next w:val="1294"/>
    <w:link w:val="116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95">
    <w:name w:val="列出段落1"/>
    <w:basedOn w:val="1160"/>
    <w:next w:val="1295"/>
    <w:link w:val="1160"/>
    <w:qFormat/>
    <w:pPr>
      <w:ind w:firstLine="420"/>
    </w:pPr>
    <w:rPr>
      <w:rFonts w:ascii="Calibri" w:hAnsi="Calibri"/>
      <w:szCs w:val="22"/>
    </w:rPr>
  </w:style>
  <w:style w:type="paragraph" w:styleId="1296">
    <w:name w:val="Char Char Char Char Char Char Char Char Char Char"/>
    <w:basedOn w:val="1160"/>
    <w:next w:val="1296"/>
    <w:link w:val="1160"/>
    <w:qFormat/>
  </w:style>
  <w:style w:type="paragraph" w:styleId="1297">
    <w:name w:val="xl40"/>
    <w:basedOn w:val="1160"/>
    <w:next w:val="1297"/>
    <w:link w:val="11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8">
    <w:name w:val="Char3 Char Char Char1"/>
    <w:basedOn w:val="1160"/>
    <w:next w:val="1298"/>
    <w:link w:val="1160"/>
    <w:qFormat/>
    <w:rPr>
      <w:rFonts w:ascii="Tahoma" w:hAnsi="Tahoma"/>
      <w:sz w:val="24"/>
      <w:szCs w:val="20"/>
    </w:rPr>
  </w:style>
  <w:style w:type="paragraph" w:styleId="1299">
    <w:name w:val="正文列项_数字"/>
    <w:basedOn w:val="1160"/>
    <w:next w:val="1299"/>
    <w:link w:val="1160"/>
    <w:qFormat/>
    <w:pPr>
      <w:numPr>
        <w:ilvl w:val="7"/>
        <w:numId w:val="1"/>
      </w:numPr>
      <w:ind w:left="680" w:hanging="150"/>
      <w:spacing w:line="460" w:lineRule="exact"/>
      <w:tabs>
        <w:tab w:val="clear" w:pos="860" w:leader="none"/>
      </w:tabs>
      <w:outlineLvl w:val="7"/>
    </w:pPr>
    <w:rPr>
      <w:rFonts w:ascii="宋体"/>
      <w:sz w:val="28"/>
      <w:szCs w:val="20"/>
    </w:rPr>
  </w:style>
  <w:style w:type="paragraph" w:styleId="1300">
    <w:name w:val="Char1 Char Char Char1"/>
    <w:basedOn w:val="1160"/>
    <w:next w:val="1300"/>
    <w:link w:val="1160"/>
    <w:qFormat/>
    <w:rPr>
      <w:rFonts w:ascii="Tahoma" w:hAnsi="Tahoma" w:cs="仿宋_GB2312"/>
      <w:sz w:val="24"/>
      <w:szCs w:val="28"/>
    </w:rPr>
  </w:style>
  <w:style w:type="paragraph" w:styleId="1301">
    <w:name w:val="正文缩进2"/>
    <w:basedOn w:val="1160"/>
    <w:next w:val="1301"/>
    <w:link w:val="1160"/>
    <w:qFormat/>
    <w:pPr>
      <w:ind w:firstLine="567"/>
      <w:spacing w:line="480" w:lineRule="exact"/>
      <w:widowControl/>
    </w:pPr>
    <w:rPr>
      <w:rFonts w:ascii="宋体"/>
      <w:color w:val="000000"/>
      <w:sz w:val="28"/>
      <w:szCs w:val="20"/>
      <w:lang w:val="zh-CN" w:eastAsia="zh-CN"/>
    </w:rPr>
  </w:style>
  <w:style w:type="paragraph" w:styleId="1302">
    <w:name w:val="xl33"/>
    <w:basedOn w:val="1160"/>
    <w:next w:val="1302"/>
    <w:link w:val="11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3">
    <w:name w:val="项目符号1"/>
    <w:basedOn w:val="1304"/>
    <w:next w:val="1303"/>
    <w:link w:val="1160"/>
    <w:qFormat/>
    <w:pPr>
      <w:ind w:left="-25" w:firstLine="0"/>
    </w:pPr>
  </w:style>
  <w:style w:type="paragraph" w:styleId="1304">
    <w:name w:val="正文文本样式"/>
    <w:basedOn w:val="1160"/>
    <w:next w:val="1304"/>
    <w:link w:val="1160"/>
    <w:qFormat/>
    <w:pPr>
      <w:ind w:firstLine="482"/>
      <w:spacing w:line="360" w:lineRule="auto"/>
    </w:pPr>
    <w:rPr>
      <w:rFonts w:cs="宋体"/>
      <w:sz w:val="24"/>
      <w:szCs w:val="20"/>
    </w:rPr>
  </w:style>
  <w:style w:type="paragraph" w:styleId="1305">
    <w:name w:val="章标题"/>
    <w:next w:val="1160"/>
    <w:link w:val="116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306">
    <w:name w:val="xl46"/>
    <w:basedOn w:val="1160"/>
    <w:next w:val="1306"/>
    <w:link w:val="116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07">
    <w:name w:val="默认段落字体 Para Char Char Char Char"/>
    <w:basedOn w:val="1160"/>
    <w:next w:val="1307"/>
    <w:link w:val="1160"/>
    <w:qFormat/>
    <w:rPr>
      <w:rFonts w:ascii="Arial" w:hAnsi="Arial" w:cs="Arial"/>
      <w:szCs w:val="21"/>
    </w:rPr>
  </w:style>
  <w:style w:type="paragraph" w:styleId="1308">
    <w:name w:val="图中文字"/>
    <w:basedOn w:val="1160"/>
    <w:next w:val="1308"/>
    <w:link w:val="1160"/>
    <w:qFormat/>
    <w:pPr>
      <w:jc w:val="center"/>
      <w:spacing w:line="0" w:lineRule="atLeast"/>
    </w:pPr>
    <w:rPr>
      <w:sz w:val="24"/>
      <w:szCs w:val="20"/>
    </w:rPr>
  </w:style>
  <w:style w:type="paragraph" w:styleId="1309">
    <w:name w:val="Char Char Char Char Char Char Char Char Char Char2"/>
    <w:basedOn w:val="1160"/>
    <w:next w:val="1309"/>
    <w:link w:val="1160"/>
    <w:qFormat/>
    <w:rPr>
      <w:rFonts w:ascii="宋体" w:hAnsi="宋体" w:cs="Courier New"/>
      <w:sz w:val="32"/>
      <w:szCs w:val="32"/>
    </w:rPr>
  </w:style>
  <w:style w:type="paragraph" w:styleId="1310">
    <w:name w:val="三级条标题"/>
    <w:basedOn w:val="1311"/>
    <w:next w:val="1160"/>
    <w:link w:val="1160"/>
    <w:qFormat/>
    <w:pPr>
      <w:numPr>
        <w:ilvl w:val="3"/>
        <w:numId w:val="1"/>
      </w:numPr>
      <w:ind w:left="0" w:hanging="840"/>
      <w:tabs>
        <w:tab w:val="left" w:pos="360" w:leader="none"/>
        <w:tab w:val="left" w:pos="840" w:leader="none"/>
      </w:tabs>
      <w:outlineLvl w:val="3"/>
    </w:pPr>
  </w:style>
  <w:style w:type="paragraph" w:styleId="1311">
    <w:name w:val="二级条标题"/>
    <w:basedOn w:val="1312"/>
    <w:next w:val="1160"/>
    <w:link w:val="1160"/>
    <w:qFormat/>
    <w:pPr>
      <w:numPr>
        <w:ilvl w:val="0"/>
        <w:numId w:val="0"/>
      </w:numPr>
      <w:ind w:hanging="840"/>
      <w:tabs>
        <w:tab w:val="left" w:pos="360" w:leader="none"/>
        <w:tab w:val="left" w:pos="840" w:leader="none"/>
      </w:tabs>
      <w:outlineLvl w:val="2"/>
    </w:pPr>
    <w:rPr>
      <w:rFonts w:ascii="宋体" w:eastAsia="宋体"/>
      <w:b w:val="0"/>
    </w:rPr>
  </w:style>
  <w:style w:type="paragraph" w:styleId="1312">
    <w:name w:val="一级条标题"/>
    <w:basedOn w:val="1305"/>
    <w:next w:val="1160"/>
    <w:link w:val="1160"/>
    <w:qFormat/>
    <w:pPr>
      <w:numPr>
        <w:ilvl w:val="1"/>
      </w:numPr>
      <w:ind w:left="0" w:hanging="840"/>
      <w:tabs>
        <w:tab w:val="left" w:pos="360" w:leader="none"/>
        <w:tab w:val="left" w:pos="840" w:leader="none"/>
      </w:tabs>
      <w:outlineLvl w:val="1"/>
    </w:pPr>
  </w:style>
  <w:style w:type="paragraph" w:styleId="1313">
    <w:name w:val="Char Char41"/>
    <w:basedOn w:val="1160"/>
    <w:next w:val="1313"/>
    <w:link w:val="1160"/>
    <w:qFormat/>
    <w:pPr>
      <w:jc w:val="center"/>
      <w:spacing w:line="400" w:lineRule="exact"/>
      <w:widowControl/>
    </w:pPr>
  </w:style>
  <w:style w:type="paragraph" w:styleId="1314">
    <w:name w:val="正文 A"/>
    <w:next w:val="1314"/>
    <w:link w:val="1160"/>
    <w:qFormat/>
    <w:pPr>
      <w:jc w:val="both"/>
      <w:widowControl w:val="off"/>
    </w:pPr>
    <w:rPr>
      <w:rFonts w:eastAsia="Times New Roman"/>
      <w:color w:val="000000"/>
      <w:sz w:val="21"/>
      <w:szCs w:val="21"/>
      <w:lang w:val="en-US" w:eastAsia="zh-CN" w:bidi="ar-SA"/>
    </w:rPr>
  </w:style>
  <w:style w:type="paragraph" w:styleId="1315">
    <w:name w:val="Char Char Char Char Char Char Char2"/>
    <w:basedOn w:val="1160"/>
    <w:next w:val="1315"/>
    <w:link w:val="1160"/>
    <w:qFormat/>
    <w:pPr>
      <w:ind w:firstLine="200"/>
      <w:spacing w:line="360" w:lineRule="auto"/>
    </w:pPr>
    <w:rPr>
      <w:rFonts w:eastAsia="仿宋_GB2312"/>
      <w:sz w:val="24"/>
    </w:rPr>
  </w:style>
  <w:style w:type="paragraph" w:styleId="1316">
    <w:name w:val="xl35"/>
    <w:basedOn w:val="1160"/>
    <w:next w:val="1316"/>
    <w:link w:val="116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7">
    <w:name w:val="Char Char Char2"/>
    <w:basedOn w:val="1160"/>
    <w:next w:val="1317"/>
    <w:link w:val="1160"/>
    <w:qFormat/>
    <w:rPr>
      <w:rFonts w:ascii="Tahoma" w:hAnsi="Tahoma"/>
      <w:sz w:val="24"/>
      <w:szCs w:val="20"/>
    </w:rPr>
  </w:style>
  <w:style w:type="paragraph" w:styleId="1318">
    <w:name w:val="Char2 Char Char Char Char Char Char1"/>
    <w:basedOn w:val="1160"/>
    <w:next w:val="1318"/>
    <w:link w:val="1160"/>
    <w:qFormat/>
    <w:pPr>
      <w:jc w:val="center"/>
      <w:spacing w:line="400" w:lineRule="exact"/>
      <w:widowControl/>
    </w:pPr>
  </w:style>
  <w:style w:type="paragraph" w:styleId="1319">
    <w:name w:val="缺省文本"/>
    <w:basedOn w:val="1160"/>
    <w:next w:val="1319"/>
    <w:link w:val="1160"/>
    <w:qFormat/>
    <w:pPr>
      <w:jc w:val="left"/>
    </w:pPr>
    <w:rPr>
      <w:sz w:val="24"/>
    </w:rPr>
  </w:style>
  <w:style w:type="paragraph" w:styleId="1320">
    <w:name w:val="Char1"/>
    <w:basedOn w:val="1160"/>
    <w:next w:val="1320"/>
    <w:link w:val="1160"/>
    <w:qFormat/>
    <w:pPr>
      <w:tabs>
        <w:tab w:val="left" w:pos="360" w:leader="none"/>
      </w:tabs>
    </w:pPr>
    <w:rPr>
      <w:sz w:val="24"/>
    </w:rPr>
  </w:style>
  <w:style w:type="paragraph" w:styleId="1321">
    <w:name w:val="Char Char Char Char Char Char Char"/>
    <w:basedOn w:val="1160"/>
    <w:next w:val="1321"/>
    <w:link w:val="1160"/>
    <w:qFormat/>
    <w:pPr>
      <w:ind w:firstLine="200"/>
      <w:spacing w:line="360" w:lineRule="auto"/>
    </w:pPr>
    <w:rPr>
      <w:rFonts w:eastAsia="仿宋_GB2312"/>
      <w:sz w:val="24"/>
    </w:rPr>
  </w:style>
  <w:style w:type="paragraph" w:styleId="1322">
    <w:name w:val="字元 字元2"/>
    <w:basedOn w:val="1160"/>
    <w:next w:val="1322"/>
    <w:link w:val="1160"/>
    <w:qFormat/>
    <w:rPr>
      <w:rFonts w:ascii="Tahoma" w:hAnsi="Tahoma"/>
      <w:sz w:val="24"/>
      <w:szCs w:val="20"/>
    </w:rPr>
  </w:style>
  <w:style w:type="paragraph" w:styleId="1323">
    <w:name w:val="Char Char Char Char Char Char Char1"/>
    <w:basedOn w:val="1160"/>
    <w:next w:val="1323"/>
    <w:link w:val="1160"/>
    <w:qFormat/>
    <w:pPr>
      <w:ind w:firstLine="200"/>
      <w:spacing w:line="360" w:lineRule="auto"/>
    </w:pPr>
    <w:rPr>
      <w:rFonts w:eastAsia="仿宋_GB2312"/>
      <w:sz w:val="24"/>
    </w:rPr>
  </w:style>
  <w:style w:type="paragraph" w:styleId="1324">
    <w:name w:val="xl41"/>
    <w:basedOn w:val="1160"/>
    <w:next w:val="1324"/>
    <w:link w:val="116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25">
    <w:name w:val="Char2"/>
    <w:basedOn w:val="1160"/>
    <w:next w:val="1325"/>
    <w:link w:val="1160"/>
    <w:qFormat/>
    <w:rPr>
      <w:rFonts w:ascii="Tahoma" w:hAnsi="Tahoma"/>
      <w:sz w:val="24"/>
      <w:szCs w:val="20"/>
    </w:rPr>
  </w:style>
  <w:style w:type="paragraph" w:styleId="1326">
    <w:name w:val="xl52"/>
    <w:basedOn w:val="1160"/>
    <w:next w:val="1326"/>
    <w:link w:val="116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27">
    <w:name w:val="字元 字元"/>
    <w:basedOn w:val="1160"/>
    <w:next w:val="1327"/>
    <w:link w:val="1160"/>
    <w:qFormat/>
    <w:rPr>
      <w:rFonts w:ascii="Tahoma" w:hAnsi="Tahoma"/>
      <w:sz w:val="24"/>
      <w:szCs w:val="20"/>
    </w:rPr>
  </w:style>
  <w:style w:type="paragraph" w:styleId="1328">
    <w:name w:val="Revision"/>
    <w:next w:val="1328"/>
    <w:link w:val="1160"/>
    <w:qFormat/>
    <w:rPr>
      <w:sz w:val="21"/>
      <w:szCs w:val="24"/>
      <w:lang w:val="en-US" w:eastAsia="zh-CN" w:bidi="ar-SA"/>
    </w:rPr>
  </w:style>
  <w:style w:type="paragraph" w:styleId="1329">
    <w:name w:val="font8"/>
    <w:basedOn w:val="1160"/>
    <w:next w:val="1329"/>
    <w:link w:val="1160"/>
    <w:qFormat/>
    <w:pPr>
      <w:jc w:val="left"/>
      <w:spacing w:before="100" w:beforeAutospacing="1" w:after="100" w:afterAutospacing="1"/>
      <w:widowControl/>
    </w:pPr>
    <w:rPr>
      <w:sz w:val="36"/>
      <w:szCs w:val="36"/>
    </w:rPr>
  </w:style>
  <w:style w:type="paragraph" w:styleId="1330">
    <w:name w:val="font5"/>
    <w:basedOn w:val="1160"/>
    <w:next w:val="1330"/>
    <w:link w:val="1160"/>
    <w:qFormat/>
    <w:pPr>
      <w:jc w:val="left"/>
      <w:spacing w:before="100" w:beforeAutospacing="1" w:after="100" w:afterAutospacing="1"/>
      <w:widowControl/>
    </w:pPr>
    <w:rPr>
      <w:rFonts w:ascii="宋体" w:hAnsi="宋体" w:cs="宋体"/>
      <w:sz w:val="18"/>
      <w:szCs w:val="18"/>
    </w:rPr>
  </w:style>
  <w:style w:type="paragraph" w:styleId="1331">
    <w:name w:val="xl49"/>
    <w:basedOn w:val="1160"/>
    <w:next w:val="1331"/>
    <w:link w:val="11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32">
    <w:name w:val="Char Char4"/>
    <w:basedOn w:val="1160"/>
    <w:next w:val="1332"/>
    <w:link w:val="1160"/>
    <w:qFormat/>
    <w:pPr>
      <w:jc w:val="center"/>
      <w:spacing w:line="400" w:lineRule="exact"/>
      <w:widowControl/>
    </w:pPr>
  </w:style>
  <w:style w:type="paragraph" w:styleId="1333">
    <w:name w:val="xl28"/>
    <w:basedOn w:val="1160"/>
    <w:next w:val="1333"/>
    <w:link w:val="11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4">
    <w:name w:val="xl53"/>
    <w:basedOn w:val="1160"/>
    <w:next w:val="1334"/>
    <w:link w:val="11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5">
    <w:name w:val="xl47"/>
    <w:basedOn w:val="1160"/>
    <w:next w:val="1335"/>
    <w:link w:val="116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6">
    <w:name w:val="xl31"/>
    <w:basedOn w:val="1160"/>
    <w:next w:val="1336"/>
    <w:link w:val="116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7">
    <w:name w:val="Char Char Char1 Char1"/>
    <w:basedOn w:val="1160"/>
    <w:next w:val="1337"/>
    <w:link w:val="1160"/>
    <w:qFormat/>
    <w:rPr>
      <w:rFonts w:ascii="Tahoma" w:hAnsi="Tahoma"/>
      <w:sz w:val="24"/>
      <w:szCs w:val="20"/>
    </w:rPr>
  </w:style>
  <w:style w:type="paragraph" w:styleId="1338">
    <w:name w:val="Char Char Char1"/>
    <w:basedOn w:val="1160"/>
    <w:next w:val="1338"/>
    <w:link w:val="1160"/>
    <w:qFormat/>
    <w:rPr>
      <w:rFonts w:ascii="Tahoma" w:hAnsi="Tahoma"/>
      <w:sz w:val="24"/>
      <w:szCs w:val="20"/>
    </w:rPr>
  </w:style>
  <w:style w:type="paragraph" w:styleId="1339">
    <w:name w:val="xl42"/>
    <w:basedOn w:val="1160"/>
    <w:next w:val="1339"/>
    <w:link w:val="11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40">
    <w:name w:val="无标题条"/>
    <w:next w:val="1160"/>
    <w:link w:val="1160"/>
    <w:qFormat/>
    <w:pPr>
      <w:jc w:val="both"/>
    </w:pPr>
    <w:rPr>
      <w:sz w:val="21"/>
      <w:lang w:val="en-US" w:eastAsia="zh-CN" w:bidi="ar-SA"/>
    </w:rPr>
  </w:style>
  <w:style w:type="paragraph" w:styleId="1341">
    <w:name w:val="Char Char1 Char Char Char Char Char Char Char Char"/>
    <w:basedOn w:val="1160"/>
    <w:next w:val="1341"/>
    <w:link w:val="1160"/>
    <w:qFormat/>
    <w:pPr>
      <w:jc w:val="left"/>
      <w:spacing w:after="160" w:line="240" w:lineRule="exact"/>
      <w:widowControl/>
    </w:pPr>
    <w:rPr>
      <w:rFonts w:ascii="Verdana" w:hAnsi="Verdana"/>
      <w:sz w:val="20"/>
      <w:szCs w:val="20"/>
      <w:lang w:eastAsia="en-US"/>
    </w:rPr>
  </w:style>
  <w:style w:type="paragraph" w:styleId="1342">
    <w:name w:val="项目编号3"/>
    <w:basedOn w:val="1304"/>
    <w:next w:val="1342"/>
    <w:link w:val="1160"/>
    <w:qFormat/>
    <w:pPr>
      <w:numPr>
        <w:ilvl w:val="0"/>
        <w:numId w:val="2"/>
      </w:numPr>
    </w:pPr>
  </w:style>
  <w:style w:type="paragraph" w:styleId="1343">
    <w:name w:val="字元 字元1"/>
    <w:basedOn w:val="1160"/>
    <w:next w:val="1343"/>
    <w:link w:val="1160"/>
    <w:qFormat/>
    <w:rPr>
      <w:rFonts w:ascii="Tahoma" w:hAnsi="Tahoma"/>
      <w:sz w:val="24"/>
      <w:szCs w:val="20"/>
    </w:rPr>
  </w:style>
  <w:style w:type="paragraph" w:styleId="1344">
    <w:name w:val="xl23"/>
    <w:basedOn w:val="1160"/>
    <w:next w:val="1344"/>
    <w:link w:val="1160"/>
    <w:qFormat/>
    <w:pPr>
      <w:spacing w:before="100" w:beforeAutospacing="1" w:after="100" w:afterAutospacing="1" w:line="360" w:lineRule="auto"/>
      <w:widowControl/>
    </w:pPr>
    <w:rPr>
      <w:sz w:val="24"/>
      <w:szCs w:val="20"/>
    </w:rPr>
  </w:style>
  <w:style w:type="paragraph" w:styleId="1345">
    <w:name w:val="xl34"/>
    <w:basedOn w:val="1160"/>
    <w:next w:val="1345"/>
    <w:link w:val="11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46">
    <w:name w:val="Char Char Char Char Char Char Char Char Char Char1"/>
    <w:basedOn w:val="1160"/>
    <w:next w:val="1346"/>
    <w:link w:val="1160"/>
    <w:qFormat/>
    <w:rPr>
      <w:rFonts w:ascii="宋体" w:hAnsi="宋体" w:cs="Courier New"/>
      <w:sz w:val="32"/>
      <w:szCs w:val="32"/>
    </w:rPr>
  </w:style>
  <w:style w:type="paragraph" w:styleId="1347">
    <w:name w:val="Char2 Char Char Char Char Char Char"/>
    <w:basedOn w:val="1160"/>
    <w:next w:val="1347"/>
    <w:link w:val="1160"/>
    <w:qFormat/>
    <w:pPr>
      <w:jc w:val="center"/>
      <w:spacing w:line="400" w:lineRule="exact"/>
      <w:widowControl/>
    </w:pPr>
  </w:style>
  <w:style w:type="paragraph" w:styleId="1348">
    <w:name w:val="五级条标题"/>
    <w:basedOn w:val="1349"/>
    <w:next w:val="1160"/>
    <w:link w:val="1160"/>
    <w:qFormat/>
    <w:pPr>
      <w:numPr>
        <w:ilvl w:val="5"/>
      </w:numPr>
      <w:ind w:left="0" w:hanging="840"/>
      <w:tabs>
        <w:tab w:val="left" w:pos="360" w:leader="none"/>
        <w:tab w:val="left" w:pos="840" w:leader="none"/>
      </w:tabs>
      <w:outlineLvl w:val="5"/>
    </w:pPr>
  </w:style>
  <w:style w:type="paragraph" w:styleId="1349">
    <w:name w:val="四级条标题"/>
    <w:basedOn w:val="1310"/>
    <w:next w:val="1160"/>
    <w:link w:val="1160"/>
    <w:qFormat/>
    <w:pPr>
      <w:numPr>
        <w:ilvl w:val="4"/>
      </w:numPr>
      <w:ind w:left="0" w:hanging="840"/>
      <w:tabs>
        <w:tab w:val="left" w:pos="360" w:leader="none"/>
        <w:tab w:val="left" w:pos="840" w:leader="none"/>
      </w:tabs>
      <w:outlineLvl w:val="4"/>
    </w:pPr>
  </w:style>
  <w:style w:type="paragraph" w:styleId="1350">
    <w:name w:val="xl50"/>
    <w:basedOn w:val="1160"/>
    <w:next w:val="1350"/>
    <w:link w:val="11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51">
    <w:name w:val="Char Char Char1 Char2"/>
    <w:basedOn w:val="1160"/>
    <w:next w:val="1351"/>
    <w:link w:val="1160"/>
    <w:qFormat/>
    <w:rPr>
      <w:rFonts w:ascii="Tahoma" w:hAnsi="Tahoma"/>
      <w:sz w:val="24"/>
      <w:szCs w:val="20"/>
    </w:rPr>
  </w:style>
  <w:style w:type="paragraph" w:styleId="1352">
    <w:name w:val="xl29"/>
    <w:basedOn w:val="1160"/>
    <w:next w:val="1352"/>
    <w:link w:val="11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53">
    <w:name w:val="正文须知-2级"/>
    <w:basedOn w:val="1160"/>
    <w:next w:val="1353"/>
    <w:link w:val="1160"/>
    <w:qFormat/>
    <w:pPr>
      <w:numPr>
        <w:ilvl w:val="1"/>
        <w:numId w:val="3"/>
      </w:numPr>
      <w:spacing w:line="300" w:lineRule="auto"/>
    </w:pPr>
    <w:rPr>
      <w:rFonts w:ascii="宋体" w:hAnsi="Calibri"/>
      <w:sz w:val="24"/>
      <w:szCs w:val="21"/>
    </w:rPr>
  </w:style>
  <w:style w:type="paragraph" w:styleId="1354">
    <w:name w:val="Table Paragraph"/>
    <w:basedOn w:val="1160"/>
    <w:next w:val="1354"/>
    <w:link w:val="1160"/>
    <w:uiPriority w:val="1"/>
    <w:qFormat/>
    <w:pPr>
      <w:jc w:val="left"/>
    </w:pPr>
    <w:rPr>
      <w:rFonts w:ascii="宋体" w:hAnsi="宋体" w:cs="宋体"/>
      <w:sz w:val="22"/>
      <w:szCs w:val="22"/>
      <w:lang w:eastAsia="en-US"/>
    </w:rPr>
  </w:style>
  <w:style w:type="paragraph" w:styleId="1355">
    <w:name w:val="xl24"/>
    <w:basedOn w:val="1160"/>
    <w:next w:val="1355"/>
    <w:link w:val="11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6">
    <w:name w:val="Default"/>
    <w:next w:val="1356"/>
    <w:link w:val="1160"/>
    <w:qFormat/>
    <w:pPr>
      <w:widowControl w:val="off"/>
    </w:pPr>
    <w:rPr>
      <w:rFonts w:ascii="Symbol" w:hAnsi="Symbol" w:cs="Symbol"/>
      <w:color w:val="000000"/>
      <w:sz w:val="24"/>
      <w:szCs w:val="24"/>
      <w:lang w:val="en-US" w:eastAsia="zh-CN" w:bidi="ar-SA"/>
    </w:rPr>
  </w:style>
  <w:style w:type="paragraph" w:styleId="1357">
    <w:name w:val="22222222222222"/>
    <w:basedOn w:val="1160"/>
    <w:next w:val="1357"/>
    <w:link w:val="1160"/>
    <w:qFormat/>
    <w:pPr>
      <w:ind w:firstLine="480"/>
      <w:jc w:val="left"/>
      <w:spacing w:line="360" w:lineRule="auto"/>
      <w:widowControl/>
    </w:pPr>
    <w:rPr>
      <w:color w:val="ff0000"/>
      <w:sz w:val="24"/>
      <w:szCs w:val="20"/>
    </w:rPr>
  </w:style>
  <w:style w:type="paragraph" w:styleId="1358">
    <w:name w:val="项目编号1"/>
    <w:basedOn w:val="1160"/>
    <w:next w:val="1358"/>
    <w:link w:val="1160"/>
    <w:qFormat/>
    <w:pPr>
      <w:numPr>
        <w:ilvl w:val="0"/>
        <w:numId w:val="4"/>
      </w:numPr>
      <w:spacing w:before="100" w:beforeAutospacing="1" w:after="100" w:afterAutospacing="1" w:line="360" w:lineRule="auto"/>
    </w:pPr>
    <w:rPr>
      <w:sz w:val="24"/>
    </w:rPr>
  </w:style>
  <w:style w:type="paragraph" w:styleId="1359">
    <w:name w:val="正文 + 楷体_GB2312"/>
    <w:basedOn w:val="1160"/>
    <w:next w:val="1359"/>
    <w:link w:val="1160"/>
    <w:qFormat/>
    <w:pPr>
      <w:jc w:val="left"/>
      <w:widowControl/>
    </w:pPr>
    <w:rPr>
      <w:rFonts w:ascii="楷体_GB2312" w:eastAsia="楷体_GB2312" w:cs="Arial"/>
      <w:sz w:val="24"/>
    </w:rPr>
  </w:style>
  <w:style w:type="paragraph" w:styleId="1360">
    <w:name w:val="正文须知-1级"/>
    <w:basedOn w:val="1160"/>
    <w:next w:val="1160"/>
    <w:link w:val="1160"/>
    <w:qFormat/>
    <w:pPr>
      <w:numPr>
        <w:ilvl w:val="0"/>
        <w:numId w:val="3"/>
      </w:numPr>
      <w:spacing w:line="300" w:lineRule="auto"/>
    </w:pPr>
    <w:rPr>
      <w:rFonts w:ascii="宋体" w:hAnsi="Calibri"/>
      <w:sz w:val="24"/>
      <w:szCs w:val="21"/>
    </w:rPr>
  </w:style>
  <w:style w:type="paragraph" w:styleId="1361">
    <w:name w:val="Char Char1 Char Char Char Char Char Char"/>
    <w:basedOn w:val="1160"/>
    <w:next w:val="1361"/>
    <w:link w:val="1160"/>
    <w:qFormat/>
    <w:pPr>
      <w:jc w:val="left"/>
      <w:spacing w:after="160" w:line="240" w:lineRule="exact"/>
      <w:widowControl/>
    </w:pPr>
    <w:rPr>
      <w:rFonts w:ascii="Verdana" w:hAnsi="Verdana" w:eastAsia="仿宋_GB2312"/>
      <w:sz w:val="24"/>
      <w:szCs w:val="20"/>
      <w:lang w:eastAsia="en-US"/>
    </w:rPr>
  </w:style>
  <w:style w:type="paragraph" w:styleId="1362">
    <w:name w:val="表格文字"/>
    <w:basedOn w:val="1193"/>
    <w:next w:val="1362"/>
    <w:link w:val="1160"/>
    <w:qFormat/>
    <w:pPr>
      <w:ind w:firstLine="0"/>
      <w:spacing w:before="20" w:after="20" w:line="240" w:lineRule="auto"/>
    </w:pPr>
    <w:rPr>
      <w:rFonts w:ascii="Century Gothic" w:hAnsi="Century Gothic"/>
      <w:sz w:val="20"/>
      <w:szCs w:val="20"/>
    </w:rPr>
  </w:style>
  <w:style w:type="paragraph" w:styleId="1363">
    <w:name w:val="xl30"/>
    <w:basedOn w:val="1160"/>
    <w:next w:val="1363"/>
    <w:link w:val="116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4">
    <w:name w:val="表格1"/>
    <w:basedOn w:val="1160"/>
    <w:next w:val="1364"/>
    <w:link w:val="1160"/>
    <w:qFormat/>
    <w:pPr>
      <w:ind w:firstLine="480"/>
      <w:jc w:val="center"/>
    </w:pPr>
    <w:rPr>
      <w:sz w:val="24"/>
      <w:szCs w:val="20"/>
    </w:rPr>
  </w:style>
  <w:style w:type="paragraph" w:styleId="1365">
    <w:name w:val="background1"/>
    <w:basedOn w:val="1160"/>
    <w:next w:val="1365"/>
    <w:link w:val="1160"/>
    <w:qFormat/>
    <w:pPr>
      <w:jc w:val="left"/>
      <w:spacing w:before="100" w:beforeAutospacing="1" w:after="100" w:afterAutospacing="1"/>
      <w:widowControl/>
    </w:pPr>
    <w:rPr>
      <w:rFonts w:ascii="宋体" w:hAnsi="宋体" w:cs="宋体"/>
      <w:sz w:val="24"/>
    </w:rPr>
  </w:style>
  <w:style w:type="paragraph" w:styleId="1366">
    <w:name w:val="纯文本1"/>
    <w:next w:val="1213"/>
    <w:link w:val="1160"/>
    <w:qFormat/>
    <w:pPr>
      <w:jc w:val="both"/>
      <w:widowControl w:val="off"/>
    </w:pPr>
    <w:rPr>
      <w:rFonts w:ascii="宋体" w:hAnsi="宋体"/>
      <w:sz w:val="26"/>
      <w:lang w:val="en-US" w:eastAsia="zh-CN" w:bidi="ar-SA"/>
    </w:rPr>
  </w:style>
  <w:style w:type="paragraph" w:styleId="1367">
    <w:name w:val="Char Char Char1 Char"/>
    <w:basedOn w:val="1160"/>
    <w:next w:val="1367"/>
    <w:link w:val="1160"/>
    <w:qFormat/>
    <w:rPr>
      <w:rFonts w:ascii="Tahoma" w:hAnsi="Tahoma"/>
      <w:sz w:val="24"/>
      <w:szCs w:val="20"/>
    </w:rPr>
  </w:style>
  <w:style w:type="paragraph" w:styleId="1368">
    <w:name w:val="font9"/>
    <w:basedOn w:val="1160"/>
    <w:next w:val="1368"/>
    <w:link w:val="1160"/>
    <w:qFormat/>
    <w:pPr>
      <w:jc w:val="left"/>
      <w:spacing w:before="100" w:beforeAutospacing="1" w:after="100" w:afterAutospacing="1"/>
      <w:widowControl/>
    </w:pPr>
    <w:rPr>
      <w:rFonts w:hint="eastAsia" w:ascii="宋体" w:hAnsi="宋体" w:cs="Arial Unicode MS"/>
      <w:color w:val="000000"/>
      <w:sz w:val="20"/>
      <w:szCs w:val="20"/>
    </w:rPr>
  </w:style>
  <w:style w:type="paragraph" w:styleId="1369">
    <w:name w:val="正文文本缩进2"/>
    <w:basedOn w:val="1160"/>
    <w:next w:val="1369"/>
    <w:link w:val="1160"/>
    <w:qFormat/>
    <w:pPr>
      <w:ind w:firstLine="480"/>
      <w:spacing w:line="480" w:lineRule="exact"/>
    </w:pPr>
    <w:rPr>
      <w:rFonts w:ascii="宋体" w:hAnsi="宋体"/>
      <w:sz w:val="24"/>
      <w:lang w:val="zh-CN" w:eastAsia="zh-CN"/>
    </w:rPr>
  </w:style>
  <w:style w:type="paragraph" w:styleId="1370">
    <w:name w:val="正文文本样式 加粗"/>
    <w:basedOn w:val="1304"/>
    <w:next w:val="1370"/>
    <w:link w:val="1160"/>
    <w:qFormat/>
    <w:rPr>
      <w:b/>
    </w:rPr>
  </w:style>
  <w:style w:type="paragraph" w:styleId="1371">
    <w:name w:val="正文须知-3级"/>
    <w:basedOn w:val="1160"/>
    <w:next w:val="1371"/>
    <w:link w:val="1160"/>
    <w:qFormat/>
    <w:pPr>
      <w:numPr>
        <w:ilvl w:val="2"/>
        <w:numId w:val="3"/>
      </w:numPr>
      <w:ind w:hanging="355"/>
      <w:spacing w:line="300" w:lineRule="auto"/>
    </w:pPr>
    <w:rPr>
      <w:rFonts w:ascii="宋体" w:hAnsi="Calibri"/>
      <w:sz w:val="24"/>
      <w:szCs w:val="21"/>
    </w:rPr>
  </w:style>
  <w:style w:type="paragraph" w:styleId="1372">
    <w:name w:val="Char3 Char Char Char"/>
    <w:basedOn w:val="1160"/>
    <w:next w:val="1372"/>
    <w:link w:val="1160"/>
    <w:qFormat/>
    <w:rPr>
      <w:rFonts w:ascii="Tahoma" w:hAnsi="Tahoma"/>
      <w:sz w:val="24"/>
      <w:szCs w:val="20"/>
    </w:rPr>
  </w:style>
  <w:style w:type="paragraph" w:styleId="1373">
    <w:name w:val="Char Char Char Char Char Char Char Char Char Char Char Char Char Char Char Char"/>
    <w:basedOn w:val="1160"/>
    <w:next w:val="1373"/>
    <w:link w:val="1160"/>
    <w:qFormat/>
    <w:pPr>
      <w:jc w:val="center"/>
      <w:spacing w:after="160" w:line="240" w:lineRule="exact"/>
      <w:widowControl/>
    </w:pPr>
    <w:rPr>
      <w:rFonts w:ascii="宋体" w:hAnsi="宋体"/>
      <w:b/>
      <w:sz w:val="30"/>
      <w:szCs w:val="30"/>
      <w:lang w:eastAsia="en-US"/>
    </w:rPr>
  </w:style>
  <w:style w:type="paragraph" w:styleId="1374">
    <w:name w:val="Char Char Char"/>
    <w:basedOn w:val="1160"/>
    <w:next w:val="1374"/>
    <w:link w:val="1160"/>
    <w:qFormat/>
    <w:rPr>
      <w:rFonts w:ascii="Tahoma" w:hAnsi="Tahoma"/>
      <w:sz w:val="24"/>
      <w:szCs w:val="20"/>
    </w:rPr>
  </w:style>
  <w:style w:type="paragraph" w:styleId="1375">
    <w:name w:val="_Style 160"/>
    <w:next w:val="1375"/>
    <w:link w:val="1160"/>
    <w:qFormat/>
    <w:rPr>
      <w:sz w:val="21"/>
      <w:szCs w:val="24"/>
      <w:lang w:val="en-US" w:eastAsia="zh-CN" w:bidi="ar-SA"/>
    </w:rPr>
  </w:style>
  <w:style w:type="paragraph" w:styleId="1376">
    <w:name w:val="xl36"/>
    <w:basedOn w:val="1160"/>
    <w:next w:val="1376"/>
    <w:link w:val="116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77">
    <w:name w:val="修订"/>
    <w:next w:val="1377"/>
    <w:link w:val="1160"/>
    <w:uiPriority w:val="99"/>
    <w:unhideWhenUsed/>
    <w:rPr>
      <w:sz w:val="21"/>
      <w:szCs w:val="24"/>
      <w:lang w:val="en-US" w:eastAsia="zh-CN" w:bidi="ar-SA"/>
    </w:rPr>
  </w:style>
  <w:style w:type="paragraph" w:styleId="1378">
    <w:name w:val="Char Char1"/>
    <w:basedOn w:val="1185"/>
    <w:next w:val="1378"/>
    <w:link w:val="1160"/>
    <w:qFormat/>
    <w:rPr>
      <w:rFonts w:ascii="Tahoma" w:hAnsi="Tahoma"/>
      <w:sz w:val="24"/>
    </w:rPr>
  </w:style>
  <w:style w:type="paragraph" w:styleId="1379">
    <w:name w:val="正文列项_字母"/>
    <w:basedOn w:val="1160"/>
    <w:next w:val="1379"/>
    <w:link w:val="1160"/>
    <w:qFormat/>
    <w:pPr>
      <w:numPr>
        <w:ilvl w:val="6"/>
        <w:numId w:val="1"/>
      </w:numPr>
      <w:ind w:left="480" w:hanging="180"/>
      <w:spacing w:line="460" w:lineRule="exact"/>
      <w:tabs>
        <w:tab w:val="clear" w:pos="635" w:leader="none"/>
      </w:tabs>
      <w:outlineLvl w:val="6"/>
    </w:pPr>
    <w:rPr>
      <w:rFonts w:ascii="宋体"/>
      <w:sz w:val="28"/>
      <w:szCs w:val="20"/>
    </w:rPr>
  </w:style>
  <w:style w:type="paragraph" w:styleId="1380">
    <w:name w:val="图例"/>
    <w:basedOn w:val="1160"/>
    <w:next w:val="1380"/>
    <w:link w:val="1160"/>
    <w:qFormat/>
    <w:pPr>
      <w:jc w:val="center"/>
      <w:spacing w:before="120" w:after="120" w:line="360" w:lineRule="auto"/>
    </w:pPr>
    <w:rPr>
      <w:rFonts w:eastAsia="仿宋_GB2312"/>
      <w:b/>
      <w:sz w:val="24"/>
      <w:szCs w:val="20"/>
    </w:rPr>
  </w:style>
  <w:style w:type="paragraph" w:styleId="1381">
    <w:name w:val="xl39"/>
    <w:basedOn w:val="1160"/>
    <w:next w:val="1381"/>
    <w:link w:val="11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2">
    <w:name w:val="xl37"/>
    <w:basedOn w:val="1160"/>
    <w:next w:val="1382"/>
    <w:link w:val="116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83">
    <w:name w:val="xl48"/>
    <w:basedOn w:val="1160"/>
    <w:next w:val="1383"/>
    <w:link w:val="11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84">
    <w:name w:val="项目编号2"/>
    <w:basedOn w:val="1358"/>
    <w:next w:val="1384"/>
    <w:link w:val="1160"/>
    <w:qFormat/>
    <w:pPr>
      <w:numPr>
        <w:numId w:val="5"/>
      </w:numPr>
    </w:pPr>
  </w:style>
  <w:style w:type="paragraph" w:styleId="1385">
    <w:name w:val="样式 标题 2 + 宋体 五号 行距: 单倍行距"/>
    <w:basedOn w:val="1162"/>
    <w:next w:val="1385"/>
    <w:link w:val="1160"/>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386">
    <w:name w:val="??"/>
    <w:next w:val="1386"/>
    <w:link w:val="1160"/>
    <w:qFormat/>
    <w:pPr>
      <w:jc w:val="both"/>
      <w:widowControl w:val="off"/>
    </w:pPr>
    <w:rPr>
      <w:sz w:val="21"/>
      <w:lang w:val="en-US" w:eastAsia="en-US" w:bidi="ar-SA"/>
    </w:rPr>
  </w:style>
  <w:style w:type="paragraph" w:styleId="1387">
    <w:name w:val="xl44"/>
    <w:basedOn w:val="1160"/>
    <w:next w:val="1387"/>
    <w:link w:val="116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88">
    <w:name w:val="样式2"/>
    <w:basedOn w:val="1222"/>
    <w:next w:val="1388"/>
    <w:link w:val="1160"/>
    <w:qFormat/>
    <w:pPr>
      <w:jc w:val="center"/>
      <w:spacing w:line="360" w:lineRule="auto"/>
    </w:pPr>
    <w:rPr>
      <w:sz w:val="24"/>
    </w:rPr>
  </w:style>
  <w:style w:type="paragraph" w:styleId="1389">
    <w:name w:val="xl51"/>
    <w:basedOn w:val="1160"/>
    <w:next w:val="1389"/>
    <w:link w:val="116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0">
    <w:name w:val="图文"/>
    <w:basedOn w:val="1160"/>
    <w:next w:val="1390"/>
    <w:link w:val="1160"/>
    <w:qFormat/>
    <w:pPr>
      <w:spacing w:after="50" w:line="360" w:lineRule="auto"/>
    </w:pPr>
    <w:rPr>
      <w:sz w:val="24"/>
    </w:rPr>
  </w:style>
  <w:style w:type="paragraph" w:styleId="1391">
    <w:name w:val="Char Char Char Char Char Char Char Char Char Char Char Char Char Char Char Char1"/>
    <w:basedOn w:val="1160"/>
    <w:next w:val="1391"/>
    <w:link w:val="1160"/>
    <w:qFormat/>
    <w:pPr>
      <w:jc w:val="center"/>
      <w:spacing w:after="160" w:line="240" w:lineRule="exact"/>
      <w:widowControl/>
    </w:pPr>
    <w:rPr>
      <w:rFonts w:ascii="宋体" w:hAnsi="宋体"/>
      <w:b/>
      <w:sz w:val="30"/>
      <w:szCs w:val="30"/>
      <w:lang w:eastAsia="en-US"/>
    </w:rPr>
  </w:style>
  <w:style w:type="paragraph" w:styleId="1392">
    <w:name w:val="正文 + 宋体"/>
    <w:basedOn w:val="1160"/>
    <w:next w:val="1392"/>
    <w:link w:val="1160"/>
    <w:qFormat/>
    <w:pPr>
      <w:ind w:left="360" w:hanging="360"/>
      <w:jc w:val="left"/>
      <w:widowControl/>
    </w:pPr>
    <w:rPr>
      <w:rFonts w:ascii="宋体" w:hAnsi="宋体" w:cs="宋体"/>
      <w:b/>
      <w:bCs/>
      <w:color w:val="000000"/>
      <w:sz w:val="18"/>
      <w:szCs w:val="18"/>
    </w:rPr>
  </w:style>
  <w:style w:type="paragraph" w:styleId="1393">
    <w:name w:val="Char3 Char Char Char2"/>
    <w:basedOn w:val="1160"/>
    <w:next w:val="1393"/>
    <w:link w:val="1160"/>
    <w:qFormat/>
    <w:rPr>
      <w:rFonts w:ascii="Tahoma" w:hAnsi="Tahoma"/>
      <w:sz w:val="24"/>
      <w:szCs w:val="20"/>
    </w:rPr>
  </w:style>
  <w:style w:type="paragraph" w:styleId="1394">
    <w:name w:val="xl27"/>
    <w:basedOn w:val="1160"/>
    <w:next w:val="1394"/>
    <w:link w:val="11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5">
    <w:name w:val="Char Char1 Char Char Char Char Char Char1"/>
    <w:basedOn w:val="1160"/>
    <w:next w:val="1395"/>
    <w:link w:val="1160"/>
    <w:qFormat/>
    <w:pPr>
      <w:jc w:val="left"/>
      <w:spacing w:after="160" w:line="240" w:lineRule="exact"/>
      <w:widowControl/>
    </w:pPr>
    <w:rPr>
      <w:rFonts w:ascii="Verdana" w:hAnsi="Verdana" w:eastAsia="仿宋_GB2312"/>
      <w:sz w:val="24"/>
      <w:szCs w:val="20"/>
      <w:lang w:eastAsia="en-US"/>
    </w:rPr>
  </w:style>
  <w:style w:type="paragraph" w:styleId="1396">
    <w:name w:val="1 Char Char Char Char"/>
    <w:basedOn w:val="1160"/>
    <w:next w:val="1396"/>
    <w:link w:val="1160"/>
    <w:qFormat/>
    <w:rPr>
      <w:rFonts w:ascii="Tahoma" w:hAnsi="Tahoma"/>
      <w:sz w:val="24"/>
      <w:szCs w:val="20"/>
    </w:rPr>
  </w:style>
  <w:style w:type="paragraph" w:styleId="1397">
    <w:name w:val="List Paragraph1"/>
    <w:basedOn w:val="1160"/>
    <w:next w:val="1397"/>
    <w:link w:val="1160"/>
    <w:qFormat/>
    <w:pPr>
      <w:ind w:firstLine="420"/>
    </w:pPr>
    <w:rPr>
      <w:rFonts w:ascii="Calibri" w:hAnsi="Calibri"/>
      <w:szCs w:val="22"/>
    </w:rPr>
  </w:style>
  <w:style w:type="paragraph" w:styleId="1398">
    <w:name w:val="文档正文"/>
    <w:basedOn w:val="1160"/>
    <w:next w:val="1398"/>
    <w:link w:val="1160"/>
    <w:qFormat/>
    <w:pPr>
      <w:spacing w:before="120" w:after="120" w:line="180" w:lineRule="auto"/>
    </w:pPr>
    <w:rPr>
      <w:rFonts w:ascii="Arial" w:hAnsi="Arial"/>
      <w:szCs w:val="20"/>
    </w:rPr>
  </w:style>
  <w:style w:type="paragraph" w:styleId="1399">
    <w:name w:val="xl32"/>
    <w:basedOn w:val="1160"/>
    <w:next w:val="1399"/>
    <w:link w:val="116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00">
    <w:name w:val="列出段落2"/>
    <w:basedOn w:val="1160"/>
    <w:next w:val="1400"/>
    <w:link w:val="1160"/>
    <w:qFormat/>
    <w:pPr>
      <w:ind w:firstLine="420"/>
    </w:pPr>
    <w:rPr>
      <w:rFonts w:ascii="Calibri" w:hAnsi="Calibri"/>
      <w:szCs w:val="22"/>
    </w:rPr>
  </w:style>
  <w:style w:type="paragraph" w:styleId="1401">
    <w:name w:val="font6"/>
    <w:basedOn w:val="1160"/>
    <w:next w:val="1401"/>
    <w:link w:val="1160"/>
    <w:qFormat/>
    <w:pPr>
      <w:jc w:val="left"/>
      <w:spacing w:before="100" w:beforeAutospacing="1" w:after="100" w:afterAutospacing="1"/>
      <w:widowControl/>
    </w:pPr>
    <w:rPr>
      <w:rFonts w:ascii="宋体" w:hAnsi="宋体" w:cs="宋体"/>
      <w:sz w:val="20"/>
      <w:szCs w:val="20"/>
    </w:rPr>
  </w:style>
  <w:style w:type="paragraph" w:styleId="1402">
    <w:name w:val="xl43"/>
    <w:basedOn w:val="1160"/>
    <w:next w:val="1402"/>
    <w:link w:val="116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403">
    <w:name w:val="Char3"/>
    <w:basedOn w:val="1160"/>
    <w:next w:val="1403"/>
    <w:link w:val="1160"/>
    <w:qFormat/>
    <w:pPr>
      <w:tabs>
        <w:tab w:val="left" w:pos="360" w:leader="none"/>
      </w:tabs>
    </w:pPr>
    <w:rPr>
      <w:sz w:val="24"/>
    </w:rPr>
  </w:style>
  <w:style w:type="paragraph" w:styleId="1404">
    <w:name w:val="样式 宋体 五号 行距: 单倍行距"/>
    <w:basedOn w:val="1160"/>
    <w:next w:val="1404"/>
    <w:link w:val="1160"/>
    <w:qFormat/>
    <w:pPr>
      <w:jc w:val="left"/>
    </w:pPr>
    <w:rPr>
      <w:rFonts w:ascii="宋体" w:hAnsi="宋体"/>
      <w:szCs w:val="20"/>
    </w:rPr>
  </w:style>
  <w:style w:type="paragraph" w:styleId="1405">
    <w:name w:val="标题1-附件"/>
    <w:basedOn w:val="1161"/>
    <w:next w:val="1405"/>
    <w:link w:val="1160"/>
    <w:qFormat/>
    <w:pPr>
      <w:jc w:val="left"/>
    </w:pPr>
    <w:rPr>
      <w:sz w:val="24"/>
      <w:szCs w:val="24"/>
    </w:rPr>
  </w:style>
  <w:style w:type="paragraph" w:styleId="1406">
    <w:name w:val="default"/>
    <w:basedOn w:val="1160"/>
    <w:next w:val="1406"/>
    <w:link w:val="1160"/>
    <w:qFormat/>
    <w:pPr>
      <w:jc w:val="left"/>
      <w:spacing w:before="100" w:beforeAutospacing="1" w:after="100" w:afterAutospacing="1"/>
      <w:widowControl/>
    </w:pPr>
    <w:rPr>
      <w:rFonts w:ascii="宋体" w:hAnsi="宋体" w:cs="宋体"/>
      <w:sz w:val="24"/>
    </w:rPr>
  </w:style>
  <w:style w:type="paragraph" w:styleId="1407">
    <w:name w:val="font7"/>
    <w:basedOn w:val="1160"/>
    <w:next w:val="1407"/>
    <w:link w:val="1160"/>
    <w:qFormat/>
    <w:pPr>
      <w:jc w:val="left"/>
      <w:spacing w:before="100" w:beforeAutospacing="1" w:after="100" w:afterAutospacing="1"/>
      <w:widowControl/>
    </w:pPr>
    <w:rPr>
      <w:rFonts w:eastAsia="Arial Unicode MS"/>
      <w:b/>
      <w:bCs/>
      <w:color w:val="000000"/>
      <w:sz w:val="20"/>
      <w:szCs w:val="20"/>
    </w:rPr>
  </w:style>
  <w:style w:type="paragraph" w:styleId="1408">
    <w:name w:val="1名"/>
    <w:basedOn w:val="1160"/>
    <w:next w:val="1408"/>
    <w:link w:val="1160"/>
    <w:qFormat/>
    <w:pPr>
      <w:numPr>
        <w:ilvl w:val="0"/>
        <w:numId w:val="7"/>
      </w:numPr>
      <w:spacing w:before="120"/>
      <w:tabs>
        <w:tab w:val="left" w:pos="360" w:leader="none"/>
      </w:tabs>
    </w:pPr>
    <w:rPr>
      <w:rFonts w:ascii="宋体"/>
      <w:sz w:val="28"/>
      <w:szCs w:val="20"/>
    </w:rPr>
  </w:style>
  <w:style w:type="paragraph" w:styleId="1409">
    <w:name w:val="Char21"/>
    <w:basedOn w:val="1160"/>
    <w:next w:val="1409"/>
    <w:link w:val="1160"/>
    <w:qFormat/>
    <w:rPr>
      <w:rFonts w:ascii="Tahoma" w:hAnsi="Tahoma"/>
      <w:sz w:val="24"/>
      <w:szCs w:val="20"/>
    </w:rPr>
  </w:style>
  <w:style w:type="paragraph" w:styleId="1410">
    <w:name w:val="Char22"/>
    <w:basedOn w:val="1160"/>
    <w:next w:val="1410"/>
    <w:link w:val="1160"/>
    <w:qFormat/>
    <w:rPr>
      <w:rFonts w:ascii="Tahoma" w:hAnsi="Tahoma"/>
      <w:sz w:val="24"/>
      <w:szCs w:val="20"/>
    </w:rPr>
  </w:style>
  <w:style w:type="paragraph" w:styleId="1411">
    <w:name w:val="xl26"/>
    <w:basedOn w:val="1160"/>
    <w:next w:val="1411"/>
    <w:link w:val="116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table" w:styleId="1412">
    <w:name w:val="Table Normal"/>
    <w:next w:val="1412"/>
    <w:link w:val="1160"/>
    <w:uiPriority w:val="2"/>
    <w:unhideWhenUsed/>
    <w:qFormat/>
    <w:pPr>
      <w:widowControl w:val="off"/>
    </w:pPr>
    <w:rPr>
      <w:rFonts w:ascii="Calibri" w:hAnsi="Calibri"/>
      <w:sz w:val="22"/>
      <w:szCs w:val="22"/>
      <w:lang w:val="en-US" w:eastAsia="en-US" w:bidi="ar-SA"/>
    </w:rPr>
    <w:tblPr/>
  </w:style>
  <w:style w:type="character" w:styleId="1413">
    <w:name w:val="font21"/>
    <w:next w:val="1413"/>
    <w:link w:val="1160"/>
    <w:rPr>
      <w:rFonts w:hint="eastAsia" w:ascii="宋体" w:hAnsi="宋体" w:eastAsia="宋体" w:cs="宋体"/>
      <w:i w:val="0"/>
      <w:iCs w:val="0"/>
      <w:color w:val="000000"/>
      <w:sz w:val="24"/>
      <w:szCs w:val="24"/>
      <w:u w:val="none"/>
    </w:rPr>
  </w:style>
  <w:style w:type="character" w:styleId="1414">
    <w:name w:val="font41"/>
    <w:next w:val="1414"/>
    <w:link w:val="1160"/>
    <w:rPr>
      <w:rFonts w:hint="eastAsia" w:ascii="宋体" w:hAnsi="宋体" w:eastAsia="宋体" w:cs="宋体"/>
      <w:i w:val="0"/>
      <w:iCs w:val="0"/>
      <w:color w:val="000000"/>
      <w:sz w:val="24"/>
      <w:szCs w:val="24"/>
      <w:u w:val="none"/>
      <w:vertAlign w:val="subscript"/>
    </w:rPr>
  </w:style>
  <w:style w:type="character" w:styleId="1415">
    <w:name w:val="font11"/>
    <w:next w:val="1415"/>
    <w:link w:val="1160"/>
    <w:rPr>
      <w:rFonts w:hint="eastAsia" w:ascii="宋体" w:hAnsi="宋体" w:eastAsia="宋体" w:cs="宋体"/>
      <w:i w:val="0"/>
      <w:iCs w:val="0"/>
      <w:color w:val="000000"/>
      <w:sz w:val="22"/>
      <w:szCs w:val="22"/>
      <w:u w:val="none"/>
    </w:rPr>
  </w:style>
  <w:style w:type="paragraph" w:styleId="1416">
    <w:name w:val="p0"/>
    <w:basedOn w:val="1160"/>
    <w:next w:val="1416"/>
    <w:link w:val="1160"/>
    <w:qFormat/>
    <w:pPr>
      <w:jc w:val="left"/>
      <w:spacing w:before="100" w:beforeAutospacing="1" w:after="100" w:afterAutospacing="1"/>
      <w:widowControl/>
    </w:pPr>
    <w:rPr>
      <w:rFonts w:ascii="宋体" w:hAnsi="宋体" w:cs="宋体"/>
      <w:sz w:val="24"/>
    </w:rPr>
  </w:style>
  <w:style w:type="character" w:styleId="1417">
    <w:name w:val="font141"/>
    <w:next w:val="1417"/>
    <w:link w:val="1160"/>
    <w:qFormat/>
    <w:rPr>
      <w:rFonts w:ascii="Calibri" w:hAnsi="Calibri" w:cs="Calibri"/>
      <w:color w:val="000000"/>
      <w:sz w:val="18"/>
      <w:szCs w:val="18"/>
      <w:u w:val="none"/>
    </w:rPr>
  </w:style>
  <w:style w:type="character" w:styleId="1418">
    <w:name w:val="font151"/>
    <w:next w:val="1418"/>
    <w:link w:val="1160"/>
    <w:qFormat/>
    <w:rPr>
      <w:rFonts w:hint="eastAsia" w:ascii="宋体" w:hAnsi="宋体" w:eastAsia="宋体" w:cs="宋体"/>
      <w:color w:val="ff0000"/>
      <w:sz w:val="18"/>
      <w:szCs w:val="18"/>
      <w:u w:val="none"/>
    </w:rPr>
  </w:style>
  <w:style w:type="character" w:styleId="1419">
    <w:name w:val="font51"/>
    <w:next w:val="1419"/>
    <w:link w:val="1160"/>
    <w:qFormat/>
    <w:rPr>
      <w:rFonts w:hint="eastAsia" w:ascii="宋体" w:hAnsi="宋体" w:eastAsia="宋体" w:cs="宋体"/>
      <w:color w:val="000000"/>
      <w:sz w:val="18"/>
      <w:szCs w:val="18"/>
      <w:u w:val="none"/>
    </w:rPr>
  </w:style>
  <w:style w:type="paragraph" w:styleId="1420">
    <w:name w:val="null3"/>
    <w:next w:val="1420"/>
    <w:link w:val="1160"/>
    <w:qFormat/>
    <w:rPr>
      <w:rFonts w:hint="eastAsia" w:ascii="Calibri" w:hAnsi="Calibri"/>
      <w:lang w:val="en-US" w:eastAsia="zh-CN" w:bidi="ar-SA"/>
    </w:rPr>
  </w:style>
  <w:style w:type="character" w:styleId="1421">
    <w:name w:val="font61"/>
    <w:next w:val="1421"/>
    <w:link w:val="1160"/>
    <w:qFormat/>
    <w:rPr>
      <w:rFonts w:hint="eastAsia" w:ascii="宋体" w:hAnsi="宋体" w:eastAsia="宋体" w:cs="宋体"/>
      <w:color w:val="ff0000"/>
      <w:sz w:val="18"/>
      <w:szCs w:val="18"/>
      <w:u w:val="none"/>
    </w:rPr>
  </w:style>
  <w:style w:type="paragraph" w:styleId="1422">
    <w:name w:val="普通(网站)1"/>
    <w:basedOn w:val="1160"/>
    <w:next w:val="1422"/>
    <w:link w:val="1160"/>
    <w:uiPriority w:val="99"/>
    <w:unhideWhenUsed/>
    <w:qFormat/>
    <w:pPr>
      <w:jc w:val="left"/>
      <w:spacing w:before="100" w:beforeAutospacing="1" w:after="100" w:afterAutospacing="1"/>
      <w:widowControl/>
    </w:pPr>
    <w:rPr>
      <w:rFonts w:ascii="宋体" w:hAnsi="宋体" w:cs="宋体"/>
      <w:sz w:val="24"/>
    </w:rPr>
  </w:style>
  <w:style w:type="paragraph" w:styleId="1423">
    <w:name w:val="列表段落2"/>
    <w:basedOn w:val="1160"/>
    <w:next w:val="1423"/>
    <w:link w:val="1160"/>
    <w:uiPriority w:val="34"/>
    <w:qFormat/>
    <w:pPr>
      <w:ind w:firstLine="420"/>
    </w:pPr>
    <w:rPr>
      <w:rFonts w:ascii="Calibri" w:hAnsi="Calibri"/>
      <w:szCs w:val="22"/>
    </w:rPr>
  </w:style>
  <w:style w:type="paragraph" w:styleId="1424">
    <w:name w:val="批注文字1"/>
    <w:basedOn w:val="1160"/>
    <w:next w:val="1424"/>
    <w:link w:val="1160"/>
    <w:qFormat/>
    <w:pPr>
      <w:jc w:val="left"/>
    </w:pPr>
  </w:style>
  <w:style w:type="character" w:styleId="1425" w:default="1">
    <w:name w:val="Default Paragraph Font"/>
    <w:uiPriority w:val="1"/>
    <w:semiHidden/>
    <w:unhideWhenUsed/>
  </w:style>
  <w:style w:type="numbering" w:styleId="1426" w:default="1">
    <w:name w:val="No List"/>
    <w:uiPriority w:val="99"/>
    <w:semiHidden/>
    <w:unhideWhenUsed/>
  </w:style>
  <w:style w:type="table" w:styleId="14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image" Target="media/image1.png"/><Relationship Id="rId26" Type="http://schemas.openxmlformats.org/officeDocument/2006/relationships/image" Target="media/image2.png"/><Relationship Id="rId27" Type="http://schemas.openxmlformats.org/officeDocument/2006/relationships/image" Target="media/image3.png"/><Relationship Id="rId28" Type="http://schemas.openxmlformats.org/officeDocument/2006/relationships/image" Target="media/image4.png"/><Relationship Id="rId29" Type="http://schemas.openxmlformats.org/officeDocument/2006/relationships/image" Target="media/image5.png"/><Relationship Id="rId30" Type="http://schemas.openxmlformats.org/officeDocument/2006/relationships/image" Target="media/image6.png"/><Relationship Id="rId31" Type="http://schemas.openxmlformats.org/officeDocument/2006/relationships/image" Target="media/image7.png"/><Relationship Id="rId32" Type="http://schemas.openxmlformats.org/officeDocument/2006/relationships/image" Target="media/image8.png"/><Relationship Id="rId33" Type="http://schemas.openxmlformats.org/officeDocument/2006/relationships/image" Target="media/image9.png"/><Relationship Id="rId34" Type="http://schemas.openxmlformats.org/officeDocument/2006/relationships/image" Target="media/image10.png"/><Relationship Id="rId35" Type="http://schemas.openxmlformats.org/officeDocument/2006/relationships/image" Target="media/image11.png"/><Relationship Id="rId36" Type="http://schemas.openxmlformats.org/officeDocument/2006/relationships/image" Target="media/image12.png"/><Relationship Id="rId37" Type="http://schemas.openxmlformats.org/officeDocument/2006/relationships/image" Target="media/image13.jpg"/><Relationship Id="rId38" Type="http://schemas.openxmlformats.org/officeDocument/2006/relationships/image" Target="media/image14.png"/><Relationship Id="rId39"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png"/><Relationship Id="rId44" Type="http://schemas.openxmlformats.org/officeDocument/2006/relationships/image" Target="media/image20.png"/><Relationship Id="rId45" Type="http://schemas.openxmlformats.org/officeDocument/2006/relationships/image" Target="media/image21.png"/><Relationship Id="rId46"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50" Type="http://schemas.openxmlformats.org/officeDocument/2006/relationships/image" Target="media/image26.png"/><Relationship Id="rId51" Type="http://schemas.openxmlformats.org/officeDocument/2006/relationships/image" Target="media/image27.png"/><Relationship Id="rId52"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王涛</cp:lastModifiedBy>
  <cp:revision>4</cp:revision>
  <dcterms:created xsi:type="dcterms:W3CDTF">2024-12-09T09:24:00Z</dcterms:created>
  <dcterms:modified xsi:type="dcterms:W3CDTF">2026-04-22T04:49:29Z</dcterms:modified>
</cp:coreProperties>
</file>