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9"/>
        <w:jc w:val="left"/>
        <w:rPr>
          <w:rFonts w:hint="eastAsia" w:ascii="方正仿宋_GB2312" w:hAnsi="方正仿宋_GB2312" w:eastAsia="方正仿宋_GB2312" w:cs="方正仿宋_GB2312"/>
          <w:color w:val="000000" w:themeColor="text1"/>
          <w:highlight w:val="none"/>
        </w:rPr>
      </w:pPr>
      <w:r>
        <w:rPr>
          <w:color w:val="000000" w:themeColor="text1"/>
        </w:rPr>
      </w:r>
      <w:bookmarkStart w:id="0" w:name="_Hlk166141273"/>
      <w:r>
        <w:rPr>
          <w:rFonts w:hint="eastAsia" w:ascii="方正仿宋_GB2312" w:hAnsi="方正仿宋_GB2312" w:eastAsia="方正仿宋_GB2312" w:cs="方正仿宋_GB2312"/>
          <w:color w:val="000000" w:themeColor="text1"/>
          <w:highlight w:val="none"/>
        </w:rPr>
      </w:r>
      <w:r>
        <w:rPr>
          <w:color w:val="000000" w:themeColor="text1"/>
        </w:rPr>
      </w:r>
    </w:p>
    <w:p>
      <w:pPr>
        <w:pStyle w:val="799"/>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p>
    <w:p>
      <w:pPr>
        <w:pStyle w:val="799"/>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p>
    <w:p>
      <w:pPr>
        <w:pStyle w:val="799"/>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p>
    <w:p>
      <w:pPr>
        <w:pStyle w:val="799"/>
        <w:jc w:val="center"/>
        <w:spacing w:before="120" w:after="120" w:line="360" w:lineRule="auto"/>
        <w:rPr>
          <w:rFonts w:hint="eastAsia" w:ascii="方正仿宋_GB2312" w:hAnsi="方正仿宋_GB2312" w:eastAsia="方正仿宋_GB2312" w:cs="方正仿宋_GB2312"/>
          <w:b/>
          <w:color w:val="000000" w:themeColor="text1"/>
          <w:sz w:val="84"/>
          <w:szCs w:val="24"/>
          <w:highlight w:val="none"/>
        </w:rPr>
      </w:pPr>
      <w:r>
        <w:rPr>
          <w:rFonts w:hint="eastAsia" w:ascii="方正仿宋_GB2312" w:hAnsi="方正仿宋_GB2312" w:eastAsia="方正仿宋_GB2312" w:cs="方正仿宋_GB2312"/>
          <w:b/>
          <w:color w:val="000000" w:themeColor="text1"/>
          <w:sz w:val="84"/>
          <w:szCs w:val="24"/>
          <w:highlight w:val="none"/>
          <w:lang w:bidi="ar"/>
        </w:rPr>
        <w:t xml:space="preserve">招</w:t>
      </w:r>
      <w:r>
        <w:rPr>
          <w:rFonts w:hint="eastAsia" w:ascii="方正仿宋_GB2312" w:hAnsi="方正仿宋_GB2312" w:eastAsia="方正仿宋_GB2312" w:cs="方正仿宋_GB2312"/>
          <w:b/>
          <w:color w:val="000000" w:themeColor="text1"/>
          <w:sz w:val="84"/>
          <w:szCs w:val="24"/>
          <w:highlight w:val="none"/>
          <w:lang w:val="en-US" w:eastAsia="zh-CN" w:bidi="ar"/>
        </w:rPr>
        <w:t xml:space="preserve">  </w:t>
      </w:r>
      <w:r>
        <w:rPr>
          <w:rFonts w:hint="eastAsia" w:ascii="方正仿宋_GB2312" w:hAnsi="方正仿宋_GB2312" w:eastAsia="方正仿宋_GB2312" w:cs="方正仿宋_GB2312"/>
          <w:b/>
          <w:color w:val="000000" w:themeColor="text1"/>
          <w:sz w:val="84"/>
          <w:szCs w:val="24"/>
          <w:highlight w:val="none"/>
          <w:lang w:bidi="ar"/>
        </w:rPr>
        <w:t xml:space="preserve">标</w:t>
      </w:r>
      <w:r>
        <w:rPr>
          <w:rFonts w:hint="eastAsia" w:ascii="方正仿宋_GB2312" w:hAnsi="方正仿宋_GB2312" w:eastAsia="方正仿宋_GB2312" w:cs="方正仿宋_GB2312"/>
          <w:b/>
          <w:color w:val="000000" w:themeColor="text1"/>
          <w:sz w:val="84"/>
          <w:szCs w:val="24"/>
          <w:highlight w:val="none"/>
          <w:lang w:val="en-US" w:eastAsia="zh-CN" w:bidi="ar"/>
        </w:rPr>
        <w:t xml:space="preserve">  </w:t>
      </w:r>
      <w:r>
        <w:rPr>
          <w:rFonts w:hint="eastAsia" w:ascii="方正仿宋_GB2312" w:hAnsi="方正仿宋_GB2312" w:eastAsia="方正仿宋_GB2312" w:cs="方正仿宋_GB2312"/>
          <w:b/>
          <w:color w:val="000000" w:themeColor="text1"/>
          <w:sz w:val="84"/>
          <w:szCs w:val="24"/>
          <w:highlight w:val="none"/>
          <w:lang w:bidi="ar"/>
        </w:rPr>
        <w:t xml:space="preserve">文</w:t>
      </w:r>
      <w:r>
        <w:rPr>
          <w:rFonts w:hint="eastAsia" w:ascii="方正仿宋_GB2312" w:hAnsi="方正仿宋_GB2312" w:eastAsia="方正仿宋_GB2312" w:cs="方正仿宋_GB2312"/>
          <w:b/>
          <w:color w:val="000000" w:themeColor="text1"/>
          <w:sz w:val="84"/>
          <w:szCs w:val="24"/>
          <w:highlight w:val="none"/>
          <w:lang w:val="en-US" w:eastAsia="zh-CN" w:bidi="ar"/>
        </w:rPr>
        <w:t xml:space="preserve">  </w:t>
      </w:r>
      <w:r>
        <w:rPr>
          <w:rFonts w:hint="eastAsia" w:ascii="方正仿宋_GB2312" w:hAnsi="方正仿宋_GB2312" w:eastAsia="方正仿宋_GB2312" w:cs="方正仿宋_GB2312"/>
          <w:b/>
          <w:color w:val="000000" w:themeColor="text1"/>
          <w:sz w:val="84"/>
          <w:szCs w:val="24"/>
          <w:highlight w:val="none"/>
          <w:lang w:bidi="ar"/>
        </w:rPr>
        <w:t xml:space="preserve">件</w:t>
      </w:r>
      <w:r>
        <w:rPr>
          <w:rFonts w:hint="eastAsia" w:ascii="方正仿宋_GB2312" w:hAnsi="方正仿宋_GB2312" w:eastAsia="方正仿宋_GB2312" w:cs="方正仿宋_GB2312"/>
          <w:b/>
          <w:color w:val="000000" w:themeColor="text1"/>
          <w:sz w:val="84"/>
          <w:szCs w:val="24"/>
          <w:highlight w:val="none"/>
          <w:lang w:bidi="ar"/>
        </w:rPr>
      </w:r>
      <w:r>
        <w:rPr>
          <w:color w:val="000000" w:themeColor="text1"/>
        </w:rPr>
      </w:r>
    </w:p>
    <w:p>
      <w:pPr>
        <w:pStyle w:val="799"/>
        <w:rPr>
          <w:rFonts w:hint="eastAsia" w:ascii="方正仿宋_GB2312" w:hAnsi="方正仿宋_GB2312" w:eastAsia="方正仿宋_GB2312" w:cs="方正仿宋_GB2312"/>
          <w:b/>
          <w:color w:val="000000" w:themeColor="text1"/>
          <w:sz w:val="30"/>
          <w:szCs w:val="30"/>
          <w:highlight w:val="none"/>
        </w:rPr>
      </w:pPr>
      <w:r>
        <w:rPr>
          <w:rFonts w:hint="eastAsia" w:ascii="方正仿宋_GB2312" w:hAnsi="方正仿宋_GB2312" w:eastAsia="方正仿宋_GB2312" w:cs="方正仿宋_GB2312"/>
          <w:b/>
          <w:color w:val="000000" w:themeColor="text1"/>
          <w:sz w:val="30"/>
          <w:szCs w:val="30"/>
          <w:highlight w:val="none"/>
          <w:lang w:bidi="ar"/>
        </w:rPr>
      </w:r>
      <w:r>
        <w:rPr>
          <w:color w:val="000000" w:themeColor="text1"/>
        </w:rPr>
      </w:r>
    </w:p>
    <w:p>
      <w:pPr>
        <w:pStyle w:val="799"/>
        <w:rPr>
          <w:rFonts w:hint="eastAsia" w:ascii="方正仿宋_GB2312" w:hAnsi="方正仿宋_GB2312" w:eastAsia="方正仿宋_GB2312" w:cs="方正仿宋_GB2312"/>
          <w:b/>
          <w:color w:val="000000" w:themeColor="text1"/>
          <w:sz w:val="30"/>
          <w:szCs w:val="30"/>
          <w:highlight w:val="none"/>
        </w:rPr>
      </w:pPr>
      <w:r>
        <w:rPr>
          <w:rFonts w:hint="eastAsia" w:ascii="方正仿宋_GB2312" w:hAnsi="方正仿宋_GB2312" w:eastAsia="方正仿宋_GB2312" w:cs="方正仿宋_GB2312"/>
          <w:b/>
          <w:color w:val="000000" w:themeColor="text1"/>
          <w:sz w:val="30"/>
          <w:szCs w:val="30"/>
          <w:highlight w:val="none"/>
          <w:lang w:bidi="ar"/>
        </w:rPr>
      </w:r>
      <w:r>
        <w:rPr>
          <w:color w:val="000000" w:themeColor="text1"/>
        </w:rPr>
      </w:r>
    </w:p>
    <w:p>
      <w:pPr>
        <w:pStyle w:val="799"/>
        <w:rPr>
          <w:rFonts w:hint="eastAsia" w:ascii="方正仿宋_GB2312" w:hAnsi="方正仿宋_GB2312" w:eastAsia="方正仿宋_GB2312" w:cs="方正仿宋_GB2312"/>
          <w:b/>
          <w:color w:val="000000" w:themeColor="text1"/>
          <w:sz w:val="30"/>
          <w:szCs w:val="30"/>
          <w:highlight w:val="none"/>
        </w:rPr>
      </w:pPr>
      <w:r>
        <w:rPr>
          <w:rFonts w:hint="eastAsia" w:ascii="方正仿宋_GB2312" w:hAnsi="方正仿宋_GB2312" w:eastAsia="方正仿宋_GB2312" w:cs="方正仿宋_GB2312"/>
          <w:b/>
          <w:color w:val="000000" w:themeColor="text1"/>
          <w:sz w:val="30"/>
          <w:szCs w:val="30"/>
          <w:highlight w:val="none"/>
          <w:lang w:bidi="ar"/>
        </w:rPr>
      </w:r>
      <w:r>
        <w:rPr>
          <w:color w:val="000000" w:themeColor="text1"/>
        </w:rPr>
      </w:r>
    </w:p>
    <w:tbl>
      <w:tblPr>
        <w:tblpPr w:horzAnchor="page" w:tblpXSpec="center" w:vertAnchor="text" w:tblpY="466" w:leftFromText="180" w:topFromText="0" w:rightFromText="180" w:bottomFromText="0"/>
        <w:tblW w:w="4996"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754"/>
        <w:gridCol w:w="6639"/>
      </w:tblGrid>
      <w:tr>
        <w:trPr>
          <w:trHeight w:val="586"/>
        </w:trPr>
        <w:tc>
          <w:tcPr>
            <w:tcBorders>
              <w:top w:val="none" w:color="000000" w:sz="0" w:space="0"/>
              <w:left w:val="none" w:color="000000" w:sz="0" w:space="0"/>
              <w:bottom w:val="none" w:color="000000" w:sz="0" w:space="0"/>
              <w:right w:val="none" w:color="000000" w:sz="0" w:space="0"/>
            </w:tcBorders>
            <w:tcW w:w="1466" w:type="dxa"/>
            <w:vAlign w:val="center"/>
            <w:textDirection w:val="lrTb"/>
            <w:noWrap w:val="false"/>
          </w:tcPr>
          <w:p>
            <w:pPr>
              <w:pStyle w:val="799"/>
              <w:jc w:val="center"/>
              <w:spacing w:line="500" w:lineRule="exact"/>
              <w:widowControl w:val="off"/>
              <w:rPr>
                <w:rFonts w:hint="eastAsia" w:ascii="方正仿宋_GB2312" w:hAnsi="方正仿宋_GB2312" w:eastAsia="方正仿宋_GB2312" w:cs="方正仿宋_GB2312"/>
                <w:color w:val="000000" w:themeColor="text1"/>
                <w:sz w:val="32"/>
                <w:szCs w:val="32"/>
                <w:highlight w:val="none"/>
              </w:rPr>
              <w:framePr w:vAnchor="text" w:hAnchor="page" w:xAlign="center" w:y="466"/>
            </w:pPr>
            <w:r>
              <w:rPr>
                <w:rFonts w:hint="eastAsia" w:ascii="方正仿宋_GB2312" w:hAnsi="方正仿宋_GB2312" w:eastAsia="方正仿宋_GB2312" w:cs="方正仿宋_GB2312"/>
                <w:b/>
                <w:color w:val="000000" w:themeColor="text1"/>
                <w:sz w:val="32"/>
                <w:szCs w:val="32"/>
                <w:highlight w:val="none"/>
                <w:lang w:bidi="ar"/>
              </w:rPr>
              <w:t xml:space="preserve">项目名称：</w:t>
            </w:r>
            <w:r>
              <w:rPr>
                <w:rFonts w:hint="eastAsia" w:ascii="方正仿宋_GB2312" w:hAnsi="方正仿宋_GB2312" w:eastAsia="方正仿宋_GB2312" w:cs="方正仿宋_GB2312"/>
                <w:color w:val="000000" w:themeColor="text1"/>
                <w:sz w:val="32"/>
                <w:szCs w:val="32"/>
                <w:highlight w:val="none"/>
                <w:lang w:val="en-US" w:eastAsia="zh-CN" w:bidi="ar-SA"/>
              </w:rPr>
            </w:r>
            <w:r>
              <w:rPr>
                <w:color w:val="000000" w:themeColor="text1"/>
              </w:rPr>
            </w:r>
          </w:p>
        </w:tc>
        <w:tc>
          <w:tcPr>
            <w:tcBorders>
              <w:top w:val="none" w:color="000000" w:sz="0" w:space="0"/>
              <w:left w:val="none" w:color="000000" w:sz="0" w:space="0"/>
              <w:bottom w:val="none" w:color="000000" w:sz="0" w:space="0"/>
              <w:right w:val="none" w:color="000000" w:sz="0" w:space="0"/>
            </w:tcBorders>
            <w:tcW w:w="3533" w:type="dxa"/>
            <w:vAlign w:val="center"/>
            <w:textDirection w:val="lrTb"/>
            <w:noWrap w:val="false"/>
          </w:tcPr>
          <w:p>
            <w:pPr>
              <w:pStyle w:val="799"/>
              <w:jc w:val="left"/>
              <w:spacing w:line="500" w:lineRule="exact"/>
              <w:widowControl w:val="off"/>
              <w:rPr>
                <w:rFonts w:hint="eastAsia" w:ascii="方正仿宋_GB2312" w:hAnsi="方正仿宋_GB2312" w:eastAsia="方正仿宋_GB2312" w:cs="方正仿宋_GB2312"/>
                <w:color w:val="000000" w:themeColor="text1"/>
                <w:sz w:val="32"/>
                <w:szCs w:val="32"/>
                <w:highlight w:val="none"/>
              </w:rPr>
              <w:framePr w:vAnchor="text" w:hAnchor="page" w:xAlign="center" w:y="466"/>
            </w:pPr>
            <w:r>
              <w:rPr>
                <w:rFonts w:hint="eastAsia" w:ascii="方正仿宋_GB2312" w:hAnsi="方正仿宋_GB2312" w:eastAsia="方正仿宋_GB2312" w:cs="方正仿宋_GB2312"/>
                <w:b/>
                <w:color w:val="000000" w:themeColor="text1"/>
                <w:sz w:val="32"/>
                <w:szCs w:val="32"/>
                <w:highlight w:val="none"/>
                <w:lang w:eastAsia="zh-CN" w:bidi="ar"/>
              </w:rPr>
              <w:t xml:space="preserve">苏州宿迁工业园区2026-2028年公共绿化养护项目</w:t>
            </w:r>
            <w:r>
              <w:rPr>
                <w:rFonts w:hint="eastAsia" w:ascii="方正仿宋_GB2312" w:hAnsi="方正仿宋_GB2312" w:eastAsia="方正仿宋_GB2312" w:cs="方正仿宋_GB2312"/>
                <w:color w:val="000000" w:themeColor="text1"/>
                <w:sz w:val="32"/>
                <w:szCs w:val="32"/>
                <w:highlight w:val="none"/>
                <w:lang w:val="en-US" w:eastAsia="zh-CN" w:bidi="ar-SA"/>
              </w:rPr>
            </w:r>
            <w:r>
              <w:rPr>
                <w:color w:val="000000" w:themeColor="text1"/>
              </w:rPr>
            </w:r>
          </w:p>
        </w:tc>
      </w:tr>
      <w:tr>
        <w:trPr>
          <w:trHeight w:val="617"/>
        </w:trPr>
        <w:tc>
          <w:tcPr>
            <w:tcBorders>
              <w:top w:val="none" w:color="000000" w:sz="0" w:space="0"/>
              <w:left w:val="none" w:color="000000" w:sz="0" w:space="0"/>
              <w:bottom w:val="none" w:color="000000" w:sz="0" w:space="0"/>
              <w:right w:val="none" w:color="000000" w:sz="0" w:space="0"/>
            </w:tcBorders>
            <w:tcW w:w="1466" w:type="dxa"/>
            <w:vAlign w:val="center"/>
            <w:textDirection w:val="lrTb"/>
            <w:noWrap w:val="false"/>
          </w:tcPr>
          <w:p>
            <w:pPr>
              <w:pStyle w:val="799"/>
              <w:jc w:val="center"/>
              <w:spacing w:line="500" w:lineRule="exact"/>
              <w:widowControl w:val="off"/>
              <w:rPr>
                <w:rFonts w:hint="eastAsia" w:ascii="方正仿宋_GB2312" w:hAnsi="方正仿宋_GB2312" w:eastAsia="方正仿宋_GB2312" w:cs="方正仿宋_GB2312"/>
                <w:b/>
                <w:bCs/>
                <w:color w:val="000000" w:themeColor="text1"/>
                <w:spacing w:val="45"/>
                <w:sz w:val="32"/>
                <w:szCs w:val="32"/>
                <w:highlight w:val="none"/>
              </w:rPr>
              <w:framePr w:vAnchor="text" w:hAnchor="page" w:xAlign="center" w:y="466"/>
            </w:pPr>
            <w:r>
              <w:rPr>
                <w:rFonts w:hint="eastAsia" w:ascii="方正仿宋_GB2312" w:hAnsi="方正仿宋_GB2312" w:eastAsia="方正仿宋_GB2312" w:cs="方正仿宋_GB2312"/>
                <w:b/>
                <w:color w:val="000000" w:themeColor="text1"/>
                <w:sz w:val="32"/>
                <w:szCs w:val="32"/>
                <w:highlight w:val="none"/>
                <w:lang w:val="en-US" w:eastAsia="zh-CN" w:bidi="ar"/>
              </w:rPr>
              <w:t xml:space="preserve">项目编号：</w:t>
            </w:r>
            <w:r>
              <w:rPr>
                <w:rFonts w:hint="eastAsia" w:ascii="方正仿宋_GB2312" w:hAnsi="方正仿宋_GB2312" w:eastAsia="方正仿宋_GB2312" w:cs="方正仿宋_GB2312"/>
                <w:b/>
                <w:bCs/>
                <w:color w:val="000000" w:themeColor="text1"/>
                <w:spacing w:val="45"/>
                <w:sz w:val="32"/>
                <w:szCs w:val="32"/>
                <w:highlight w:val="none"/>
                <w:lang w:val="en-US" w:eastAsia="zh-CN" w:bidi="ar-SA"/>
              </w:rPr>
            </w:r>
            <w:r>
              <w:rPr>
                <w:color w:val="000000" w:themeColor="text1"/>
              </w:rPr>
            </w:r>
          </w:p>
        </w:tc>
        <w:tc>
          <w:tcPr>
            <w:tcBorders>
              <w:top w:val="none" w:color="000000" w:sz="0" w:space="0"/>
              <w:left w:val="none" w:color="000000" w:sz="0" w:space="0"/>
              <w:bottom w:val="none" w:color="000000" w:sz="0" w:space="0"/>
              <w:right w:val="none" w:color="000000" w:sz="0" w:space="0"/>
            </w:tcBorders>
            <w:tcW w:w="3533" w:type="dxa"/>
            <w:vAlign w:val="center"/>
            <w:textDirection w:val="lrTb"/>
            <w:noWrap w:val="false"/>
          </w:tcPr>
          <w:p>
            <w:pPr>
              <w:pStyle w:val="799"/>
              <w:jc w:val="left"/>
              <w:spacing w:line="500" w:lineRule="exact"/>
              <w:widowControl w:val="off"/>
              <w:rPr>
                <w:rFonts w:hint="eastAsia" w:ascii="方正仿宋_GB2312" w:hAnsi="方正仿宋_GB2312" w:eastAsia="方正仿宋_GB2312" w:cs="方正仿宋_GB2312"/>
                <w:color w:val="000000" w:themeColor="text1"/>
                <w:sz w:val="32"/>
                <w:szCs w:val="32"/>
                <w:highlight w:val="none"/>
              </w:rPr>
              <w:framePr w:vAnchor="text" w:hAnchor="page" w:xAlign="center" w:y="466"/>
            </w:pPr>
            <w:r>
              <w:rPr>
                <w:rFonts w:hint="eastAsia" w:ascii="方正仿宋_GB2312" w:hAnsi="方正仿宋_GB2312" w:eastAsia="方正仿宋_GB2312" w:cs="方正仿宋_GB2312"/>
                <w:b/>
                <w:bCs/>
                <w:color w:val="000000" w:themeColor="text1"/>
                <w:sz w:val="32"/>
                <w:szCs w:val="32"/>
                <w:highlight w:val="none"/>
                <w:lang w:val="en-US" w:eastAsia="zh-CN" w:bidi="ar-SA"/>
              </w:rPr>
              <w:t xml:space="preserve">JSZC-321395-HZJS-G2026-0006</w:t>
            </w:r>
            <w:r>
              <w:rPr>
                <w:rFonts w:hint="eastAsia" w:ascii="方正仿宋_GB2312" w:hAnsi="方正仿宋_GB2312" w:eastAsia="方正仿宋_GB2312" w:cs="方正仿宋_GB2312"/>
                <w:color w:val="000000" w:themeColor="text1"/>
                <w:sz w:val="32"/>
                <w:szCs w:val="32"/>
                <w:highlight w:val="none"/>
                <w:lang w:val="en-US" w:eastAsia="zh-CN" w:bidi="ar-SA"/>
              </w:rPr>
            </w:r>
            <w:r>
              <w:rPr>
                <w:color w:val="000000" w:themeColor="text1"/>
              </w:rPr>
            </w:r>
          </w:p>
        </w:tc>
      </w:tr>
    </w:tbl>
    <w:p>
      <w:pPr>
        <w:pStyle w:val="799"/>
        <w:ind w:left="2800" w:hanging="2800"/>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lang w:bidi="ar"/>
        </w:rPr>
      </w:r>
      <w:r>
        <w:rPr>
          <w:color w:val="000000" w:themeColor="text1"/>
        </w:rPr>
      </w:r>
    </w:p>
    <w:p>
      <w:pPr>
        <w:pStyle w:val="799"/>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bl>
      <w:tblPr>
        <w:tblpPr w:horzAnchor="page" w:tblpXSpec="center" w:vertAnchor="text" w:tblpY="466" w:leftFromText="180" w:topFromText="0" w:rightFromText="180" w:bottomFromText="0"/>
        <w:tblW w:w="4995"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739"/>
        <w:gridCol w:w="6653"/>
      </w:tblGrid>
      <w:tr>
        <w:trPr>
          <w:trHeight w:val="586"/>
        </w:trPr>
        <w:tc>
          <w:tcPr>
            <w:tcBorders>
              <w:top w:val="none" w:color="000000" w:sz="0" w:space="0"/>
              <w:left w:val="none" w:color="000000" w:sz="0" w:space="0"/>
              <w:bottom w:val="none" w:color="000000" w:sz="0" w:space="0"/>
              <w:right w:val="none" w:color="000000" w:sz="0" w:space="0"/>
            </w:tcBorders>
            <w:tcW w:w="1458" w:type="dxa"/>
            <w:vAlign w:val="center"/>
            <w:textDirection w:val="lrTb"/>
            <w:noWrap w:val="false"/>
          </w:tcPr>
          <w:p>
            <w:pPr>
              <w:pStyle w:val="799"/>
              <w:jc w:val="center"/>
              <w:spacing w:line="5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Align="center" w:y="466"/>
            </w:pPr>
            <w:r>
              <w:rPr>
                <w:rFonts w:hint="eastAsia" w:ascii="方正仿宋_GB2312" w:hAnsi="方正仿宋_GB2312" w:eastAsia="方正仿宋_GB2312" w:cs="方正仿宋_GB2312"/>
                <w:b/>
                <w:bCs/>
                <w:color w:val="000000" w:themeColor="text1"/>
                <w:spacing w:val="45"/>
                <w:sz w:val="32"/>
                <w:szCs w:val="24"/>
                <w:highlight w:val="none"/>
                <w:lang w:val="en-US" w:eastAsia="zh-CN" w:bidi="ar-SA"/>
              </w:rPr>
              <w:t xml:space="preserve">采购人</w:t>
            </w:r>
            <w:r>
              <w:rPr>
                <w:rFonts w:hint="eastAsia" w:ascii="方正仿宋_GB2312" w:hAnsi="方正仿宋_GB2312" w:eastAsia="方正仿宋_GB2312" w:cs="方正仿宋_GB2312"/>
                <w:b/>
                <w:bCs/>
                <w:color w:val="000000" w:themeColor="text1"/>
                <w:spacing w:val="1"/>
                <w:sz w:val="32"/>
                <w:szCs w:val="24"/>
                <w:highlight w:val="none"/>
                <w:lang w:val="en-US" w:eastAsia="zh-CN" w:bidi="ar-SA"/>
              </w:rPr>
              <w:t xml:space="preserve">：</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Borders>
              <w:top w:val="none" w:color="000000" w:sz="0" w:space="0"/>
              <w:left w:val="none" w:color="000000" w:sz="0" w:space="0"/>
              <w:bottom w:val="none" w:color="000000" w:sz="0" w:space="0"/>
              <w:right w:val="none" w:color="000000" w:sz="0" w:space="0"/>
            </w:tcBorders>
            <w:tcW w:w="3541" w:type="dxa"/>
            <w:vAlign w:val="center"/>
            <w:textDirection w:val="lrTb"/>
            <w:noWrap w:val="false"/>
          </w:tcPr>
          <w:p>
            <w:pPr>
              <w:pStyle w:val="799"/>
              <w:jc w:val="left"/>
              <w:spacing w:line="5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Align="center" w:y="466"/>
            </w:pPr>
            <w:r>
              <w:rPr>
                <w:rFonts w:hint="eastAsia" w:ascii="方正仿宋_GB2312" w:hAnsi="方正仿宋_GB2312" w:eastAsia="方正仿宋_GB2312" w:cs="方正仿宋_GB2312"/>
                <w:b/>
                <w:bCs/>
                <w:color w:val="000000" w:themeColor="text1"/>
                <w:sz w:val="32"/>
                <w:szCs w:val="24"/>
                <w:highlight w:val="none"/>
                <w:lang w:val="en-US" w:eastAsia="zh-CN" w:bidi="ar-SA"/>
              </w:rPr>
              <w:t xml:space="preserve">苏州宿迁工业园区规划建设与城市管理局</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r>
      <w:tr>
        <w:trPr>
          <w:trHeight w:val="617"/>
        </w:trPr>
        <w:tc>
          <w:tcPr>
            <w:tcBorders>
              <w:top w:val="none" w:color="000000" w:sz="0" w:space="0"/>
              <w:left w:val="none" w:color="000000" w:sz="0" w:space="0"/>
              <w:bottom w:val="none" w:color="000000" w:sz="0" w:space="0"/>
              <w:right w:val="none" w:color="000000" w:sz="0" w:space="0"/>
            </w:tcBorders>
            <w:tcW w:w="1458" w:type="dxa"/>
            <w:vAlign w:val="center"/>
            <w:textDirection w:val="lrTb"/>
            <w:noWrap w:val="false"/>
          </w:tcPr>
          <w:p>
            <w:pPr>
              <w:pStyle w:val="799"/>
              <w:jc w:val="center"/>
              <w:spacing w:line="500" w:lineRule="exact"/>
              <w:widowControl w:val="off"/>
              <w:rPr>
                <w:rFonts w:hint="eastAsia" w:ascii="方正仿宋_GB2312" w:hAnsi="方正仿宋_GB2312" w:eastAsia="方正仿宋_GB2312" w:cs="方正仿宋_GB2312"/>
                <w:b/>
                <w:bCs/>
                <w:color w:val="000000" w:themeColor="text1"/>
                <w:spacing w:val="45"/>
                <w:sz w:val="32"/>
                <w:szCs w:val="24"/>
                <w:highlight w:val="none"/>
              </w:rPr>
              <w:framePr w:vAnchor="text" w:hAnchor="page" w:xAlign="center" w:y="466"/>
            </w:pPr>
            <w:r>
              <w:rPr>
                <w:rFonts w:hint="eastAsia" w:ascii="方正仿宋_GB2312" w:hAnsi="方正仿宋_GB2312" w:eastAsia="方正仿宋_GB2312" w:cs="方正仿宋_GB2312"/>
                <w:b/>
                <w:bCs/>
                <w:color w:val="000000" w:themeColor="text1"/>
                <w:sz w:val="32"/>
                <w:szCs w:val="24"/>
                <w:highlight w:val="none"/>
                <w:lang w:val="en-US" w:eastAsia="zh-CN" w:bidi="ar-SA"/>
              </w:rPr>
              <w:t xml:space="preserve">采购代理机构：</w:t>
            </w:r>
            <w:r>
              <w:rPr>
                <w:rFonts w:hint="eastAsia" w:ascii="方正仿宋_GB2312" w:hAnsi="方正仿宋_GB2312" w:eastAsia="方正仿宋_GB2312" w:cs="方正仿宋_GB2312"/>
                <w:b/>
                <w:bCs/>
                <w:color w:val="000000" w:themeColor="text1"/>
                <w:spacing w:val="45"/>
                <w:sz w:val="32"/>
                <w:szCs w:val="24"/>
                <w:highlight w:val="none"/>
                <w:lang w:val="en-US" w:eastAsia="zh-CN" w:bidi="ar-SA"/>
              </w:rPr>
            </w:r>
            <w:r>
              <w:rPr>
                <w:color w:val="000000" w:themeColor="text1"/>
              </w:rPr>
            </w:r>
          </w:p>
        </w:tc>
        <w:tc>
          <w:tcPr>
            <w:tcBorders>
              <w:top w:val="none" w:color="000000" w:sz="0" w:space="0"/>
              <w:left w:val="none" w:color="000000" w:sz="0" w:space="0"/>
              <w:bottom w:val="none" w:color="000000" w:sz="0" w:space="0"/>
              <w:right w:val="none" w:color="000000" w:sz="0" w:space="0"/>
            </w:tcBorders>
            <w:tcW w:w="3541" w:type="dxa"/>
            <w:vAlign w:val="center"/>
            <w:textDirection w:val="lrTb"/>
            <w:noWrap w:val="false"/>
          </w:tcPr>
          <w:p>
            <w:pPr>
              <w:pStyle w:val="799"/>
              <w:jc w:val="left"/>
              <w:spacing w:line="5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Align="center" w:y="466"/>
            </w:pPr>
            <w:r>
              <w:rPr>
                <w:rFonts w:hint="eastAsia" w:ascii="方正仿宋_GB2312" w:hAnsi="方正仿宋_GB2312" w:eastAsia="方正仿宋_GB2312" w:cs="方正仿宋_GB2312"/>
                <w:b/>
                <w:bCs/>
                <w:color w:val="000000" w:themeColor="text1"/>
                <w:sz w:val="32"/>
                <w:szCs w:val="24"/>
                <w:highlight w:val="none"/>
                <w:lang w:val="en-US" w:eastAsia="zh-CN" w:bidi="ar-SA"/>
              </w:rPr>
              <w:t xml:space="preserve">江苏宏壮工程项目管理有限公司</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r>
    </w:tbl>
    <w:p>
      <w:pPr>
        <w:pStyle w:val="799"/>
        <w:jc w:val="center"/>
        <w:spacing w:before="120" w:after="120" w:line="360" w:lineRule="auto"/>
        <w:rPr>
          <w:rFonts w:hint="eastAsia" w:ascii="方正仿宋_GB2312" w:hAnsi="方正仿宋_GB2312" w:eastAsia="方正仿宋_GB2312" w:cs="方正仿宋_GB2312"/>
          <w:b/>
          <w:color w:val="000000" w:themeColor="text1"/>
          <w:sz w:val="32"/>
          <w:szCs w:val="24"/>
          <w:highlight w:val="none"/>
        </w:rPr>
      </w:pPr>
      <w:r>
        <w:rPr>
          <w:rFonts w:hint="eastAsia" w:ascii="方正仿宋_GB2312" w:hAnsi="方正仿宋_GB2312" w:eastAsia="方正仿宋_GB2312" w:cs="方正仿宋_GB2312"/>
          <w:b/>
          <w:color w:val="000000" w:themeColor="text1"/>
          <w:sz w:val="32"/>
          <w:szCs w:val="24"/>
          <w:highlight w:val="none"/>
          <w:lang w:bidi="ar"/>
        </w:rPr>
        <w:t xml:space="preserve">2026年</w:t>
      </w:r>
      <w:r>
        <w:rPr>
          <w:rFonts w:hint="eastAsia" w:ascii="方正仿宋_GB2312" w:hAnsi="方正仿宋_GB2312" w:eastAsia="方正仿宋_GB2312" w:cs="方正仿宋_GB2312"/>
          <w:b/>
          <w:color w:val="000000" w:themeColor="text1"/>
          <w:sz w:val="32"/>
          <w:szCs w:val="24"/>
          <w:highlight w:val="none"/>
          <w:lang w:val="en-US" w:eastAsia="zh-CN" w:bidi="ar"/>
        </w:rPr>
        <w:t xml:space="preserve">5</w:t>
      </w:r>
      <w:r>
        <w:rPr>
          <w:rFonts w:hint="eastAsia" w:ascii="方正仿宋_GB2312" w:hAnsi="方正仿宋_GB2312" w:eastAsia="方正仿宋_GB2312" w:cs="方正仿宋_GB2312"/>
          <w:b/>
          <w:color w:val="000000" w:themeColor="text1"/>
          <w:sz w:val="32"/>
          <w:szCs w:val="24"/>
          <w:highlight w:val="none"/>
          <w:lang w:bidi="ar"/>
        </w:rPr>
        <w:t xml:space="preserve">月</w:t>
      </w:r>
      <w:r>
        <w:rPr>
          <w:rFonts w:hint="eastAsia" w:ascii="方正仿宋_GB2312" w:hAnsi="方正仿宋_GB2312" w:eastAsia="方正仿宋_GB2312" w:cs="方正仿宋_GB2312"/>
          <w:b/>
          <w:color w:val="000000" w:themeColor="text1"/>
          <w:sz w:val="32"/>
          <w:szCs w:val="24"/>
          <w:highlight w:val="none"/>
          <w:lang w:val="en-US" w:eastAsia="zh-CN" w:bidi="ar"/>
        </w:rPr>
        <w:t xml:space="preserve">27</w:t>
      </w:r>
      <w:r>
        <w:rPr>
          <w:rFonts w:hint="eastAsia" w:ascii="方正仿宋_GB2312" w:hAnsi="方正仿宋_GB2312" w:eastAsia="方正仿宋_GB2312" w:cs="方正仿宋_GB2312"/>
          <w:b/>
          <w:color w:val="000000" w:themeColor="text1"/>
          <w:sz w:val="32"/>
          <w:szCs w:val="24"/>
          <w:highlight w:val="none"/>
          <w:lang w:bidi="ar"/>
        </w:rPr>
        <w:t xml:space="preserve">日</w:t>
      </w:r>
      <w:r>
        <w:rPr>
          <w:rFonts w:hint="eastAsia" w:ascii="方正仿宋_GB2312" w:hAnsi="方正仿宋_GB2312" w:eastAsia="方正仿宋_GB2312" w:cs="方正仿宋_GB2312"/>
          <w:b/>
          <w:color w:val="000000" w:themeColor="text1"/>
          <w:sz w:val="32"/>
          <w:szCs w:val="24"/>
          <w:highlight w:val="none"/>
        </w:rPr>
      </w:r>
      <w:r>
        <w:rPr>
          <w:color w:val="000000" w:themeColor="text1"/>
        </w:rPr>
      </w:r>
    </w:p>
    <w:p>
      <w:pPr>
        <w:pStyle w:val="799"/>
        <w:jc w:val="center"/>
        <w:spacing w:before="120" w:after="120" w:line="360" w:lineRule="auto"/>
        <w:rPr>
          <w:rFonts w:hint="eastAsia" w:ascii="方正仿宋_GB2312" w:hAnsi="方正仿宋_GB2312" w:eastAsia="方正仿宋_GB2312" w:cs="方正仿宋_GB2312"/>
          <w:b/>
          <w:color w:val="000000" w:themeColor="text1"/>
          <w:sz w:val="32"/>
          <w:szCs w:val="24"/>
          <w:highlight w:val="none"/>
        </w:rPr>
      </w:pPr>
      <w:r>
        <w:rPr>
          <w:rFonts w:hint="eastAsia" w:ascii="方正仿宋_GB2312" w:hAnsi="方正仿宋_GB2312" w:eastAsia="方正仿宋_GB2312" w:cs="方正仿宋_GB2312"/>
          <w:b/>
          <w:color w:val="000000" w:themeColor="text1"/>
          <w:sz w:val="32"/>
          <w:szCs w:val="24"/>
          <w:highlight w:val="none"/>
        </w:rPr>
      </w:r>
      <w:r>
        <w:rPr>
          <w:color w:val="000000" w:themeColor="text1"/>
        </w:rPr>
      </w:r>
    </w:p>
    <w:p>
      <w:pPr>
        <w:pStyle w:val="799"/>
        <w:jc w:val="center"/>
        <w:keepLines/>
        <w:keepNext/>
        <w:pageBreakBefore/>
        <w:spacing w:before="300" w:after="300"/>
        <w:rPr>
          <w:rFonts w:hint="eastAsia" w:ascii="方正仿宋_GB2312" w:hAnsi="方正仿宋_GB2312" w:eastAsia="方正仿宋_GB2312" w:cs="方正仿宋_GB2312"/>
          <w:b/>
          <w:color w:val="000000" w:themeColor="text1"/>
          <w:sz w:val="44"/>
          <w:szCs w:val="44"/>
          <w:highlight w:val="none"/>
        </w:rPr>
      </w:pPr>
      <w:r>
        <w:rPr>
          <w:rFonts w:hint="eastAsia" w:ascii="方正仿宋_GB2312" w:hAnsi="方正仿宋_GB2312" w:eastAsia="方正仿宋_GB2312" w:cs="方正仿宋_GB2312"/>
          <w:b/>
          <w:color w:val="000000" w:themeColor="text1"/>
          <w:sz w:val="44"/>
          <w:szCs w:val="44"/>
          <w:highlight w:val="none"/>
        </w:rPr>
        <w:t xml:space="preserve">目 录</w:t>
      </w:r>
      <w:r>
        <w:rPr>
          <w:rFonts w:hint="eastAsia" w:ascii="方正仿宋_GB2312" w:hAnsi="方正仿宋_GB2312" w:eastAsia="方正仿宋_GB2312" w:cs="方正仿宋_GB2312"/>
          <w:b/>
          <w:color w:val="000000" w:themeColor="text1"/>
          <w:sz w:val="44"/>
          <w:szCs w:val="44"/>
          <w:highlight w:val="none"/>
        </w:rPr>
      </w:r>
      <w:r>
        <w:rPr>
          <w:color w:val="000000" w:themeColor="text1"/>
        </w:rPr>
      </w:r>
    </w:p>
    <w:p>
      <w:pPr>
        <w:pStyle w:val="811"/>
        <w:keepLines w:val="0"/>
        <w:keepNext w:val="0"/>
        <w:pageBreakBefore w:val="0"/>
        <w:spacing w:after="0" w:line="700" w:lineRule="exact"/>
        <w:widowControl w:val="off"/>
        <w:tabs>
          <w:tab w:val="right" w:pos="9185" w:leader="dot"/>
        </w:tabs>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fldChar w:fldCharType="begin"/>
      </w:r>
      <w:r>
        <w:rPr>
          <w:rFonts w:hint="eastAsia" w:ascii="方正仿宋_GB2312" w:hAnsi="方正仿宋_GB2312" w:eastAsia="方正仿宋_GB2312" w:cs="方正仿宋_GB2312"/>
          <w:color w:val="000000" w:themeColor="text1"/>
          <w:sz w:val="32"/>
          <w:szCs w:val="32"/>
          <w:highlight w:val="none"/>
        </w:rPr>
        <w:instrText xml:space="preserve">TOC \o "1-1" \u </w:instrText>
      </w:r>
      <w:r>
        <w:rPr>
          <w:rFonts w:hint="eastAsia" w:ascii="方正仿宋_GB2312" w:hAnsi="方正仿宋_GB2312" w:eastAsia="方正仿宋_GB2312" w:cs="方正仿宋_GB2312"/>
          <w:color w:val="000000" w:themeColor="text1"/>
          <w:sz w:val="32"/>
          <w:szCs w:val="32"/>
          <w:highlight w:val="none"/>
        </w:rPr>
        <w:fldChar w:fldCharType="separate"/>
      </w:r>
      <w:r>
        <w:rPr>
          <w:rFonts w:hint="eastAsia" w:ascii="方正仿宋_GB2312" w:hAnsi="方正仿宋_GB2312" w:eastAsia="方正仿宋_GB2312" w:cs="方正仿宋_GB2312"/>
          <w:color w:val="000000" w:themeColor="text1"/>
          <w:sz w:val="32"/>
          <w:szCs w:val="32"/>
          <w:highlight w:val="none"/>
        </w:rPr>
        <w:t xml:space="preserve">第一章  投标邀请</w:t>
      </w:r>
      <w:r>
        <w:rPr>
          <w:rFonts w:hint="eastAsia" w:ascii="方正仿宋_GB2312" w:hAnsi="方正仿宋_GB2312" w:eastAsia="方正仿宋_GB2312" w:cs="方正仿宋_GB2312"/>
          <w:color w:val="000000" w:themeColor="text1"/>
          <w:sz w:val="32"/>
          <w:szCs w:val="32"/>
          <w:highlight w:val="none"/>
        </w:rPr>
        <w:tab/>
      </w:r>
      <w:r>
        <w:rPr>
          <w:rFonts w:hint="eastAsia" w:ascii="方正仿宋_GB2312" w:hAnsi="方正仿宋_GB2312" w:eastAsia="方正仿宋_GB2312" w:cs="方正仿宋_GB2312"/>
          <w:color w:val="000000" w:themeColor="text1"/>
          <w:sz w:val="32"/>
          <w:szCs w:val="32"/>
          <w:highlight w:val="none"/>
        </w:rPr>
        <w:fldChar w:fldCharType="begin"/>
      </w:r>
      <w:r>
        <w:rPr>
          <w:rFonts w:hint="eastAsia" w:ascii="方正仿宋_GB2312" w:hAnsi="方正仿宋_GB2312" w:eastAsia="方正仿宋_GB2312" w:cs="方正仿宋_GB2312"/>
          <w:color w:val="000000" w:themeColor="text1"/>
          <w:sz w:val="32"/>
          <w:szCs w:val="32"/>
          <w:highlight w:val="none"/>
        </w:rPr>
        <w:instrText xml:space="preserve"> PAGEREF _Toc24725 \h </w:instrText>
      </w:r>
      <w:r>
        <w:rPr>
          <w:rFonts w:hint="eastAsia" w:ascii="方正仿宋_GB2312" w:hAnsi="方正仿宋_GB2312" w:eastAsia="方正仿宋_GB2312" w:cs="方正仿宋_GB2312"/>
          <w:color w:val="000000" w:themeColor="text1"/>
          <w:sz w:val="32"/>
          <w:szCs w:val="32"/>
          <w:highlight w:val="none"/>
        </w:rPr>
        <w:fldChar w:fldCharType="separate"/>
      </w:r>
      <w:r>
        <w:rPr>
          <w:rFonts w:hint="eastAsia" w:ascii="方正仿宋_GB2312" w:hAnsi="方正仿宋_GB2312" w:eastAsia="方正仿宋_GB2312" w:cs="方正仿宋_GB2312"/>
          <w:color w:val="000000" w:themeColor="text1"/>
          <w:sz w:val="32"/>
          <w:szCs w:val="32"/>
          <w:highlight w:val="none"/>
        </w:rPr>
        <w:t xml:space="preserve">3</w:t>
      </w:r>
      <w:r>
        <w:rPr>
          <w:rFonts w:hint="eastAsia" w:ascii="方正仿宋_GB2312" w:hAnsi="方正仿宋_GB2312" w:eastAsia="方正仿宋_GB2312" w:cs="方正仿宋_GB2312"/>
          <w:color w:val="000000" w:themeColor="text1"/>
          <w:sz w:val="32"/>
          <w:szCs w:val="32"/>
          <w:highlight w:val="none"/>
        </w:rPr>
        <w:fldChar w:fldCharType="end"/>
      </w:r>
      <w:r>
        <w:rPr>
          <w:rFonts w:hint="eastAsia" w:ascii="方正仿宋_GB2312" w:hAnsi="方正仿宋_GB2312" w:eastAsia="方正仿宋_GB2312" w:cs="方正仿宋_GB2312"/>
          <w:color w:val="000000" w:themeColor="text1"/>
          <w:sz w:val="32"/>
          <w:szCs w:val="32"/>
          <w:highlight w:val="none"/>
        </w:rPr>
      </w:r>
      <w:r>
        <w:rPr>
          <w:color w:val="000000" w:themeColor="text1"/>
        </w:rPr>
      </w:r>
    </w:p>
    <w:p>
      <w:pPr>
        <w:pStyle w:val="811"/>
        <w:keepLines w:val="0"/>
        <w:keepNext w:val="0"/>
        <w:pageBreakBefore w:val="0"/>
        <w:spacing w:line="700" w:lineRule="exact"/>
        <w:widowControl w:val="off"/>
        <w:tabs>
          <w:tab w:val="right" w:pos="9185" w:leader="dot"/>
        </w:tabs>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第二章  投标人须知</w:t>
      </w:r>
      <w:r>
        <w:rPr>
          <w:rFonts w:hint="eastAsia" w:ascii="方正仿宋_GB2312" w:hAnsi="方正仿宋_GB2312" w:eastAsia="方正仿宋_GB2312" w:cs="方正仿宋_GB2312"/>
          <w:color w:val="000000" w:themeColor="text1"/>
          <w:sz w:val="32"/>
          <w:szCs w:val="32"/>
          <w:highlight w:val="none"/>
        </w:rPr>
        <w:tab/>
      </w:r>
      <w:r>
        <w:rPr>
          <w:rFonts w:hint="eastAsia" w:ascii="方正仿宋_GB2312" w:hAnsi="方正仿宋_GB2312" w:eastAsia="方正仿宋_GB2312" w:cs="方正仿宋_GB2312"/>
          <w:color w:val="000000" w:themeColor="text1"/>
          <w:sz w:val="32"/>
          <w:szCs w:val="32"/>
          <w:highlight w:val="none"/>
        </w:rPr>
        <w:fldChar w:fldCharType="begin"/>
      </w:r>
      <w:r>
        <w:rPr>
          <w:rFonts w:hint="eastAsia" w:ascii="方正仿宋_GB2312" w:hAnsi="方正仿宋_GB2312" w:eastAsia="方正仿宋_GB2312" w:cs="方正仿宋_GB2312"/>
          <w:color w:val="000000" w:themeColor="text1"/>
          <w:sz w:val="32"/>
          <w:szCs w:val="32"/>
          <w:highlight w:val="none"/>
        </w:rPr>
        <w:instrText xml:space="preserve"> PAGEREF _Toc26923 \h </w:instrText>
      </w:r>
      <w:r>
        <w:rPr>
          <w:rFonts w:hint="eastAsia" w:ascii="方正仿宋_GB2312" w:hAnsi="方正仿宋_GB2312" w:eastAsia="方正仿宋_GB2312" w:cs="方正仿宋_GB2312"/>
          <w:color w:val="000000" w:themeColor="text1"/>
          <w:sz w:val="32"/>
          <w:szCs w:val="32"/>
          <w:highlight w:val="none"/>
        </w:rPr>
        <w:fldChar w:fldCharType="separate"/>
      </w:r>
      <w:r>
        <w:rPr>
          <w:rFonts w:hint="eastAsia" w:ascii="方正仿宋_GB2312" w:hAnsi="方正仿宋_GB2312" w:eastAsia="方正仿宋_GB2312" w:cs="方正仿宋_GB2312"/>
          <w:color w:val="000000" w:themeColor="text1"/>
          <w:sz w:val="32"/>
          <w:szCs w:val="32"/>
          <w:highlight w:val="none"/>
        </w:rPr>
        <w:t xml:space="preserve">6</w:t>
      </w:r>
      <w:r>
        <w:rPr>
          <w:rFonts w:hint="eastAsia" w:ascii="方正仿宋_GB2312" w:hAnsi="方正仿宋_GB2312" w:eastAsia="方正仿宋_GB2312" w:cs="方正仿宋_GB2312"/>
          <w:color w:val="000000" w:themeColor="text1"/>
          <w:sz w:val="32"/>
          <w:szCs w:val="32"/>
          <w:highlight w:val="none"/>
        </w:rPr>
        <w:fldChar w:fldCharType="end"/>
      </w:r>
      <w:r>
        <w:rPr>
          <w:rFonts w:hint="eastAsia" w:ascii="方正仿宋_GB2312" w:hAnsi="方正仿宋_GB2312" w:eastAsia="方正仿宋_GB2312" w:cs="方正仿宋_GB2312"/>
          <w:color w:val="000000" w:themeColor="text1"/>
          <w:sz w:val="32"/>
          <w:szCs w:val="32"/>
          <w:highlight w:val="none"/>
        </w:rPr>
      </w:r>
      <w:r>
        <w:rPr>
          <w:color w:val="000000" w:themeColor="text1"/>
        </w:rPr>
      </w:r>
    </w:p>
    <w:p>
      <w:pPr>
        <w:pStyle w:val="811"/>
        <w:keepLines w:val="0"/>
        <w:keepNext w:val="0"/>
        <w:pageBreakBefore w:val="0"/>
        <w:spacing w:line="700" w:lineRule="exact"/>
        <w:widowControl w:val="off"/>
        <w:tabs>
          <w:tab w:val="right" w:pos="9185" w:leader="dot"/>
        </w:tabs>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第三章  资格审查及评标方法</w:t>
      </w:r>
      <w:r>
        <w:rPr>
          <w:rFonts w:hint="eastAsia" w:ascii="方正仿宋_GB2312" w:hAnsi="方正仿宋_GB2312" w:eastAsia="方正仿宋_GB2312" w:cs="方正仿宋_GB2312"/>
          <w:color w:val="000000" w:themeColor="text1"/>
          <w:sz w:val="32"/>
          <w:szCs w:val="32"/>
          <w:highlight w:val="none"/>
        </w:rPr>
        <w:tab/>
      </w:r>
      <w:r>
        <w:rPr>
          <w:rFonts w:hint="eastAsia" w:ascii="方正仿宋_GB2312" w:hAnsi="方正仿宋_GB2312" w:eastAsia="方正仿宋_GB2312" w:cs="方正仿宋_GB2312"/>
          <w:color w:val="000000" w:themeColor="text1"/>
          <w:sz w:val="32"/>
          <w:szCs w:val="32"/>
          <w:highlight w:val="none"/>
        </w:rPr>
        <w:fldChar w:fldCharType="begin"/>
      </w:r>
      <w:r>
        <w:rPr>
          <w:rFonts w:hint="eastAsia" w:ascii="方正仿宋_GB2312" w:hAnsi="方正仿宋_GB2312" w:eastAsia="方正仿宋_GB2312" w:cs="方正仿宋_GB2312"/>
          <w:color w:val="000000" w:themeColor="text1"/>
          <w:sz w:val="32"/>
          <w:szCs w:val="32"/>
          <w:highlight w:val="none"/>
        </w:rPr>
        <w:instrText xml:space="preserve"> PAGEREF _Toc27899 \h </w:instrText>
      </w:r>
      <w:r>
        <w:rPr>
          <w:rFonts w:hint="eastAsia" w:ascii="方正仿宋_GB2312" w:hAnsi="方正仿宋_GB2312" w:eastAsia="方正仿宋_GB2312" w:cs="方正仿宋_GB2312"/>
          <w:color w:val="000000" w:themeColor="text1"/>
          <w:sz w:val="32"/>
          <w:szCs w:val="32"/>
          <w:highlight w:val="none"/>
        </w:rPr>
        <w:fldChar w:fldCharType="separate"/>
      </w:r>
      <w:r>
        <w:rPr>
          <w:rFonts w:hint="eastAsia" w:ascii="方正仿宋_GB2312" w:hAnsi="方正仿宋_GB2312" w:eastAsia="方正仿宋_GB2312" w:cs="方正仿宋_GB2312"/>
          <w:color w:val="000000" w:themeColor="text1"/>
          <w:sz w:val="32"/>
          <w:szCs w:val="32"/>
          <w:highlight w:val="none"/>
        </w:rPr>
        <w:t xml:space="preserve">22</w:t>
      </w:r>
      <w:r>
        <w:rPr>
          <w:rFonts w:hint="eastAsia" w:ascii="方正仿宋_GB2312" w:hAnsi="方正仿宋_GB2312" w:eastAsia="方正仿宋_GB2312" w:cs="方正仿宋_GB2312"/>
          <w:color w:val="000000" w:themeColor="text1"/>
          <w:sz w:val="32"/>
          <w:szCs w:val="32"/>
          <w:highlight w:val="none"/>
        </w:rPr>
        <w:fldChar w:fldCharType="end"/>
      </w:r>
      <w:r>
        <w:rPr>
          <w:rFonts w:hint="eastAsia" w:ascii="方正仿宋_GB2312" w:hAnsi="方正仿宋_GB2312" w:eastAsia="方正仿宋_GB2312" w:cs="方正仿宋_GB2312"/>
          <w:color w:val="000000" w:themeColor="text1"/>
          <w:sz w:val="32"/>
          <w:szCs w:val="32"/>
          <w:highlight w:val="none"/>
        </w:rPr>
      </w:r>
      <w:r>
        <w:rPr>
          <w:color w:val="000000" w:themeColor="text1"/>
        </w:rPr>
      </w:r>
    </w:p>
    <w:p>
      <w:pPr>
        <w:pStyle w:val="811"/>
        <w:keepLines w:val="0"/>
        <w:keepNext w:val="0"/>
        <w:pageBreakBefore w:val="0"/>
        <w:spacing w:line="700" w:lineRule="exact"/>
        <w:widowControl w:val="off"/>
        <w:tabs>
          <w:tab w:val="right" w:pos="9185" w:leader="dot"/>
        </w:tabs>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第四章  采购需求</w:t>
      </w:r>
      <w:r>
        <w:rPr>
          <w:rFonts w:hint="eastAsia" w:ascii="方正仿宋_GB2312" w:hAnsi="方正仿宋_GB2312" w:eastAsia="方正仿宋_GB2312" w:cs="方正仿宋_GB2312"/>
          <w:color w:val="000000" w:themeColor="text1"/>
          <w:sz w:val="32"/>
          <w:szCs w:val="32"/>
          <w:highlight w:val="none"/>
        </w:rPr>
        <w:tab/>
      </w:r>
      <w:r>
        <w:rPr>
          <w:rFonts w:hint="eastAsia" w:ascii="方正仿宋_GB2312" w:hAnsi="方正仿宋_GB2312" w:eastAsia="方正仿宋_GB2312" w:cs="方正仿宋_GB2312"/>
          <w:color w:val="000000" w:themeColor="text1"/>
          <w:sz w:val="32"/>
          <w:szCs w:val="32"/>
          <w:highlight w:val="none"/>
        </w:rPr>
        <w:fldChar w:fldCharType="begin"/>
      </w:r>
      <w:r>
        <w:rPr>
          <w:rFonts w:hint="eastAsia" w:ascii="方正仿宋_GB2312" w:hAnsi="方正仿宋_GB2312" w:eastAsia="方正仿宋_GB2312" w:cs="方正仿宋_GB2312"/>
          <w:color w:val="000000" w:themeColor="text1"/>
          <w:sz w:val="32"/>
          <w:szCs w:val="32"/>
          <w:highlight w:val="none"/>
        </w:rPr>
        <w:instrText xml:space="preserve"> PAGEREF _Toc2628 \h </w:instrText>
      </w:r>
      <w:r>
        <w:rPr>
          <w:rFonts w:hint="eastAsia" w:ascii="方正仿宋_GB2312" w:hAnsi="方正仿宋_GB2312" w:eastAsia="方正仿宋_GB2312" w:cs="方正仿宋_GB2312"/>
          <w:color w:val="000000" w:themeColor="text1"/>
          <w:sz w:val="32"/>
          <w:szCs w:val="32"/>
          <w:highlight w:val="none"/>
        </w:rPr>
        <w:fldChar w:fldCharType="separate"/>
      </w:r>
      <w:r>
        <w:rPr>
          <w:rFonts w:hint="eastAsia" w:ascii="方正仿宋_GB2312" w:hAnsi="方正仿宋_GB2312" w:eastAsia="方正仿宋_GB2312" w:cs="方正仿宋_GB2312"/>
          <w:color w:val="000000" w:themeColor="text1"/>
          <w:sz w:val="32"/>
          <w:szCs w:val="32"/>
          <w:highlight w:val="none"/>
        </w:rPr>
        <w:t xml:space="preserve">26</w:t>
      </w:r>
      <w:r>
        <w:rPr>
          <w:rFonts w:hint="eastAsia" w:ascii="方正仿宋_GB2312" w:hAnsi="方正仿宋_GB2312" w:eastAsia="方正仿宋_GB2312" w:cs="方正仿宋_GB2312"/>
          <w:color w:val="000000" w:themeColor="text1"/>
          <w:sz w:val="32"/>
          <w:szCs w:val="32"/>
          <w:highlight w:val="none"/>
        </w:rPr>
        <w:fldChar w:fldCharType="end"/>
      </w:r>
      <w:r>
        <w:rPr>
          <w:rFonts w:hint="eastAsia" w:ascii="方正仿宋_GB2312" w:hAnsi="方正仿宋_GB2312" w:eastAsia="方正仿宋_GB2312" w:cs="方正仿宋_GB2312"/>
          <w:color w:val="000000" w:themeColor="text1"/>
          <w:sz w:val="32"/>
          <w:szCs w:val="32"/>
          <w:highlight w:val="none"/>
        </w:rPr>
      </w:r>
      <w:r>
        <w:rPr>
          <w:color w:val="000000" w:themeColor="text1"/>
        </w:rPr>
      </w:r>
    </w:p>
    <w:p>
      <w:pPr>
        <w:pStyle w:val="811"/>
        <w:keepLines w:val="0"/>
        <w:keepNext w:val="0"/>
        <w:pageBreakBefore w:val="0"/>
        <w:spacing w:line="700" w:lineRule="exact"/>
        <w:widowControl w:val="off"/>
        <w:tabs>
          <w:tab w:val="right" w:pos="9185" w:leader="dot"/>
        </w:tabs>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第五章  合同文本</w:t>
      </w:r>
      <w:r>
        <w:rPr>
          <w:rFonts w:hint="eastAsia" w:ascii="方正仿宋_GB2312" w:hAnsi="方正仿宋_GB2312" w:eastAsia="方正仿宋_GB2312" w:cs="方正仿宋_GB2312"/>
          <w:color w:val="000000" w:themeColor="text1"/>
          <w:sz w:val="32"/>
          <w:szCs w:val="32"/>
          <w:highlight w:val="none"/>
        </w:rPr>
        <w:tab/>
      </w:r>
      <w:r>
        <w:rPr>
          <w:rFonts w:hint="eastAsia" w:ascii="方正仿宋_GB2312" w:hAnsi="方正仿宋_GB2312" w:eastAsia="方正仿宋_GB2312" w:cs="方正仿宋_GB2312"/>
          <w:color w:val="000000" w:themeColor="text1"/>
          <w:sz w:val="32"/>
          <w:szCs w:val="32"/>
          <w:highlight w:val="none"/>
        </w:rPr>
        <w:fldChar w:fldCharType="begin"/>
      </w:r>
      <w:r>
        <w:rPr>
          <w:rFonts w:hint="eastAsia" w:ascii="方正仿宋_GB2312" w:hAnsi="方正仿宋_GB2312" w:eastAsia="方正仿宋_GB2312" w:cs="方正仿宋_GB2312"/>
          <w:color w:val="000000" w:themeColor="text1"/>
          <w:sz w:val="32"/>
          <w:szCs w:val="32"/>
          <w:highlight w:val="none"/>
        </w:rPr>
        <w:instrText xml:space="preserve"> PAGEREF _Toc29672 \h </w:instrText>
      </w:r>
      <w:r>
        <w:rPr>
          <w:rFonts w:hint="eastAsia" w:ascii="方正仿宋_GB2312" w:hAnsi="方正仿宋_GB2312" w:eastAsia="方正仿宋_GB2312" w:cs="方正仿宋_GB2312"/>
          <w:color w:val="000000" w:themeColor="text1"/>
          <w:sz w:val="32"/>
          <w:szCs w:val="32"/>
          <w:highlight w:val="none"/>
        </w:rPr>
        <w:fldChar w:fldCharType="separate"/>
      </w:r>
      <w:r>
        <w:rPr>
          <w:rFonts w:hint="eastAsia" w:ascii="方正仿宋_GB2312" w:hAnsi="方正仿宋_GB2312" w:eastAsia="方正仿宋_GB2312" w:cs="方正仿宋_GB2312"/>
          <w:color w:val="000000" w:themeColor="text1"/>
          <w:sz w:val="32"/>
          <w:szCs w:val="32"/>
          <w:highlight w:val="none"/>
        </w:rPr>
        <w:t xml:space="preserve">86</w:t>
      </w:r>
      <w:r>
        <w:rPr>
          <w:rFonts w:hint="eastAsia" w:ascii="方正仿宋_GB2312" w:hAnsi="方正仿宋_GB2312" w:eastAsia="方正仿宋_GB2312" w:cs="方正仿宋_GB2312"/>
          <w:color w:val="000000" w:themeColor="text1"/>
          <w:sz w:val="32"/>
          <w:szCs w:val="32"/>
          <w:highlight w:val="none"/>
        </w:rPr>
        <w:fldChar w:fldCharType="end"/>
      </w:r>
      <w:r>
        <w:rPr>
          <w:rFonts w:hint="eastAsia" w:ascii="方正仿宋_GB2312" w:hAnsi="方正仿宋_GB2312" w:eastAsia="方正仿宋_GB2312" w:cs="方正仿宋_GB2312"/>
          <w:color w:val="000000" w:themeColor="text1"/>
          <w:sz w:val="32"/>
          <w:szCs w:val="32"/>
          <w:highlight w:val="none"/>
        </w:rPr>
      </w:r>
      <w:r>
        <w:rPr>
          <w:color w:val="000000" w:themeColor="text1"/>
        </w:rPr>
      </w:r>
    </w:p>
    <w:p>
      <w:pPr>
        <w:pStyle w:val="811"/>
        <w:keepLines w:val="0"/>
        <w:keepNext w:val="0"/>
        <w:pageBreakBefore w:val="0"/>
        <w:spacing w:line="700" w:lineRule="exact"/>
        <w:widowControl w:val="off"/>
        <w:tabs>
          <w:tab w:val="right" w:pos="9185" w:leader="dot"/>
        </w:tabs>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第六章  投标文件格式</w:t>
      </w:r>
      <w:r>
        <w:rPr>
          <w:rFonts w:hint="eastAsia" w:ascii="方正仿宋_GB2312" w:hAnsi="方正仿宋_GB2312" w:eastAsia="方正仿宋_GB2312" w:cs="方正仿宋_GB2312"/>
          <w:color w:val="000000" w:themeColor="text1"/>
          <w:sz w:val="32"/>
          <w:szCs w:val="32"/>
          <w:highlight w:val="none"/>
        </w:rPr>
        <w:tab/>
      </w:r>
      <w:r>
        <w:rPr>
          <w:rFonts w:hint="eastAsia" w:ascii="方正仿宋_GB2312" w:hAnsi="方正仿宋_GB2312" w:eastAsia="方正仿宋_GB2312" w:cs="方正仿宋_GB2312"/>
          <w:color w:val="000000" w:themeColor="text1"/>
          <w:sz w:val="32"/>
          <w:szCs w:val="32"/>
          <w:highlight w:val="none"/>
        </w:rPr>
        <w:fldChar w:fldCharType="begin"/>
      </w:r>
      <w:r>
        <w:rPr>
          <w:rFonts w:hint="eastAsia" w:ascii="方正仿宋_GB2312" w:hAnsi="方正仿宋_GB2312" w:eastAsia="方正仿宋_GB2312" w:cs="方正仿宋_GB2312"/>
          <w:color w:val="000000" w:themeColor="text1"/>
          <w:sz w:val="32"/>
          <w:szCs w:val="32"/>
          <w:highlight w:val="none"/>
        </w:rPr>
        <w:instrText xml:space="preserve"> PAGEREF _Toc32626 \h </w:instrText>
      </w:r>
      <w:r>
        <w:rPr>
          <w:rFonts w:hint="eastAsia" w:ascii="方正仿宋_GB2312" w:hAnsi="方正仿宋_GB2312" w:eastAsia="方正仿宋_GB2312" w:cs="方正仿宋_GB2312"/>
          <w:color w:val="000000" w:themeColor="text1"/>
          <w:sz w:val="32"/>
          <w:szCs w:val="32"/>
          <w:highlight w:val="none"/>
        </w:rPr>
        <w:fldChar w:fldCharType="separate"/>
      </w:r>
      <w:r>
        <w:rPr>
          <w:rFonts w:hint="eastAsia" w:ascii="方正仿宋_GB2312" w:hAnsi="方正仿宋_GB2312" w:eastAsia="方正仿宋_GB2312" w:cs="方正仿宋_GB2312"/>
          <w:color w:val="000000" w:themeColor="text1"/>
          <w:sz w:val="32"/>
          <w:szCs w:val="32"/>
          <w:highlight w:val="none"/>
        </w:rPr>
        <w:t xml:space="preserve">87</w:t>
      </w:r>
      <w:r>
        <w:rPr>
          <w:rFonts w:hint="eastAsia" w:ascii="方正仿宋_GB2312" w:hAnsi="方正仿宋_GB2312" w:eastAsia="方正仿宋_GB2312" w:cs="方正仿宋_GB2312"/>
          <w:color w:val="000000" w:themeColor="text1"/>
          <w:sz w:val="32"/>
          <w:szCs w:val="32"/>
          <w:highlight w:val="none"/>
        </w:rPr>
        <w:fldChar w:fldCharType="end"/>
      </w:r>
      <w:r>
        <w:rPr>
          <w:rFonts w:hint="eastAsia" w:ascii="方正仿宋_GB2312" w:hAnsi="方正仿宋_GB2312" w:eastAsia="方正仿宋_GB2312" w:cs="方正仿宋_GB2312"/>
          <w:color w:val="000000" w:themeColor="text1"/>
          <w:sz w:val="32"/>
          <w:szCs w:val="32"/>
          <w:highlight w:val="none"/>
        </w:rPr>
      </w:r>
      <w:r>
        <w:rPr>
          <w:color w:val="000000" w:themeColor="text1"/>
        </w:rPr>
      </w:r>
    </w:p>
    <w:p>
      <w:pPr>
        <w:pStyle w:val="799"/>
        <w:keepLines w:val="0"/>
        <w:keepNext w:val="0"/>
        <w:pageBreakBefore w:val="0"/>
        <w:spacing w:line="700" w:lineRule="exact"/>
        <w:widowControl w:val="off"/>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sz w:val="32"/>
          <w:szCs w:val="32"/>
          <w:highlight w:val="none"/>
        </w:rPr>
        <w:fldChar w:fldCharType="end"/>
      </w:r>
      <w:r>
        <w:rPr>
          <w:rFonts w:hint="eastAsia" w:ascii="方正仿宋_GB2312" w:hAnsi="方正仿宋_GB2312" w:eastAsia="方正仿宋_GB2312" w:cs="方正仿宋_GB2312"/>
          <w:color w:val="000000" w:themeColor="text1"/>
          <w:highlight w:val="none"/>
        </w:rPr>
      </w:r>
      <w:r>
        <w:rPr>
          <w:color w:val="000000" w:themeColor="text1"/>
        </w:rPr>
      </w:r>
    </w:p>
    <w:p>
      <w:pPr>
        <w:pStyle w:val="799"/>
        <w:jc w:val="center"/>
        <w:keepLines/>
        <w:keepNext/>
        <w:pageBreakBefore/>
        <w:rPr>
          <w:rFonts w:hint="eastAsia" w:ascii="方正仿宋_GB2312" w:hAnsi="方正仿宋_GB2312" w:eastAsia="方正仿宋_GB2312" w:cs="方正仿宋_GB2312"/>
          <w:b/>
          <w:color w:val="000000" w:themeColor="text1"/>
          <w:sz w:val="44"/>
          <w:szCs w:val="44"/>
          <w:highlight w:val="none"/>
        </w:rPr>
        <w:sectPr>
          <w:headerReference w:type="default" r:id="rId9"/>
          <w:footerReference w:type="default" r:id="rId11"/>
          <w:footerReference w:type="first" r:id="rId12"/>
          <w:footnotePr/>
          <w:endnotePr/>
          <w:type w:val="continuous"/>
          <w:pgSz w:w="11907" w:h="16840" w:orient="portrait"/>
          <w:pgMar w:top="1474" w:right="1304" w:bottom="1474" w:left="1418" w:header="851" w:footer="851" w:gutter="0"/>
          <w:cols w:num="1" w:sep="0" w:space="1701" w:equalWidth="1"/>
          <w:docGrid w:linePitch="360"/>
        </w:sectPr>
        <w:outlineLvl w:val="0"/>
      </w:pPr>
      <w:r>
        <w:rPr>
          <w:color w:val="000000" w:themeColor="text1"/>
        </w:rPr>
      </w:r>
      <w:bookmarkStart w:id="1" w:name="_Toc81575152"/>
      <w:r>
        <w:rPr>
          <w:color w:val="000000" w:themeColor="text1"/>
        </w:rPr>
      </w:r>
      <w:bookmarkStart w:id="2" w:name="_Toc81575189"/>
      <w:r>
        <w:rPr>
          <w:rFonts w:hint="eastAsia" w:ascii="方正仿宋_GB2312" w:hAnsi="方正仿宋_GB2312" w:eastAsia="方正仿宋_GB2312" w:cs="方正仿宋_GB2312"/>
          <w:b/>
          <w:color w:val="000000" w:themeColor="text1"/>
          <w:sz w:val="44"/>
          <w:szCs w:val="44"/>
          <w:highlight w:val="none"/>
        </w:rPr>
        <w:br w:type="page" w:clear="all"/>
      </w:r>
      <w:r>
        <w:rPr>
          <w:color w:val="000000" w:themeColor="text1"/>
        </w:rPr>
      </w:r>
    </w:p>
    <w:p>
      <w:pPr>
        <w:pStyle w:val="848"/>
        <w:jc w:val="center"/>
        <w:spacing w:before="200"/>
        <w:rPr>
          <w:rFonts w:hint="eastAsia" w:ascii="方正仿宋_GB2312" w:hAnsi="方正仿宋_GB2312" w:eastAsia="方正仿宋_GB2312" w:cs="方正仿宋_GB2312"/>
          <w:b/>
          <w:bCs/>
          <w:color w:val="000000" w:themeColor="text1"/>
          <w:sz w:val="44"/>
          <w:highlight w:val="none"/>
        </w:rPr>
      </w:pPr>
      <w:r>
        <w:rPr>
          <w:color w:val="000000" w:themeColor="text1"/>
        </w:rPr>
      </w:r>
      <w:bookmarkStart w:id="3" w:name="_Toc12738"/>
      <w:r>
        <w:rPr>
          <w:color w:val="000000" w:themeColor="text1"/>
        </w:rPr>
      </w:r>
      <w:bookmarkStart w:id="4" w:name="_Toc30943"/>
      <w:r>
        <w:rPr>
          <w:color w:val="000000" w:themeColor="text1"/>
        </w:rPr>
      </w:r>
      <w:bookmarkStart w:id="5" w:name="_Toc25722"/>
      <w:r>
        <w:rPr>
          <w:color w:val="000000" w:themeColor="text1"/>
        </w:rPr>
      </w:r>
      <w:bookmarkStart w:id="6" w:name="_Toc24725"/>
      <w:r>
        <w:rPr>
          <w:rFonts w:hint="eastAsia" w:ascii="方正仿宋_GB2312" w:hAnsi="方正仿宋_GB2312" w:eastAsia="方正仿宋_GB2312" w:cs="方正仿宋_GB2312"/>
          <w:b/>
          <w:bCs/>
          <w:color w:val="000000" w:themeColor="text1"/>
          <w:sz w:val="44"/>
          <w:highlight w:val="none"/>
        </w:rPr>
        <w:t xml:space="preserve">第一章  投标邀请</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End w:id="6"/>
      <w:r>
        <w:rPr>
          <w:rFonts w:hint="eastAsia" w:ascii="方正仿宋_GB2312" w:hAnsi="方正仿宋_GB2312" w:eastAsia="方正仿宋_GB2312" w:cs="方正仿宋_GB2312"/>
          <w:b/>
          <w:bCs/>
          <w:color w:val="000000" w:themeColor="text1"/>
          <w:sz w:val="4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受</w:t>
      </w:r>
      <w:r>
        <w:rPr>
          <w:rFonts w:hint="eastAsia" w:ascii="方正仿宋_GB2312" w:hAnsi="方正仿宋_GB2312" w:eastAsia="方正仿宋_GB2312" w:cs="方正仿宋_GB2312"/>
          <w:color w:val="000000" w:themeColor="text1"/>
          <w:sz w:val="24"/>
          <w:szCs w:val="24"/>
          <w:highlight w:val="none"/>
          <w:u w:val="single"/>
          <w:lang w:eastAsia="zh-CN"/>
        </w:rPr>
        <w:t xml:space="preserve">苏州宿迁工业园区规划建设与城市管理局</w:t>
      </w:r>
      <w:r>
        <w:rPr>
          <w:rFonts w:hint="eastAsia" w:ascii="方正仿宋_GB2312" w:hAnsi="方正仿宋_GB2312" w:eastAsia="方正仿宋_GB2312" w:cs="方正仿宋_GB2312"/>
          <w:color w:val="000000" w:themeColor="text1"/>
          <w:sz w:val="24"/>
          <w:szCs w:val="24"/>
          <w:highlight w:val="none"/>
        </w:rPr>
        <w:t xml:space="preserve">的委托，</w:t>
      </w:r>
      <w:r>
        <w:rPr>
          <w:rFonts w:hint="eastAsia" w:ascii="方正仿宋_GB2312" w:hAnsi="方正仿宋_GB2312" w:eastAsia="方正仿宋_GB2312" w:cs="方正仿宋_GB2312"/>
          <w:color w:val="000000" w:themeColor="text1"/>
          <w:sz w:val="24"/>
          <w:szCs w:val="24"/>
          <w:highlight w:val="none"/>
          <w:u w:val="single"/>
          <w:lang w:eastAsia="zh-CN"/>
        </w:rPr>
        <w:t xml:space="preserve">江苏宏壮工程项目管理有限公司</w:t>
      </w:r>
      <w:r>
        <w:rPr>
          <w:rFonts w:hint="eastAsia" w:ascii="方正仿宋_GB2312" w:hAnsi="方正仿宋_GB2312" w:eastAsia="方正仿宋_GB2312" w:cs="方正仿宋_GB2312"/>
          <w:color w:val="000000" w:themeColor="text1"/>
          <w:sz w:val="24"/>
          <w:szCs w:val="24"/>
          <w:highlight w:val="none"/>
        </w:rPr>
        <w:t xml:space="preserve">就</w:t>
      </w:r>
      <w:r>
        <w:rPr>
          <w:rFonts w:hint="eastAsia" w:ascii="方正仿宋_GB2312" w:hAnsi="方正仿宋_GB2312" w:eastAsia="方正仿宋_GB2312" w:cs="方正仿宋_GB2312"/>
          <w:color w:val="000000" w:themeColor="text1"/>
          <w:sz w:val="24"/>
          <w:szCs w:val="24"/>
          <w:highlight w:val="none"/>
          <w:u w:val="single"/>
          <w:lang w:eastAsia="zh-CN"/>
        </w:rPr>
        <w:t xml:space="preserve">苏州宿迁工业园区2026-2028年公共绿化养护项目（JSZC-321395-HZJS-G2026-0006）</w:t>
      </w:r>
      <w:r>
        <w:rPr>
          <w:rFonts w:hint="eastAsia" w:ascii="方正仿宋_GB2312" w:hAnsi="方正仿宋_GB2312" w:eastAsia="方正仿宋_GB2312" w:cs="方正仿宋_GB2312"/>
          <w:color w:val="000000" w:themeColor="text1"/>
          <w:sz w:val="24"/>
          <w:szCs w:val="24"/>
          <w:highlight w:val="none"/>
        </w:rPr>
        <w:t xml:space="preserve">进行公开招标采购，欢迎符合条件的投标人投标。</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000000" w:themeColor="text1"/>
          <w:sz w:val="24"/>
          <w:szCs w:val="24"/>
          <w:highlight w:val="none"/>
        </w:rPr>
        <w:t xml:space="preserve">项目概况</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bCs/>
          <w:color w:val="000000" w:themeColor="text1"/>
          <w:sz w:val="24"/>
          <w:szCs w:val="24"/>
          <w:highlight w:val="none"/>
          <w:lang w:eastAsia="zh-CN"/>
        </w:rPr>
        <w:t xml:space="preserve">苏州宿迁工业园区2026-2028年公共绿化养护项目</w:t>
      </w:r>
      <w:r>
        <w:rPr>
          <w:rFonts w:hint="eastAsia" w:ascii="方正仿宋_GB2312" w:hAnsi="方正仿宋_GB2312" w:eastAsia="方正仿宋_GB2312" w:cs="方正仿宋_GB2312"/>
          <w:bCs/>
          <w:color w:val="000000" w:themeColor="text1"/>
          <w:sz w:val="24"/>
          <w:szCs w:val="24"/>
          <w:highlight w:val="none"/>
        </w:rPr>
        <w:t xml:space="preserve">招标</w:t>
      </w:r>
      <w:r>
        <w:rPr>
          <w:rFonts w:hint="eastAsia" w:ascii="方正仿宋_GB2312" w:hAnsi="方正仿宋_GB2312" w:eastAsia="方正仿宋_GB2312" w:cs="方正仿宋_GB2312"/>
          <w:color w:val="000000" w:themeColor="text1"/>
          <w:sz w:val="24"/>
          <w:szCs w:val="24"/>
          <w:highlight w:val="none"/>
        </w:rPr>
        <w:t xml:space="preserve">项目的潜在投标人可在“江苏政府采购网</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u w:val="single"/>
        </w:rPr>
        <w:t xml:space="preserve">宿迁市政府采购网”自行免费</w:t>
      </w:r>
      <w:r>
        <w:rPr>
          <w:rFonts w:hint="eastAsia" w:ascii="方正仿宋_GB2312" w:hAnsi="方正仿宋_GB2312" w:eastAsia="方正仿宋_GB2312" w:cs="方正仿宋_GB2312"/>
          <w:color w:val="000000" w:themeColor="text1"/>
          <w:sz w:val="24"/>
          <w:szCs w:val="24"/>
          <w:highlight w:val="none"/>
        </w:rPr>
        <w:t xml:space="preserve">获取招标文件，并于</w:t>
      </w:r>
      <w:r>
        <w:rPr>
          <w:rFonts w:hint="eastAsia" w:ascii="方正仿宋_GB2312" w:hAnsi="方正仿宋_GB2312" w:eastAsia="方正仿宋_GB2312" w:cs="方正仿宋_GB2312"/>
          <w:color w:val="000000" w:themeColor="text1"/>
          <w:sz w:val="24"/>
          <w:szCs w:val="24"/>
          <w:highlight w:val="none"/>
          <w:u w:val="single"/>
        </w:rPr>
        <w:t xml:space="preserve">2026</w:t>
      </w:r>
      <w:r>
        <w:rPr>
          <w:rFonts w:hint="eastAsia" w:ascii="方正仿宋_GB2312" w:hAnsi="方正仿宋_GB2312" w:eastAsia="方正仿宋_GB2312" w:cs="方正仿宋_GB2312"/>
          <w:bCs/>
          <w:color w:val="000000" w:themeColor="text1"/>
          <w:sz w:val="24"/>
          <w:szCs w:val="24"/>
          <w:highlight w:val="none"/>
          <w:u w:val="single"/>
        </w:rPr>
        <w:t xml:space="preserve">年</w:t>
      </w:r>
      <w:r>
        <w:rPr>
          <w:rFonts w:hint="eastAsia" w:ascii="方正仿宋_GB2312" w:hAnsi="方正仿宋_GB2312" w:eastAsia="方正仿宋_GB2312" w:cs="方正仿宋_GB2312"/>
          <w:bCs/>
          <w:color w:val="000000" w:themeColor="text1"/>
          <w:sz w:val="24"/>
          <w:szCs w:val="24"/>
          <w:highlight w:val="none"/>
          <w:u w:val="single"/>
          <w:lang w:val="en-US" w:eastAsia="zh-CN"/>
        </w:rPr>
        <w:t xml:space="preserve">6</w:t>
      </w:r>
      <w:r>
        <w:rPr>
          <w:rFonts w:hint="eastAsia" w:ascii="方正仿宋_GB2312" w:hAnsi="方正仿宋_GB2312" w:eastAsia="方正仿宋_GB2312" w:cs="方正仿宋_GB2312"/>
          <w:bCs/>
          <w:color w:val="000000" w:themeColor="text1"/>
          <w:sz w:val="24"/>
          <w:szCs w:val="24"/>
          <w:highlight w:val="none"/>
          <w:u w:val="single"/>
        </w:rPr>
        <w:t xml:space="preserve">月</w:t>
      </w:r>
      <w:r>
        <w:rPr>
          <w:rFonts w:hint="eastAsia" w:ascii="方正仿宋_GB2312" w:hAnsi="方正仿宋_GB2312" w:eastAsia="方正仿宋_GB2312" w:cs="方正仿宋_GB2312"/>
          <w:bCs/>
          <w:color w:val="000000" w:themeColor="text1"/>
          <w:sz w:val="24"/>
          <w:szCs w:val="24"/>
          <w:highlight w:val="none"/>
          <w:u w:val="single"/>
          <w:lang w:val="en-US" w:eastAsia="zh-CN"/>
        </w:rPr>
        <w:t xml:space="preserve">17</w:t>
      </w:r>
      <w:r>
        <w:rPr>
          <w:rFonts w:hint="eastAsia" w:ascii="方正仿宋_GB2312" w:hAnsi="方正仿宋_GB2312" w:eastAsia="方正仿宋_GB2312" w:cs="方正仿宋_GB2312"/>
          <w:bCs/>
          <w:color w:val="000000" w:themeColor="text1"/>
          <w:sz w:val="24"/>
          <w:szCs w:val="24"/>
          <w:highlight w:val="none"/>
          <w:u w:val="single"/>
        </w:rPr>
        <w:t xml:space="preserve">日09点30分（</w:t>
      </w:r>
      <w:r>
        <w:rPr>
          <w:rFonts w:hint="eastAsia" w:ascii="方正仿宋_GB2312" w:hAnsi="方正仿宋_GB2312" w:eastAsia="方正仿宋_GB2312" w:cs="方正仿宋_GB2312"/>
          <w:bCs/>
          <w:color w:val="000000" w:themeColor="text1"/>
          <w:sz w:val="24"/>
          <w:szCs w:val="24"/>
          <w:highlight w:val="none"/>
        </w:rPr>
        <w:t xml:space="preserve">北京时间）前递交投标文件</w:t>
      </w:r>
      <w:r>
        <w:rPr>
          <w:rFonts w:hint="eastAsia" w:ascii="方正仿宋_GB2312" w:hAnsi="方正仿宋_GB2312" w:eastAsia="方正仿宋_GB2312" w:cs="方正仿宋_GB2312"/>
          <w:color w:val="000000" w:themeColor="text1"/>
          <w:sz w:val="24"/>
          <w:szCs w:val="24"/>
          <w:highlight w:val="none"/>
        </w:rPr>
        <w:t xml:space="preserve">。</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849"/>
        <w:ind w:firstLine="683"/>
        <w:spacing w:before="0" w:after="0" w:line="480" w:lineRule="exact"/>
        <w:rPr>
          <w:rFonts w:hint="eastAsia" w:ascii="方正仿宋_GB2312" w:hAnsi="方正仿宋_GB2312" w:eastAsia="方正仿宋_GB2312" w:cs="方正仿宋_GB2312"/>
          <w:b/>
          <w:color w:val="000000" w:themeColor="text1"/>
          <w:highlight w:val="none"/>
        </w:rPr>
      </w:pPr>
      <w:r>
        <w:rPr>
          <w:color w:val="000000" w:themeColor="text1"/>
        </w:rPr>
      </w:r>
      <w:bookmarkStart w:id="7" w:name="_Toc35393790"/>
      <w:r>
        <w:rPr>
          <w:color w:val="000000" w:themeColor="text1"/>
        </w:rPr>
      </w:r>
      <w:bookmarkStart w:id="8" w:name="_Toc38985263"/>
      <w:r>
        <w:rPr>
          <w:color w:val="000000" w:themeColor="text1"/>
        </w:rPr>
      </w:r>
      <w:bookmarkStart w:id="9" w:name="_Toc28359079"/>
      <w:r>
        <w:rPr>
          <w:color w:val="000000" w:themeColor="text1"/>
        </w:rPr>
      </w:r>
      <w:bookmarkStart w:id="10" w:name="_Toc28359002"/>
      <w:r>
        <w:rPr>
          <w:color w:val="000000" w:themeColor="text1"/>
        </w:rPr>
      </w:r>
      <w:bookmarkStart w:id="11" w:name="_Toc35393621"/>
      <w:r>
        <w:rPr>
          <w:color w:val="000000" w:themeColor="text1"/>
        </w:rPr>
      </w:r>
      <w:bookmarkStart w:id="12" w:name="_Toc2584"/>
      <w:r>
        <w:rPr>
          <w:color w:val="000000" w:themeColor="text1"/>
        </w:rPr>
      </w:r>
      <w:bookmarkStart w:id="13" w:name="_Hlk24379207"/>
      <w:r>
        <w:rPr>
          <w:rFonts w:hint="eastAsia" w:ascii="方正仿宋_GB2312" w:hAnsi="方正仿宋_GB2312" w:eastAsia="方正仿宋_GB2312" w:cs="方正仿宋_GB2312"/>
          <w:b/>
          <w:color w:val="000000" w:themeColor="text1"/>
          <w:highlight w:val="none"/>
        </w:rPr>
        <w:t xml:space="preserve">一、项目基本情况</w:t>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bookmarkEnd w:id="12"/>
      <w:r>
        <w:rPr>
          <w:rFonts w:hint="eastAsia" w:ascii="方正仿宋_GB2312" w:hAnsi="方正仿宋_GB2312" w:eastAsia="方正仿宋_GB2312" w:cs="方正仿宋_GB2312"/>
          <w:b/>
          <w:color w:val="000000" w:themeColor="text1"/>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1.项目编号：</w:t>
      </w:r>
      <w:r>
        <w:rPr>
          <w:rFonts w:hint="eastAsia" w:ascii="方正仿宋_GB2312" w:hAnsi="方正仿宋_GB2312" w:eastAsia="方正仿宋_GB2312" w:cs="方正仿宋_GB2312"/>
          <w:color w:val="000000" w:themeColor="text1"/>
          <w:sz w:val="24"/>
          <w:szCs w:val="24"/>
          <w:highlight w:val="none"/>
          <w:lang w:eastAsia="zh-CN"/>
        </w:rPr>
        <w:t xml:space="preserve">JSZC-321395-HZJS-G2026-0006</w:t>
      </w:r>
      <w:r>
        <w:rPr>
          <w:rFonts w:hint="eastAsia" w:ascii="方正仿宋_GB2312" w:hAnsi="方正仿宋_GB2312" w:eastAsia="方正仿宋_GB2312" w:cs="方正仿宋_GB2312"/>
          <w:color w:val="000000" w:themeColor="text1"/>
          <w:sz w:val="24"/>
          <w:szCs w:val="24"/>
          <w:highlight w:val="none"/>
          <w:lang w:eastAsia="zh-CN"/>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2.项目名称：</w:t>
      </w:r>
      <w:bookmarkEnd w:id="13"/>
      <w:r>
        <w:rPr>
          <w:rFonts w:hint="eastAsia" w:ascii="方正仿宋_GB2312" w:hAnsi="方正仿宋_GB2312" w:eastAsia="方正仿宋_GB2312" w:cs="方正仿宋_GB2312"/>
          <w:color w:val="000000" w:themeColor="text1"/>
          <w:sz w:val="24"/>
          <w:szCs w:val="24"/>
          <w:highlight w:val="none"/>
          <w:lang w:eastAsia="zh-CN"/>
        </w:rPr>
        <w:t xml:space="preserve">苏州宿迁工业园区2026-2028年公共绿化养护项目</w:t>
      </w:r>
      <w:r>
        <w:rPr>
          <w:rFonts w:hint="eastAsia" w:ascii="方正仿宋_GB2312" w:hAnsi="方正仿宋_GB2312" w:eastAsia="方正仿宋_GB2312" w:cs="方正仿宋_GB2312"/>
          <w:color w:val="000000" w:themeColor="text1"/>
          <w:sz w:val="24"/>
          <w:szCs w:val="24"/>
          <w:highlight w:val="none"/>
          <w:lang w:eastAsia="zh-CN"/>
        </w:rPr>
      </w:r>
      <w:r>
        <w:rPr>
          <w:color w:val="000000" w:themeColor="text1"/>
        </w:rPr>
      </w:r>
    </w:p>
    <w:p>
      <w:pPr>
        <w:pStyle w:val="799"/>
        <w:ind w:firstLine="480"/>
        <w:spacing w:line="480" w:lineRule="exact"/>
        <w:rPr>
          <w:rFonts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3.预算金额：</w:t>
      </w:r>
      <w:r>
        <w:rPr>
          <w:rFonts w:hint="eastAsia" w:ascii="方正仿宋_GB2312" w:hAnsi="方正仿宋_GB2312" w:eastAsia="方正仿宋_GB2312" w:cs="方正仿宋_GB2312"/>
          <w:color w:val="000000" w:themeColor="text1"/>
          <w:sz w:val="24"/>
          <w:szCs w:val="24"/>
          <w:highlight w:val="none"/>
          <w:lang w:val="en-US" w:eastAsia="zh-CN"/>
        </w:rPr>
        <w:t xml:space="preserve">1554.6</w:t>
      </w:r>
      <w:r>
        <w:rPr>
          <w:rFonts w:hint="eastAsia" w:ascii="方正仿宋_GB2312" w:hAnsi="方正仿宋_GB2312" w:eastAsia="方正仿宋_GB2312" w:cs="方正仿宋_GB2312"/>
          <w:color w:val="000000" w:themeColor="text1"/>
          <w:sz w:val="24"/>
          <w:szCs w:val="24"/>
          <w:highlight w:val="none"/>
        </w:rPr>
        <w:t xml:space="preserve">万元</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rPr>
        <w:t xml:space="preserve">其中采购包1预算金额793.57万元，采购包2预算金额761.03万元。</w:t>
      </w:r>
      <w:r>
        <w:rPr>
          <w:rFonts w:ascii="方正仿宋_GB2312" w:hAnsi="方正仿宋_GB2312" w:eastAsia="方正仿宋_GB2312" w:cs="方正仿宋_GB2312"/>
          <w:color w:val="000000" w:themeColor="text1"/>
          <w:sz w:val="24"/>
          <w:szCs w:val="24"/>
          <w:highlight w:val="none"/>
          <w:lang w:val="en-US" w:eastAsia="zh-CN"/>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4.本项目设定最高限价，最高限价为：</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56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采购包1最高限价：</w:t>
      </w:r>
      <w:r>
        <w:rPr>
          <w:rFonts w:hint="eastAsia" w:ascii="方正仿宋_GB2312" w:hAnsi="方正仿宋_GB2312" w:eastAsia="方正仿宋_GB2312" w:cs="方正仿宋_GB2312"/>
          <w:color w:val="000000" w:themeColor="text1"/>
          <w:sz w:val="24"/>
          <w:szCs w:val="24"/>
          <w:highlight w:val="none"/>
          <w:lang w:val="en-US" w:eastAsia="zh-CN"/>
        </w:rPr>
        <w:t xml:space="preserve">793.57</w:t>
      </w:r>
      <w:r>
        <w:rPr>
          <w:rFonts w:hint="eastAsia" w:ascii="方正仿宋_GB2312" w:hAnsi="方正仿宋_GB2312" w:eastAsia="方正仿宋_GB2312" w:cs="方正仿宋_GB2312"/>
          <w:color w:val="000000" w:themeColor="text1"/>
          <w:sz w:val="24"/>
          <w:szCs w:val="24"/>
          <w:highlight w:val="none"/>
        </w:rPr>
        <w:t xml:space="preserve">万元；</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56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采购包2最高限价：</w:t>
      </w:r>
      <w:r>
        <w:rPr>
          <w:rFonts w:hint="eastAsia" w:ascii="方正仿宋_GB2312" w:hAnsi="方正仿宋_GB2312" w:eastAsia="方正仿宋_GB2312" w:cs="方正仿宋_GB2312"/>
          <w:color w:val="000000" w:themeColor="text1"/>
          <w:sz w:val="24"/>
          <w:szCs w:val="24"/>
          <w:highlight w:val="none"/>
          <w:lang w:val="en-US" w:eastAsia="zh-CN"/>
        </w:rPr>
        <w:t xml:space="preserve">761.03</w:t>
      </w:r>
      <w:r>
        <w:rPr>
          <w:rFonts w:hint="eastAsia" w:ascii="方正仿宋_GB2312" w:hAnsi="方正仿宋_GB2312" w:eastAsia="方正仿宋_GB2312" w:cs="方正仿宋_GB2312"/>
          <w:color w:val="000000" w:themeColor="text1"/>
          <w:sz w:val="24"/>
          <w:szCs w:val="24"/>
          <w:highlight w:val="none"/>
        </w:rPr>
        <w:t xml:space="preserve">万元；</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56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5.</w:t>
      </w:r>
      <w:r>
        <w:rPr>
          <w:rFonts w:hint="eastAsia" w:ascii="方正仿宋_GB2312" w:hAnsi="方正仿宋_GB2312" w:eastAsia="方正仿宋_GB2312" w:cs="方正仿宋_GB2312"/>
          <w:color w:val="000000" w:themeColor="text1"/>
          <w:sz w:val="24"/>
          <w:szCs w:val="24"/>
          <w:highlight w:val="none"/>
        </w:rPr>
        <w:t xml:space="preserve">采购需求（简介）：</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56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采购包1：</w:t>
      </w:r>
      <w:r>
        <w:rPr>
          <w:rFonts w:hint="eastAsia" w:ascii="方正仿宋_GB2312" w:hAnsi="方正仿宋_GB2312" w:eastAsia="方正仿宋_GB2312" w:cs="方正仿宋_GB2312"/>
          <w:color w:val="000000" w:themeColor="text1"/>
          <w:sz w:val="24"/>
          <w:szCs w:val="24"/>
          <w:highlight w:val="none"/>
          <w:lang w:eastAsia="zh-CN"/>
        </w:rPr>
        <w:t xml:space="preserve">苏州宿迁工业园区2026-2028年公共绿化养护项目</w:t>
      </w:r>
      <w:r>
        <w:rPr>
          <w:rFonts w:hint="eastAsia" w:ascii="方正仿宋_GB2312" w:hAnsi="方正仿宋_GB2312" w:eastAsia="方正仿宋_GB2312" w:cs="方正仿宋_GB2312"/>
          <w:b/>
          <w:bCs/>
          <w:color w:val="000000" w:themeColor="text1"/>
          <w:sz w:val="24"/>
          <w:szCs w:val="24"/>
          <w:highlight w:val="none"/>
          <w:lang w:eastAsia="zh-CN"/>
        </w:rPr>
        <w:t xml:space="preserve">（</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商住区）</w:t>
      </w:r>
      <w:r>
        <w:rPr>
          <w:rFonts w:hint="eastAsia" w:ascii="方正仿宋_GB2312" w:hAnsi="方正仿宋_GB2312" w:eastAsia="方正仿宋_GB2312" w:cs="方正仿宋_GB2312"/>
          <w:color w:val="000000" w:themeColor="text1"/>
          <w:sz w:val="24"/>
          <w:szCs w:val="24"/>
          <w:highlight w:val="none"/>
        </w:rPr>
        <w:t xml:space="preserve">；</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56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采购包2：</w:t>
      </w:r>
      <w:r>
        <w:rPr>
          <w:rFonts w:hint="eastAsia" w:ascii="方正仿宋_GB2312" w:hAnsi="方正仿宋_GB2312" w:eastAsia="方正仿宋_GB2312" w:cs="方正仿宋_GB2312"/>
          <w:color w:val="000000" w:themeColor="text1"/>
          <w:sz w:val="24"/>
          <w:szCs w:val="24"/>
          <w:highlight w:val="none"/>
          <w:lang w:eastAsia="zh-CN"/>
        </w:rPr>
        <w:t xml:space="preserve">苏州宿迁工业园区2026-2028年公共绿化养护项目</w:t>
      </w:r>
      <w:r>
        <w:rPr>
          <w:rFonts w:hint="eastAsia" w:ascii="方正仿宋_GB2312" w:hAnsi="方正仿宋_GB2312" w:eastAsia="方正仿宋_GB2312" w:cs="方正仿宋_GB2312"/>
          <w:b/>
          <w:bCs/>
          <w:color w:val="000000" w:themeColor="text1"/>
          <w:sz w:val="24"/>
          <w:szCs w:val="24"/>
          <w:highlight w:val="none"/>
          <w:lang w:eastAsia="zh-CN"/>
        </w:rPr>
        <w:t xml:space="preserve">（</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工业区）</w:t>
      </w:r>
      <w:r>
        <w:rPr>
          <w:rFonts w:hint="eastAsia" w:ascii="方正仿宋_GB2312" w:hAnsi="方正仿宋_GB2312" w:eastAsia="方正仿宋_GB2312" w:cs="方正仿宋_GB2312"/>
          <w:color w:val="000000" w:themeColor="text1"/>
          <w:sz w:val="24"/>
          <w:szCs w:val="24"/>
          <w:highlight w:val="none"/>
        </w:rPr>
        <w:t xml:space="preserve">；</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56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本项目分</w:t>
      </w:r>
      <w:r>
        <w:rPr>
          <w:rFonts w:hint="eastAsia" w:ascii="方正仿宋_GB2312" w:hAnsi="方正仿宋_GB2312" w:eastAsia="方正仿宋_GB2312" w:cs="方正仿宋_GB2312"/>
          <w:color w:val="000000" w:themeColor="text1"/>
          <w:sz w:val="24"/>
          <w:szCs w:val="24"/>
          <w:highlight w:val="none"/>
          <w:lang w:val="en-US" w:eastAsia="zh-CN"/>
        </w:rPr>
        <w:t xml:space="preserve">2</w:t>
      </w:r>
      <w:r>
        <w:rPr>
          <w:rFonts w:hint="eastAsia" w:ascii="方正仿宋_GB2312" w:hAnsi="方正仿宋_GB2312" w:eastAsia="方正仿宋_GB2312" w:cs="方正仿宋_GB2312"/>
          <w:color w:val="000000" w:themeColor="text1"/>
          <w:sz w:val="24"/>
          <w:szCs w:val="24"/>
          <w:highlight w:val="none"/>
        </w:rPr>
        <w:t xml:space="preserve">个采购包：</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560" w:lineRule="exact"/>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开标顺序：先开采购包1，</w:t>
      </w:r>
      <w:r>
        <w:rPr>
          <w:rFonts w:hint="eastAsia" w:ascii="方正仿宋_GB2312" w:hAnsi="方正仿宋_GB2312" w:eastAsia="方正仿宋_GB2312" w:cs="方正仿宋_GB2312"/>
          <w:color w:val="000000" w:themeColor="text1"/>
          <w:sz w:val="24"/>
          <w:szCs w:val="24"/>
          <w:highlight w:val="none"/>
          <w:lang w:val="en-US" w:eastAsia="zh-CN"/>
        </w:rPr>
        <w:t xml:space="preserve">后</w:t>
      </w:r>
      <w:r>
        <w:rPr>
          <w:rFonts w:hint="eastAsia" w:ascii="方正仿宋_GB2312" w:hAnsi="方正仿宋_GB2312" w:eastAsia="方正仿宋_GB2312" w:cs="方正仿宋_GB2312"/>
          <w:color w:val="000000" w:themeColor="text1"/>
          <w:sz w:val="24"/>
          <w:szCs w:val="24"/>
          <w:highlight w:val="none"/>
          <w:lang w:eastAsia="zh-CN"/>
        </w:rPr>
        <w:t xml:space="preserve">开采购包2</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highlight w:val="none"/>
          <w:lang w:eastAsia="zh-CN"/>
        </w:rPr>
      </w:r>
      <w:r>
        <w:rPr>
          <w:color w:val="000000" w:themeColor="text1"/>
        </w:rPr>
      </w:r>
    </w:p>
    <w:p>
      <w:pPr>
        <w:pStyle w:val="799"/>
        <w:ind w:firstLine="480"/>
        <w:spacing w:line="56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定标顺序：同开标顺序；</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56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定标原则：</w:t>
      </w:r>
      <w:r>
        <w:rPr>
          <w:rFonts w:hint="eastAsia" w:ascii="方正仿宋_GB2312" w:hAnsi="方正仿宋_GB2312" w:eastAsia="方正仿宋_GB2312" w:cs="方正仿宋_GB2312"/>
          <w:color w:val="000000" w:themeColor="text1"/>
          <w:sz w:val="24"/>
          <w:szCs w:val="24"/>
          <w:highlight w:val="none"/>
        </w:rPr>
        <w:t xml:space="preserve">每个投标人可以参与全部采购包的投标，但只能中一个采购包，被推荐为第一中标候选人的，可参与</w:t>
      </w:r>
      <w:r>
        <w:rPr>
          <w:rFonts w:hint="eastAsia" w:ascii="方正仿宋_GB2312" w:hAnsi="方正仿宋_GB2312" w:eastAsia="方正仿宋_GB2312" w:cs="方正仿宋_GB2312"/>
          <w:color w:val="000000" w:themeColor="text1"/>
          <w:sz w:val="24"/>
          <w:szCs w:val="24"/>
          <w:highlight w:val="none"/>
          <w:lang w:eastAsia="zh-CN"/>
        </w:rPr>
        <w:t xml:space="preserve">其他</w:t>
      </w:r>
      <w:r>
        <w:rPr>
          <w:rFonts w:hint="eastAsia" w:ascii="方正仿宋_GB2312" w:hAnsi="方正仿宋_GB2312" w:eastAsia="方正仿宋_GB2312" w:cs="方正仿宋_GB2312"/>
          <w:color w:val="000000" w:themeColor="text1"/>
          <w:sz w:val="24"/>
          <w:szCs w:val="24"/>
          <w:highlight w:val="none"/>
        </w:rPr>
        <w:t xml:space="preserve">采购包评审但不得参与</w:t>
      </w:r>
      <w:r>
        <w:rPr>
          <w:rFonts w:hint="eastAsia" w:ascii="方正仿宋_GB2312" w:hAnsi="方正仿宋_GB2312" w:eastAsia="方正仿宋_GB2312" w:cs="方正仿宋_GB2312"/>
          <w:color w:val="000000" w:themeColor="text1"/>
          <w:sz w:val="24"/>
          <w:szCs w:val="24"/>
          <w:highlight w:val="none"/>
          <w:lang w:eastAsia="zh-CN"/>
        </w:rPr>
        <w:t xml:space="preserve">其他</w:t>
      </w:r>
      <w:r>
        <w:rPr>
          <w:rFonts w:hint="eastAsia" w:ascii="方正仿宋_GB2312" w:hAnsi="方正仿宋_GB2312" w:eastAsia="方正仿宋_GB2312" w:cs="方正仿宋_GB2312"/>
          <w:color w:val="000000" w:themeColor="text1"/>
          <w:sz w:val="24"/>
          <w:szCs w:val="24"/>
          <w:highlight w:val="none"/>
        </w:rPr>
        <w:t xml:space="preserve">采购包中标候选人的推荐；</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560" w:lineRule="exact"/>
        <w:rPr>
          <w:rFonts w:hint="eastAsia"/>
          <w:color w:val="000000" w:themeColor="text1"/>
          <w:highlight w:val="none"/>
        </w:rPr>
      </w:pPr>
      <w:r>
        <w:rPr>
          <w:rFonts w:hint="eastAsia" w:ascii="方正仿宋_GB2312" w:hAnsi="方正仿宋_GB2312" w:eastAsia="方正仿宋_GB2312" w:cs="方正仿宋_GB2312"/>
          <w:color w:val="000000" w:themeColor="text1"/>
          <w:sz w:val="24"/>
          <w:szCs w:val="24"/>
          <w:highlight w:val="none"/>
        </w:rPr>
        <w:t xml:space="preserve">评审结束后，若其中一个采购包受到质疑投诉等原因，导致本采购包评审结果改变，但不影响其他采购包的评审。</w:t>
      </w:r>
      <w:r>
        <w:rPr>
          <w:rFonts w:hint="eastAsia"/>
          <w:color w:val="000000" w:themeColor="text1"/>
          <w:highlight w:val="none"/>
          <w:lang w:val="en-US" w:eastAsia="zh-CN"/>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6.合同履行期限：</w:t>
      </w:r>
      <w:r>
        <w:rPr>
          <w:rFonts w:hint="eastAsia" w:ascii="方正仿宋_GB2312" w:hAnsi="方正仿宋_GB2312" w:eastAsia="方正仿宋_GB2312" w:cs="方正仿宋_GB2312"/>
          <w:color w:val="000000" w:themeColor="text1"/>
          <w:sz w:val="24"/>
          <w:szCs w:val="24"/>
          <w:highlight w:val="none"/>
          <w:lang w:val="en-US" w:eastAsia="zh-CN"/>
        </w:rPr>
        <w:t xml:space="preserve">养护期共36个月（实际进场日期以发包方通知为准）。</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本合同采取“一年一签”模式。每期合同期满前，采购人有权对成交供应商在当期合同期内的履约情况进行考核。若供应商在任一合同年度内，累计有3个月（含）以上的月度考核得分低于85分（含85分），则采购人有权决定不再续签下一年度合同，本合同自当期期满之日起自动终止，双方无需另行签订终止协议。】</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7.本项目</w:t>
      </w:r>
      <w:r>
        <w:rPr>
          <w:rFonts w:hint="eastAsia" w:ascii="方正仿宋_GB2312" w:hAnsi="方正仿宋_GB2312" w:eastAsia="方正仿宋_GB2312" w:cs="方正仿宋_GB2312"/>
          <w:color w:val="000000" w:themeColor="text1"/>
          <w:sz w:val="24"/>
          <w:szCs w:val="24"/>
          <w:highlight w:val="none"/>
          <w:u w:val="single"/>
        </w:rPr>
        <w:t xml:space="preserve"> 不接受 </w:t>
      </w:r>
      <w:r>
        <w:rPr>
          <w:rFonts w:hint="eastAsia" w:ascii="方正仿宋_GB2312" w:hAnsi="方正仿宋_GB2312" w:eastAsia="方正仿宋_GB2312" w:cs="方正仿宋_GB2312"/>
          <w:color w:val="000000" w:themeColor="text1"/>
          <w:sz w:val="24"/>
          <w:szCs w:val="24"/>
          <w:highlight w:val="none"/>
        </w:rPr>
        <w:t xml:space="preserve">联合体投标。</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849"/>
        <w:ind w:firstLine="683"/>
        <w:spacing w:before="0" w:after="0" w:line="480" w:lineRule="exact"/>
        <w:rPr>
          <w:rFonts w:hint="eastAsia" w:ascii="方正仿宋_GB2312" w:hAnsi="方正仿宋_GB2312" w:eastAsia="方正仿宋_GB2312" w:cs="方正仿宋_GB2312"/>
          <w:b/>
          <w:color w:val="000000" w:themeColor="text1"/>
          <w:highlight w:val="none"/>
        </w:rPr>
      </w:pPr>
      <w:r>
        <w:rPr>
          <w:color w:val="000000" w:themeColor="text1"/>
        </w:rPr>
      </w:r>
      <w:bookmarkStart w:id="14" w:name="_Toc35393791"/>
      <w:r>
        <w:rPr>
          <w:color w:val="000000" w:themeColor="text1"/>
        </w:rPr>
      </w:r>
      <w:bookmarkStart w:id="15" w:name="_Toc27291"/>
      <w:r>
        <w:rPr>
          <w:color w:val="000000" w:themeColor="text1"/>
        </w:rPr>
      </w:r>
      <w:bookmarkStart w:id="16" w:name="_Toc38985264"/>
      <w:r>
        <w:rPr>
          <w:color w:val="000000" w:themeColor="text1"/>
        </w:rPr>
      </w:r>
      <w:bookmarkStart w:id="17" w:name="_Toc35393622"/>
      <w:r>
        <w:rPr>
          <w:color w:val="000000" w:themeColor="text1"/>
        </w:rPr>
      </w:r>
      <w:bookmarkStart w:id="18" w:name="_Toc28359003"/>
      <w:r>
        <w:rPr>
          <w:color w:val="000000" w:themeColor="text1"/>
        </w:rPr>
      </w:r>
      <w:bookmarkStart w:id="19" w:name="_Toc28359080"/>
      <w:r>
        <w:rPr>
          <w:rFonts w:hint="eastAsia" w:ascii="方正仿宋_GB2312" w:hAnsi="方正仿宋_GB2312" w:eastAsia="方正仿宋_GB2312" w:cs="方正仿宋_GB2312"/>
          <w:b/>
          <w:color w:val="000000" w:themeColor="text1"/>
          <w:highlight w:val="none"/>
        </w:rPr>
        <w:t xml:space="preserve">二、申请人的资格要求</w:t>
      </w:r>
      <w:bookmarkEnd w:id="14"/>
      <w:r>
        <w:rPr>
          <w:color w:val="000000" w:themeColor="text1"/>
        </w:rPr>
      </w:r>
      <w:bookmarkEnd w:id="15"/>
      <w:r>
        <w:rPr>
          <w:color w:val="000000" w:themeColor="text1"/>
        </w:rPr>
      </w:r>
      <w:bookmarkEnd w:id="16"/>
      <w:r>
        <w:rPr>
          <w:color w:val="000000" w:themeColor="text1"/>
        </w:rPr>
      </w:r>
      <w:bookmarkEnd w:id="17"/>
      <w:r>
        <w:rPr>
          <w:color w:val="000000" w:themeColor="text1"/>
        </w:rPr>
      </w:r>
      <w:bookmarkEnd w:id="18"/>
      <w:r>
        <w:rPr>
          <w:color w:val="000000" w:themeColor="text1"/>
        </w:rPr>
      </w:r>
      <w:bookmarkEnd w:id="19"/>
      <w:r>
        <w:rPr>
          <w:rFonts w:hint="eastAsia" w:ascii="方正仿宋_GB2312" w:hAnsi="方正仿宋_GB2312" w:eastAsia="方正仿宋_GB2312" w:cs="方正仿宋_GB2312"/>
          <w:b/>
          <w:color w:val="000000" w:themeColor="text1"/>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color w:val="000000" w:themeColor="text1"/>
        </w:rPr>
      </w:r>
      <w:bookmarkStart w:id="20" w:name="_Toc28359004"/>
      <w:r>
        <w:rPr>
          <w:color w:val="000000" w:themeColor="text1"/>
        </w:rPr>
      </w:r>
      <w:bookmarkStart w:id="21" w:name="_Toc28359081"/>
      <w:r>
        <w:rPr>
          <w:color w:val="000000" w:themeColor="text1"/>
        </w:rPr>
      </w:r>
      <w:bookmarkStart w:id="22" w:name="_Toc35393623"/>
      <w:r>
        <w:rPr>
          <w:color w:val="000000" w:themeColor="text1"/>
        </w:rPr>
      </w:r>
      <w:bookmarkStart w:id="23" w:name="_Toc35393792"/>
      <w:r>
        <w:rPr>
          <w:color w:val="000000" w:themeColor="text1"/>
        </w:rPr>
      </w:r>
      <w:bookmarkStart w:id="24" w:name="_Toc38985265"/>
      <w:r>
        <w:rPr>
          <w:rFonts w:hint="eastAsia" w:ascii="方正仿宋_GB2312" w:hAnsi="方正仿宋_GB2312" w:eastAsia="方正仿宋_GB2312" w:cs="方正仿宋_GB2312"/>
          <w:color w:val="000000" w:themeColor="text1"/>
          <w:sz w:val="24"/>
          <w:szCs w:val="24"/>
          <w:highlight w:val="none"/>
        </w:rPr>
        <w:t xml:space="preserve">（一）通用资格要求</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1.具备《中华人民共和国政府采购法》第二十二条第一款规定的6项条件（按要求提供投标函）。</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3.落实政府采购政策需满足的资格要求：</w:t>
      </w:r>
      <w:r>
        <w:rPr>
          <w:rFonts w:hint="eastAsia" w:ascii="方正仿宋_GB2312" w:hAnsi="方正仿宋_GB2312" w:eastAsia="方正仿宋_GB2312" w:cs="方正仿宋_GB2312"/>
          <w:color w:val="000000" w:themeColor="text1"/>
          <w:sz w:val="24"/>
          <w:szCs w:val="24"/>
          <w:highlight w:val="none"/>
          <w:lang w:val="en-US" w:eastAsia="zh-CN"/>
        </w:rPr>
        <w:t xml:space="preserve">无。</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（二）本项目的特定资格要求：无。</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849"/>
        <w:ind w:firstLine="683"/>
        <w:spacing w:before="0" w:after="0" w:line="480" w:lineRule="exact"/>
        <w:rPr>
          <w:rFonts w:hint="eastAsia" w:ascii="方正仿宋_GB2312" w:hAnsi="方正仿宋_GB2312" w:eastAsia="方正仿宋_GB2312" w:cs="方正仿宋_GB2312"/>
          <w:b/>
          <w:color w:val="000000" w:themeColor="text1"/>
          <w:highlight w:val="none"/>
        </w:rPr>
      </w:pPr>
      <w:r>
        <w:rPr>
          <w:color w:val="000000" w:themeColor="text1"/>
        </w:rPr>
      </w:r>
      <w:bookmarkStart w:id="25" w:name="_Toc22204"/>
      <w:r>
        <w:rPr>
          <w:rFonts w:hint="eastAsia" w:ascii="方正仿宋_GB2312" w:hAnsi="方正仿宋_GB2312" w:eastAsia="方正仿宋_GB2312" w:cs="方正仿宋_GB2312"/>
          <w:b/>
          <w:color w:val="000000" w:themeColor="text1"/>
          <w:highlight w:val="none"/>
        </w:rPr>
        <w:t xml:space="preserve">三、获取招标文件</w:t>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rFonts w:hint="eastAsia" w:ascii="方正仿宋_GB2312" w:hAnsi="方正仿宋_GB2312" w:eastAsia="方正仿宋_GB2312" w:cs="方正仿宋_GB2312"/>
          <w:b/>
          <w:color w:val="000000" w:themeColor="text1"/>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color w:val="000000" w:themeColor="text1"/>
        </w:rPr>
      </w:r>
      <w:bookmarkStart w:id="26" w:name="_Toc28359005"/>
      <w:r>
        <w:rPr>
          <w:color w:val="000000" w:themeColor="text1"/>
        </w:rPr>
      </w:r>
      <w:bookmarkStart w:id="27" w:name="_Toc28359082"/>
      <w:r>
        <w:rPr>
          <w:color w:val="000000" w:themeColor="text1"/>
        </w:rPr>
      </w:r>
      <w:bookmarkStart w:id="28" w:name="_Toc35393793"/>
      <w:r>
        <w:rPr>
          <w:color w:val="000000" w:themeColor="text1"/>
        </w:rPr>
      </w:r>
      <w:bookmarkStart w:id="29" w:name="_Toc38985266"/>
      <w:r>
        <w:rPr>
          <w:color w:val="000000" w:themeColor="text1"/>
        </w:rPr>
      </w:r>
      <w:bookmarkStart w:id="30" w:name="_Toc35393624"/>
      <w:r>
        <w:rPr>
          <w:rFonts w:hint="eastAsia" w:ascii="方正仿宋_GB2312" w:hAnsi="方正仿宋_GB2312" w:eastAsia="方正仿宋_GB2312" w:cs="方正仿宋_GB2312"/>
          <w:color w:val="000000" w:themeColor="text1"/>
          <w:sz w:val="24"/>
          <w:szCs w:val="24"/>
          <w:highlight w:val="none"/>
        </w:rPr>
        <w:t xml:space="preserve">1.时间：招标公告发布之日起5个工作日。</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2.方式：投标人应在招标文件提供的时间内，通过“苏采云”系统（网址： http://jszfcg.jsczt.cn/），使用CA锁登录系统后，找到本项目获取招标文件（后缀名为“.kedt”）。</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color w:val="000000" w:themeColor="text1"/>
        </w:rPr>
      </w:r>
      <w:bookmarkStart w:id="31" w:name="EB0c44ff4da61f4af989d119fe214be450"/>
      <w:r>
        <w:rPr>
          <w:rFonts w:hint="eastAsia" w:ascii="方正仿宋_GB2312" w:hAnsi="方正仿宋_GB2312" w:eastAsia="方正仿宋_GB2312" w:cs="方正仿宋_GB2312"/>
          <w:color w:val="000000" w:themeColor="text1"/>
          <w:sz w:val="24"/>
          <w:szCs w:val="24"/>
          <w:highlight w:val="none"/>
        </w:rPr>
        <w:t xml:space="preserve">3.</w:t>
      </w:r>
      <w:r>
        <w:rPr>
          <w:rFonts w:hint="eastAsia" w:ascii="方正仿宋_GB2312" w:hAnsi="方正仿宋_GB2312" w:eastAsia="方正仿宋_GB2312" w:cs="方正仿宋_GB2312"/>
          <w:b/>
          <w:bCs/>
          <w:color w:val="000000" w:themeColor="text1"/>
          <w:sz w:val="24"/>
          <w:szCs w:val="24"/>
          <w:highlight w:val="none"/>
        </w:rPr>
        <w:t xml:space="preserve">本项目共分</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两</w:t>
      </w:r>
      <w:r>
        <w:rPr>
          <w:rFonts w:hint="eastAsia" w:ascii="方正仿宋_GB2312" w:hAnsi="方正仿宋_GB2312" w:eastAsia="方正仿宋_GB2312" w:cs="方正仿宋_GB2312"/>
          <w:b/>
          <w:bCs/>
          <w:color w:val="000000" w:themeColor="text1"/>
          <w:sz w:val="24"/>
          <w:szCs w:val="24"/>
          <w:highlight w:val="none"/>
        </w:rPr>
        <w:t xml:space="preserve">个采购包。</w:t>
      </w:r>
      <w:r>
        <w:rPr>
          <w:rFonts w:hint="eastAsia" w:ascii="方正仿宋_GB2312" w:hAnsi="方正仿宋_GB2312" w:eastAsia="方正仿宋_GB2312" w:cs="方正仿宋_GB2312"/>
          <w:color w:val="000000" w:themeColor="text1"/>
          <w:sz w:val="24"/>
          <w:szCs w:val="24"/>
          <w:highlight w:val="none"/>
        </w:rPr>
        <w:t xml:space="preserve">投标人参与多个采购包投标的，</w:t>
      </w:r>
      <w:bookmarkEnd w:id="31"/>
      <w:r>
        <w:rPr>
          <w:rFonts w:hint="eastAsia" w:ascii="方正仿宋_GB2312" w:hAnsi="方正仿宋_GB2312" w:eastAsia="方正仿宋_GB2312" w:cs="方正仿宋_GB2312"/>
          <w:color w:val="000000" w:themeColor="text1"/>
          <w:sz w:val="24"/>
          <w:szCs w:val="24"/>
          <w:highlight w:val="none"/>
        </w:rPr>
        <w:t xml:space="preserve">应按采购包分别上传对应投标文件。否则，后果自负。</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849"/>
        <w:ind w:firstLine="683"/>
        <w:spacing w:before="0" w:after="0" w:line="480" w:lineRule="exact"/>
        <w:rPr>
          <w:rFonts w:hint="eastAsia" w:ascii="方正仿宋_GB2312" w:hAnsi="方正仿宋_GB2312" w:eastAsia="方正仿宋_GB2312" w:cs="方正仿宋_GB2312"/>
          <w:b/>
          <w:color w:val="000000" w:themeColor="text1"/>
          <w:highlight w:val="none"/>
        </w:rPr>
      </w:pPr>
      <w:r>
        <w:rPr>
          <w:color w:val="000000" w:themeColor="text1"/>
        </w:rPr>
      </w:r>
      <w:bookmarkStart w:id="32" w:name="_Toc19148"/>
      <w:r>
        <w:rPr>
          <w:rFonts w:hint="eastAsia" w:ascii="方正仿宋_GB2312" w:hAnsi="方正仿宋_GB2312" w:eastAsia="方正仿宋_GB2312" w:cs="方正仿宋_GB2312"/>
          <w:b/>
          <w:color w:val="000000" w:themeColor="text1"/>
          <w:highlight w:val="none"/>
        </w:rPr>
        <w:t xml:space="preserve">四、提交投标文件</w:t>
      </w:r>
      <w:bookmarkEnd w:id="26"/>
      <w:r>
        <w:rPr>
          <w:color w:val="000000" w:themeColor="text1"/>
        </w:rPr>
      </w:r>
      <w:bookmarkEnd w:id="27"/>
      <w:r>
        <w:rPr>
          <w:rFonts w:hint="eastAsia" w:ascii="方正仿宋_GB2312" w:hAnsi="方正仿宋_GB2312" w:eastAsia="方正仿宋_GB2312" w:cs="方正仿宋_GB2312"/>
          <w:b/>
          <w:color w:val="000000" w:themeColor="text1"/>
          <w:highlight w:val="none"/>
        </w:rPr>
        <w:t xml:space="preserve">截止时间、开标时间和地点</w:t>
      </w:r>
      <w:bookmarkEnd w:id="28"/>
      <w:r>
        <w:rPr>
          <w:color w:val="000000" w:themeColor="text1"/>
        </w:rPr>
      </w:r>
      <w:bookmarkEnd w:id="29"/>
      <w:r>
        <w:rPr>
          <w:color w:val="000000" w:themeColor="text1"/>
        </w:rPr>
      </w:r>
      <w:bookmarkEnd w:id="30"/>
      <w:r>
        <w:rPr>
          <w:color w:val="000000" w:themeColor="text1"/>
        </w:rPr>
      </w:r>
      <w:bookmarkEnd w:id="32"/>
      <w:r>
        <w:rPr>
          <w:rFonts w:hint="eastAsia" w:ascii="方正仿宋_GB2312" w:hAnsi="方正仿宋_GB2312" w:eastAsia="方正仿宋_GB2312" w:cs="方正仿宋_GB2312"/>
          <w:b/>
          <w:color w:val="000000" w:themeColor="text1"/>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1.提交投标文件截止时间、开标时间：2026年</w:t>
      </w:r>
      <w:r>
        <w:rPr>
          <w:rFonts w:hint="eastAsia" w:ascii="方正仿宋_GB2312" w:hAnsi="方正仿宋_GB2312" w:eastAsia="方正仿宋_GB2312" w:cs="方正仿宋_GB2312"/>
          <w:color w:val="000000" w:themeColor="text1"/>
          <w:sz w:val="24"/>
          <w:szCs w:val="24"/>
          <w:highlight w:val="none"/>
          <w:lang w:val="en-US" w:eastAsia="zh-CN"/>
        </w:rPr>
        <w:t xml:space="preserve">6</w:t>
      </w:r>
      <w:r>
        <w:rPr>
          <w:rFonts w:hint="eastAsia" w:ascii="方正仿宋_GB2312" w:hAnsi="方正仿宋_GB2312" w:eastAsia="方正仿宋_GB2312" w:cs="方正仿宋_GB2312"/>
          <w:color w:val="000000" w:themeColor="text1"/>
          <w:sz w:val="24"/>
          <w:szCs w:val="24"/>
          <w:highlight w:val="none"/>
        </w:rPr>
        <w:t xml:space="preserve">月</w:t>
      </w:r>
      <w:r>
        <w:rPr>
          <w:rFonts w:hint="eastAsia" w:ascii="方正仿宋_GB2312" w:hAnsi="方正仿宋_GB2312" w:eastAsia="方正仿宋_GB2312" w:cs="方正仿宋_GB2312"/>
          <w:color w:val="000000" w:themeColor="text1"/>
          <w:sz w:val="24"/>
          <w:szCs w:val="24"/>
          <w:highlight w:val="none"/>
          <w:lang w:val="en-US" w:eastAsia="zh-CN"/>
        </w:rPr>
        <w:t xml:space="preserve">17</w:t>
      </w:r>
      <w:r>
        <w:rPr>
          <w:rFonts w:hint="eastAsia" w:ascii="方正仿宋_GB2312" w:hAnsi="方正仿宋_GB2312" w:eastAsia="方正仿宋_GB2312" w:cs="方正仿宋_GB2312"/>
          <w:color w:val="000000" w:themeColor="text1"/>
          <w:sz w:val="24"/>
          <w:szCs w:val="24"/>
          <w:highlight w:val="none"/>
        </w:rPr>
        <w:t xml:space="preserve">日09点30分（北京时间）</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2.地点：“苏采云”政府采购交易系统网上开标大厅。</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849"/>
        <w:ind w:firstLine="683"/>
        <w:spacing w:before="0" w:after="0" w:line="480" w:lineRule="exact"/>
        <w:rPr>
          <w:rFonts w:hint="eastAsia" w:ascii="方正仿宋_GB2312" w:hAnsi="方正仿宋_GB2312" w:eastAsia="方正仿宋_GB2312" w:cs="方正仿宋_GB2312"/>
          <w:b/>
          <w:color w:val="000000" w:themeColor="text1"/>
          <w:highlight w:val="none"/>
        </w:rPr>
      </w:pPr>
      <w:r>
        <w:rPr>
          <w:color w:val="000000" w:themeColor="text1"/>
        </w:rPr>
      </w:r>
      <w:bookmarkStart w:id="33" w:name="_Toc35393794"/>
      <w:r>
        <w:rPr>
          <w:color w:val="000000" w:themeColor="text1"/>
        </w:rPr>
      </w:r>
      <w:bookmarkStart w:id="34" w:name="_Toc28359084"/>
      <w:r>
        <w:rPr>
          <w:color w:val="000000" w:themeColor="text1"/>
        </w:rPr>
      </w:r>
      <w:bookmarkStart w:id="35" w:name="_Toc35393625"/>
      <w:r>
        <w:rPr>
          <w:color w:val="000000" w:themeColor="text1"/>
        </w:rPr>
      </w:r>
      <w:bookmarkStart w:id="36" w:name="_Toc28359007"/>
      <w:r>
        <w:rPr>
          <w:color w:val="000000" w:themeColor="text1"/>
        </w:rPr>
      </w:r>
      <w:bookmarkStart w:id="37" w:name="_Toc38985267"/>
      <w:r>
        <w:rPr>
          <w:color w:val="000000" w:themeColor="text1"/>
        </w:rPr>
      </w:r>
      <w:bookmarkStart w:id="38" w:name="_Toc24820"/>
      <w:r>
        <w:rPr>
          <w:rFonts w:hint="eastAsia" w:ascii="方正仿宋_GB2312" w:hAnsi="方正仿宋_GB2312" w:eastAsia="方正仿宋_GB2312" w:cs="方正仿宋_GB2312"/>
          <w:b/>
          <w:color w:val="000000" w:themeColor="text1"/>
          <w:highlight w:val="none"/>
        </w:rPr>
        <w:t xml:space="preserve">五、公告期限</w:t>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bookmarkEnd w:id="37"/>
      <w:r>
        <w:rPr>
          <w:color w:val="000000" w:themeColor="text1"/>
        </w:rPr>
      </w:r>
      <w:bookmarkEnd w:id="38"/>
      <w:r>
        <w:rPr>
          <w:rFonts w:hint="eastAsia" w:ascii="方正仿宋_GB2312" w:hAnsi="方正仿宋_GB2312" w:eastAsia="方正仿宋_GB2312" w:cs="方正仿宋_GB2312"/>
          <w:b/>
          <w:color w:val="000000" w:themeColor="text1"/>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color w:val="000000" w:themeColor="text1"/>
        </w:rPr>
      </w:r>
      <w:bookmarkStart w:id="39" w:name="_Toc38985268"/>
      <w:r>
        <w:rPr>
          <w:color w:val="000000" w:themeColor="text1"/>
        </w:rPr>
      </w:r>
      <w:bookmarkStart w:id="40" w:name="_Toc35393626"/>
      <w:r>
        <w:rPr>
          <w:color w:val="000000" w:themeColor="text1"/>
        </w:rPr>
      </w:r>
      <w:bookmarkStart w:id="41" w:name="_Toc35393795"/>
      <w:r>
        <w:rPr>
          <w:rFonts w:hint="eastAsia" w:ascii="方正仿宋_GB2312" w:hAnsi="方正仿宋_GB2312" w:eastAsia="方正仿宋_GB2312" w:cs="方正仿宋_GB2312"/>
          <w:color w:val="000000" w:themeColor="text1"/>
          <w:sz w:val="24"/>
          <w:szCs w:val="24"/>
          <w:highlight w:val="none"/>
        </w:rPr>
        <w:t xml:space="preserve">招标公告及招标文件公告期限为自本公告发布之日起5个工作日。</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849"/>
        <w:ind w:firstLine="683"/>
        <w:spacing w:before="0" w:after="0" w:line="480" w:lineRule="exact"/>
        <w:rPr>
          <w:rFonts w:hint="eastAsia" w:ascii="方正仿宋_GB2312" w:hAnsi="方正仿宋_GB2312" w:eastAsia="方正仿宋_GB2312" w:cs="方正仿宋_GB2312"/>
          <w:b/>
          <w:color w:val="000000" w:themeColor="text1"/>
          <w:highlight w:val="none"/>
        </w:rPr>
      </w:pPr>
      <w:r>
        <w:rPr>
          <w:color w:val="000000" w:themeColor="text1"/>
        </w:rPr>
      </w:r>
      <w:bookmarkStart w:id="42" w:name="_Toc13415"/>
      <w:r>
        <w:rPr>
          <w:rFonts w:hint="eastAsia" w:ascii="方正仿宋_GB2312" w:hAnsi="方正仿宋_GB2312" w:eastAsia="方正仿宋_GB2312" w:cs="方正仿宋_GB2312"/>
          <w:b/>
          <w:color w:val="000000" w:themeColor="text1"/>
          <w:highlight w:val="none"/>
        </w:rPr>
        <w:t xml:space="preserve">六、其他补充事宜</w:t>
      </w:r>
      <w:bookmarkEnd w:id="39"/>
      <w:r>
        <w:rPr>
          <w:color w:val="000000" w:themeColor="text1"/>
        </w:rPr>
      </w:r>
      <w:bookmarkEnd w:id="40"/>
      <w:r>
        <w:rPr>
          <w:color w:val="000000" w:themeColor="text1"/>
        </w:rPr>
      </w:r>
      <w:bookmarkEnd w:id="41"/>
      <w:r>
        <w:rPr>
          <w:color w:val="000000" w:themeColor="text1"/>
        </w:rPr>
      </w:r>
      <w:bookmarkEnd w:id="42"/>
      <w:r>
        <w:rPr>
          <w:rFonts w:hint="eastAsia" w:ascii="方正仿宋_GB2312" w:hAnsi="方正仿宋_GB2312" w:eastAsia="方正仿宋_GB2312" w:cs="方正仿宋_GB2312"/>
          <w:b/>
          <w:color w:val="000000" w:themeColor="text1"/>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color w:val="000000" w:themeColor="text1"/>
        </w:rPr>
      </w:r>
      <w:bookmarkStart w:id="43" w:name="_Toc35393796"/>
      <w:r>
        <w:rPr>
          <w:color w:val="000000" w:themeColor="text1"/>
        </w:rPr>
      </w:r>
      <w:bookmarkStart w:id="44" w:name="_Toc35393627"/>
      <w:r>
        <w:rPr>
          <w:color w:val="000000" w:themeColor="text1"/>
        </w:rPr>
      </w:r>
      <w:bookmarkStart w:id="45" w:name="_Toc28359008"/>
      <w:r>
        <w:rPr>
          <w:color w:val="000000" w:themeColor="text1"/>
        </w:rPr>
      </w:r>
      <w:bookmarkStart w:id="46" w:name="_Toc28359085"/>
      <w:r>
        <w:rPr>
          <w:color w:val="000000" w:themeColor="text1"/>
        </w:rPr>
      </w:r>
      <w:bookmarkStart w:id="47" w:name="_Toc38985269"/>
      <w:r>
        <w:rPr>
          <w:color w:val="000000" w:themeColor="text1"/>
        </w:rPr>
      </w:r>
      <w:bookmarkStart w:id="48" w:name="EB64e1f522fd8c43fcb4d3ba471386b3e7"/>
      <w:r>
        <w:rPr>
          <w:rFonts w:hint="eastAsia" w:ascii="方正仿宋_GB2312" w:hAnsi="方正仿宋_GB2312" w:eastAsia="方正仿宋_GB2312" w:cs="方正仿宋_GB2312"/>
          <w:color w:val="000000" w:themeColor="text1"/>
          <w:sz w:val="24"/>
          <w:szCs w:val="24"/>
          <w:highlight w:val="none"/>
        </w:rPr>
        <w:t xml:space="preserve">1.招标公告发布媒体：</w:t>
      </w:r>
      <w:bookmarkStart w:id="49" w:name="OLE_LINK3"/>
      <w:r>
        <w:rPr>
          <w:rFonts w:hint="eastAsia" w:ascii="方正仿宋_GB2312" w:hAnsi="方正仿宋_GB2312" w:eastAsia="方正仿宋_GB2312" w:cs="方正仿宋_GB2312"/>
          <w:color w:val="000000" w:themeColor="text1"/>
          <w:sz w:val="24"/>
          <w:szCs w:val="24"/>
          <w:highlight w:val="none"/>
        </w:rPr>
        <w:t xml:space="preserve">江苏政府采购网</w:t>
      </w:r>
      <w:bookmarkEnd w:id="49"/>
      <w:r>
        <w:rPr>
          <w:rFonts w:hint="eastAsia" w:ascii="方正仿宋_GB2312" w:hAnsi="方正仿宋_GB2312" w:eastAsia="方正仿宋_GB2312" w:cs="方正仿宋_GB2312"/>
          <w:color w:val="000000" w:themeColor="text1"/>
          <w:sz w:val="24"/>
          <w:szCs w:val="24"/>
          <w:highlight w:val="none"/>
        </w:rPr>
        <w:t xml:space="preserve">、宿迁市政府采购网等。</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方正仿宋_GB2312" w:hAnsi="方正仿宋_GB2312" w:eastAsia="方正仿宋_GB2312" w:cs="方正仿宋_GB2312"/>
          <w:color w:val="000000" w:themeColor="text1"/>
          <w:sz w:val="24"/>
          <w:szCs w:val="24"/>
          <w:highlight w:val="none"/>
          <w:lang w:val="en-US" w:eastAsia="zh-CN"/>
        </w:rPr>
        <w:t xml:space="preserve">18351098172</w:t>
      </w:r>
      <w:r>
        <w:rPr>
          <w:rFonts w:hint="eastAsia" w:ascii="方正仿宋_GB2312" w:hAnsi="方正仿宋_GB2312" w:eastAsia="方正仿宋_GB2312" w:cs="方正仿宋_GB2312"/>
          <w:color w:val="000000" w:themeColor="text1"/>
          <w:sz w:val="24"/>
          <w:szCs w:val="24"/>
          <w:highlight w:val="none"/>
        </w:rPr>
        <w:t xml:space="preserve">。</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3.宿迁地区“苏采云”系统技术支持客服电话：0527-84363067、0519-86722806。</w:t>
      </w:r>
      <w:bookmarkEnd w:id="48"/>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color w:val="000000" w:themeColor="text1"/>
        </w:rPr>
      </w:r>
      <w:bookmarkStart w:id="50" w:name="_Toc29049"/>
      <w:r>
        <w:rPr>
          <w:rFonts w:hint="eastAsia" w:ascii="方正仿宋_GB2312" w:hAnsi="方正仿宋_GB2312" w:eastAsia="方正仿宋_GB2312" w:cs="方正仿宋_GB2312"/>
          <w:color w:val="000000" w:themeColor="text1"/>
          <w:sz w:val="24"/>
          <w:szCs w:val="24"/>
          <w:highlight w:val="none"/>
        </w:rPr>
        <w:t xml:space="preserve">4.</w:t>
      </w:r>
      <w:r>
        <w:rPr>
          <w:rFonts w:hint="eastAsia" w:ascii="方正仿宋_GB2312" w:hAnsi="方正仿宋_GB2312" w:eastAsia="方正仿宋_GB2312" w:cs="方正仿宋_GB2312"/>
          <w:color w:val="000000" w:themeColor="text1"/>
          <w:sz w:val="24"/>
          <w:highlight w:val="none"/>
        </w:rPr>
        <w:t xml:space="preserve">质疑渠道：投标人登录“苏采云”系统“项目质疑申请”模块向采购人提出，质疑处理联系方式详见“采购人信息”；</w:t>
      </w:r>
      <w:r>
        <w:rPr>
          <w:rFonts w:hint="eastAsia" w:ascii="方正仿宋_GB2312" w:hAnsi="方正仿宋_GB2312" w:eastAsia="方正仿宋_GB2312" w:cs="方正仿宋_GB2312"/>
          <w:color w:val="000000" w:themeColor="text1"/>
          <w:sz w:val="24"/>
          <w:szCs w:val="24"/>
          <w:highlight w:val="none"/>
        </w:rPr>
        <w:t xml:space="preserve">财政部门投诉受理电话：0527-84363063。</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849"/>
        <w:ind w:firstLine="683"/>
        <w:spacing w:before="0" w:after="0" w:line="480" w:lineRule="exact"/>
        <w:rPr>
          <w:rFonts w:hint="eastAsia" w:ascii="方正仿宋_GB2312" w:hAnsi="方正仿宋_GB2312" w:eastAsia="方正仿宋_GB2312" w:cs="方正仿宋_GB2312"/>
          <w:b/>
          <w:color w:val="000000" w:themeColor="text1"/>
          <w:highlight w:val="none"/>
        </w:rPr>
      </w:pPr>
      <w:r>
        <w:rPr>
          <w:rFonts w:hint="eastAsia" w:ascii="方正仿宋_GB2312" w:hAnsi="方正仿宋_GB2312" w:eastAsia="方正仿宋_GB2312" w:cs="方正仿宋_GB2312"/>
          <w:b/>
          <w:color w:val="000000" w:themeColor="text1"/>
          <w:highlight w:val="none"/>
        </w:rPr>
        <w:t xml:space="preserve">七、本次招标联系方式</w:t>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50"/>
      <w:r>
        <w:rPr>
          <w:rFonts w:hint="eastAsia" w:ascii="方正仿宋_GB2312" w:hAnsi="方正仿宋_GB2312" w:eastAsia="方正仿宋_GB2312" w:cs="方正仿宋_GB2312"/>
          <w:b/>
          <w:color w:val="000000" w:themeColor="text1"/>
          <w:highlight w:val="none"/>
        </w:rPr>
      </w:r>
      <w:r>
        <w:rPr>
          <w:color w:val="000000" w:themeColor="text1"/>
        </w:rPr>
      </w:r>
    </w:p>
    <w:p>
      <w:pPr>
        <w:pStyle w:val="799"/>
        <w:ind w:firstLine="480"/>
        <w:jc w:val="left"/>
        <w:spacing w:line="480" w:lineRule="exact"/>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1.采购人信息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color w:val="000000" w:themeColor="text1"/>
        </w:rPr>
      </w:r>
      <w:bookmarkStart w:id="51" w:name="_Toc28359009"/>
      <w:r>
        <w:rPr>
          <w:color w:val="000000" w:themeColor="text1"/>
        </w:rPr>
      </w:r>
      <w:bookmarkStart w:id="52" w:name="_Toc28359086"/>
      <w:r>
        <w:rPr>
          <w:rFonts w:hint="eastAsia" w:ascii="方正仿宋_GB2312" w:hAnsi="方正仿宋_GB2312" w:eastAsia="方正仿宋_GB2312" w:cs="方正仿宋_GB2312"/>
          <w:color w:val="000000" w:themeColor="text1"/>
          <w:sz w:val="24"/>
          <w:highlight w:val="none"/>
        </w:rPr>
        <w:t xml:space="preserve">名称：</w:t>
      </w:r>
      <w:r>
        <w:rPr>
          <w:rFonts w:hint="eastAsia" w:ascii="方正仿宋_GB2312" w:hAnsi="方正仿宋_GB2312" w:eastAsia="方正仿宋_GB2312" w:cs="方正仿宋_GB2312"/>
          <w:color w:val="000000" w:themeColor="text1"/>
          <w:sz w:val="24"/>
          <w:highlight w:val="none"/>
          <w:u w:val="single"/>
          <w:lang w:eastAsia="zh-CN"/>
        </w:rPr>
        <w:t xml:space="preserve">苏州宿迁工业园区规划建设与城市管理局</w:t>
      </w:r>
      <w:r>
        <w:rPr>
          <w:rFonts w:hint="eastAsia" w:ascii="方正仿宋_GB2312" w:hAnsi="方正仿宋_GB2312" w:eastAsia="方正仿宋_GB2312" w:cs="方正仿宋_GB2312"/>
          <w:color w:val="000000" w:themeColor="text1"/>
          <w:sz w:val="24"/>
          <w:highlight w:val="none"/>
          <w:lang w:eastAsia="zh-CN"/>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地址：</w:t>
      </w:r>
      <w:r>
        <w:rPr>
          <w:rFonts w:hint="eastAsia" w:ascii="方正仿宋_GB2312" w:hAnsi="方正仿宋_GB2312" w:eastAsia="方正仿宋_GB2312" w:cs="方正仿宋_GB2312"/>
          <w:color w:val="000000" w:themeColor="text1"/>
          <w:sz w:val="24"/>
          <w:highlight w:val="none"/>
          <w:u w:val="single"/>
          <w:lang w:eastAsia="zh-CN"/>
        </w:rPr>
        <w:t xml:space="preserve">苏宿工业园区苏宿工业坊管理楼</w:t>
      </w:r>
      <w:r>
        <w:rPr>
          <w:rFonts w:hint="eastAsia" w:ascii="方正仿宋_GB2312" w:hAnsi="方正仿宋_GB2312" w:eastAsia="方正仿宋_GB2312" w:cs="方正仿宋_GB2312"/>
          <w:color w:val="000000" w:themeColor="text1"/>
          <w:sz w:val="24"/>
          <w:highlight w:val="none"/>
          <w:lang w:eastAsia="zh-CN"/>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联系人：</w:t>
      </w:r>
      <w:r>
        <w:rPr>
          <w:rFonts w:hint="eastAsia" w:ascii="方正仿宋_GB2312" w:hAnsi="方正仿宋_GB2312" w:eastAsia="方正仿宋_GB2312" w:cs="方正仿宋_GB2312"/>
          <w:color w:val="000000" w:themeColor="text1"/>
          <w:sz w:val="24"/>
          <w:highlight w:val="none"/>
          <w:u w:val="single"/>
          <w:lang w:eastAsia="zh-CN"/>
        </w:rPr>
        <w:t xml:space="preserve">孙建</w:t>
      </w:r>
      <w:r>
        <w:rPr>
          <w:rFonts w:hint="eastAsia" w:ascii="方正仿宋_GB2312" w:hAnsi="方正仿宋_GB2312" w:eastAsia="方正仿宋_GB2312" w:cs="方正仿宋_GB2312"/>
          <w:color w:val="000000" w:themeColor="text1"/>
          <w:sz w:val="24"/>
          <w:highlight w:val="none"/>
          <w:lang w:eastAsia="zh-CN"/>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u w:val="single"/>
        </w:rPr>
      </w:pPr>
      <w:r>
        <w:rPr>
          <w:rFonts w:hint="eastAsia" w:ascii="方正仿宋_GB2312" w:hAnsi="方正仿宋_GB2312" w:eastAsia="方正仿宋_GB2312" w:cs="方正仿宋_GB2312"/>
          <w:color w:val="000000" w:themeColor="text1"/>
          <w:sz w:val="24"/>
          <w:highlight w:val="none"/>
        </w:rPr>
        <w:t xml:space="preserve">联系方式：</w:t>
      </w:r>
      <w:r>
        <w:rPr>
          <w:rFonts w:hint="eastAsia" w:ascii="方正仿宋_GB2312" w:hAnsi="方正仿宋_GB2312" w:eastAsia="方正仿宋_GB2312" w:cs="方正仿宋_GB2312"/>
          <w:color w:val="000000" w:themeColor="text1"/>
          <w:sz w:val="24"/>
          <w:szCs w:val="24"/>
          <w:highlight w:val="none"/>
          <w:u w:val="single"/>
          <w:lang w:eastAsia="zh-CN"/>
        </w:rPr>
        <w:t xml:space="preserve">0527-82868332</w:t>
      </w:r>
      <w:r>
        <w:rPr>
          <w:rFonts w:hint="eastAsia" w:ascii="方正仿宋_GB2312" w:hAnsi="方正仿宋_GB2312" w:eastAsia="方正仿宋_GB2312" w:cs="方正仿宋_GB2312"/>
          <w:color w:val="000000" w:themeColor="text1"/>
          <w:sz w:val="24"/>
          <w:highlight w:val="none"/>
          <w:u w:val="single"/>
          <w:lang w:eastAsia="zh-CN"/>
        </w:rPr>
      </w:r>
      <w:r>
        <w:rPr>
          <w:color w:val="000000" w:themeColor="text1"/>
        </w:rPr>
      </w:r>
    </w:p>
    <w:p>
      <w:pPr>
        <w:pStyle w:val="799"/>
        <w:ind w:firstLine="480"/>
        <w:jc w:val="left"/>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2.</w:t>
      </w:r>
      <w:bookmarkEnd w:id="51"/>
      <w:r>
        <w:rPr>
          <w:color w:val="000000" w:themeColor="text1"/>
        </w:rPr>
      </w:r>
      <w:bookmarkEnd w:id="52"/>
      <w:r>
        <w:rPr>
          <w:rFonts w:hint="eastAsia" w:ascii="方正仿宋_GB2312" w:hAnsi="方正仿宋_GB2312" w:eastAsia="方正仿宋_GB2312" w:cs="方正仿宋_GB2312"/>
          <w:color w:val="000000" w:themeColor="text1"/>
          <w:sz w:val="24"/>
          <w:szCs w:val="24"/>
          <w:highlight w:val="none"/>
        </w:rPr>
        <w:t xml:space="preserve">采购代理机构信息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jc w:val="left"/>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名称：</w:t>
      </w:r>
      <w:r>
        <w:rPr>
          <w:rFonts w:hint="eastAsia" w:ascii="方正仿宋_GB2312" w:hAnsi="方正仿宋_GB2312" w:eastAsia="方正仿宋_GB2312" w:cs="方正仿宋_GB2312"/>
          <w:color w:val="000000" w:themeColor="text1"/>
          <w:sz w:val="24"/>
          <w:szCs w:val="24"/>
          <w:highlight w:val="none"/>
          <w:u w:val="single"/>
          <w:lang w:eastAsia="zh-CN"/>
        </w:rPr>
        <w:t xml:space="preserve">江苏宏壮工程项目管理有限公司</w:t>
      </w:r>
      <w:r>
        <w:rPr>
          <w:rFonts w:hint="eastAsia" w:ascii="方正仿宋_GB2312" w:hAnsi="方正仿宋_GB2312" w:eastAsia="方正仿宋_GB2312" w:cs="方正仿宋_GB2312"/>
          <w:color w:val="000000" w:themeColor="text1"/>
          <w:sz w:val="24"/>
          <w:szCs w:val="24"/>
          <w:highlight w:val="none"/>
          <w:lang w:eastAsia="zh-CN"/>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地址：</w:t>
      </w:r>
      <w:r>
        <w:rPr>
          <w:rFonts w:hint="eastAsia" w:ascii="方正仿宋_GB2312" w:hAnsi="方正仿宋_GB2312" w:eastAsia="方正仿宋_GB2312" w:cs="方正仿宋_GB2312"/>
          <w:color w:val="000000" w:themeColor="text1"/>
          <w:sz w:val="24"/>
          <w:szCs w:val="24"/>
          <w:highlight w:val="none"/>
          <w:u w:val="single"/>
          <w:lang w:eastAsia="zh-CN"/>
        </w:rPr>
        <w:t xml:space="preserve">宿迁市宿城区中港雅典城A2#铺03</w:t>
      </w:r>
      <w:r>
        <w:rPr>
          <w:rFonts w:hint="eastAsia" w:ascii="方正仿宋_GB2312" w:hAnsi="方正仿宋_GB2312" w:eastAsia="方正仿宋_GB2312" w:cs="方正仿宋_GB2312"/>
          <w:color w:val="000000" w:themeColor="text1"/>
          <w:sz w:val="24"/>
          <w:szCs w:val="24"/>
          <w:highlight w:val="none"/>
          <w:lang w:eastAsia="zh-CN"/>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rPr>
        <w:t xml:space="preserve">联系人：</w:t>
      </w:r>
      <w:r>
        <w:rPr>
          <w:rFonts w:hint="eastAsia" w:ascii="方正仿宋_GB2312" w:hAnsi="方正仿宋_GB2312" w:eastAsia="方正仿宋_GB2312" w:cs="方正仿宋_GB2312"/>
          <w:color w:val="000000" w:themeColor="text1"/>
          <w:sz w:val="24"/>
          <w:szCs w:val="24"/>
          <w:highlight w:val="none"/>
          <w:u w:val="single"/>
          <w:lang w:eastAsia="zh-CN"/>
        </w:rPr>
        <w:t xml:space="preserve">许益</w:t>
      </w:r>
      <w:r>
        <w:rPr>
          <w:rFonts w:hint="eastAsia" w:ascii="方正仿宋_GB2312" w:hAnsi="方正仿宋_GB2312" w:eastAsia="方正仿宋_GB2312" w:cs="方正仿宋_GB2312"/>
          <w:color w:val="000000" w:themeColor="text1"/>
          <w:sz w:val="24"/>
          <w:szCs w:val="24"/>
          <w:highlight w:val="none"/>
          <w:u w:val="single"/>
          <w:lang w:eastAsia="zh-CN"/>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szCs w:val="24"/>
          <w:highlight w:val="none"/>
        </w:rPr>
        <w:t xml:space="preserve">联系方式：</w:t>
      </w:r>
      <w:r>
        <w:rPr>
          <w:rFonts w:hint="eastAsia" w:ascii="方正仿宋_GB2312" w:hAnsi="方正仿宋_GB2312" w:eastAsia="方正仿宋_GB2312" w:cs="方正仿宋_GB2312"/>
          <w:color w:val="000000" w:themeColor="text1"/>
          <w:sz w:val="24"/>
          <w:szCs w:val="24"/>
          <w:highlight w:val="none"/>
          <w:u w:val="single"/>
          <w:lang w:eastAsia="zh-CN"/>
        </w:rPr>
        <w:t xml:space="preserve">0527-84227585</w:t>
      </w:r>
      <w:r>
        <w:rPr>
          <w:rFonts w:hint="eastAsia" w:ascii="方正仿宋_GB2312" w:hAnsi="方正仿宋_GB2312" w:eastAsia="方正仿宋_GB2312" w:cs="方正仿宋_GB2312"/>
          <w:color w:val="000000" w:themeColor="text1"/>
          <w:sz w:val="24"/>
          <w:highlight w:val="none"/>
          <w:lang w:eastAsia="zh-CN"/>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jc w:val="center"/>
        <w:spacing w:line="480" w:lineRule="exact"/>
        <w:rPr>
          <w:rFonts w:hint="eastAsia" w:ascii="方正仿宋_GB2312" w:hAnsi="方正仿宋_GB2312" w:eastAsia="方正仿宋_GB2312" w:cs="方正仿宋_GB2312"/>
          <w:color w:val="000000" w:themeColor="text1"/>
          <w:sz w:val="44"/>
          <w:highlight w:val="none"/>
        </w:rPr>
        <w:outlineLvl w:val="0"/>
      </w:pPr>
      <w:r>
        <w:rPr>
          <w:rFonts w:hint="eastAsia" w:ascii="方正仿宋_GB2312" w:hAnsi="方正仿宋_GB2312" w:eastAsia="方正仿宋_GB2312" w:cs="方正仿宋_GB2312"/>
          <w:color w:val="000000" w:themeColor="text1"/>
          <w:sz w:val="24"/>
          <w:highlight w:val="none"/>
        </w:rPr>
        <w:br w:type="page" w:clear="all"/>
      </w:r>
      <w:bookmarkStart w:id="53" w:name="_Toc81575153"/>
      <w:r>
        <w:rPr>
          <w:color w:val="000000" w:themeColor="text1"/>
        </w:rPr>
      </w:r>
      <w:bookmarkStart w:id="54" w:name="_Toc11687"/>
      <w:r>
        <w:rPr>
          <w:color w:val="000000" w:themeColor="text1"/>
        </w:rPr>
      </w:r>
      <w:bookmarkStart w:id="55" w:name="_Toc15265"/>
      <w:r>
        <w:rPr>
          <w:color w:val="000000" w:themeColor="text1"/>
        </w:rPr>
      </w:r>
      <w:bookmarkStart w:id="56" w:name="_Toc9624"/>
      <w:r>
        <w:rPr>
          <w:color w:val="000000" w:themeColor="text1"/>
        </w:rPr>
      </w:r>
      <w:bookmarkStart w:id="57" w:name="_Toc81575190"/>
      <w:r>
        <w:rPr>
          <w:color w:val="000000" w:themeColor="text1"/>
        </w:rPr>
      </w:r>
      <w:bookmarkStart w:id="58" w:name="_Toc26923"/>
      <w:r>
        <w:rPr>
          <w:rFonts w:hint="eastAsia" w:ascii="方正仿宋_GB2312" w:hAnsi="方正仿宋_GB2312" w:eastAsia="方正仿宋_GB2312" w:cs="方正仿宋_GB2312"/>
          <w:b/>
          <w:bCs/>
          <w:color w:val="000000" w:themeColor="text1"/>
          <w:sz w:val="44"/>
          <w:highlight w:val="none"/>
        </w:rPr>
        <w:t xml:space="preserve">第二章  投标人须知</w:t>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rFonts w:hint="eastAsia" w:ascii="方正仿宋_GB2312" w:hAnsi="方正仿宋_GB2312" w:eastAsia="方正仿宋_GB2312" w:cs="方正仿宋_GB2312"/>
          <w:color w:val="000000" w:themeColor="text1"/>
          <w:sz w:val="44"/>
          <w:highlight w:val="none"/>
        </w:rPr>
      </w:r>
      <w:r>
        <w:rPr>
          <w:color w:val="000000" w:themeColor="text1"/>
        </w:rPr>
      </w:r>
    </w:p>
    <w:p>
      <w:pPr>
        <w:pStyle w:val="849"/>
        <w:spacing w:before="0" w:after="120" w:line="520" w:lineRule="exact"/>
        <w:rPr>
          <w:rFonts w:hint="eastAsia" w:ascii="方正仿宋_GB2312" w:hAnsi="方正仿宋_GB2312" w:eastAsia="方正仿宋_GB2312" w:cs="方正仿宋_GB2312"/>
          <w:bCs/>
          <w:color w:val="000000" w:themeColor="text1"/>
          <w:highlight w:val="none"/>
        </w:rPr>
      </w:pPr>
      <w:r>
        <w:rPr>
          <w:color w:val="000000" w:themeColor="text1"/>
        </w:rPr>
      </w:r>
      <w:bookmarkStart w:id="59" w:name="_Toc4529"/>
      <w:r>
        <w:rPr>
          <w:rFonts w:hint="eastAsia" w:ascii="方正仿宋_GB2312" w:hAnsi="方正仿宋_GB2312" w:eastAsia="方正仿宋_GB2312" w:cs="方正仿宋_GB2312"/>
          <w:bCs/>
          <w:color w:val="000000" w:themeColor="text1"/>
          <w:highlight w:val="none"/>
        </w:rPr>
        <w:t xml:space="preserve">投标人须知前附表：</w:t>
      </w:r>
      <w:bookmarkEnd w:id="59"/>
      <w:r>
        <w:rPr>
          <w:rFonts w:hint="eastAsia" w:ascii="方正仿宋_GB2312" w:hAnsi="方正仿宋_GB2312" w:eastAsia="方正仿宋_GB2312" w:cs="方正仿宋_GB2312"/>
          <w:bCs/>
          <w:color w:val="000000" w:themeColor="text1"/>
          <w:highlight w:val="none"/>
        </w:rPr>
      </w:r>
      <w:r>
        <w:rPr>
          <w:color w:val="000000" w:themeColor="text1"/>
        </w:rPr>
      </w:r>
    </w:p>
    <w:tbl>
      <w:tblPr>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pStyle w:val="799"/>
              <w:jc w:val="center"/>
              <w:widowControl w:val="off"/>
              <w:rPr>
                <w:rFonts w:hint="eastAsia" w:ascii="方正仿宋_GB2312" w:hAnsi="方正仿宋_GB2312" w:eastAsia="方正仿宋_GB2312" w:cs="方正仿宋_GB2312"/>
                <w:b/>
                <w:color w:val="000000" w:themeColor="text1"/>
                <w:sz w:val="24"/>
                <w:szCs w:val="24"/>
                <w:highlight w:val="none"/>
              </w:rPr>
              <w:framePr w:vAnchor="text" w:hAnchor="page" w:x="1530" w:y="228"/>
            </w:pPr>
            <w:r>
              <w:rPr>
                <w:color w:val="000000" w:themeColor="text1"/>
              </w:rPr>
            </w:r>
            <w:bookmarkStart w:id="60" w:name="_Toc81575191"/>
            <w:r>
              <w:rPr>
                <w:color w:val="000000" w:themeColor="text1"/>
              </w:rPr>
            </w:r>
            <w:bookmarkStart w:id="61" w:name="_Toc29262"/>
            <w:r>
              <w:rPr>
                <w:color w:val="000000" w:themeColor="text1"/>
              </w:rPr>
            </w:r>
            <w:bookmarkStart w:id="62" w:name="_Toc81575154"/>
            <w:r>
              <w:rPr>
                <w:rFonts w:hint="eastAsia" w:ascii="方正仿宋_GB2312" w:hAnsi="方正仿宋_GB2312" w:eastAsia="方正仿宋_GB2312" w:cs="方正仿宋_GB2312"/>
                <w:b/>
                <w:color w:val="000000" w:themeColor="text1"/>
                <w:sz w:val="24"/>
                <w:szCs w:val="24"/>
                <w:highlight w:val="none"/>
                <w:lang w:val="en-US" w:eastAsia="zh-CN" w:bidi="ar-SA"/>
              </w:rPr>
              <w:t xml:space="preserve">序号</w:t>
            </w:r>
            <w:r>
              <w:rPr>
                <w:rFonts w:hint="eastAsia" w:ascii="方正仿宋_GB2312" w:hAnsi="方正仿宋_GB2312" w:eastAsia="方正仿宋_GB2312" w:cs="方正仿宋_GB2312"/>
                <w:b/>
                <w:color w:val="000000" w:themeColor="text1"/>
                <w:sz w:val="24"/>
                <w:szCs w:val="24"/>
                <w:highlight w:val="none"/>
                <w:lang w:val="en-US" w:eastAsia="zh-CN" w:bidi="ar-SA"/>
              </w:rPr>
            </w:r>
            <w:r>
              <w:rPr>
                <w:color w:val="000000" w:themeColor="text1"/>
              </w:rPr>
            </w:r>
          </w:p>
        </w:tc>
        <w:tc>
          <w:tcPr>
            <w:tcW w:w="1772" w:type="dxa"/>
            <w:vAlign w:val="center"/>
            <w:textDirection w:val="lrTb"/>
            <w:noWrap w:val="false"/>
          </w:tcPr>
          <w:p>
            <w:pPr>
              <w:pStyle w:val="799"/>
              <w:jc w:val="center"/>
              <w:widowControl w:val="off"/>
              <w:rPr>
                <w:rFonts w:hint="eastAsia" w:ascii="方正仿宋_GB2312" w:hAnsi="方正仿宋_GB2312" w:eastAsia="方正仿宋_GB2312" w:cs="方正仿宋_GB2312"/>
                <w:b/>
                <w:color w:val="000000" w:themeColor="text1"/>
                <w:sz w:val="24"/>
                <w:szCs w:val="24"/>
                <w:highlight w:val="none"/>
              </w:rPr>
              <w:framePr w:vAnchor="text" w:hAnchor="page" w:x="1530" w:y="228"/>
            </w:pPr>
            <w:r>
              <w:rPr>
                <w:rFonts w:hint="eastAsia" w:ascii="方正仿宋_GB2312" w:hAnsi="方正仿宋_GB2312" w:eastAsia="方正仿宋_GB2312" w:cs="方正仿宋_GB2312"/>
                <w:b/>
                <w:color w:val="000000" w:themeColor="text1"/>
                <w:sz w:val="24"/>
                <w:szCs w:val="24"/>
                <w:highlight w:val="none"/>
                <w:lang w:val="en-US" w:eastAsia="zh-CN" w:bidi="ar-SA"/>
              </w:rPr>
              <w:t xml:space="preserve">内容</w:t>
            </w:r>
            <w:r>
              <w:rPr>
                <w:rFonts w:hint="eastAsia" w:ascii="方正仿宋_GB2312" w:hAnsi="方正仿宋_GB2312" w:eastAsia="方正仿宋_GB2312" w:cs="方正仿宋_GB2312"/>
                <w:b/>
                <w:color w:val="000000" w:themeColor="text1"/>
                <w:sz w:val="24"/>
                <w:szCs w:val="24"/>
                <w:highlight w:val="none"/>
                <w:lang w:val="en-US" w:eastAsia="zh-CN" w:bidi="ar-SA"/>
              </w:rPr>
            </w:r>
            <w:r>
              <w:rPr>
                <w:color w:val="000000" w:themeColor="text1"/>
              </w:rPr>
            </w:r>
          </w:p>
        </w:tc>
        <w:tc>
          <w:tcPr>
            <w:tcW w:w="6579" w:type="dxa"/>
            <w:vAlign w:val="center"/>
            <w:textDirection w:val="lrTb"/>
            <w:noWrap w:val="false"/>
          </w:tcPr>
          <w:p>
            <w:pPr>
              <w:pStyle w:val="799"/>
              <w:jc w:val="center"/>
              <w:widowControl w:val="off"/>
              <w:rPr>
                <w:rFonts w:hint="eastAsia" w:ascii="方正仿宋_GB2312" w:hAnsi="方正仿宋_GB2312" w:eastAsia="方正仿宋_GB2312" w:cs="方正仿宋_GB2312"/>
                <w:b/>
                <w:color w:val="000000" w:themeColor="text1"/>
                <w:sz w:val="24"/>
                <w:szCs w:val="24"/>
                <w:highlight w:val="none"/>
              </w:rPr>
              <w:framePr w:vAnchor="text" w:hAnchor="page" w:x="1530" w:y="228"/>
            </w:pPr>
            <w:r>
              <w:rPr>
                <w:rFonts w:hint="eastAsia" w:ascii="方正仿宋_GB2312" w:hAnsi="方正仿宋_GB2312" w:eastAsia="方正仿宋_GB2312" w:cs="方正仿宋_GB2312"/>
                <w:b/>
                <w:color w:val="000000" w:themeColor="text1"/>
                <w:sz w:val="24"/>
                <w:szCs w:val="24"/>
                <w:highlight w:val="none"/>
                <w:lang w:val="en-US" w:eastAsia="zh-CN" w:bidi="ar-SA"/>
              </w:rPr>
              <w:t xml:space="preserve">说明及要求</w:t>
            </w:r>
            <w:r>
              <w:rPr>
                <w:rFonts w:hint="eastAsia" w:ascii="方正仿宋_GB2312" w:hAnsi="方正仿宋_GB2312" w:eastAsia="方正仿宋_GB2312" w:cs="方正仿宋_GB2312"/>
                <w:b/>
                <w:color w:val="000000" w:themeColor="text1"/>
                <w:sz w:val="24"/>
                <w:szCs w:val="24"/>
                <w:highlight w:val="none"/>
                <w:lang w:val="en-US" w:eastAsia="zh-CN" w:bidi="ar-SA"/>
              </w:rPr>
            </w:r>
            <w:r>
              <w:rPr>
                <w:color w:val="000000" w:themeColor="text1"/>
              </w:rPr>
            </w:r>
          </w:p>
        </w:tc>
      </w:tr>
      <w:tr>
        <w:trPr/>
        <w:tc>
          <w:tcPr>
            <w:tcW w:w="858" w:type="dxa"/>
            <w:vAlign w:val="center"/>
            <w:textDirection w:val="lrTb"/>
            <w:noWrap w:val="false"/>
          </w:tcPr>
          <w:p>
            <w:pPr>
              <w:pStyle w:val="799"/>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1</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772" w:type="dxa"/>
            <w:vAlign w:val="center"/>
            <w:textDirection w:val="lrTb"/>
            <w:noWrap w:val="false"/>
          </w:tcPr>
          <w:p>
            <w:pPr>
              <w:pStyle w:val="799"/>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项目属性</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6579" w:type="dxa"/>
            <w:vAlign w:val="center"/>
            <w:textDirection w:val="lrTb"/>
            <w:noWrap w:val="false"/>
          </w:tcPr>
          <w:p>
            <w:pPr>
              <w:pStyle w:val="799"/>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本项目</w:t>
            </w:r>
            <w:bookmarkStart w:id="63" w:name="EB9a5853ee094f4f0ea6ec3169265f6f2c"/>
            <w:r>
              <w:rPr>
                <w:rFonts w:hint="eastAsia" w:ascii="方正仿宋_GB2312" w:hAnsi="方正仿宋_GB2312" w:eastAsia="方正仿宋_GB2312" w:cs="方正仿宋_GB2312"/>
                <w:color w:val="000000" w:themeColor="text1"/>
                <w:sz w:val="24"/>
                <w:szCs w:val="24"/>
                <w:highlight w:val="none"/>
                <w:lang w:val="en-US" w:eastAsia="zh-CN" w:bidi="ar-SA"/>
              </w:rPr>
              <w:t xml:space="preserve">属性按以下第</w:t>
            </w:r>
            <w:bookmarkEnd w:id="63"/>
            <w:r>
              <w:rPr>
                <w:rFonts w:hint="eastAsia" w:ascii="方正仿宋_GB2312" w:hAnsi="方正仿宋_GB2312" w:eastAsia="方正仿宋_GB2312" w:cs="方正仿宋_GB2312"/>
                <w:color w:val="000000" w:themeColor="text1"/>
                <w:sz w:val="24"/>
                <w:szCs w:val="24"/>
                <w:highlight w:val="none"/>
                <w:u w:val="single"/>
                <w:lang w:val="en-US" w:eastAsia="zh-CN" w:bidi="ar-SA"/>
              </w:rPr>
              <w:t xml:space="preserve">2</w:t>
            </w:r>
            <w:r>
              <w:rPr>
                <w:rFonts w:hint="eastAsia" w:ascii="方正仿宋_GB2312" w:hAnsi="方正仿宋_GB2312" w:eastAsia="方正仿宋_GB2312" w:cs="方正仿宋_GB2312"/>
                <w:color w:val="000000" w:themeColor="text1"/>
                <w:sz w:val="24"/>
                <w:szCs w:val="24"/>
                <w:highlight w:val="none"/>
                <w:lang w:val="en-US" w:eastAsia="zh-CN" w:bidi="ar-SA"/>
              </w:rPr>
              <w:t xml:space="preserve">种确定：</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p>
            <w:pPr>
              <w:pStyle w:val="799"/>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1.货物</w:t>
            </w:r>
            <w:bookmarkStart w:id="64" w:name="EBd5c6c026f9674c39b21b31ecd0c1e7fa"/>
            <w:r>
              <w:rPr>
                <w:rFonts w:hint="eastAsia" w:ascii="方正仿宋_GB2312" w:hAnsi="方正仿宋_GB2312" w:eastAsia="方正仿宋_GB2312" w:cs="方正仿宋_GB2312"/>
                <w:color w:val="000000" w:themeColor="text1"/>
                <w:sz w:val="24"/>
                <w:szCs w:val="24"/>
                <w:highlight w:val="none"/>
                <w:lang w:val="en-US" w:eastAsia="zh-CN" w:bidi="ar-SA"/>
              </w:rPr>
              <w:t xml:space="preserve">采购；2.</w:t>
            </w:r>
            <w:bookmarkEnd w:id="64"/>
            <w:r>
              <w:rPr>
                <w:rFonts w:hint="eastAsia" w:ascii="方正仿宋_GB2312" w:hAnsi="方正仿宋_GB2312" w:eastAsia="方正仿宋_GB2312" w:cs="方正仿宋_GB2312"/>
                <w:color w:val="000000" w:themeColor="text1"/>
                <w:sz w:val="24"/>
                <w:szCs w:val="24"/>
                <w:highlight w:val="none"/>
                <w:lang w:val="en-US" w:eastAsia="zh-CN" w:bidi="ar-SA"/>
              </w:rPr>
              <w:t xml:space="preserve">服务</w:t>
            </w:r>
            <w:bookmarkStart w:id="65" w:name="EBf7d2a4f44ecb4166a93ea852e73be69f"/>
            <w:r>
              <w:rPr>
                <w:rFonts w:hint="eastAsia" w:ascii="方正仿宋_GB2312" w:hAnsi="方正仿宋_GB2312" w:eastAsia="方正仿宋_GB2312" w:cs="方正仿宋_GB2312"/>
                <w:color w:val="000000" w:themeColor="text1"/>
                <w:sz w:val="24"/>
                <w:szCs w:val="24"/>
                <w:highlight w:val="none"/>
                <w:lang w:val="en-US" w:eastAsia="zh-CN" w:bidi="ar-SA"/>
              </w:rPr>
              <w:t xml:space="preserve">采购；3.</w:t>
            </w:r>
            <w:bookmarkEnd w:id="65"/>
            <w:r>
              <w:rPr>
                <w:rFonts w:hint="eastAsia" w:ascii="方正仿宋_GB2312" w:hAnsi="方正仿宋_GB2312" w:eastAsia="方正仿宋_GB2312" w:cs="方正仿宋_GB2312"/>
                <w:color w:val="000000" w:themeColor="text1"/>
                <w:sz w:val="24"/>
                <w:szCs w:val="24"/>
                <w:highlight w:val="none"/>
                <w:lang w:val="en-US" w:eastAsia="zh-CN" w:bidi="ar-SA"/>
              </w:rPr>
              <w:t xml:space="preserve">工程采购。</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r>
      <w:tr>
        <w:trPr/>
        <w:tc>
          <w:tcPr>
            <w:tcW w:w="858" w:type="dxa"/>
            <w:vAlign w:val="center"/>
            <w:textDirection w:val="lrTb"/>
            <w:noWrap w:val="false"/>
          </w:tcPr>
          <w:p>
            <w:pPr>
              <w:pStyle w:val="799"/>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2</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772" w:type="dxa"/>
            <w:vAlign w:val="center"/>
            <w:textDirection w:val="lrTb"/>
            <w:noWrap w:val="false"/>
          </w:tcPr>
          <w:p>
            <w:pPr>
              <w:pStyle w:val="799"/>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投标有效期</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6579" w:type="dxa"/>
            <w:vAlign w:val="center"/>
            <w:textDirection w:val="lrTb"/>
            <w:noWrap w:val="false"/>
          </w:tcPr>
          <w:p>
            <w:pPr>
              <w:pStyle w:val="799"/>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color w:val="000000" w:themeColor="text1"/>
              </w:rPr>
            </w:r>
            <w:bookmarkStart w:id="66" w:name="EBd40b5fb42f2944a3b45e579ce3941f02"/>
            <w:r>
              <w:rPr>
                <w:color w:val="000000" w:themeColor="text1"/>
              </w:rPr>
            </w:r>
            <w:bookmarkEnd w:id="66"/>
            <w:r>
              <w:rPr>
                <w:rFonts w:hint="eastAsia" w:ascii="方正仿宋_GB2312" w:hAnsi="方正仿宋_GB2312" w:eastAsia="方正仿宋_GB2312" w:cs="方正仿宋_GB2312"/>
                <w:color w:val="000000" w:themeColor="text1"/>
                <w:sz w:val="24"/>
                <w:szCs w:val="24"/>
                <w:highlight w:val="none"/>
                <w:lang w:val="en-US" w:eastAsia="zh-CN" w:bidi="ar-SA"/>
              </w:rPr>
              <w:t xml:space="preserve">90日（从提交投标文件截止之日起算）</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r>
      <w:tr>
        <w:trPr/>
        <w:tc>
          <w:tcPr>
            <w:tcW w:w="858" w:type="dxa"/>
            <w:vAlign w:val="center"/>
            <w:textDirection w:val="lrTb"/>
            <w:noWrap w:val="false"/>
          </w:tcPr>
          <w:p>
            <w:pPr>
              <w:pStyle w:val="799"/>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3</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772" w:type="dxa"/>
            <w:vAlign w:val="center"/>
            <w:textDirection w:val="lrTb"/>
            <w:noWrap w:val="false"/>
          </w:tcPr>
          <w:p>
            <w:pPr>
              <w:pStyle w:val="799"/>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投标文件份数</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6579" w:type="dxa"/>
            <w:vAlign w:val="center"/>
            <w:textDirection w:val="lrTb"/>
            <w:noWrap w:val="false"/>
          </w:tcPr>
          <w:p>
            <w:pPr>
              <w:pStyle w:val="799"/>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提交加密电子投标文件</w:t>
            </w:r>
            <w:r>
              <w:rPr>
                <w:rFonts w:hint="eastAsia" w:ascii="方正仿宋_GB2312" w:hAnsi="方正仿宋_GB2312" w:eastAsia="方正仿宋_GB2312" w:cs="方正仿宋_GB2312"/>
                <w:color w:val="000000" w:themeColor="text1"/>
                <w:sz w:val="24"/>
                <w:szCs w:val="24"/>
                <w:highlight w:val="none"/>
                <w:u w:val="single"/>
                <w:lang w:val="en-US" w:eastAsia="zh-CN" w:bidi="ar-SA"/>
              </w:rPr>
              <w:t xml:space="preserve">1</w:t>
            </w:r>
            <w:r>
              <w:rPr>
                <w:rFonts w:hint="eastAsia" w:ascii="方正仿宋_GB2312" w:hAnsi="方正仿宋_GB2312" w:eastAsia="方正仿宋_GB2312" w:cs="方正仿宋_GB2312"/>
                <w:color w:val="000000" w:themeColor="text1"/>
                <w:sz w:val="24"/>
                <w:szCs w:val="24"/>
                <w:highlight w:val="none"/>
                <w:lang w:val="en-US" w:eastAsia="zh-CN" w:bidi="ar-SA"/>
              </w:rPr>
              <w:t xml:space="preserve">份。</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r>
      <w:tr>
        <w:trPr/>
        <w:tc>
          <w:tcPr>
            <w:tcW w:w="858" w:type="dxa"/>
            <w:vAlign w:val="center"/>
            <w:textDirection w:val="lrTb"/>
            <w:noWrap w:val="false"/>
          </w:tcPr>
          <w:p>
            <w:pPr>
              <w:pStyle w:val="799"/>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4</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772" w:type="dxa"/>
            <w:vAlign w:val="center"/>
            <w:textDirection w:val="lrTb"/>
            <w:noWrap w:val="false"/>
          </w:tcPr>
          <w:p>
            <w:pPr>
              <w:pStyle w:val="799"/>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开标</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6579" w:type="dxa"/>
            <w:vAlign w:val="center"/>
            <w:textDirection w:val="lrTb"/>
            <w:noWrap w:val="false"/>
          </w:tcPr>
          <w:p>
            <w:pPr>
              <w:pStyle w:val="799"/>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“苏采云”政府采购交易系统网上开标大厅进行不见面开标。</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r>
      <w:tr>
        <w:trPr>
          <w:trHeight w:val="90"/>
        </w:trPr>
        <w:tc>
          <w:tcPr>
            <w:tcW w:w="858" w:type="dxa"/>
            <w:vAlign w:val="center"/>
            <w:textDirection w:val="lrTb"/>
            <w:noWrap w:val="false"/>
          </w:tcPr>
          <w:p>
            <w:pPr>
              <w:pStyle w:val="799"/>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5</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772" w:type="dxa"/>
            <w:vAlign w:val="center"/>
            <w:textDirection w:val="lrTb"/>
            <w:noWrap w:val="false"/>
          </w:tcPr>
          <w:p>
            <w:pPr>
              <w:pStyle w:val="799"/>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进口产品</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6579" w:type="dxa"/>
            <w:vAlign w:val="center"/>
            <w:textDirection w:val="lrTb"/>
            <w:noWrap w:val="false"/>
          </w:tcPr>
          <w:p>
            <w:pPr>
              <w:pStyle w:val="799"/>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按以下第</w:t>
            </w:r>
            <w:r>
              <w:rPr>
                <w:rFonts w:hint="eastAsia" w:ascii="方正仿宋_GB2312" w:hAnsi="方正仿宋_GB2312" w:eastAsia="方正仿宋_GB2312" w:cs="方正仿宋_GB2312"/>
                <w:color w:val="000000" w:themeColor="text1"/>
                <w:sz w:val="24"/>
                <w:szCs w:val="24"/>
                <w:highlight w:val="none"/>
                <w:u w:val="single"/>
                <w:lang w:val="en-US" w:eastAsia="zh-CN" w:bidi="ar-SA"/>
              </w:rPr>
              <w:t xml:space="preserve">2</w:t>
            </w:r>
            <w:r>
              <w:rPr>
                <w:rFonts w:hint="eastAsia" w:ascii="方正仿宋_GB2312" w:hAnsi="方正仿宋_GB2312" w:eastAsia="方正仿宋_GB2312" w:cs="方正仿宋_GB2312"/>
                <w:color w:val="000000" w:themeColor="text1"/>
                <w:sz w:val="24"/>
                <w:szCs w:val="24"/>
                <w:highlight w:val="none"/>
                <w:lang w:val="en-US" w:eastAsia="zh-CN" w:bidi="ar-SA"/>
              </w:rPr>
              <w:t xml:space="preserve">种方式确定：</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p>
            <w:pPr>
              <w:pStyle w:val="799"/>
              <w:jc w:val="left"/>
              <w:spacing w:line="360" w:lineRule="exact"/>
              <w:widowControl/>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1.接受进口产品。</w:t>
            </w:r>
            <w:r>
              <w:rPr>
                <w:rFonts w:hint="eastAsia" w:ascii="方正仿宋_GB2312" w:hAnsi="方正仿宋_GB2312" w:eastAsia="方正仿宋_GB2312" w:cs="方正仿宋_GB2312"/>
                <w:color w:val="000000" w:themeColor="text1"/>
                <w:sz w:val="24"/>
                <w:szCs w:val="22"/>
                <w:highlight w:val="none"/>
                <w:lang w:val="en-US" w:eastAsia="zh-CN" w:bidi="ar-SA"/>
              </w:rPr>
              <w:t xml:space="preserve">应当符合《政府采购进口产品管理办法》（财库〔2007〕119号）、《关于政府采购进口产品管理有关问题的通知》（财办库〔2008〕248号）等相关规定</w:t>
            </w:r>
            <w:r>
              <w:rPr>
                <w:rFonts w:hint="eastAsia" w:ascii="方正仿宋_GB2312" w:hAnsi="方正仿宋_GB2312" w:eastAsia="方正仿宋_GB2312" w:cs="方正仿宋_GB2312"/>
                <w:color w:val="000000" w:themeColor="text1"/>
                <w:sz w:val="24"/>
                <w:szCs w:val="24"/>
                <w:highlight w:val="none"/>
                <w:lang w:val="en-US" w:eastAsia="zh-CN" w:bidi="ar-SA"/>
              </w:rPr>
              <w:t xml:space="preserve">；</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p>
            <w:pPr>
              <w:pStyle w:val="799"/>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2.不接受进口产品。</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r>
      <w:tr>
        <w:trPr/>
        <w:tc>
          <w:tcPr>
            <w:tcW w:w="858" w:type="dxa"/>
            <w:vAlign w:val="center"/>
            <w:textDirection w:val="lrTb"/>
            <w:noWrap w:val="false"/>
          </w:tcPr>
          <w:p>
            <w:pPr>
              <w:pStyle w:val="799"/>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6</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772" w:type="dxa"/>
            <w:vAlign w:val="center"/>
            <w:textDirection w:val="lrTb"/>
            <w:noWrap w:val="false"/>
          </w:tcPr>
          <w:p>
            <w:pPr>
              <w:pStyle w:val="799"/>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评标办法</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6579" w:type="dxa"/>
            <w:vAlign w:val="center"/>
            <w:textDirection w:val="lrTb"/>
            <w:noWrap w:val="false"/>
          </w:tcPr>
          <w:p>
            <w:pPr>
              <w:pStyle w:val="799"/>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具体评标办法详见招标文件第三章。</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p>
            <w:pPr>
              <w:pStyle w:val="799"/>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评标委员会依据招标文件规定的评标办法和标准推荐</w:t>
            </w:r>
            <w:r>
              <w:rPr>
                <w:rFonts w:hint="eastAsia" w:ascii="方正仿宋_GB2312" w:hAnsi="方正仿宋_GB2312" w:eastAsia="方正仿宋_GB2312" w:cs="方正仿宋_GB2312"/>
                <w:color w:val="000000" w:themeColor="text1"/>
                <w:sz w:val="24"/>
                <w:szCs w:val="24"/>
                <w:highlight w:val="none"/>
                <w:u w:val="single"/>
                <w:lang w:val="en-US" w:eastAsia="zh-CN" w:bidi="ar-SA"/>
              </w:rPr>
              <w:t xml:space="preserve">3</w:t>
            </w:r>
            <w:r>
              <w:rPr>
                <w:rFonts w:hint="eastAsia" w:ascii="方正仿宋_GB2312" w:hAnsi="方正仿宋_GB2312" w:eastAsia="方正仿宋_GB2312" w:cs="方正仿宋_GB2312"/>
                <w:color w:val="000000" w:themeColor="text1"/>
                <w:sz w:val="24"/>
                <w:szCs w:val="24"/>
                <w:highlight w:val="none"/>
                <w:lang w:val="en-US" w:eastAsia="zh-CN" w:bidi="ar-SA"/>
              </w:rPr>
              <w:t xml:space="preserve">名中标候选人。</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r>
      <w:tr>
        <w:trPr/>
        <w:tc>
          <w:tcPr>
            <w:tcW w:w="858" w:type="dxa"/>
            <w:vAlign w:val="center"/>
            <w:textDirection w:val="lrTb"/>
            <w:noWrap w:val="false"/>
          </w:tcPr>
          <w:p>
            <w:pPr>
              <w:pStyle w:val="799"/>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7</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772" w:type="dxa"/>
            <w:vAlign w:val="center"/>
            <w:textDirection w:val="lrTb"/>
            <w:noWrap w:val="false"/>
          </w:tcPr>
          <w:p>
            <w:pPr>
              <w:pStyle w:val="799"/>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确定中标人</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6579" w:type="dxa"/>
            <w:vAlign w:val="center"/>
            <w:textDirection w:val="lrTb"/>
            <w:noWrap w:val="false"/>
          </w:tcPr>
          <w:p>
            <w:pPr>
              <w:pStyle w:val="799"/>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采购人按规定在评标委员会推荐的中标候选人中确定中标人。</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r>
      <w:tr>
        <w:trPr/>
        <w:tc>
          <w:tcPr>
            <w:tcW w:w="858" w:type="dxa"/>
            <w:vAlign w:val="center"/>
            <w:textDirection w:val="lrTb"/>
            <w:noWrap w:val="false"/>
          </w:tcPr>
          <w:p>
            <w:pPr>
              <w:pStyle w:val="799"/>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8</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772" w:type="dxa"/>
            <w:vAlign w:val="center"/>
            <w:textDirection w:val="lrTb"/>
            <w:noWrap w:val="false"/>
          </w:tcPr>
          <w:p>
            <w:pPr>
              <w:pStyle w:val="799"/>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分包要求</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6579" w:type="dxa"/>
            <w:vAlign w:val="center"/>
            <w:textDirection w:val="lrTb"/>
            <w:noWrap w:val="false"/>
          </w:tcPr>
          <w:p>
            <w:pPr>
              <w:pStyle w:val="799"/>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color w:val="000000" w:themeColor="text1"/>
              </w:rPr>
            </w:r>
            <w:bookmarkStart w:id="67" w:name="EBebac1462c5d9459fbda8a75065c2455d"/>
            <w:r>
              <w:rPr>
                <w:rFonts w:hint="eastAsia" w:ascii="方正仿宋_GB2312" w:hAnsi="方正仿宋_GB2312" w:eastAsia="方正仿宋_GB2312" w:cs="方正仿宋_GB2312"/>
                <w:color w:val="000000" w:themeColor="text1"/>
                <w:sz w:val="24"/>
                <w:szCs w:val="24"/>
                <w:highlight w:val="none"/>
                <w:lang w:val="en-US" w:eastAsia="zh-CN" w:bidi="ar-SA"/>
              </w:rPr>
              <w:t xml:space="preserve">本项目的非主体、非关键性工作是否允许分包</w:t>
            </w:r>
            <w:bookmarkEnd w:id="67"/>
            <w:r>
              <w:rPr>
                <w:rFonts w:hint="eastAsia" w:ascii="方正仿宋_GB2312" w:hAnsi="方正仿宋_GB2312" w:eastAsia="方正仿宋_GB2312" w:cs="方正仿宋_GB2312"/>
                <w:color w:val="000000" w:themeColor="text1"/>
                <w:sz w:val="24"/>
                <w:szCs w:val="24"/>
                <w:highlight w:val="none"/>
                <w:lang w:val="en-US" w:eastAsia="zh-CN" w:bidi="ar-SA"/>
              </w:rPr>
              <w:t xml:space="preserve">按以下第</w:t>
            </w:r>
            <w:r>
              <w:rPr>
                <w:rFonts w:hint="eastAsia" w:ascii="方正仿宋_GB2312" w:hAnsi="方正仿宋_GB2312" w:eastAsia="方正仿宋_GB2312" w:cs="方正仿宋_GB2312"/>
                <w:color w:val="000000" w:themeColor="text1"/>
                <w:sz w:val="24"/>
                <w:szCs w:val="24"/>
                <w:highlight w:val="none"/>
                <w:u w:val="single"/>
                <w:lang w:val="en-US" w:eastAsia="zh-CN" w:bidi="ar-SA"/>
              </w:rPr>
              <w:t xml:space="preserve">2</w:t>
            </w:r>
            <w:r>
              <w:rPr>
                <w:rFonts w:hint="eastAsia" w:ascii="方正仿宋_GB2312" w:hAnsi="方正仿宋_GB2312" w:eastAsia="方正仿宋_GB2312" w:cs="方正仿宋_GB2312"/>
                <w:color w:val="000000" w:themeColor="text1"/>
                <w:sz w:val="24"/>
                <w:szCs w:val="24"/>
                <w:highlight w:val="none"/>
                <w:lang w:val="en-US" w:eastAsia="zh-CN" w:bidi="ar-SA"/>
              </w:rPr>
              <w:t xml:space="preserve">种方式确定：</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p>
            <w:pPr>
              <w:pStyle w:val="799"/>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1.允许分包，</w:t>
            </w:r>
            <w:bookmarkStart w:id="68" w:name="EB512ba06683724173802e2aae54a26079"/>
            <w:r>
              <w:rPr>
                <w:rFonts w:hint="eastAsia" w:ascii="方正仿宋_GB2312" w:hAnsi="方正仿宋_GB2312" w:eastAsia="方正仿宋_GB2312" w:cs="方正仿宋_GB2312"/>
                <w:color w:val="000000" w:themeColor="text1"/>
                <w:sz w:val="24"/>
                <w:szCs w:val="24"/>
                <w:highlight w:val="none"/>
                <w:lang w:val="en-US" w:eastAsia="zh-CN" w:bidi="ar-SA"/>
              </w:rPr>
              <w:t xml:space="preserve">允许大中型企业向一家或者多家小微企业分包，分包具体内容、金额或比例：</w:t>
            </w:r>
            <w:bookmarkEnd w:id="68"/>
            <w:r>
              <w:rPr>
                <w:rFonts w:hint="eastAsia" w:ascii="方正仿宋_GB2312" w:hAnsi="方正仿宋_GB2312" w:eastAsia="方正仿宋_GB2312" w:cs="方正仿宋_GB2312"/>
                <w:color w:val="000000" w:themeColor="text1"/>
                <w:sz w:val="24"/>
                <w:szCs w:val="24"/>
                <w:highlight w:val="none"/>
                <w:lang w:val="en-US" w:eastAsia="zh-CN" w:bidi="ar-SA"/>
              </w:rPr>
              <w:t xml:space="preserve">无；</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p>
            <w:pPr>
              <w:pStyle w:val="799"/>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2.不允许分包。</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r>
      <w:tr>
        <w:trPr/>
        <w:tc>
          <w:tcPr>
            <w:tcW w:w="858" w:type="dxa"/>
            <w:vAlign w:val="center"/>
            <w:textDirection w:val="lrTb"/>
            <w:noWrap w:val="false"/>
          </w:tcPr>
          <w:p>
            <w:pPr>
              <w:pStyle w:val="799"/>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9</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772" w:type="dxa"/>
            <w:vAlign w:val="center"/>
            <w:textDirection w:val="lrTb"/>
            <w:noWrap w:val="false"/>
          </w:tcPr>
          <w:p>
            <w:pPr>
              <w:pStyle w:val="799"/>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代理费用收取方式及标准</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6579" w:type="dxa"/>
            <w:vAlign w:val="center"/>
            <w:textDirection w:val="lrTb"/>
            <w:noWrap w:val="false"/>
          </w:tcPr>
          <w:p>
            <w:pPr>
              <w:pStyle w:val="799"/>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color w:val="000000" w:themeColor="text1"/>
              </w:rPr>
            </w:r>
            <w:bookmarkStart w:id="69" w:name="EBfe735bb6fc4d4e5e9e350f940db98c5f"/>
            <w:r>
              <w:rPr>
                <w:color w:val="000000" w:themeColor="text1"/>
              </w:rPr>
            </w:r>
            <w:bookmarkEnd w:id="69"/>
            <w:r>
              <w:rPr>
                <w:rFonts w:hint="eastAsia" w:ascii="方正仿宋_GB2312" w:hAnsi="方正仿宋_GB2312" w:eastAsia="方正仿宋_GB2312" w:cs="方正仿宋_GB2312"/>
                <w:b/>
                <w:bCs/>
                <w:color w:val="000000" w:themeColor="text1"/>
                <w:sz w:val="24"/>
                <w:szCs w:val="24"/>
                <w:highlight w:val="none"/>
                <w:lang w:val="zh-CN" w:eastAsia="zh-CN" w:bidi="ar-SA"/>
              </w:rPr>
              <w:t xml:space="preserve">中标人支付，具体方式及标准为：</w:t>
            </w:r>
            <w:r>
              <w:rPr>
                <w:rFonts w:hint="eastAsia" w:ascii="方正仿宋_GB2312" w:hAnsi="方正仿宋_GB2312" w:eastAsia="方正仿宋_GB2312" w:cs="方正仿宋_GB2312"/>
                <w:b/>
                <w:bCs/>
                <w:color w:val="000000" w:themeColor="text1"/>
                <w:sz w:val="24"/>
                <w:szCs w:val="24"/>
                <w:highlight w:val="none"/>
                <w:lang w:val="en-US" w:eastAsia="zh-CN" w:bidi="ar-SA"/>
              </w:rPr>
              <w:t xml:space="preserve">苏招协[2022]002招标代理服务收费指导意见标准*60%支付代理费。</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r>
      <w:tr>
        <w:trPr/>
        <w:tc>
          <w:tcPr>
            <w:tcW w:w="858" w:type="dxa"/>
            <w:vAlign w:val="center"/>
            <w:textDirection w:val="lrTb"/>
            <w:noWrap w:val="false"/>
          </w:tcPr>
          <w:p>
            <w:pPr>
              <w:pStyle w:val="799"/>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10</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772" w:type="dxa"/>
            <w:vAlign w:val="center"/>
            <w:textDirection w:val="lrTb"/>
            <w:noWrap w:val="false"/>
          </w:tcPr>
          <w:p>
            <w:pPr>
              <w:pStyle w:val="799"/>
              <w:jc w:val="center"/>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其他</w:t>
            </w:r>
            <w:bookmarkEnd w:id="60"/>
            <w:r>
              <w:rPr>
                <w:color w:val="000000" w:themeColor="text1"/>
              </w:rPr>
            </w:r>
            <w:bookmarkEnd w:id="61"/>
            <w:r>
              <w:rPr>
                <w:color w:val="000000" w:themeColor="text1"/>
              </w:rPr>
            </w:r>
            <w:bookmarkEnd w:id="62"/>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6579" w:type="dxa"/>
            <w:vAlign w:val="center"/>
            <w:textDirection w:val="lrTb"/>
            <w:noWrap w:val="false"/>
          </w:tcPr>
          <w:p>
            <w:pPr>
              <w:pStyle w:val="799"/>
              <w:jc w:val="left"/>
              <w:spacing w:line="400" w:lineRule="exact"/>
              <w:widowControl w:val="off"/>
              <w:rPr>
                <w:rFonts w:hint="eastAsia" w:ascii="方正仿宋_GB2312" w:hAnsi="方正仿宋_GB2312" w:eastAsia="方正仿宋_GB2312" w:cs="方正仿宋_GB2312"/>
                <w:color w:val="000000" w:themeColor="text1"/>
                <w:sz w:val="24"/>
                <w:szCs w:val="24"/>
                <w:highlight w:val="none"/>
              </w:rPr>
              <w:framePr w:vAnchor="text" w:hAnchor="page" w:x="1530" w:y="228"/>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信用信息查询截止时间：资格审查结束前。由采购人在资格审查现场查询信用信息，网页截屏打印，查询结果留存并归档。</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r>
    </w:tbl>
    <w:p>
      <w:pPr>
        <w:pStyle w:val="799"/>
        <w:rPr>
          <w:rFonts w:hint="eastAsia" w:ascii="方正仿宋_GB2312" w:hAnsi="方正仿宋_GB2312" w:eastAsia="方正仿宋_GB2312" w:cs="方正仿宋_GB2312"/>
          <w:color w:val="000000" w:themeColor="text1"/>
          <w:sz w:val="20"/>
          <w:highlight w:val="none"/>
        </w:rPr>
      </w:pPr>
      <w:r>
        <w:rPr>
          <w:rFonts w:hint="eastAsia" w:ascii="方正仿宋_GB2312" w:hAnsi="方正仿宋_GB2312" w:eastAsia="方正仿宋_GB2312" w:cs="方正仿宋_GB2312"/>
          <w:color w:val="000000" w:themeColor="text1"/>
          <w:sz w:val="20"/>
          <w:highlight w:val="none"/>
        </w:rPr>
      </w:r>
      <w:r>
        <w:rPr>
          <w:color w:val="000000" w:themeColor="text1"/>
        </w:rPr>
      </w:r>
    </w:p>
    <w:p>
      <w:pPr>
        <w:pStyle w:val="849"/>
        <w:ind w:firstLine="340"/>
        <w:spacing w:before="0" w:after="0" w:line="480" w:lineRule="exact"/>
        <w:rPr>
          <w:rFonts w:hint="eastAsia" w:ascii="方正仿宋_GB2312" w:hAnsi="方正仿宋_GB2312" w:eastAsia="方正仿宋_GB2312" w:cs="方正仿宋_GB2312"/>
          <w:bCs/>
          <w:color w:val="000000" w:themeColor="text1"/>
          <w:highlight w:val="none"/>
        </w:rPr>
      </w:pPr>
      <w:r>
        <w:rPr>
          <w:color w:val="000000" w:themeColor="text1"/>
        </w:rPr>
      </w:r>
      <w:bookmarkStart w:id="70" w:name="EB6eaaf474639940df900ef4965d71f450"/>
      <w:r>
        <w:rPr>
          <w:color w:val="000000" w:themeColor="text1"/>
        </w:rPr>
      </w:r>
      <w:bookmarkEnd w:id="70"/>
      <w:r>
        <w:rPr>
          <w:color w:val="000000" w:themeColor="text1"/>
        </w:rPr>
      </w:r>
      <w:bookmarkStart w:id="71" w:name="_Toc81575192"/>
      <w:r>
        <w:rPr>
          <w:color w:val="000000" w:themeColor="text1"/>
        </w:rPr>
      </w:r>
      <w:bookmarkStart w:id="72" w:name="_Toc30953"/>
      <w:r>
        <w:rPr>
          <w:color w:val="000000" w:themeColor="text1"/>
        </w:rPr>
      </w:r>
      <w:bookmarkStart w:id="73" w:name="_Toc81575155"/>
      <w:r>
        <w:rPr>
          <w:color w:val="000000" w:themeColor="text1"/>
        </w:rPr>
      </w:r>
      <w:bookmarkStart w:id="74" w:name="_Toc8239"/>
      <w:r>
        <w:rPr>
          <w:rFonts w:hint="eastAsia" w:ascii="方正仿宋_GB2312" w:hAnsi="方正仿宋_GB2312" w:eastAsia="方正仿宋_GB2312" w:cs="方正仿宋_GB2312"/>
          <w:bCs/>
          <w:color w:val="000000" w:themeColor="text1"/>
          <w:highlight w:val="none"/>
        </w:rPr>
        <w:br w:type="page" w:clear="all"/>
      </w:r>
      <w:r>
        <w:rPr>
          <w:rFonts w:hint="eastAsia" w:ascii="方正仿宋_GB2312" w:hAnsi="方正仿宋_GB2312" w:eastAsia="方正仿宋_GB2312" w:cs="方正仿宋_GB2312"/>
          <w:bCs/>
          <w:color w:val="000000" w:themeColor="text1"/>
          <w:highlight w:val="none"/>
        </w:rPr>
        <w:t xml:space="preserve">一、总 则</w:t>
      </w:r>
      <w:bookmarkEnd w:id="71"/>
      <w:r>
        <w:rPr>
          <w:color w:val="000000" w:themeColor="text1"/>
        </w:rPr>
      </w:r>
      <w:bookmarkEnd w:id="72"/>
      <w:r>
        <w:rPr>
          <w:color w:val="000000" w:themeColor="text1"/>
        </w:rPr>
      </w:r>
      <w:bookmarkEnd w:id="73"/>
      <w:r>
        <w:rPr>
          <w:color w:val="000000" w:themeColor="text1"/>
        </w:rPr>
      </w:r>
      <w:bookmarkEnd w:id="74"/>
      <w:r>
        <w:rPr>
          <w:rFonts w:hint="eastAsia" w:ascii="方正仿宋_GB2312" w:hAnsi="方正仿宋_GB2312" w:eastAsia="方正仿宋_GB2312" w:cs="方正仿宋_GB2312"/>
          <w:bCs/>
          <w:color w:val="000000" w:themeColor="text1"/>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1.</w:t>
      </w:r>
      <w:r>
        <w:rPr>
          <w:rFonts w:hint="eastAsia" w:ascii="方正仿宋_GB2312" w:hAnsi="方正仿宋_GB2312" w:eastAsia="方正仿宋_GB2312" w:cs="方正仿宋_GB2312"/>
          <w:b/>
          <w:color w:val="000000" w:themeColor="text1"/>
          <w:sz w:val="24"/>
          <w:highlight w:val="none"/>
        </w:rPr>
        <w:t xml:space="preserve">招标方式</w:t>
      </w:r>
      <w:r>
        <w:rPr>
          <w:rFonts w:hint="eastAsia" w:ascii="方正仿宋_GB2312" w:hAnsi="方正仿宋_GB2312" w:eastAsia="方正仿宋_GB2312" w:cs="方正仿宋_GB2312"/>
          <w:b/>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本次采购采取公开招标方式。</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2.</w:t>
      </w:r>
      <w:r>
        <w:rPr>
          <w:rFonts w:hint="eastAsia" w:ascii="方正仿宋_GB2312" w:hAnsi="方正仿宋_GB2312" w:eastAsia="方正仿宋_GB2312" w:cs="方正仿宋_GB2312"/>
          <w:b/>
          <w:color w:val="000000" w:themeColor="text1"/>
          <w:sz w:val="24"/>
          <w:highlight w:val="none"/>
        </w:rPr>
        <w:t xml:space="preserve">合格的投标人</w:t>
      </w:r>
      <w:r>
        <w:rPr>
          <w:rFonts w:hint="eastAsia" w:ascii="方正仿宋_GB2312" w:hAnsi="方正仿宋_GB2312" w:eastAsia="方正仿宋_GB2312" w:cs="方正仿宋_GB2312"/>
          <w:b/>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2.1合格的投标人必须符合招标文件第一章《投标邀请》第二条及投标人须知前附表相关规定，且具备完成本项目的能力，中标后不允许转包。</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2.2满足本文件实质性要求的规定。</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3.</w:t>
      </w:r>
      <w:r>
        <w:rPr>
          <w:rFonts w:hint="eastAsia" w:ascii="方正仿宋_GB2312" w:hAnsi="方正仿宋_GB2312" w:eastAsia="方正仿宋_GB2312" w:cs="方正仿宋_GB2312"/>
          <w:b/>
          <w:color w:val="000000" w:themeColor="text1"/>
          <w:sz w:val="24"/>
          <w:highlight w:val="none"/>
        </w:rPr>
        <w:t xml:space="preserve">适用法律和标准</w:t>
      </w:r>
      <w:r>
        <w:rPr>
          <w:rFonts w:hint="eastAsia" w:ascii="方正仿宋_GB2312" w:hAnsi="方正仿宋_GB2312" w:eastAsia="方正仿宋_GB2312" w:cs="方正仿宋_GB2312"/>
          <w:b/>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3.1本次招标及由招标产生的合同受中华人民共和国的相关法律、法规制约和保护。</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3.2在本项目政府采购活动过程中，如果所执行的标准有更新的，按照最新标准执行。</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4.</w:t>
      </w:r>
      <w:r>
        <w:rPr>
          <w:rFonts w:hint="eastAsia" w:ascii="方正仿宋_GB2312" w:hAnsi="方正仿宋_GB2312" w:eastAsia="方正仿宋_GB2312" w:cs="方正仿宋_GB2312"/>
          <w:b/>
          <w:color w:val="000000" w:themeColor="text1"/>
          <w:sz w:val="24"/>
          <w:highlight w:val="none"/>
        </w:rPr>
        <w:t xml:space="preserve">投标费用</w:t>
      </w:r>
      <w:r>
        <w:rPr>
          <w:rFonts w:hint="eastAsia" w:ascii="方正仿宋_GB2312" w:hAnsi="方正仿宋_GB2312" w:eastAsia="方正仿宋_GB2312" w:cs="方正仿宋_GB2312"/>
          <w:b/>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投标人应自行承担所有参加投标有关的费用。</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849"/>
        <w:ind w:firstLine="340"/>
        <w:spacing w:before="0" w:after="0" w:line="480" w:lineRule="exact"/>
        <w:rPr>
          <w:rFonts w:hint="eastAsia" w:ascii="方正仿宋_GB2312" w:hAnsi="方正仿宋_GB2312" w:eastAsia="方正仿宋_GB2312" w:cs="方正仿宋_GB2312"/>
          <w:bCs/>
          <w:color w:val="000000" w:themeColor="text1"/>
          <w:highlight w:val="none"/>
        </w:rPr>
      </w:pPr>
      <w:r>
        <w:rPr>
          <w:color w:val="000000" w:themeColor="text1"/>
        </w:rPr>
      </w:r>
      <w:bookmarkStart w:id="75" w:name="_Toc81575156"/>
      <w:r>
        <w:rPr>
          <w:color w:val="000000" w:themeColor="text1"/>
        </w:rPr>
      </w:r>
      <w:bookmarkStart w:id="76" w:name="_Toc29306"/>
      <w:r>
        <w:rPr>
          <w:color w:val="000000" w:themeColor="text1"/>
        </w:rPr>
      </w:r>
      <w:bookmarkStart w:id="77" w:name="_Toc15995"/>
      <w:r>
        <w:rPr>
          <w:color w:val="000000" w:themeColor="text1"/>
        </w:rPr>
      </w:r>
      <w:bookmarkStart w:id="78" w:name="_Toc81575193"/>
      <w:r>
        <w:rPr>
          <w:rFonts w:hint="eastAsia" w:ascii="方正仿宋_GB2312" w:hAnsi="方正仿宋_GB2312" w:eastAsia="方正仿宋_GB2312" w:cs="方正仿宋_GB2312"/>
          <w:bCs/>
          <w:color w:val="000000" w:themeColor="text1"/>
          <w:highlight w:val="none"/>
        </w:rPr>
        <w:t xml:space="preserve">二、招标文件</w:t>
      </w:r>
      <w:bookmarkEnd w:id="75"/>
      <w:r>
        <w:rPr>
          <w:color w:val="000000" w:themeColor="text1"/>
        </w:rPr>
      </w:r>
      <w:bookmarkEnd w:id="76"/>
      <w:r>
        <w:rPr>
          <w:color w:val="000000" w:themeColor="text1"/>
        </w:rPr>
      </w:r>
      <w:bookmarkEnd w:id="77"/>
      <w:r>
        <w:rPr>
          <w:color w:val="000000" w:themeColor="text1"/>
        </w:rPr>
      </w:r>
      <w:bookmarkEnd w:id="78"/>
      <w:r>
        <w:rPr>
          <w:rFonts w:hint="eastAsia" w:ascii="方正仿宋_GB2312" w:hAnsi="方正仿宋_GB2312" w:eastAsia="方正仿宋_GB2312" w:cs="方正仿宋_GB2312"/>
          <w:bCs/>
          <w:color w:val="000000" w:themeColor="text1"/>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5.</w:t>
      </w:r>
      <w:r>
        <w:rPr>
          <w:rFonts w:hint="eastAsia" w:ascii="方正仿宋_GB2312" w:hAnsi="方正仿宋_GB2312" w:eastAsia="方正仿宋_GB2312" w:cs="方正仿宋_GB2312"/>
          <w:b/>
          <w:color w:val="000000" w:themeColor="text1"/>
          <w:sz w:val="24"/>
          <w:highlight w:val="none"/>
        </w:rPr>
        <w:t xml:space="preserve">招标文件构成</w:t>
      </w:r>
      <w:r>
        <w:rPr>
          <w:rFonts w:hint="eastAsia" w:ascii="方正仿宋_GB2312" w:hAnsi="方正仿宋_GB2312" w:eastAsia="方正仿宋_GB2312" w:cs="方正仿宋_GB2312"/>
          <w:b/>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5.1招标文件由以下部分组成：</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第一章：投标邀请；</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第二章：投标人须知；</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第三章：资格审查及评标办法；</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第四章：采购需求；</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第五章：合同文本；</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第六章：投标文件格式。</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请仔细检查招标文件是否齐全，如有缺漏请立即与代理机构联系解决。</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5.2投标人应认真阅读招标文件中所有的事项、格式、条款和规范等要求，按招标文件要求和规定编制投标文件。</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6.</w:t>
      </w:r>
      <w:r>
        <w:rPr>
          <w:rFonts w:hint="eastAsia" w:ascii="方正仿宋_GB2312" w:hAnsi="方正仿宋_GB2312" w:eastAsia="方正仿宋_GB2312" w:cs="方正仿宋_GB2312"/>
          <w:b/>
          <w:color w:val="000000" w:themeColor="text1"/>
          <w:sz w:val="24"/>
          <w:highlight w:val="none"/>
        </w:rPr>
        <w:t xml:space="preserve">政府采购政策功能落实</w:t>
      </w:r>
      <w:r>
        <w:rPr>
          <w:rFonts w:hint="eastAsia" w:ascii="方正仿宋_GB2312" w:hAnsi="方正仿宋_GB2312" w:eastAsia="方正仿宋_GB2312" w:cs="方正仿宋_GB2312"/>
          <w:b/>
          <w:color w:val="000000" w:themeColor="text1"/>
          <w:sz w:val="24"/>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
          <w:bCs/>
          <w:color w:val="000000" w:themeColor="text1"/>
          <w:sz w:val="24"/>
          <w:highlight w:val="none"/>
          <w:u w:val="single"/>
        </w:rPr>
      </w:pPr>
      <w:r>
        <w:rPr>
          <w:rFonts w:hint="eastAsia" w:ascii="方正仿宋_GB2312" w:hAnsi="方正仿宋_GB2312" w:eastAsia="方正仿宋_GB2312" w:cs="方正仿宋_GB2312"/>
          <w:b/>
          <w:bCs/>
          <w:color w:val="000000" w:themeColor="text1"/>
          <w:sz w:val="24"/>
          <w:highlight w:val="none"/>
        </w:rPr>
        <w:t xml:space="preserve">本项目落实的政府采购政策对应序号为</w:t>
      </w:r>
      <w:r>
        <w:rPr>
          <w:rFonts w:hint="eastAsia" w:ascii="方正仿宋_GB2312" w:hAnsi="方正仿宋_GB2312" w:eastAsia="方正仿宋_GB2312" w:cs="方正仿宋_GB2312"/>
          <w:b/>
          <w:bCs/>
          <w:color w:val="000000" w:themeColor="text1"/>
          <w:sz w:val="24"/>
          <w:highlight w:val="none"/>
          <w:u w:val="single"/>
        </w:rPr>
        <w:t xml:space="preserve">6.1</w:t>
      </w:r>
      <w:r>
        <w:rPr>
          <w:rFonts w:hint="eastAsia" w:ascii="方正仿宋_GB2312" w:hAnsi="方正仿宋_GB2312" w:eastAsia="方正仿宋_GB2312" w:cs="方正仿宋_GB2312"/>
          <w:b/>
          <w:bCs/>
          <w:color w:val="000000" w:themeColor="text1"/>
          <w:sz w:val="24"/>
          <w:highlight w:val="none"/>
          <w:u w:val="singl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6.1中小企业政策</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本项目按第</w:t>
      </w:r>
      <w:r>
        <w:rPr>
          <w:rFonts w:hint="eastAsia" w:ascii="方正仿宋_GB2312" w:hAnsi="方正仿宋_GB2312" w:eastAsia="方正仿宋_GB2312" w:cs="方正仿宋_GB2312"/>
          <w:b/>
          <w:bCs/>
          <w:color w:val="000000" w:themeColor="text1"/>
          <w:sz w:val="24"/>
          <w:highlight w:val="none"/>
          <w:u w:val="single"/>
        </w:rPr>
        <w:t xml:space="preserve">（</w:t>
      </w:r>
      <w:r>
        <w:rPr>
          <w:rFonts w:hint="eastAsia" w:ascii="方正仿宋_GB2312" w:hAnsi="方正仿宋_GB2312" w:eastAsia="方正仿宋_GB2312" w:cs="方正仿宋_GB2312"/>
          <w:b/>
          <w:bCs/>
          <w:color w:val="000000" w:themeColor="text1"/>
          <w:sz w:val="24"/>
          <w:highlight w:val="none"/>
          <w:u w:val="single"/>
          <w:lang w:val="en-US" w:eastAsia="zh-CN"/>
        </w:rPr>
        <w:t xml:space="preserve">1</w:t>
      </w:r>
      <w:r>
        <w:rPr>
          <w:rFonts w:hint="eastAsia" w:ascii="方正仿宋_GB2312" w:hAnsi="方正仿宋_GB2312" w:eastAsia="方正仿宋_GB2312" w:cs="方正仿宋_GB2312"/>
          <w:b/>
          <w:bCs/>
          <w:color w:val="000000" w:themeColor="text1"/>
          <w:sz w:val="24"/>
          <w:highlight w:val="none"/>
          <w:u w:val="single"/>
        </w:rPr>
        <w:t xml:space="preserve">）</w:t>
      </w:r>
      <w:r>
        <w:rPr>
          <w:rFonts w:hint="eastAsia" w:ascii="方正仿宋_GB2312" w:hAnsi="方正仿宋_GB2312" w:eastAsia="方正仿宋_GB2312" w:cs="方正仿宋_GB2312"/>
          <w:color w:val="000000" w:themeColor="text1"/>
          <w:sz w:val="24"/>
          <w:highlight w:val="none"/>
        </w:rPr>
        <w:t xml:space="preserve">种政策落实：</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b/>
          <w:bCs/>
          <w:color w:val="000000" w:themeColor="text1"/>
          <w:sz w:val="24"/>
          <w:highlight w:val="none"/>
        </w:rPr>
      </w:pPr>
      <w:r>
        <w:rPr>
          <w:rFonts w:hint="eastAsia" w:ascii="方正仿宋_GB2312" w:hAnsi="方正仿宋_GB2312" w:eastAsia="方正仿宋_GB2312" w:cs="方正仿宋_GB2312"/>
          <w:b/>
          <w:bCs/>
          <w:color w:val="000000" w:themeColor="text1"/>
          <w:sz w:val="24"/>
          <w:highlight w:val="none"/>
        </w:rPr>
        <w:t xml:space="preserve">（1）本项目专门面向中小企业（含监狱与戒毒企业、残疾人福利企业）采购。</w:t>
      </w:r>
      <w:r>
        <w:rPr>
          <w:rFonts w:hint="eastAsia" w:ascii="方正仿宋_GB2312" w:hAnsi="方正仿宋_GB2312" w:eastAsia="方正仿宋_GB2312" w:cs="方正仿宋_GB2312"/>
          <w:b/>
          <w:bCs/>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b w:val="0"/>
          <w:bCs w:val="0"/>
          <w:color w:val="000000" w:themeColor="text1"/>
          <w:sz w:val="24"/>
          <w:highlight w:val="none"/>
        </w:rPr>
      </w:pPr>
      <w:r>
        <w:rPr>
          <w:rFonts w:hint="eastAsia" w:ascii="方正仿宋_GB2312" w:hAnsi="方正仿宋_GB2312" w:eastAsia="方正仿宋_GB2312" w:cs="方正仿宋_GB2312"/>
          <w:b w:val="0"/>
          <w:bCs w:val="0"/>
          <w:color w:val="000000" w:themeColor="text1"/>
          <w:sz w:val="24"/>
          <w:highlight w:val="none"/>
        </w:rPr>
        <w:t xml:space="preserve">（2）对符合规定情形的小微企业报价给予</w:t>
      </w:r>
      <w:r>
        <w:rPr>
          <w:rFonts w:hint="eastAsia" w:ascii="方正仿宋_GB2312" w:hAnsi="方正仿宋_GB2312" w:eastAsia="方正仿宋_GB2312" w:cs="方正仿宋_GB2312"/>
          <w:b w:val="0"/>
          <w:bCs w:val="0"/>
          <w:color w:val="000000" w:themeColor="text1"/>
          <w:sz w:val="24"/>
          <w:highlight w:val="none"/>
          <w:u w:val="single"/>
          <w:lang w:val="en-US" w:eastAsia="zh-CN"/>
        </w:rPr>
        <w:t xml:space="preserve"> / </w:t>
      </w:r>
      <w:r>
        <w:rPr>
          <w:rFonts w:hint="eastAsia" w:ascii="方正仿宋_GB2312" w:hAnsi="方正仿宋_GB2312" w:eastAsia="方正仿宋_GB2312" w:cs="方正仿宋_GB2312"/>
          <w:b w:val="0"/>
          <w:bCs w:val="0"/>
          <w:color w:val="000000" w:themeColor="text1"/>
          <w:sz w:val="24"/>
          <w:highlight w:val="none"/>
          <w:u w:val="none"/>
        </w:rPr>
        <w:t xml:space="preserve">%</w:t>
      </w:r>
      <w:r>
        <w:rPr>
          <w:rFonts w:hint="eastAsia" w:ascii="方正仿宋_GB2312" w:hAnsi="方正仿宋_GB2312" w:eastAsia="方正仿宋_GB2312" w:cs="方正仿宋_GB2312"/>
          <w:b w:val="0"/>
          <w:bCs w:val="0"/>
          <w:color w:val="000000" w:themeColor="text1"/>
          <w:sz w:val="24"/>
          <w:highlight w:val="none"/>
        </w:rPr>
        <w:t xml:space="preserve">扣除，用扣除后的价格参加评审。</w:t>
      </w:r>
      <w:r>
        <w:rPr>
          <w:rFonts w:hint="eastAsia" w:ascii="方正仿宋_GB2312" w:hAnsi="方正仿宋_GB2312" w:eastAsia="方正仿宋_GB2312" w:cs="方正仿宋_GB2312"/>
          <w:b w:val="0"/>
          <w:bCs w:val="0"/>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b/>
          <w:bCs/>
          <w:color w:val="000000" w:themeColor="text1"/>
          <w:sz w:val="24"/>
          <w:highlight w:val="none"/>
        </w:rPr>
      </w:pPr>
      <w:r>
        <w:rPr>
          <w:rFonts w:hint="eastAsia" w:ascii="方正仿宋_GB2312" w:hAnsi="方正仿宋_GB2312" w:eastAsia="方正仿宋_GB2312" w:cs="方正仿宋_GB2312"/>
          <w:b/>
          <w:bCs/>
          <w:color w:val="000000" w:themeColor="text1"/>
          <w:sz w:val="24"/>
          <w:highlight w:val="none"/>
        </w:rPr>
        <w:t xml:space="preserve">在服务采购项目中，服务由中小企业承接，即提供服务的人员为中小企业依照《中华人民共和国劳动合同法》订立劳动合同的从业人员。</w:t>
      </w:r>
      <w:r>
        <w:rPr>
          <w:rFonts w:hint="eastAsia" w:ascii="方正仿宋_GB2312" w:hAnsi="方正仿宋_GB2312" w:eastAsia="方正仿宋_GB2312" w:cs="方正仿宋_GB2312"/>
          <w:b/>
          <w:bCs/>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在货物采购项目中，货物由中小企业制造，即货物由中小企业生产且使用该中小企业商号或者注册商标。</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方正仿宋_GB2312" w:hAnsi="方正仿宋_GB2312" w:eastAsia="方正仿宋_GB2312" w:cs="方正仿宋_GB2312"/>
          <w:color w:val="000000" w:themeColor="text1"/>
          <w:sz w:val="24"/>
          <w:highlight w:val="none"/>
          <w:lang w:eastAsia="zh-CN"/>
        </w:rPr>
        <w:t xml:space="preserve">（</w:t>
      </w:r>
      <w:r>
        <w:rPr>
          <w:rFonts w:hint="eastAsia" w:ascii="方正仿宋_GB2312" w:hAnsi="方正仿宋_GB2312" w:eastAsia="方正仿宋_GB2312" w:cs="方正仿宋_GB2312"/>
          <w:color w:val="000000" w:themeColor="text1"/>
          <w:sz w:val="24"/>
          <w:highlight w:val="none"/>
        </w:rPr>
        <w:t xml:space="preserve">含新疆生产建设兵团</w:t>
      </w:r>
      <w:r>
        <w:rPr>
          <w:rFonts w:hint="eastAsia" w:ascii="方正仿宋_GB2312" w:hAnsi="方正仿宋_GB2312" w:eastAsia="方正仿宋_GB2312" w:cs="方正仿宋_GB2312"/>
          <w:color w:val="000000" w:themeColor="text1"/>
          <w:sz w:val="24"/>
          <w:highlight w:val="none"/>
          <w:lang w:eastAsia="zh-CN"/>
        </w:rPr>
        <w:t xml:space="preserve">）</w:t>
      </w:r>
      <w:r>
        <w:rPr>
          <w:rFonts w:hint="eastAsia" w:ascii="方正仿宋_GB2312" w:hAnsi="方正仿宋_GB2312" w:eastAsia="方正仿宋_GB2312" w:cs="方正仿宋_GB2312"/>
          <w:color w:val="000000" w:themeColor="text1"/>
          <w:sz w:val="24"/>
          <w:highlight w:val="none"/>
        </w:rPr>
        <w:t xml:space="preserve">出具的属于监狱企业的证明文件</w:t>
      </w:r>
      <w:r>
        <w:rPr>
          <w:rFonts w:hint="eastAsia" w:ascii="方正仿宋_GB2312" w:hAnsi="方正仿宋_GB2312" w:eastAsia="方正仿宋_GB2312" w:cs="方正仿宋_GB2312"/>
          <w:color w:val="000000" w:themeColor="text1"/>
          <w:sz w:val="24"/>
          <w:highlight w:val="none"/>
          <w:lang w:eastAsia="zh-CN"/>
        </w:rPr>
        <w:t xml:space="preserve">（在</w:t>
      </w:r>
      <w:r>
        <w:rPr>
          <w:rFonts w:hint="eastAsia" w:ascii="方正仿宋_GB2312" w:hAnsi="方正仿宋_GB2312" w:eastAsia="方正仿宋_GB2312" w:cs="方正仿宋_GB2312"/>
          <w:color w:val="000000" w:themeColor="text1"/>
          <w:sz w:val="24"/>
          <w:highlight w:val="none"/>
        </w:rPr>
        <w:t xml:space="preserve">投标文件中上传加盖出具单位公章的电子件）。</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方正仿宋_GB2312" w:hAnsi="方正仿宋_GB2312" w:eastAsia="方正仿宋_GB2312" w:cs="方正仿宋_GB2312"/>
          <w:color w:val="000000" w:themeColor="text1"/>
          <w:sz w:val="24"/>
          <w:highlight w:val="none"/>
          <w:u w:val="single"/>
        </w:rPr>
        <w:t xml:space="preserve">5</w:t>
      </w:r>
      <w:r>
        <w:rPr>
          <w:rFonts w:hint="eastAsia" w:ascii="方正仿宋_GB2312" w:hAnsi="方正仿宋_GB2312" w:eastAsia="方正仿宋_GB2312" w:cs="方正仿宋_GB2312"/>
          <w:color w:val="000000" w:themeColor="text1"/>
          <w:sz w:val="24"/>
          <w:highlight w:val="none"/>
        </w:rPr>
        <w:t xml:space="preserve">%（工程项目为</w:t>
      </w:r>
      <w:r>
        <w:rPr>
          <w:rFonts w:hint="eastAsia" w:ascii="方正仿宋_GB2312" w:hAnsi="方正仿宋_GB2312" w:eastAsia="方正仿宋_GB2312" w:cs="方正仿宋_GB2312"/>
          <w:color w:val="000000" w:themeColor="text1"/>
          <w:sz w:val="24"/>
          <w:highlight w:val="none"/>
          <w:u w:val="single"/>
        </w:rPr>
        <w:t xml:space="preserve">2</w:t>
      </w:r>
      <w:r>
        <w:rPr>
          <w:rFonts w:hint="eastAsia" w:ascii="方正仿宋_GB2312" w:hAnsi="方正仿宋_GB2312" w:eastAsia="方正仿宋_GB2312" w:cs="方正仿宋_GB2312"/>
          <w:color w:val="000000" w:themeColor="text1"/>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方正仿宋_GB2312" w:hAnsi="方正仿宋_GB2312" w:eastAsia="方正仿宋_GB2312" w:cs="方正仿宋_GB2312"/>
          <w:color w:val="000000" w:themeColor="text1"/>
          <w:sz w:val="24"/>
          <w:highlight w:val="none"/>
          <w:lang w:eastAsia="zh-CN"/>
        </w:rPr>
        <w:t xml:space="preserve">”“</w:t>
      </w:r>
      <w:r>
        <w:rPr>
          <w:rFonts w:hint="eastAsia" w:ascii="方正仿宋_GB2312" w:hAnsi="方正仿宋_GB2312" w:eastAsia="方正仿宋_GB2312" w:cs="方正仿宋_GB2312"/>
          <w:color w:val="000000" w:themeColor="text1"/>
          <w:sz w:val="24"/>
          <w:highlight w:val="none"/>
        </w:rPr>
        <w:t xml:space="preserve">采购需求”相关内容为准。）</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⑤联合体各方均为小型、微型企业（残疾人福利单位、监狱企业）的，联合体享受15%价格扣除，用扣除后的价格参与评审。</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6.2采购本国产品的支持政策</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6.2.1 </w:t>
      </w:r>
      <w:r>
        <w:rPr>
          <w:rFonts w:hint="eastAsia" w:ascii="方正仿宋_GB2312" w:hAnsi="方正仿宋_GB2312" w:eastAsia="方正仿宋_GB2312" w:cs="方正仿宋_GB2312"/>
          <w:bCs/>
          <w:color w:val="000000" w:themeColor="text1"/>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b w:val="0"/>
          <w:bCs w:val="0"/>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6.2.2本项目政府采购活动中既有本国产品又有非本国产品参与竞争的，依法对本</w:t>
      </w:r>
      <w:r>
        <w:rPr>
          <w:rFonts w:hint="eastAsia" w:ascii="方正仿宋_GB2312" w:hAnsi="方正仿宋_GB2312" w:eastAsia="方正仿宋_GB2312" w:cs="方正仿宋_GB2312"/>
          <w:b w:val="0"/>
          <w:bCs w:val="0"/>
          <w:color w:val="000000" w:themeColor="text1"/>
          <w:sz w:val="24"/>
          <w:highlight w:val="none"/>
        </w:rPr>
        <w:t xml:space="preserve">国产品给予价格评审优惠，对本国产品的报价给予</w:t>
      </w:r>
      <w:r>
        <w:rPr>
          <w:rFonts w:hint="eastAsia" w:ascii="方正仿宋_GB2312" w:hAnsi="方正仿宋_GB2312" w:eastAsia="方正仿宋_GB2312" w:cs="方正仿宋_GB2312"/>
          <w:b w:val="0"/>
          <w:bCs w:val="0"/>
          <w:color w:val="000000" w:themeColor="text1"/>
          <w:sz w:val="24"/>
          <w:highlight w:val="none"/>
          <w:u w:val="single"/>
        </w:rPr>
        <w:t xml:space="preserve">20%</w:t>
      </w:r>
      <w:r>
        <w:rPr>
          <w:rFonts w:hint="eastAsia" w:ascii="方正仿宋_GB2312" w:hAnsi="方正仿宋_GB2312" w:eastAsia="方正仿宋_GB2312" w:cs="方正仿宋_GB2312"/>
          <w:b w:val="0"/>
          <w:bCs w:val="0"/>
          <w:color w:val="000000" w:themeColor="text1"/>
          <w:sz w:val="24"/>
          <w:highlight w:val="none"/>
        </w:rPr>
        <w:t xml:space="preserve">的价格扣除，用扣除后的价格参与评审。</w:t>
      </w:r>
      <w:r>
        <w:rPr>
          <w:rFonts w:hint="eastAsia" w:ascii="方正仿宋_GB2312" w:hAnsi="方正仿宋_GB2312" w:eastAsia="方正仿宋_GB2312" w:cs="方正仿宋_GB2312"/>
          <w:b w:val="0"/>
          <w:bCs w:val="0"/>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b w:val="0"/>
          <w:bCs w:val="0"/>
          <w:color w:val="000000" w:themeColor="text1"/>
          <w:sz w:val="24"/>
          <w:highlight w:val="none"/>
        </w:rPr>
        <w:t xml:space="preserve">6.2.3 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w:t>
      </w:r>
      <w:r>
        <w:rPr>
          <w:rFonts w:hint="eastAsia" w:ascii="方正仿宋_GB2312" w:hAnsi="方正仿宋_GB2312" w:eastAsia="方正仿宋_GB2312" w:cs="方正仿宋_GB2312"/>
          <w:color w:val="000000" w:themeColor="text1"/>
          <w:sz w:val="24"/>
          <w:highlight w:val="none"/>
        </w:rPr>
        <w:t xml:space="preserve">对该投标人提供的全部产品的总报价给予20%的价格扣除，用扣除后的价格参与评审。投标人未填写比例数值，或比例数值未达到80%的，将不享受本国产品价格评审优惠。</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6.2.4 投标人需按照招标文件的要求提供《关于符合本国产品标准的声明函》，如不提供将不享受本国产品价格评审优惠。</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6.3节能产品、环境标志产品</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6.3.1拟采购的产品属于政府强制采购的节能产品品目清单范围的，投标人须提供国家确定的认证机构出具的、处于有效期之内的节能产品认证证书，否则其投标文件作无效标处理。</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6.3.2采购人拟采购的产品属于优先采购的节能产品、环境标志产品清单范围的，按以下条件优先采购：</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采用综合评分法的项目，对提供有效节能产品、环境标志证书产品的投标人加分。</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采用最低评标价法的项目，同等条件下优先推荐提供有效节能产品、环境标志产品证书多的投标人为中标人。</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6.4政府采购需求标准</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6.4.1商品包装、快递包装政府采购需求标准（试行）</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按照财政部印发的《商品包装政府采购需求标准（试行）》《快递包装政府采购需求标准（试行）》要求执行，本项目商品包装和快递包装的具体需求详见第四章采购需求。</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6.4.2绿色数据中心政府采购需求标准（试行）</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按照财政部 生态环境部 工业和信息化部关于印发《绿色数据中心政府采购需求标准（试行）》的通知）要求执行，本项目绿色数据中心的具体需求详见第四章采购需求。</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6.4.3绿色建材政府采购需求标准</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7.</w:t>
      </w:r>
      <w:r>
        <w:rPr>
          <w:rFonts w:hint="eastAsia" w:ascii="方正仿宋_GB2312" w:hAnsi="方正仿宋_GB2312" w:eastAsia="方正仿宋_GB2312" w:cs="方正仿宋_GB2312"/>
          <w:b/>
          <w:color w:val="000000" w:themeColor="text1"/>
          <w:sz w:val="24"/>
          <w:highlight w:val="none"/>
        </w:rPr>
        <w:t xml:space="preserve">招标文件的澄清或修改</w:t>
      </w:r>
      <w:r>
        <w:rPr>
          <w:rFonts w:hint="eastAsia" w:ascii="方正仿宋_GB2312" w:hAnsi="方正仿宋_GB2312" w:eastAsia="方正仿宋_GB2312" w:cs="方正仿宋_GB2312"/>
          <w:b/>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7.2招标文件的澄清、修改将在原公告媒体上发布更正公告，澄清、修改文件均作为招标文件的组成部分，并对投标人具有约束力。</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7.3投标人应及时登录“苏采云”系统获取、查看澄清答疑文件（修改后的招标文件），否则造成的相关责任由投标人承担。</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849"/>
        <w:ind w:firstLine="340"/>
        <w:spacing w:before="0" w:after="0" w:line="480" w:lineRule="exact"/>
        <w:rPr>
          <w:rFonts w:hint="eastAsia" w:ascii="方正仿宋_GB2312" w:hAnsi="方正仿宋_GB2312" w:eastAsia="方正仿宋_GB2312" w:cs="方正仿宋_GB2312"/>
          <w:bCs/>
          <w:color w:val="000000" w:themeColor="text1"/>
          <w:highlight w:val="none"/>
        </w:rPr>
      </w:pPr>
      <w:r>
        <w:rPr>
          <w:color w:val="000000" w:themeColor="text1"/>
        </w:rPr>
      </w:r>
      <w:bookmarkStart w:id="79" w:name="_Toc5574"/>
      <w:r>
        <w:rPr>
          <w:color w:val="000000" w:themeColor="text1"/>
        </w:rPr>
      </w:r>
      <w:bookmarkStart w:id="80" w:name="_Toc81575157"/>
      <w:r>
        <w:rPr>
          <w:color w:val="000000" w:themeColor="text1"/>
        </w:rPr>
      </w:r>
      <w:bookmarkStart w:id="81" w:name="_Toc81575194"/>
      <w:r>
        <w:rPr>
          <w:color w:val="000000" w:themeColor="text1"/>
        </w:rPr>
      </w:r>
      <w:bookmarkStart w:id="82" w:name="_Toc11461"/>
      <w:r>
        <w:rPr>
          <w:rFonts w:hint="eastAsia" w:ascii="方正仿宋_GB2312" w:hAnsi="方正仿宋_GB2312" w:eastAsia="方正仿宋_GB2312" w:cs="方正仿宋_GB2312"/>
          <w:bCs/>
          <w:color w:val="000000" w:themeColor="text1"/>
          <w:highlight w:val="none"/>
        </w:rPr>
        <w:t xml:space="preserve">三、投标文件的编制</w:t>
      </w:r>
      <w:bookmarkEnd w:id="79"/>
      <w:r>
        <w:rPr>
          <w:color w:val="000000" w:themeColor="text1"/>
        </w:rPr>
      </w:r>
      <w:bookmarkEnd w:id="80"/>
      <w:r>
        <w:rPr>
          <w:color w:val="000000" w:themeColor="text1"/>
        </w:rPr>
      </w:r>
      <w:bookmarkEnd w:id="81"/>
      <w:r>
        <w:rPr>
          <w:color w:val="000000" w:themeColor="text1"/>
        </w:rPr>
      </w:r>
      <w:bookmarkEnd w:id="82"/>
      <w:r>
        <w:rPr>
          <w:rFonts w:hint="eastAsia" w:ascii="方正仿宋_GB2312" w:hAnsi="方正仿宋_GB2312" w:eastAsia="方正仿宋_GB2312" w:cs="方正仿宋_GB2312"/>
          <w:bCs/>
          <w:color w:val="000000" w:themeColor="text1"/>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8.</w:t>
      </w:r>
      <w:r>
        <w:rPr>
          <w:rFonts w:hint="eastAsia" w:ascii="方正仿宋_GB2312" w:hAnsi="方正仿宋_GB2312" w:eastAsia="方正仿宋_GB2312" w:cs="方正仿宋_GB2312"/>
          <w:b/>
          <w:color w:val="000000" w:themeColor="text1"/>
          <w:sz w:val="24"/>
          <w:highlight w:val="none"/>
        </w:rPr>
        <w:t xml:space="preserve">投标文件的编制要求</w:t>
      </w:r>
      <w:r>
        <w:rPr>
          <w:rFonts w:hint="eastAsia" w:ascii="方正仿宋_GB2312" w:hAnsi="方正仿宋_GB2312" w:eastAsia="方正仿宋_GB2312" w:cs="方正仿宋_GB2312"/>
          <w:b/>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8.1投标人应仔细阅读“招标文件”的所有内容，保证所提供的全部资料的真实性、完整性及有效性，以使其投标对“招标文件”作出实质性响应。</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8.2投标文件要求加盖电子签章之处，应按要求加盖投标人数字证书的电子签章。</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9.</w:t>
      </w:r>
      <w:r>
        <w:rPr>
          <w:rFonts w:hint="eastAsia" w:ascii="方正仿宋_GB2312" w:hAnsi="方正仿宋_GB2312" w:eastAsia="方正仿宋_GB2312" w:cs="方正仿宋_GB2312"/>
          <w:b/>
          <w:color w:val="000000" w:themeColor="text1"/>
          <w:sz w:val="24"/>
          <w:highlight w:val="none"/>
        </w:rPr>
        <w:t xml:space="preserve">投标文件构成</w:t>
      </w:r>
      <w:r>
        <w:rPr>
          <w:rFonts w:hint="eastAsia" w:ascii="方正仿宋_GB2312" w:hAnsi="方正仿宋_GB2312" w:eastAsia="方正仿宋_GB2312" w:cs="方正仿宋_GB2312"/>
          <w:b/>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bCs/>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9.1投标文件包括投标函、资格证明文件、开标一览表、分项报价表、响应及偏离表等部分。投标文件</w:t>
      </w:r>
      <w:r>
        <w:rPr>
          <w:rFonts w:hint="eastAsia" w:ascii="方正仿宋_GB2312" w:hAnsi="方正仿宋_GB2312" w:eastAsia="方正仿宋_GB2312" w:cs="方正仿宋_GB2312"/>
          <w:bCs/>
          <w:color w:val="000000" w:themeColor="text1"/>
          <w:sz w:val="24"/>
          <w:highlight w:val="none"/>
        </w:rPr>
        <w:t xml:space="preserve">构成资料为非中文时应提供中文译版。</w:t>
      </w:r>
      <w:bookmarkStart w:id="83" w:name="EBc50e2bb832bb43068403b10c1cce6141"/>
      <w:r>
        <w:rPr>
          <w:rFonts w:hint="eastAsia" w:ascii="方正仿宋_GB2312" w:hAnsi="方正仿宋_GB2312" w:eastAsia="方正仿宋_GB2312" w:cs="方正仿宋_GB2312"/>
          <w:bCs/>
          <w:color w:val="000000" w:themeColor="text1"/>
          <w:sz w:val="24"/>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Cs/>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3"/>
      <w:r>
        <w:rPr>
          <w:rFonts w:hint="eastAsia" w:ascii="方正仿宋_GB2312" w:hAnsi="方正仿宋_GB2312" w:eastAsia="方正仿宋_GB2312" w:cs="方正仿宋_GB2312"/>
          <w:bCs/>
          <w:color w:val="000000" w:themeColor="text1"/>
          <w:sz w:val="24"/>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10.</w:t>
      </w:r>
      <w:r>
        <w:rPr>
          <w:rFonts w:hint="eastAsia" w:ascii="方正仿宋_GB2312" w:hAnsi="方正仿宋_GB2312" w:eastAsia="方正仿宋_GB2312" w:cs="方正仿宋_GB2312"/>
          <w:b/>
          <w:color w:val="000000" w:themeColor="text1"/>
          <w:sz w:val="24"/>
          <w:highlight w:val="none"/>
        </w:rPr>
        <w:t xml:space="preserve">投标报价</w:t>
      </w:r>
      <w:r>
        <w:rPr>
          <w:rFonts w:hint="eastAsia" w:ascii="方正仿宋_GB2312" w:hAnsi="方正仿宋_GB2312" w:eastAsia="方正仿宋_GB2312" w:cs="方正仿宋_GB2312"/>
          <w:b/>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10.1报价为一次报价，本项目不接受备选的投标方案或有选择的报价，只允许有一个报价。</w:t>
      </w:r>
      <w:r>
        <w:rPr>
          <w:rFonts w:hint="eastAsia" w:ascii="方正仿宋_GB2312" w:hAnsi="方正仿宋_GB2312" w:eastAsia="方正仿宋_GB2312" w:cs="方正仿宋_GB2312"/>
          <w:b/>
          <w:bCs/>
          <w:color w:val="000000" w:themeColor="text1"/>
          <w:sz w:val="24"/>
          <w:highlight w:val="none"/>
        </w:rPr>
        <w:t xml:space="preserve">投标报价内容包括：服务本身、人工费（包括但不限于人员劳务费、法定节假日加班费、春节慰问金、防暑降温物品费用、高温费、养老保险等）、交通费、施工费、材料费、机械费、措施费、巡视费、相关劳务支出、代理费等工作所发生的全部费用以及投标人企业管理费、利润、各种税金和政策性文件规定及合同包含的所有风险、责任等各项应有费用。投标报价为最终报价，除非因特殊原因并经买卖双方协商同意，投标人不得再要求追加任何费用，除非合同条款中另有规定，否则，投标人所报价格在合同实施期间不因市场变化因素而变动。</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10.2报价注意事项：投标价格一律以人民币计算，以元为单位标注，最多保留至小数点后</w:t>
      </w:r>
      <w:r>
        <w:rPr>
          <w:rFonts w:hint="eastAsia" w:ascii="方正仿宋_GB2312" w:hAnsi="方正仿宋_GB2312" w:eastAsia="方正仿宋_GB2312" w:cs="方正仿宋_GB2312"/>
          <w:color w:val="000000" w:themeColor="text1"/>
          <w:sz w:val="24"/>
          <w:highlight w:val="none"/>
          <w:lang w:val="en-US" w:eastAsia="zh-CN"/>
        </w:rPr>
        <w:t xml:space="preserve">两</w:t>
      </w:r>
      <w:r>
        <w:rPr>
          <w:rFonts w:hint="eastAsia" w:ascii="方正仿宋_GB2312" w:hAnsi="方正仿宋_GB2312" w:eastAsia="方正仿宋_GB2312" w:cs="方正仿宋_GB2312"/>
          <w:color w:val="000000" w:themeColor="text1"/>
          <w:sz w:val="24"/>
          <w:highlight w:val="none"/>
        </w:rPr>
        <w:t xml:space="preserve">位，招标文件有规定的按招标文件执行。</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11.</w:t>
      </w:r>
      <w:r>
        <w:rPr>
          <w:rFonts w:hint="eastAsia" w:ascii="方正仿宋_GB2312" w:hAnsi="方正仿宋_GB2312" w:eastAsia="方正仿宋_GB2312" w:cs="方正仿宋_GB2312"/>
          <w:b/>
          <w:color w:val="000000" w:themeColor="text1"/>
          <w:sz w:val="24"/>
          <w:highlight w:val="none"/>
        </w:rPr>
        <w:t xml:space="preserve">投标保证金</w:t>
      </w:r>
      <w:bookmarkStart w:id="84" w:name="EB183a0bf075204c54a4ff090f1aecaaa7"/>
      <w:r>
        <w:rPr>
          <w:rFonts w:hint="eastAsia" w:ascii="方正仿宋_GB2312" w:hAnsi="方正仿宋_GB2312" w:eastAsia="方正仿宋_GB2312" w:cs="方正仿宋_GB2312"/>
          <w:b/>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本项目不收取投标保证金。</w:t>
      </w:r>
      <w:bookmarkEnd w:id="84"/>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12.</w:t>
      </w:r>
      <w:r>
        <w:rPr>
          <w:rFonts w:hint="eastAsia" w:ascii="方正仿宋_GB2312" w:hAnsi="方正仿宋_GB2312" w:eastAsia="方正仿宋_GB2312" w:cs="方正仿宋_GB2312"/>
          <w:b/>
          <w:color w:val="000000" w:themeColor="text1"/>
          <w:sz w:val="24"/>
          <w:highlight w:val="none"/>
        </w:rPr>
        <w:t xml:space="preserve">投标有效期</w:t>
      </w:r>
      <w:r>
        <w:rPr>
          <w:rFonts w:hint="eastAsia" w:ascii="方正仿宋_GB2312" w:hAnsi="方正仿宋_GB2312" w:eastAsia="方正仿宋_GB2312" w:cs="方正仿宋_GB2312"/>
          <w:b/>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12.1在投标人须知前附表规定的投标有效期内，投标有效期从提交投标文件的截止之日起算。投标有效期比规定短的将被视为未实质性响应招标文件。</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849"/>
        <w:ind w:firstLine="340"/>
        <w:spacing w:before="0" w:after="0" w:line="480" w:lineRule="exact"/>
        <w:rPr>
          <w:rFonts w:hint="eastAsia" w:ascii="方正仿宋_GB2312" w:hAnsi="方正仿宋_GB2312" w:eastAsia="方正仿宋_GB2312" w:cs="方正仿宋_GB2312"/>
          <w:bCs/>
          <w:color w:val="000000" w:themeColor="text1"/>
          <w:highlight w:val="none"/>
        </w:rPr>
      </w:pPr>
      <w:r>
        <w:rPr>
          <w:color w:val="000000" w:themeColor="text1"/>
        </w:rPr>
      </w:r>
      <w:bookmarkStart w:id="85" w:name="_Toc81575195"/>
      <w:r>
        <w:rPr>
          <w:color w:val="000000" w:themeColor="text1"/>
        </w:rPr>
      </w:r>
      <w:bookmarkStart w:id="86" w:name="_Toc2773"/>
      <w:r>
        <w:rPr>
          <w:color w:val="000000" w:themeColor="text1"/>
        </w:rPr>
      </w:r>
      <w:bookmarkStart w:id="87" w:name="_Toc23443"/>
      <w:r>
        <w:rPr>
          <w:color w:val="000000" w:themeColor="text1"/>
        </w:rPr>
      </w:r>
      <w:bookmarkStart w:id="88" w:name="_Toc81575158"/>
      <w:r>
        <w:rPr>
          <w:rFonts w:hint="eastAsia" w:ascii="方正仿宋_GB2312" w:hAnsi="方正仿宋_GB2312" w:eastAsia="方正仿宋_GB2312" w:cs="方正仿宋_GB2312"/>
          <w:bCs/>
          <w:color w:val="000000" w:themeColor="text1"/>
          <w:highlight w:val="none"/>
        </w:rPr>
        <w:t xml:space="preserve">四、投标文件的提交</w:t>
      </w:r>
      <w:bookmarkEnd w:id="85"/>
      <w:r>
        <w:rPr>
          <w:color w:val="000000" w:themeColor="text1"/>
        </w:rPr>
      </w:r>
      <w:bookmarkEnd w:id="86"/>
      <w:r>
        <w:rPr>
          <w:color w:val="000000" w:themeColor="text1"/>
        </w:rPr>
      </w:r>
      <w:bookmarkEnd w:id="87"/>
      <w:r>
        <w:rPr>
          <w:color w:val="000000" w:themeColor="text1"/>
        </w:rPr>
      </w:r>
      <w:bookmarkEnd w:id="88"/>
      <w:r>
        <w:rPr>
          <w:rFonts w:hint="eastAsia" w:ascii="方正仿宋_GB2312" w:hAnsi="方正仿宋_GB2312" w:eastAsia="方正仿宋_GB2312" w:cs="方正仿宋_GB2312"/>
          <w:bCs/>
          <w:color w:val="000000" w:themeColor="text1"/>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13.</w:t>
      </w:r>
      <w:r>
        <w:rPr>
          <w:rFonts w:hint="eastAsia" w:ascii="方正仿宋_GB2312" w:hAnsi="方正仿宋_GB2312" w:eastAsia="方正仿宋_GB2312" w:cs="方正仿宋_GB2312"/>
          <w:b/>
          <w:color w:val="000000" w:themeColor="text1"/>
          <w:sz w:val="24"/>
          <w:highlight w:val="none"/>
        </w:rPr>
        <w:t xml:space="preserve">投标文件的提交</w:t>
      </w:r>
      <w:r>
        <w:rPr>
          <w:rFonts w:hint="eastAsia" w:ascii="方正仿宋_GB2312" w:hAnsi="方正仿宋_GB2312" w:eastAsia="方正仿宋_GB2312" w:cs="方正仿宋_GB2312"/>
          <w:b/>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13.2投标文件的修改和撤回：在投标截止时间前，投标人可以撤回或重新提交投标文件。投标文件以最终完成上传的为准。</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14.</w:t>
      </w:r>
      <w:r>
        <w:rPr>
          <w:rFonts w:hint="eastAsia" w:ascii="方正仿宋_GB2312" w:hAnsi="方正仿宋_GB2312" w:eastAsia="方正仿宋_GB2312" w:cs="方正仿宋_GB2312"/>
          <w:b/>
          <w:color w:val="000000" w:themeColor="text1"/>
          <w:sz w:val="24"/>
          <w:highlight w:val="none"/>
        </w:rPr>
        <w:t xml:space="preserve">投标文件被拒绝接收的情形</w:t>
      </w:r>
      <w:r>
        <w:rPr>
          <w:rFonts w:hint="eastAsia" w:ascii="方正仿宋_GB2312" w:hAnsi="方正仿宋_GB2312" w:eastAsia="方正仿宋_GB2312" w:cs="方正仿宋_GB2312"/>
          <w:b/>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在招标文件规定的投标截止时间后上传的投标文件或对投标报价或其他实质性内容修正的文件。</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849"/>
        <w:ind w:firstLine="340"/>
        <w:spacing w:before="0" w:after="0" w:line="520" w:lineRule="exact"/>
        <w:rPr>
          <w:rFonts w:hint="eastAsia" w:ascii="方正仿宋_GB2312" w:hAnsi="方正仿宋_GB2312" w:eastAsia="方正仿宋_GB2312" w:cs="方正仿宋_GB2312"/>
          <w:bCs/>
          <w:color w:val="000000" w:themeColor="text1"/>
          <w:highlight w:val="none"/>
        </w:rPr>
      </w:pPr>
      <w:r>
        <w:rPr>
          <w:color w:val="000000" w:themeColor="text1"/>
        </w:rPr>
      </w:r>
      <w:bookmarkStart w:id="89" w:name="_Toc20026"/>
      <w:r>
        <w:rPr>
          <w:color w:val="000000" w:themeColor="text1"/>
        </w:rPr>
      </w:r>
      <w:bookmarkStart w:id="90" w:name="_Toc81575197"/>
      <w:r>
        <w:rPr>
          <w:color w:val="000000" w:themeColor="text1"/>
        </w:rPr>
      </w:r>
      <w:bookmarkStart w:id="91" w:name="_Toc959"/>
      <w:r>
        <w:rPr>
          <w:color w:val="000000" w:themeColor="text1"/>
        </w:rPr>
      </w:r>
      <w:bookmarkStart w:id="92" w:name="_Toc81575160"/>
      <w:r>
        <w:rPr>
          <w:rFonts w:hint="eastAsia" w:ascii="方正仿宋_GB2312" w:hAnsi="方正仿宋_GB2312" w:eastAsia="方正仿宋_GB2312" w:cs="方正仿宋_GB2312"/>
          <w:bCs/>
          <w:color w:val="000000" w:themeColor="text1"/>
          <w:highlight w:val="none"/>
        </w:rPr>
        <w:t xml:space="preserve">五、开标、评标程序</w:t>
      </w:r>
      <w:bookmarkEnd w:id="89"/>
      <w:r>
        <w:rPr>
          <w:color w:val="000000" w:themeColor="text1"/>
        </w:rPr>
      </w:r>
      <w:bookmarkEnd w:id="90"/>
      <w:r>
        <w:rPr>
          <w:color w:val="000000" w:themeColor="text1"/>
        </w:rPr>
      </w:r>
      <w:bookmarkEnd w:id="91"/>
      <w:r>
        <w:rPr>
          <w:color w:val="000000" w:themeColor="text1"/>
        </w:rPr>
      </w:r>
      <w:bookmarkEnd w:id="92"/>
      <w:r>
        <w:rPr>
          <w:rFonts w:hint="eastAsia" w:ascii="方正仿宋_GB2312" w:hAnsi="方正仿宋_GB2312" w:eastAsia="方正仿宋_GB2312" w:cs="方正仿宋_GB2312"/>
          <w:bCs/>
          <w:color w:val="000000" w:themeColor="text1"/>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15.</w:t>
      </w:r>
      <w:r>
        <w:rPr>
          <w:rFonts w:hint="eastAsia" w:ascii="方正仿宋_GB2312" w:hAnsi="方正仿宋_GB2312" w:eastAsia="方正仿宋_GB2312" w:cs="方正仿宋_GB2312"/>
          <w:b/>
          <w:color w:val="000000" w:themeColor="text1"/>
          <w:sz w:val="24"/>
          <w:highlight w:val="none"/>
        </w:rPr>
        <w:t xml:space="preserve">开标</w:t>
      </w:r>
      <w:r>
        <w:rPr>
          <w:rFonts w:hint="eastAsia" w:ascii="方正仿宋_GB2312" w:hAnsi="方正仿宋_GB2312" w:eastAsia="方正仿宋_GB2312" w:cs="方正仿宋_GB2312"/>
          <w:b/>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15.1采购代理机构将在招标公告中规定的时间和地点组织公开开标。投标人应当按照规定参加开标活动，在“苏采云”系统规定的时间内对投标文件解密。</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15.2开标仪式由采购代理机构组织。“苏采云”系统将自动对项目进行开标，并宣布各投标人名称和投标价格。</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
          <w:bCs/>
          <w:color w:val="000000" w:themeColor="text1"/>
          <w:sz w:val="24"/>
          <w:highlight w:val="none"/>
        </w:rPr>
      </w:pPr>
      <w:r>
        <w:rPr>
          <w:rFonts w:hint="eastAsia" w:ascii="方正仿宋_GB2312" w:hAnsi="方正仿宋_GB2312" w:eastAsia="方正仿宋_GB2312" w:cs="方正仿宋_GB2312"/>
          <w:b/>
          <w:bCs/>
          <w:color w:val="000000" w:themeColor="text1"/>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rPr>
          <w:rFonts w:hint="eastAsia" w:ascii="方正仿宋_GB2312" w:hAnsi="方正仿宋_GB2312" w:eastAsia="方正仿宋_GB2312" w:cs="方正仿宋_GB2312"/>
          <w:b/>
          <w:bCs/>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15.4投标人如果对开标过程和开标记录有疑义，应当按规定提出。如“苏采云”系统中《开标记录表》宣布后5分钟内未提出的，视同认可开标结果。</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15.5投标人在开、评标全过程中应保持通讯畅通，及时登录“苏采云”系统查阅、答复相关信息。</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16.</w:t>
      </w:r>
      <w:r>
        <w:rPr>
          <w:rFonts w:hint="eastAsia" w:ascii="方正仿宋_GB2312" w:hAnsi="方正仿宋_GB2312" w:eastAsia="方正仿宋_GB2312" w:cs="方正仿宋_GB2312"/>
          <w:b/>
          <w:color w:val="000000" w:themeColor="text1"/>
          <w:sz w:val="24"/>
          <w:highlight w:val="none"/>
        </w:rPr>
        <w:t xml:space="preserve">评标委员会</w:t>
      </w:r>
      <w:r>
        <w:rPr>
          <w:rFonts w:hint="eastAsia" w:ascii="方正仿宋_GB2312" w:hAnsi="方正仿宋_GB2312" w:eastAsia="方正仿宋_GB2312" w:cs="方正仿宋_GB2312"/>
          <w:b/>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17.</w:t>
      </w:r>
      <w:r>
        <w:rPr>
          <w:rFonts w:hint="eastAsia" w:ascii="方正仿宋_GB2312" w:hAnsi="方正仿宋_GB2312" w:eastAsia="方正仿宋_GB2312" w:cs="方正仿宋_GB2312"/>
          <w:b/>
          <w:color w:val="000000" w:themeColor="text1"/>
          <w:sz w:val="24"/>
          <w:highlight w:val="none"/>
        </w:rPr>
        <w:t xml:space="preserve">评标程序</w:t>
      </w:r>
      <w:r>
        <w:rPr>
          <w:rFonts w:hint="eastAsia" w:ascii="方正仿宋_GB2312" w:hAnsi="方正仿宋_GB2312" w:eastAsia="方正仿宋_GB2312" w:cs="方正仿宋_GB2312"/>
          <w:b/>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17.1资格审查</w:t>
      </w:r>
      <w:bookmarkStart w:id="93" w:name="EBa9c0a2c9e523494487594c65b2a92370"/>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开标结束后，采购人依法根据招标文件的规定对投标人的资格证明文件等进行审查。</w:t>
      </w:r>
      <w:bookmarkEnd w:id="93"/>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17.2符合性检查</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4" w:name="EB1499356fad43416eb16398733accabf7"/>
      <w:r>
        <w:rPr>
          <w:rFonts w:hint="eastAsia" w:ascii="方正仿宋_GB2312" w:hAnsi="方正仿宋_GB2312" w:eastAsia="方正仿宋_GB2312" w:cs="方正仿宋_GB2312"/>
          <w:color w:val="000000" w:themeColor="text1"/>
          <w:sz w:val="24"/>
          <w:highlight w:val="none"/>
        </w:rPr>
        <w:t xml:space="preserve">所谓重大偏离是指投标人投标文件中所述设备质量、技术规格、数量、交货期、服务等明显不能满足招标文件要求。</w:t>
      </w:r>
      <w:bookmarkEnd w:id="94"/>
      <w:r>
        <w:rPr>
          <w:rFonts w:hint="eastAsia" w:ascii="方正仿宋_GB2312" w:hAnsi="方正仿宋_GB2312" w:eastAsia="方正仿宋_GB2312" w:cs="方正仿宋_GB2312"/>
          <w:color w:val="000000" w:themeColor="text1"/>
          <w:sz w:val="24"/>
          <w:highlight w:val="none"/>
        </w:rPr>
        <w:t xml:space="preserve">重大偏离的认定需经过评标委员会以少数服从多数的原则作出结论。</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17.4评标委员会判断投标文件的响应性，仅基于投标文件本身而不靠外部证据。对非实质性响应的投标文件，投标人不能通过修正或撤销不符之处，而使其成为实质性响应。</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17.5相同品牌产品投标</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17.5.3非单一产品采购项目，采购人确定核心产品，并在招标文件中载明。</w:t>
      </w:r>
      <w:bookmarkStart w:id="95" w:name="OLE_LINK10"/>
      <w:r>
        <w:rPr>
          <w:rFonts w:hint="eastAsia" w:ascii="方正仿宋_GB2312" w:hAnsi="方正仿宋_GB2312" w:eastAsia="方正仿宋_GB2312" w:cs="方正仿宋_GB2312"/>
          <w:color w:val="000000" w:themeColor="text1"/>
          <w:sz w:val="24"/>
          <w:highlight w:val="none"/>
        </w:rPr>
        <w:t xml:space="preserve">多家投标人提供的核心产品品牌相同的，</w:t>
      </w:r>
      <w:bookmarkEnd w:id="95"/>
      <w:r>
        <w:rPr>
          <w:rFonts w:hint="eastAsia" w:ascii="方正仿宋_GB2312" w:hAnsi="方正仿宋_GB2312" w:eastAsia="方正仿宋_GB2312" w:cs="方正仿宋_GB2312"/>
          <w:color w:val="000000" w:themeColor="text1"/>
          <w:sz w:val="24"/>
          <w:highlight w:val="none"/>
        </w:rPr>
        <w:t xml:space="preserve">按前两款规定处理。</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bCs/>
          <w:color w:val="000000" w:themeColor="text1"/>
          <w:sz w:val="24"/>
          <w:highlight w:val="none"/>
        </w:rPr>
      </w:pPr>
      <w:r>
        <w:rPr>
          <w:rFonts w:hint="eastAsia" w:ascii="方正仿宋_GB2312" w:hAnsi="方正仿宋_GB2312" w:eastAsia="方正仿宋_GB2312" w:cs="方正仿宋_GB2312"/>
          <w:bCs/>
          <w:color w:val="000000" w:themeColor="text1"/>
          <w:sz w:val="24"/>
          <w:highlight w:val="none"/>
        </w:rPr>
        <w:t xml:space="preserve">17.6有关问题的澄清</w:t>
      </w:r>
      <w:r>
        <w:rPr>
          <w:rFonts w:hint="eastAsia" w:ascii="方正仿宋_GB2312" w:hAnsi="方正仿宋_GB2312" w:eastAsia="方正仿宋_GB2312" w:cs="方正仿宋_GB2312"/>
          <w:bCs/>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17.6.2投标文件报价出现前后不一致的，除招标文件另有规定外，按照下列规定修正：</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①投标文件中开标一览表（报价表）内容与投标文件中相应内容不一致的，以开标一览表（报价表）为准；</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②大写金额和小写金额不一致的，以大写金额为准；</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③单价金额小数点或者百分比有明显错位的，以开标一览表的总价为准，并修改单价；</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④总价金额与单价汇总金额不一致的，以单价金额计算结果为准。</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同时出现两种以上不一致的，按照前款规定的顺序修正。</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评标过程中，不得去掉报价中的最高报价和最低报价。</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b/>
          <w:bCs/>
          <w:color w:val="000000" w:themeColor="text1"/>
          <w:sz w:val="24"/>
          <w:highlight w:val="none"/>
        </w:rPr>
      </w:pPr>
      <w:r>
        <w:rPr>
          <w:rFonts w:hint="eastAsia" w:ascii="方正仿宋_GB2312" w:hAnsi="方正仿宋_GB2312" w:eastAsia="方正仿宋_GB2312" w:cs="方正仿宋_GB2312"/>
          <w:b/>
          <w:bCs/>
          <w:color w:val="000000" w:themeColor="text1"/>
          <w:sz w:val="24"/>
          <w:highlight w:val="none"/>
        </w:rPr>
        <w:t xml:space="preserve">17.7 异常低价投标审查</w:t>
      </w:r>
      <w:r>
        <w:rPr>
          <w:rFonts w:hint="eastAsia" w:ascii="方正仿宋_GB2312" w:hAnsi="方正仿宋_GB2312" w:eastAsia="方正仿宋_GB2312" w:cs="方正仿宋_GB2312"/>
          <w:b/>
          <w:bCs/>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17.7.1 评标过程中出现下列情形之一的，评标委员会应当启动异常低价投标审查程序：</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（1）投标报价低于全部通过符合性审查供应商投标报价平均值</w:t>
      </w:r>
      <w:r>
        <w:rPr>
          <w:rFonts w:hint="eastAsia" w:ascii="方正仿宋_GB2312" w:hAnsi="方正仿宋_GB2312" w:eastAsia="方正仿宋_GB2312" w:cs="方正仿宋_GB2312"/>
          <w:color w:val="000000" w:themeColor="text1"/>
          <w:sz w:val="24"/>
          <w:highlight w:val="none"/>
          <w:lang w:val="en-US" w:eastAsia="zh-CN"/>
        </w:rPr>
        <w:t xml:space="preserve">50</w:t>
      </w:r>
      <w:r>
        <w:rPr>
          <w:rFonts w:hint="eastAsia" w:ascii="方正仿宋_GB2312" w:hAnsi="方正仿宋_GB2312" w:eastAsia="方正仿宋_GB2312" w:cs="方正仿宋_GB2312"/>
          <w:color w:val="000000" w:themeColor="text1"/>
          <w:sz w:val="24"/>
          <w:highlight w:val="none"/>
        </w:rPr>
        <w:t xml:space="preserve">%的，即投标报价&lt;全部通过符合性审查供应商投标报价平均值×</w:t>
      </w:r>
      <w:r>
        <w:rPr>
          <w:rFonts w:hint="eastAsia" w:ascii="方正仿宋_GB2312" w:hAnsi="方正仿宋_GB2312" w:eastAsia="方正仿宋_GB2312" w:cs="方正仿宋_GB2312"/>
          <w:color w:val="000000" w:themeColor="text1"/>
          <w:sz w:val="24"/>
          <w:highlight w:val="none"/>
          <w:lang w:val="en-US" w:eastAsia="zh-CN"/>
        </w:rPr>
        <w:t xml:space="preserve">50</w:t>
      </w:r>
      <w:r>
        <w:rPr>
          <w:rFonts w:hint="eastAsia" w:ascii="方正仿宋_GB2312" w:hAnsi="方正仿宋_GB2312" w:eastAsia="方正仿宋_GB2312" w:cs="方正仿宋_GB2312"/>
          <w:color w:val="000000" w:themeColor="text1"/>
          <w:sz w:val="24"/>
          <w:highlight w:val="none"/>
        </w:rPr>
        <w:t xml:space="preserve">%；</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（2）投标报价低于通过符合性审查的次低报价供应商投标报价50%的，即投标报价&lt;通过符合性审查的次低报价供应商投标报价×</w:t>
      </w:r>
      <w:r>
        <w:rPr>
          <w:rFonts w:hint="eastAsia" w:ascii="方正仿宋_GB2312" w:hAnsi="方正仿宋_GB2312" w:eastAsia="方正仿宋_GB2312" w:cs="方正仿宋_GB2312"/>
          <w:color w:val="000000" w:themeColor="text1"/>
          <w:sz w:val="24"/>
          <w:highlight w:val="none"/>
          <w:lang w:val="en-US" w:eastAsia="zh-CN"/>
        </w:rPr>
        <w:t xml:space="preserve">50</w:t>
      </w:r>
      <w:r>
        <w:rPr>
          <w:rFonts w:hint="eastAsia" w:ascii="方正仿宋_GB2312" w:hAnsi="方正仿宋_GB2312" w:eastAsia="方正仿宋_GB2312" w:cs="方正仿宋_GB2312"/>
          <w:color w:val="000000" w:themeColor="text1"/>
          <w:sz w:val="24"/>
          <w:highlight w:val="none"/>
        </w:rPr>
        <w:t xml:space="preserve">%；</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（3）投标报价低于采购项目最高限价</w:t>
      </w:r>
      <w:r>
        <w:rPr>
          <w:rFonts w:hint="eastAsia" w:ascii="方正仿宋_GB2312" w:hAnsi="方正仿宋_GB2312" w:eastAsia="方正仿宋_GB2312" w:cs="方正仿宋_GB2312"/>
          <w:color w:val="000000" w:themeColor="text1"/>
          <w:sz w:val="24"/>
          <w:highlight w:val="none"/>
          <w:lang w:val="en-US" w:eastAsia="zh-CN"/>
        </w:rPr>
        <w:t xml:space="preserve">45</w:t>
      </w:r>
      <w:r>
        <w:rPr>
          <w:rFonts w:hint="eastAsia" w:ascii="方正仿宋_GB2312" w:hAnsi="方正仿宋_GB2312" w:eastAsia="方正仿宋_GB2312" w:cs="方正仿宋_GB2312"/>
          <w:color w:val="000000" w:themeColor="text1"/>
          <w:sz w:val="24"/>
          <w:highlight w:val="none"/>
        </w:rPr>
        <w:t xml:space="preserve">%的，即投标报价&lt;采购项目最高限价×</w:t>
      </w:r>
      <w:r>
        <w:rPr>
          <w:rFonts w:hint="eastAsia" w:ascii="方正仿宋_GB2312" w:hAnsi="方正仿宋_GB2312" w:eastAsia="方正仿宋_GB2312" w:cs="方正仿宋_GB2312"/>
          <w:color w:val="000000" w:themeColor="text1"/>
          <w:sz w:val="24"/>
          <w:highlight w:val="none"/>
          <w:lang w:val="en-US" w:eastAsia="zh-CN"/>
        </w:rPr>
        <w:t xml:space="preserve">45</w:t>
      </w:r>
      <w:r>
        <w:rPr>
          <w:rFonts w:hint="eastAsia" w:ascii="方正仿宋_GB2312" w:hAnsi="方正仿宋_GB2312" w:eastAsia="方正仿宋_GB2312" w:cs="方正仿宋_GB2312"/>
          <w:color w:val="000000" w:themeColor="text1"/>
          <w:sz w:val="24"/>
          <w:highlight w:val="none"/>
        </w:rPr>
        <w:t xml:space="preserve">%；</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（4）评标委员会基于专业判断，认为供应商报价过低，有可能影响产品质量或者不能诚信履约的其他情形。</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bCs/>
          <w:color w:val="000000" w:themeColor="text1"/>
          <w:sz w:val="24"/>
          <w:highlight w:val="none"/>
        </w:rPr>
      </w:pPr>
      <w:r>
        <w:rPr>
          <w:rFonts w:hint="eastAsia" w:ascii="方正仿宋_GB2312" w:hAnsi="方正仿宋_GB2312" w:eastAsia="方正仿宋_GB2312" w:cs="方正仿宋_GB2312"/>
          <w:bCs/>
          <w:color w:val="000000" w:themeColor="text1"/>
          <w:sz w:val="24"/>
          <w:highlight w:val="none"/>
        </w:rPr>
        <w:t xml:space="preserve">17.8比较</w:t>
      </w:r>
      <w:r>
        <w:rPr>
          <w:rFonts w:hint="eastAsia" w:ascii="方正仿宋_GB2312" w:hAnsi="方正仿宋_GB2312" w:eastAsia="方正仿宋_GB2312" w:cs="方正仿宋_GB2312"/>
          <w:bCs/>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评标委员会将按招标文件中规定的评标方法和标准，对符合性检查合格的投标文件进行商务和技术评比。</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bCs/>
          <w:color w:val="000000" w:themeColor="text1"/>
          <w:sz w:val="24"/>
          <w:highlight w:val="none"/>
        </w:rPr>
      </w:pPr>
      <w:r>
        <w:rPr>
          <w:rFonts w:hint="eastAsia" w:ascii="方正仿宋_GB2312" w:hAnsi="方正仿宋_GB2312" w:eastAsia="方正仿宋_GB2312" w:cs="方正仿宋_GB2312"/>
          <w:bCs/>
          <w:color w:val="000000" w:themeColor="text1"/>
          <w:sz w:val="24"/>
          <w:highlight w:val="none"/>
        </w:rPr>
        <w:t xml:space="preserve">17.9推荐中标候选人</w:t>
      </w:r>
      <w:r>
        <w:rPr>
          <w:rFonts w:hint="eastAsia" w:ascii="方正仿宋_GB2312" w:hAnsi="方正仿宋_GB2312" w:eastAsia="方正仿宋_GB2312" w:cs="方正仿宋_GB2312"/>
          <w:bCs/>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评标委员会按照招标文件中规定的评标方法和标准推荐中标候选人。</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849"/>
        <w:ind w:firstLine="340"/>
        <w:spacing w:before="0" w:after="0" w:line="480" w:lineRule="exact"/>
        <w:rPr>
          <w:rFonts w:hint="eastAsia" w:ascii="方正仿宋_GB2312" w:hAnsi="方正仿宋_GB2312" w:eastAsia="方正仿宋_GB2312" w:cs="方正仿宋_GB2312"/>
          <w:bCs/>
          <w:color w:val="000000" w:themeColor="text1"/>
          <w:highlight w:val="none"/>
        </w:rPr>
      </w:pPr>
      <w:r>
        <w:rPr>
          <w:color w:val="000000" w:themeColor="text1"/>
        </w:rPr>
      </w:r>
      <w:bookmarkStart w:id="96" w:name="_Toc8712"/>
      <w:r>
        <w:rPr>
          <w:color w:val="000000" w:themeColor="text1"/>
        </w:rPr>
      </w:r>
      <w:bookmarkStart w:id="97" w:name="_Toc8841"/>
      <w:r>
        <w:rPr>
          <w:color w:val="000000" w:themeColor="text1"/>
        </w:rPr>
      </w:r>
      <w:bookmarkStart w:id="98" w:name="_Toc81575159"/>
      <w:r>
        <w:rPr>
          <w:color w:val="000000" w:themeColor="text1"/>
        </w:rPr>
      </w:r>
      <w:bookmarkStart w:id="99" w:name="_Toc81575196"/>
      <w:r>
        <w:rPr>
          <w:rFonts w:hint="eastAsia" w:ascii="方正仿宋_GB2312" w:hAnsi="方正仿宋_GB2312" w:eastAsia="方正仿宋_GB2312" w:cs="方正仿宋_GB2312"/>
          <w:bCs/>
          <w:color w:val="000000" w:themeColor="text1"/>
          <w:highlight w:val="none"/>
        </w:rPr>
        <w:t xml:space="preserve">六、无效投标、废标、串通投标</w:t>
      </w:r>
      <w:bookmarkEnd w:id="96"/>
      <w:r>
        <w:rPr>
          <w:color w:val="000000" w:themeColor="text1"/>
        </w:rPr>
      </w:r>
      <w:bookmarkEnd w:id="97"/>
      <w:r>
        <w:rPr>
          <w:color w:val="000000" w:themeColor="text1"/>
        </w:rPr>
      </w:r>
      <w:bookmarkEnd w:id="98"/>
      <w:r>
        <w:rPr>
          <w:color w:val="000000" w:themeColor="text1"/>
        </w:rPr>
      </w:r>
      <w:bookmarkEnd w:id="99"/>
      <w:r>
        <w:rPr>
          <w:rFonts w:hint="eastAsia" w:ascii="方正仿宋_GB2312" w:hAnsi="方正仿宋_GB2312" w:eastAsia="方正仿宋_GB2312" w:cs="方正仿宋_GB2312"/>
          <w:bCs/>
          <w:color w:val="000000" w:themeColor="text1"/>
          <w:highlight w:val="none"/>
        </w:rPr>
        <w:t xml:space="preserve">及取消中标候选人资格情形</w:t>
      </w:r>
      <w:r>
        <w:rPr>
          <w:rFonts w:hint="eastAsia" w:ascii="方正仿宋_GB2312" w:hAnsi="方正仿宋_GB2312" w:eastAsia="方正仿宋_GB2312" w:cs="方正仿宋_GB2312"/>
          <w:bCs/>
          <w:color w:val="000000" w:themeColor="text1"/>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18.</w:t>
      </w:r>
      <w:r>
        <w:rPr>
          <w:rFonts w:hint="eastAsia" w:ascii="方正仿宋_GB2312" w:hAnsi="方正仿宋_GB2312" w:eastAsia="方正仿宋_GB2312" w:cs="方正仿宋_GB2312"/>
          <w:b/>
          <w:color w:val="000000" w:themeColor="text1"/>
          <w:sz w:val="24"/>
          <w:highlight w:val="none"/>
        </w:rPr>
        <w:t xml:space="preserve">无效投标情形</w:t>
      </w:r>
      <w:r>
        <w:rPr>
          <w:rFonts w:hint="eastAsia" w:ascii="方正仿宋_GB2312" w:hAnsi="方正仿宋_GB2312" w:eastAsia="方正仿宋_GB2312" w:cs="方正仿宋_GB2312"/>
          <w:b/>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strike/>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18.1投标人同一采购包提交两个（含两个）以上不同的投标报价的。</w:t>
      </w:r>
      <w:r>
        <w:rPr>
          <w:rFonts w:hint="eastAsia" w:ascii="方正仿宋_GB2312" w:hAnsi="方正仿宋_GB2312" w:eastAsia="方正仿宋_GB2312" w:cs="方正仿宋_GB2312"/>
          <w:strike/>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18.2投标人不符合招标文件规定资格要求的或未按规定提交资质证件的。</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18.3投标人的报价超过了采购预算或最高限价的。</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18.4投标文件未通过符合性审查的。</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18.5投标文件出现重大偏离，不符合招标文件中规定的实质性要求的（★部分为实质性要求）。</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18.6评标委员会启动异常低价投标审查后，投标人不能提供书面说明、证明材料，或者评标委员会认为投标人提供的书面说明、证明材料不能证明其报价合理性的。</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18.7投标文件未按照招标文件要求加盖CA电子公章的。</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18.8投标人有本招标文件规定的恶意串通投标情形的。</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18.9投标文件含有采购人不能接受的附加条件的。</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18.10其他法律、法规及本招标文件规定的属无效投标的情形。</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19.</w:t>
      </w:r>
      <w:r>
        <w:rPr>
          <w:rFonts w:hint="eastAsia" w:ascii="方正仿宋_GB2312" w:hAnsi="方正仿宋_GB2312" w:eastAsia="方正仿宋_GB2312" w:cs="方正仿宋_GB2312"/>
          <w:b/>
          <w:color w:val="000000" w:themeColor="text1"/>
          <w:sz w:val="24"/>
          <w:highlight w:val="none"/>
        </w:rPr>
        <w:t xml:space="preserve">废标情形</w:t>
      </w:r>
      <w:r>
        <w:rPr>
          <w:rFonts w:hint="eastAsia" w:ascii="方正仿宋_GB2312" w:hAnsi="方正仿宋_GB2312" w:eastAsia="方正仿宋_GB2312" w:cs="方正仿宋_GB2312"/>
          <w:b/>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19.1符合专业条件的投标人或者对招标文件作实质响应的投标人不足三家的。</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19.2出现影响采购公正的违法、违规行为的。</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19.3因重大变故，采购任务取消的。</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19.4评标委员会认定招标文件存在歧义、重大缺陷导致评审工作无法进行的。</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19.5在“苏采云”系统规定时间内成功解密电子投标文件的投标人不足三家的。</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20.</w:t>
      </w:r>
      <w:r>
        <w:rPr>
          <w:rFonts w:hint="eastAsia" w:ascii="方正仿宋_GB2312" w:hAnsi="方正仿宋_GB2312" w:eastAsia="方正仿宋_GB2312" w:cs="方正仿宋_GB2312"/>
          <w:b/>
          <w:color w:val="000000" w:themeColor="text1"/>
          <w:sz w:val="24"/>
          <w:highlight w:val="none"/>
        </w:rPr>
        <w:t xml:space="preserve">投标人不足三家情形处理</w:t>
      </w:r>
      <w:r>
        <w:rPr>
          <w:rFonts w:hint="eastAsia" w:ascii="方正仿宋_GB2312" w:hAnsi="方正仿宋_GB2312" w:eastAsia="方正仿宋_GB2312" w:cs="方正仿宋_GB2312"/>
          <w:b/>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投标截止后投标人不足三家或者通过资格审查或符合性审查的投标人不足三家的，除采购任务取消情形外，按财政部令第87号第四十三条条款进行处理。</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21.</w:t>
      </w:r>
      <w:r>
        <w:rPr>
          <w:rFonts w:hint="eastAsia" w:ascii="方正仿宋_GB2312" w:hAnsi="方正仿宋_GB2312" w:eastAsia="方正仿宋_GB2312" w:cs="方正仿宋_GB2312"/>
          <w:b/>
          <w:color w:val="000000" w:themeColor="text1"/>
          <w:sz w:val="24"/>
          <w:highlight w:val="none"/>
        </w:rPr>
        <w:t xml:space="preserve">串通投标情形</w:t>
      </w:r>
      <w:r>
        <w:rPr>
          <w:rFonts w:hint="eastAsia" w:ascii="方正仿宋_GB2312" w:hAnsi="方正仿宋_GB2312" w:eastAsia="方正仿宋_GB2312" w:cs="方正仿宋_GB2312"/>
          <w:b/>
          <w:color w:val="000000" w:themeColor="text1"/>
          <w:sz w:val="24"/>
          <w:highlight w:val="none"/>
        </w:rPr>
      </w:r>
      <w:r>
        <w:rPr>
          <w:color w:val="000000" w:themeColor="text1"/>
        </w:rPr>
      </w:r>
    </w:p>
    <w:p>
      <w:pPr>
        <w:pStyle w:val="799"/>
        <w:ind w:firstLine="480"/>
        <w:spacing w:line="50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有下列情形之一的，属于恶意串通投标，其投标无效：</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21.1投标人直接或间接从采购人或采购代理机构处获得其他投标人的投标情况，并修改其投标文件；</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21.2评审活动开始前投标人直接或间接从采购人或采购代理机构处获得评标委员会组成人员情况；</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21.3投标人接受采购人或采购代理机构授意撤换、修改投标文件；</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21.4投标人之间协商投标报价、技术方案等投标文件实质性内容；</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21.5属于同一集团、协会、商会等组织成员的投标人按照该组织要求协同投标；</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21.6投标人之间事先约定由某一特定投标人中标、成交；</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21.7投标人之间商定部分投标人放弃投标或者放弃中标、成交；</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21.8投标人与采购人或采购代理机构之间、投标人相互之间为谋求特定投标人中标成交或者排斥其他投标人的其他串通行为；</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2"/>
        <w:spacing w:line="50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有下列情形之一的，视为投标人串通投标，其投标无效：</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21.9 不同投标人的投标文件由同一单位或者个人编制；</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21.10不同投标人的电子投标文件由同一台电子设备编制、打包、加密或者上传；</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21.11不同投标人委托同一单位或者个人办理投标事宜；</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21.12不同投标人的投标文件载明的项目管理成员或者联系人员为同一人；</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21.13不同投标人的投标文件异常一致或者投标报价呈规律性差异；</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21.14不同投标人的投标文件相互混装；</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21.15不同投标人的投标保证金从同一单位或者个人的账户转出。</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22.</w:t>
      </w:r>
      <w:bookmarkStart w:id="100" w:name="OLE_LINK4"/>
      <w:r>
        <w:rPr>
          <w:rFonts w:hint="eastAsia" w:ascii="方正仿宋_GB2312" w:hAnsi="方正仿宋_GB2312" w:eastAsia="方正仿宋_GB2312" w:cs="方正仿宋_GB2312"/>
          <w:b/>
          <w:color w:val="000000" w:themeColor="text1"/>
          <w:sz w:val="24"/>
          <w:highlight w:val="none"/>
        </w:rPr>
        <w:t xml:space="preserve">取消中标候选人资格情形</w:t>
      </w:r>
      <w:bookmarkEnd w:id="100"/>
      <w:r>
        <w:rPr>
          <w:rFonts w:hint="eastAsia" w:ascii="方正仿宋_GB2312" w:hAnsi="方正仿宋_GB2312" w:eastAsia="方正仿宋_GB2312" w:cs="方正仿宋_GB2312"/>
          <w:b/>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22.1提供虚假材料谋取中标的；</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22.2采取不正当手段诋毁、排挤其他投标人的；</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22.3与采购人、其他投标人或者采购代理机构恶意串通的；</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22.4向采购人、采购代理机构行贿或者提供其他不正当利益的；</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22.5未在规定时间内与采购人签订采购合同的；</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22.6法律、法规规定的</w:t>
      </w:r>
      <w:r>
        <w:rPr>
          <w:rFonts w:hint="eastAsia" w:ascii="方正仿宋_GB2312" w:hAnsi="方正仿宋_GB2312" w:eastAsia="方正仿宋_GB2312" w:cs="方正仿宋_GB2312"/>
          <w:color w:val="000000" w:themeColor="text1"/>
          <w:sz w:val="24"/>
          <w:highlight w:val="none"/>
          <w:lang w:eastAsia="zh-CN"/>
        </w:rPr>
        <w:t xml:space="preserve">其他情况</w:t>
      </w:r>
      <w:r>
        <w:rPr>
          <w:rFonts w:hint="eastAsia" w:ascii="方正仿宋_GB2312" w:hAnsi="方正仿宋_GB2312" w:eastAsia="方正仿宋_GB2312" w:cs="方正仿宋_GB2312"/>
          <w:color w:val="000000" w:themeColor="text1"/>
          <w:sz w:val="24"/>
          <w:highlight w:val="none"/>
        </w:rPr>
        <w:t xml:space="preserve">。</w:t>
      </w:r>
      <w:bookmarkStart w:id="101" w:name="_Toc81575161"/>
      <w:r>
        <w:rPr>
          <w:color w:val="000000" w:themeColor="text1"/>
        </w:rPr>
      </w:r>
      <w:bookmarkStart w:id="102" w:name="_Toc81575198"/>
      <w:r>
        <w:rPr>
          <w:color w:val="000000" w:themeColor="text1"/>
        </w:rPr>
      </w:r>
      <w:bookmarkStart w:id="103" w:name="_Toc6494"/>
      <w:r>
        <w:rPr>
          <w:color w:val="000000" w:themeColor="text1"/>
        </w:rPr>
      </w:r>
      <w:bookmarkStart w:id="104" w:name="_Toc2391"/>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321"/>
        <w:spacing w:line="480" w:lineRule="exact"/>
        <w:rPr>
          <w:rFonts w:hint="eastAsia" w:ascii="方正仿宋_GB2312" w:hAnsi="方正仿宋_GB2312" w:eastAsia="方正仿宋_GB2312" w:cs="方正仿宋_GB2312"/>
          <w:b/>
          <w:bCs/>
          <w:color w:val="000000" w:themeColor="text1"/>
          <w:sz w:val="32"/>
          <w:highlight w:val="none"/>
        </w:rPr>
        <w:outlineLvl w:val="1"/>
      </w:pPr>
      <w:r>
        <w:rPr>
          <w:rFonts w:hint="eastAsia" w:ascii="方正仿宋_GB2312" w:hAnsi="方正仿宋_GB2312" w:eastAsia="方正仿宋_GB2312" w:cs="方正仿宋_GB2312"/>
          <w:b/>
          <w:bCs/>
          <w:color w:val="000000" w:themeColor="text1"/>
          <w:sz w:val="32"/>
          <w:highlight w:val="none"/>
        </w:rPr>
        <w:t xml:space="preserve">七、中标及合同签订</w:t>
      </w:r>
      <w:bookmarkEnd w:id="101"/>
      <w:r>
        <w:rPr>
          <w:color w:val="000000" w:themeColor="text1"/>
        </w:rPr>
      </w:r>
      <w:bookmarkEnd w:id="102"/>
      <w:r>
        <w:rPr>
          <w:color w:val="000000" w:themeColor="text1"/>
        </w:rPr>
      </w:r>
      <w:bookmarkEnd w:id="103"/>
      <w:r>
        <w:rPr>
          <w:color w:val="000000" w:themeColor="text1"/>
        </w:rPr>
      </w:r>
      <w:bookmarkEnd w:id="104"/>
      <w:r>
        <w:rPr>
          <w:rFonts w:hint="eastAsia" w:ascii="方正仿宋_GB2312" w:hAnsi="方正仿宋_GB2312" w:eastAsia="方正仿宋_GB2312" w:cs="方正仿宋_GB2312"/>
          <w:b/>
          <w:bCs/>
          <w:color w:val="000000" w:themeColor="text1"/>
          <w:sz w:val="32"/>
          <w:highlight w:val="none"/>
        </w:rPr>
      </w:r>
      <w:r>
        <w:rPr>
          <w:color w:val="000000" w:themeColor="text1"/>
        </w:rPr>
      </w:r>
    </w:p>
    <w:p>
      <w:pPr>
        <w:pStyle w:val="799"/>
        <w:ind w:firstLine="482"/>
        <w:spacing w:line="50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23.</w:t>
      </w:r>
      <w:r>
        <w:rPr>
          <w:rFonts w:hint="eastAsia" w:ascii="方正仿宋_GB2312" w:hAnsi="方正仿宋_GB2312" w:eastAsia="方正仿宋_GB2312" w:cs="方正仿宋_GB2312"/>
          <w:b/>
          <w:color w:val="000000" w:themeColor="text1"/>
          <w:sz w:val="24"/>
          <w:highlight w:val="none"/>
        </w:rPr>
        <w:t xml:space="preserve">确定中标人</w:t>
      </w:r>
      <w:r>
        <w:rPr>
          <w:rFonts w:hint="eastAsia" w:ascii="方正仿宋_GB2312" w:hAnsi="方正仿宋_GB2312" w:eastAsia="方正仿宋_GB2312" w:cs="方正仿宋_GB2312"/>
          <w:b/>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23.1采购人应当自收到评审报告之日起5个工作日内在评审报告推荐的中标候选人中按顺序确定中标人。</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23.2中标人确定之日起2个工作日内，采购人、采购代理机构将在财政部门指定信息媒体上发布中标结果公告，公告的公告期限为1个工作日。</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23.3采购人确定正被列为失信被执行人的投标人为中标人的，中标结果无效。</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2"/>
        <w:spacing w:line="50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24.</w:t>
      </w:r>
      <w:r>
        <w:rPr>
          <w:rFonts w:hint="eastAsia" w:ascii="方正仿宋_GB2312" w:hAnsi="方正仿宋_GB2312" w:eastAsia="方正仿宋_GB2312" w:cs="方正仿宋_GB2312"/>
          <w:b/>
          <w:color w:val="000000" w:themeColor="text1"/>
          <w:sz w:val="24"/>
          <w:highlight w:val="none"/>
        </w:rPr>
        <w:t xml:space="preserve">中标通知书</w:t>
      </w:r>
      <w:r>
        <w:rPr>
          <w:rFonts w:hint="eastAsia" w:ascii="方正仿宋_GB2312" w:hAnsi="方正仿宋_GB2312" w:eastAsia="方正仿宋_GB2312" w:cs="方正仿宋_GB2312"/>
          <w:b/>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24.1在公告中标结果的同时，采购代理机构将向中标人发出中标通知书。中标人使用CA数字证书登录“苏采云”系统及时下载中标通知书。</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24.2中标通知书发出后，采购人改变中标结果的，或者中标人放弃中标项目的，应当依法承担法律责任。</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24.3采用综合评分法评审的，未中标人可于中标结果公告期限届满之日起通过“苏采云”系统查看</w:t>
      </w:r>
      <w:bookmarkStart w:id="105" w:name="OLE_LINK5"/>
      <w:r>
        <w:rPr>
          <w:rFonts w:hint="eastAsia" w:ascii="方正仿宋_GB2312" w:hAnsi="方正仿宋_GB2312" w:eastAsia="方正仿宋_GB2312" w:cs="方正仿宋_GB2312"/>
          <w:color w:val="000000" w:themeColor="text1"/>
          <w:sz w:val="24"/>
          <w:highlight w:val="none"/>
        </w:rPr>
        <w:t xml:space="preserve">自己的评审得分及排序情况。</w:t>
      </w:r>
      <w:bookmarkEnd w:id="105"/>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2"/>
        <w:spacing w:line="50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25.</w:t>
      </w:r>
      <w:r>
        <w:rPr>
          <w:rFonts w:hint="eastAsia" w:ascii="方正仿宋_GB2312" w:hAnsi="方正仿宋_GB2312" w:eastAsia="方正仿宋_GB2312" w:cs="方正仿宋_GB2312"/>
          <w:b/>
          <w:color w:val="000000" w:themeColor="text1"/>
          <w:sz w:val="24"/>
          <w:highlight w:val="none"/>
        </w:rPr>
        <w:t xml:space="preserve">授予合同</w:t>
      </w:r>
      <w:r>
        <w:rPr>
          <w:rFonts w:hint="eastAsia" w:ascii="方正仿宋_GB2312" w:hAnsi="方正仿宋_GB2312" w:eastAsia="方正仿宋_GB2312" w:cs="方正仿宋_GB2312"/>
          <w:b/>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25.1采购人与中标人应当在中标通知书发出之日起</w:t>
      </w:r>
      <w:r>
        <w:rPr>
          <w:rFonts w:hint="eastAsia" w:ascii="方正仿宋_GB2312" w:hAnsi="方正仿宋_GB2312" w:eastAsia="方正仿宋_GB2312" w:cs="方正仿宋_GB2312"/>
          <w:color w:val="000000" w:themeColor="text1"/>
          <w:sz w:val="24"/>
          <w:highlight w:val="none"/>
          <w:lang w:val="en-US" w:eastAsia="zh-CN"/>
        </w:rPr>
        <w:t xml:space="preserve">15</w:t>
      </w:r>
      <w:r>
        <w:rPr>
          <w:rFonts w:hint="eastAsia" w:ascii="方正仿宋_GB2312" w:hAnsi="方正仿宋_GB2312" w:eastAsia="方正仿宋_GB2312" w:cs="方正仿宋_GB2312"/>
          <w:color w:val="000000" w:themeColor="text1"/>
          <w:sz w:val="24"/>
          <w:highlight w:val="none"/>
        </w:rPr>
        <w:t xml:space="preserve">日内签订政府采购合同。招标文件、中标人的投标文件以及评标过程中有关澄清文件均作为合同附件。</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25.2采购人在自合同签订之日起2个工作日内，将合同在指定的媒体上公告。</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26.</w:t>
      </w:r>
      <w:r>
        <w:rPr>
          <w:rFonts w:hint="eastAsia" w:ascii="方正仿宋_GB2312" w:hAnsi="方正仿宋_GB2312" w:eastAsia="方正仿宋_GB2312" w:cs="方正仿宋_GB2312"/>
          <w:b/>
          <w:color w:val="000000" w:themeColor="text1"/>
          <w:sz w:val="24"/>
          <w:highlight w:val="none"/>
        </w:rPr>
        <w:t xml:space="preserve">履约保证金</w:t>
      </w:r>
      <w:r>
        <w:rPr>
          <w:rFonts w:hint="eastAsia" w:ascii="方正仿宋_GB2312" w:hAnsi="方正仿宋_GB2312" w:eastAsia="方正仿宋_GB2312" w:cs="方正仿宋_GB2312"/>
          <w:b/>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lang w:val="zh-CN"/>
        </w:rPr>
        <w:t xml:space="preserve">按照以下第</w:t>
      </w:r>
      <w:r>
        <w:rPr>
          <w:rFonts w:hint="eastAsia" w:ascii="方正仿宋_GB2312" w:hAnsi="方正仿宋_GB2312" w:eastAsia="方正仿宋_GB2312" w:cs="方正仿宋_GB2312"/>
          <w:b/>
          <w:bCs/>
          <w:color w:val="000000" w:themeColor="text1"/>
          <w:sz w:val="24"/>
          <w:highlight w:val="none"/>
          <w:u w:val="single"/>
        </w:rPr>
        <w:t xml:space="preserve">（</w:t>
      </w:r>
      <w:r>
        <w:rPr>
          <w:rFonts w:hint="eastAsia" w:ascii="方正仿宋_GB2312" w:hAnsi="方正仿宋_GB2312" w:eastAsia="方正仿宋_GB2312" w:cs="方正仿宋_GB2312"/>
          <w:b/>
          <w:bCs/>
          <w:color w:val="000000" w:themeColor="text1"/>
          <w:sz w:val="24"/>
          <w:highlight w:val="none"/>
          <w:u w:val="single"/>
          <w:lang w:val="en-US" w:eastAsia="zh-CN"/>
        </w:rPr>
        <w:t xml:space="preserve">2</w:t>
      </w:r>
      <w:r>
        <w:rPr>
          <w:rFonts w:hint="eastAsia" w:ascii="方正仿宋_GB2312" w:hAnsi="方正仿宋_GB2312" w:eastAsia="方正仿宋_GB2312" w:cs="方正仿宋_GB2312"/>
          <w:b/>
          <w:bCs/>
          <w:color w:val="000000" w:themeColor="text1"/>
          <w:sz w:val="24"/>
          <w:highlight w:val="none"/>
          <w:u w:val="single"/>
        </w:rPr>
        <w:t xml:space="preserve">）</w:t>
      </w:r>
      <w:r>
        <w:rPr>
          <w:rFonts w:hint="eastAsia" w:ascii="方正仿宋_GB2312" w:hAnsi="方正仿宋_GB2312" w:eastAsia="方正仿宋_GB2312" w:cs="方正仿宋_GB2312"/>
          <w:color w:val="000000" w:themeColor="text1"/>
          <w:sz w:val="24"/>
          <w:highlight w:val="none"/>
          <w:lang w:val="zh-CN"/>
        </w:rPr>
        <w:t xml:space="preserve">方式确定履约保证</w:t>
      </w:r>
      <w:r>
        <w:rPr>
          <w:rFonts w:hint="eastAsia" w:ascii="方正仿宋_GB2312" w:hAnsi="方正仿宋_GB2312" w:eastAsia="方正仿宋_GB2312" w:cs="方正仿宋_GB2312"/>
          <w:color w:val="000000" w:themeColor="text1"/>
          <w:sz w:val="24"/>
          <w:highlight w:val="none"/>
        </w:rPr>
        <w:t xml:space="preserve">金</w:t>
      </w:r>
      <w:r>
        <w:rPr>
          <w:rFonts w:hint="eastAsia" w:ascii="方正仿宋_GB2312" w:hAnsi="方正仿宋_GB2312" w:eastAsia="方正仿宋_GB2312" w:cs="方正仿宋_GB2312"/>
          <w:color w:val="000000" w:themeColor="text1"/>
          <w:sz w:val="24"/>
          <w:highlight w:val="none"/>
          <w:lang w:val="zh-CN"/>
        </w:rPr>
        <w:t xml:space="preserve">收取方式。</w:t>
      </w:r>
      <w:r>
        <w:rPr>
          <w:rFonts w:hint="eastAsia" w:ascii="方正仿宋_GB2312" w:hAnsi="方正仿宋_GB2312" w:eastAsia="方正仿宋_GB2312" w:cs="方正仿宋_GB2312"/>
          <w:color w:val="000000" w:themeColor="text1"/>
          <w:sz w:val="24"/>
          <w:highlight w:val="none"/>
          <w:lang w:val="zh-CN"/>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（1）本项目不收取履约保证金。</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b/>
          <w:bCs/>
          <w:color w:val="000000" w:themeColor="text1"/>
          <w:sz w:val="24"/>
          <w:highlight w:val="none"/>
        </w:rPr>
      </w:pPr>
      <w:r>
        <w:rPr>
          <w:rFonts w:hint="eastAsia" w:ascii="方正仿宋_GB2312" w:hAnsi="方正仿宋_GB2312" w:eastAsia="方正仿宋_GB2312" w:cs="方正仿宋_GB2312"/>
          <w:b/>
          <w:bCs/>
          <w:color w:val="000000" w:themeColor="text1"/>
          <w:sz w:val="24"/>
          <w:highlight w:val="none"/>
        </w:rPr>
        <w:t xml:space="preserve">（2）本项目收取履约保证金。</w:t>
      </w:r>
      <w:r>
        <w:rPr>
          <w:rFonts w:hint="eastAsia" w:ascii="方正仿宋_GB2312" w:hAnsi="方正仿宋_GB2312" w:eastAsia="方正仿宋_GB2312" w:cs="方正仿宋_GB2312"/>
          <w:b/>
          <w:bCs/>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26.1履约保证金提交形式</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26.2履约保证金提交金额</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b/>
          <w:bCs/>
          <w:color w:val="000000" w:themeColor="text1"/>
          <w:sz w:val="24"/>
          <w:highlight w:val="none"/>
        </w:rPr>
      </w:pPr>
      <w:r>
        <w:rPr>
          <w:rFonts w:hint="eastAsia" w:ascii="方正仿宋_GB2312" w:hAnsi="方正仿宋_GB2312" w:eastAsia="方正仿宋_GB2312" w:cs="方正仿宋_GB2312"/>
          <w:b/>
          <w:bCs/>
          <w:color w:val="000000" w:themeColor="text1"/>
          <w:sz w:val="24"/>
          <w:highlight w:val="none"/>
        </w:rPr>
        <w:t xml:space="preserve">按采购合同总价的</w:t>
      </w:r>
      <w:r>
        <w:rPr>
          <w:rFonts w:hint="eastAsia" w:ascii="方正仿宋_GB2312" w:hAnsi="方正仿宋_GB2312" w:eastAsia="方正仿宋_GB2312" w:cs="方正仿宋_GB2312"/>
          <w:b/>
          <w:bCs/>
          <w:color w:val="000000" w:themeColor="text1"/>
          <w:sz w:val="24"/>
          <w:highlight w:val="none"/>
          <w:u w:val="single"/>
        </w:rPr>
        <w:t xml:space="preserve"> </w:t>
      </w:r>
      <w:r>
        <w:rPr>
          <w:rFonts w:hint="eastAsia" w:ascii="方正仿宋_GB2312" w:hAnsi="方正仿宋_GB2312" w:eastAsia="方正仿宋_GB2312" w:cs="方正仿宋_GB2312"/>
          <w:b/>
          <w:bCs/>
          <w:color w:val="000000" w:themeColor="text1"/>
          <w:sz w:val="24"/>
          <w:highlight w:val="none"/>
          <w:u w:val="single"/>
          <w:lang w:val="en-US" w:eastAsia="zh-CN"/>
        </w:rPr>
        <w:t xml:space="preserve">5</w:t>
      </w:r>
      <w:r>
        <w:rPr>
          <w:rFonts w:hint="eastAsia" w:ascii="方正仿宋_GB2312" w:hAnsi="方正仿宋_GB2312" w:eastAsia="方正仿宋_GB2312" w:cs="方正仿宋_GB2312"/>
          <w:b/>
          <w:bCs/>
          <w:color w:val="000000" w:themeColor="text1"/>
          <w:sz w:val="24"/>
          <w:highlight w:val="none"/>
          <w:u w:val="single"/>
        </w:rPr>
        <w:t xml:space="preserve"> </w:t>
      </w:r>
      <w:r>
        <w:rPr>
          <w:rFonts w:hint="eastAsia" w:ascii="方正仿宋_GB2312" w:hAnsi="方正仿宋_GB2312" w:eastAsia="方正仿宋_GB2312" w:cs="方正仿宋_GB2312"/>
          <w:b/>
          <w:bCs/>
          <w:color w:val="000000" w:themeColor="text1"/>
          <w:sz w:val="24"/>
          <w:highlight w:val="none"/>
        </w:rPr>
        <w:t xml:space="preserve">%提交。</w:t>
      </w:r>
      <w:r>
        <w:rPr>
          <w:rFonts w:hint="eastAsia" w:ascii="方正仿宋_GB2312" w:hAnsi="方正仿宋_GB2312" w:eastAsia="方正仿宋_GB2312" w:cs="方正仿宋_GB2312"/>
          <w:b/>
          <w:bCs/>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方正仿宋_GB2312" w:hAnsi="方正仿宋_GB2312" w:eastAsia="方正仿宋_GB2312" w:cs="方正仿宋_GB2312"/>
          <w:color w:val="000000" w:themeColor="text1"/>
          <w:sz w:val="24"/>
          <w:highlight w:val="none"/>
          <w:u w:val="single"/>
        </w:rPr>
        <w:t xml:space="preserve"> </w:t>
      </w:r>
      <w:r>
        <w:rPr>
          <w:rFonts w:ascii="方正仿宋_GB2312" w:hAnsi="方正仿宋_GB2312" w:eastAsia="方正仿宋_GB2312" w:cs="方正仿宋_GB2312"/>
          <w:color w:val="000000" w:themeColor="text1"/>
          <w:sz w:val="24"/>
          <w:highlight w:val="none"/>
          <w:u w:val="single"/>
          <w:lang w:val="en-US" w:eastAsia="zh-CN"/>
        </w:rPr>
        <w:t xml:space="preserve">3</w:t>
      </w:r>
      <w:r>
        <w:rPr>
          <w:rFonts w:hint="eastAsia" w:ascii="方正仿宋_GB2312" w:hAnsi="方正仿宋_GB2312" w:eastAsia="方正仿宋_GB2312" w:cs="方正仿宋_GB2312"/>
          <w:color w:val="000000" w:themeColor="text1"/>
          <w:sz w:val="24"/>
          <w:highlight w:val="none"/>
          <w:u w:val="single"/>
        </w:rPr>
        <w:t xml:space="preserve"> </w:t>
      </w:r>
      <w:r>
        <w:rPr>
          <w:rFonts w:hint="eastAsia" w:ascii="方正仿宋_GB2312" w:hAnsi="方正仿宋_GB2312" w:eastAsia="方正仿宋_GB2312" w:cs="方正仿宋_GB2312"/>
          <w:color w:val="000000" w:themeColor="text1"/>
          <w:sz w:val="24"/>
          <w:highlight w:val="none"/>
        </w:rPr>
        <w:t xml:space="preserve">%提交。办理流程、偿付等内容见江苏政府采购网“保险保函”模块。</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26.3履约保证金退还方式</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26.4履约保证金退还条件</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具有验收合格相关证明材料。</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26.5履约保证金退还时间</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采购人收到投标人退付申请后5个工作日内退还。</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26.6履约保证金不予退还情形</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除不可抗力外，中标人不履行与采购人订立的采购合同的，履约保证金不予退还，给采购人造成的损失超过履约保证金数额的，还应对超过部分予以赔偿。</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26.7逾期退还履约保证金违约责任</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27.</w:t>
      </w:r>
      <w:r>
        <w:rPr>
          <w:rFonts w:hint="eastAsia" w:ascii="方正仿宋_GB2312" w:hAnsi="方正仿宋_GB2312" w:eastAsia="方正仿宋_GB2312" w:cs="方正仿宋_GB2312"/>
          <w:b/>
          <w:color w:val="000000" w:themeColor="text1"/>
          <w:sz w:val="24"/>
          <w:highlight w:val="none"/>
        </w:rPr>
        <w:t xml:space="preserve">线上融资</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中标人可凭政府采购合同办理融资贷款，详情见江苏政府采购网“政采贷”专栏。</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28.</w:t>
      </w:r>
      <w:r>
        <w:rPr>
          <w:rFonts w:hint="eastAsia" w:ascii="方正仿宋_GB2312" w:hAnsi="方正仿宋_GB2312" w:eastAsia="方正仿宋_GB2312" w:cs="方正仿宋_GB2312"/>
          <w:b/>
          <w:color w:val="000000" w:themeColor="text1"/>
          <w:sz w:val="24"/>
          <w:highlight w:val="none"/>
        </w:rPr>
        <w:t xml:space="preserve">合同履行</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28.1政府采购合同订立后，合同各方不得擅自变更、中止或者终止合同。</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849"/>
        <w:spacing w:before="0" w:after="0" w:line="520" w:lineRule="exact"/>
        <w:rPr>
          <w:rFonts w:hint="eastAsia" w:ascii="方正仿宋_GB2312" w:hAnsi="方正仿宋_GB2312" w:eastAsia="方正仿宋_GB2312" w:cs="方正仿宋_GB2312"/>
          <w:bCs/>
          <w:color w:val="000000" w:themeColor="text1"/>
          <w:highlight w:val="none"/>
        </w:rPr>
      </w:pPr>
      <w:r>
        <w:rPr>
          <w:color w:val="000000" w:themeColor="text1"/>
        </w:rPr>
      </w:r>
      <w:bookmarkStart w:id="106" w:name="_Toc81575162"/>
      <w:r>
        <w:rPr>
          <w:color w:val="000000" w:themeColor="text1"/>
        </w:rPr>
      </w:r>
      <w:bookmarkStart w:id="107" w:name="_Toc81575199"/>
      <w:r>
        <w:rPr>
          <w:color w:val="000000" w:themeColor="text1"/>
        </w:rPr>
      </w:r>
      <w:bookmarkStart w:id="108" w:name="_Toc22084"/>
      <w:r>
        <w:rPr>
          <w:color w:val="000000" w:themeColor="text1"/>
        </w:rPr>
      </w:r>
      <w:bookmarkStart w:id="109" w:name="_Toc7550"/>
      <w:r>
        <w:rPr>
          <w:rFonts w:hint="eastAsia" w:ascii="方正仿宋_GB2312" w:hAnsi="方正仿宋_GB2312" w:eastAsia="方正仿宋_GB2312" w:cs="方正仿宋_GB2312"/>
          <w:bCs/>
          <w:color w:val="000000" w:themeColor="text1"/>
          <w:highlight w:val="none"/>
        </w:rPr>
        <w:t xml:space="preserve">八、</w:t>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Start w:id="110" w:name="_Toc31888"/>
      <w:r>
        <w:rPr>
          <w:color w:val="000000" w:themeColor="text1"/>
        </w:rPr>
      </w:r>
      <w:bookmarkStart w:id="111" w:name="_Toc81575163"/>
      <w:r>
        <w:rPr>
          <w:color w:val="000000" w:themeColor="text1"/>
        </w:rPr>
      </w:r>
      <w:bookmarkStart w:id="112" w:name="_Toc81575200"/>
      <w:r>
        <w:rPr>
          <w:color w:val="000000" w:themeColor="text1"/>
        </w:rPr>
      </w:r>
      <w:bookmarkStart w:id="113" w:name="_Toc12263"/>
      <w:r>
        <w:rPr>
          <w:rFonts w:hint="eastAsia" w:ascii="方正仿宋_GB2312" w:hAnsi="方正仿宋_GB2312" w:eastAsia="方正仿宋_GB2312" w:cs="方正仿宋_GB2312"/>
          <w:bCs/>
          <w:color w:val="000000" w:themeColor="text1"/>
          <w:highlight w:val="none"/>
        </w:rPr>
        <w:t xml:space="preserve">质疑与投诉</w:t>
      </w:r>
      <w:bookmarkEnd w:id="110"/>
      <w:r>
        <w:rPr>
          <w:color w:val="000000" w:themeColor="text1"/>
        </w:rPr>
      </w:r>
      <w:bookmarkEnd w:id="111"/>
      <w:r>
        <w:rPr>
          <w:color w:val="000000" w:themeColor="text1"/>
        </w:rPr>
      </w:r>
      <w:bookmarkEnd w:id="112"/>
      <w:r>
        <w:rPr>
          <w:color w:val="000000" w:themeColor="text1"/>
        </w:rPr>
      </w:r>
      <w:bookmarkEnd w:id="113"/>
      <w:r>
        <w:rPr>
          <w:rFonts w:hint="eastAsia" w:ascii="方正仿宋_GB2312" w:hAnsi="方正仿宋_GB2312" w:eastAsia="方正仿宋_GB2312" w:cs="方正仿宋_GB2312"/>
          <w:bCs/>
          <w:color w:val="000000" w:themeColor="text1"/>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29.</w:t>
      </w:r>
      <w:r>
        <w:rPr>
          <w:rFonts w:hint="eastAsia" w:ascii="方正仿宋_GB2312" w:hAnsi="方正仿宋_GB2312" w:eastAsia="方正仿宋_GB2312" w:cs="方正仿宋_GB2312"/>
          <w:b/>
          <w:color w:val="000000" w:themeColor="text1"/>
          <w:sz w:val="24"/>
          <w:highlight w:val="none"/>
        </w:rPr>
        <w:t xml:space="preserve">质疑</w:t>
      </w:r>
      <w:r>
        <w:rPr>
          <w:rFonts w:hint="eastAsia" w:ascii="方正仿宋_GB2312" w:hAnsi="方正仿宋_GB2312" w:eastAsia="方正仿宋_GB2312" w:cs="方正仿宋_GB2312"/>
          <w:b/>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29.1投标人认为采购文件、采购过程和中标结果使自己的权益受到损害的，可以在知道或者应知其权益受到损害之日起七个工作日内，</w:t>
      </w:r>
      <w:bookmarkStart w:id="114" w:name="OLE_LINK2"/>
      <w:r>
        <w:rPr>
          <w:rFonts w:hint="eastAsia" w:ascii="方正仿宋_GB2312" w:hAnsi="方正仿宋_GB2312" w:eastAsia="方正仿宋_GB2312" w:cs="方正仿宋_GB2312"/>
          <w:b/>
          <w:bCs/>
          <w:color w:val="000000" w:themeColor="text1"/>
          <w:sz w:val="24"/>
          <w:highlight w:val="none"/>
        </w:rPr>
        <w:t xml:space="preserve">登录“苏采云”系统，从“项目质疑申请”模块向采购人提出质疑</w:t>
      </w:r>
      <w:bookmarkEnd w:id="114"/>
      <w:r>
        <w:rPr>
          <w:rFonts w:hint="eastAsia" w:ascii="方正仿宋_GB2312" w:hAnsi="方正仿宋_GB2312" w:eastAsia="方正仿宋_GB2312" w:cs="方正仿宋_GB2312"/>
          <w:b/>
          <w:bCs/>
          <w:color w:val="000000" w:themeColor="text1"/>
          <w:sz w:val="24"/>
          <w:highlight w:val="none"/>
        </w:rPr>
        <w:t xml:space="preserve">。</w:t>
      </w:r>
      <w:bookmarkStart w:id="115" w:name="OLE_LINK1"/>
      <w:r>
        <w:rPr>
          <w:rFonts w:hint="eastAsia" w:ascii="方正仿宋_GB2312" w:hAnsi="方正仿宋_GB2312" w:eastAsia="方正仿宋_GB2312" w:cs="方正仿宋_GB2312"/>
          <w:color w:val="000000" w:themeColor="text1"/>
          <w:sz w:val="24"/>
          <w:highlight w:val="none"/>
        </w:rPr>
        <w:t xml:space="preserve">质疑联系部门、联系电话、通讯地址详见采购公告。</w:t>
      </w:r>
      <w:bookmarkEnd w:id="115"/>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29.2投标人应知其权益受到损害之日，是指：</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（1）对本项目采购文件提出质疑的，为获取采购文件之日或者采购文件公告期限届满之日；</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（2）对本项目采购过程提出质疑的，为各采购程序环节结束之日；</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（3）对本项目中标结果提出质疑的，为中标结果公告期限届满之日。</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29.4投标人提出质疑应当提交质疑函和必要的证明材料。质疑函的必备内容：</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（1）投标人的姓名或者名称、地址、邮编、联系人及联系电话；</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（2）质疑项目的名称、编号；</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（3）获取采购文件的时间；</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（4）具体、明确的质疑事项和质疑事项相关的请求；</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（5）事实依据；</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（6）必要的法律依据；</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（7）提出质疑的日期；</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（8）投标人为自然人的，由本人签字；投标人为法人或者其他组织的，应当由法定代表人、主要负责人，或者其授权代表签字或者盖章，并加盖公章；</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29.5采购人在收到质疑函后7个工作日内作出答复，并以书面形式通知质疑投标人和其他有关投标人，但质疑答复的内容不涉及商业秘密。</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2"/>
        <w:spacing w:line="480" w:lineRule="exact"/>
        <w:rPr>
          <w:rFonts w:hint="eastAsia" w:ascii="方正仿宋_GB2312" w:hAnsi="方正仿宋_GB2312" w:eastAsia="方正仿宋_GB2312" w:cs="方正仿宋_GB2312"/>
          <w:b/>
          <w:color w:val="000000" w:themeColor="text1"/>
          <w:sz w:val="24"/>
          <w:highlight w:val="none"/>
        </w:rPr>
      </w:pPr>
      <w:r>
        <w:rPr>
          <w:rFonts w:hint="eastAsia" w:ascii="方正仿宋_GB2312" w:hAnsi="方正仿宋_GB2312" w:eastAsia="方正仿宋_GB2312" w:cs="方正仿宋_GB2312"/>
          <w:b/>
          <w:color w:val="000000" w:themeColor="text1"/>
          <w:sz w:val="24"/>
          <w:highlight w:val="none"/>
          <w:lang w:eastAsia="zh-CN"/>
        </w:rPr>
        <w:t xml:space="preserve">30.</w:t>
      </w:r>
      <w:r>
        <w:rPr>
          <w:rFonts w:hint="eastAsia" w:ascii="方正仿宋_GB2312" w:hAnsi="方正仿宋_GB2312" w:eastAsia="方正仿宋_GB2312" w:cs="方正仿宋_GB2312"/>
          <w:b/>
          <w:color w:val="000000" w:themeColor="text1"/>
          <w:sz w:val="24"/>
          <w:highlight w:val="none"/>
        </w:rPr>
        <w:t xml:space="preserve">投诉</w:t>
      </w:r>
      <w:r>
        <w:rPr>
          <w:rFonts w:hint="eastAsia" w:ascii="方正仿宋_GB2312" w:hAnsi="方正仿宋_GB2312" w:eastAsia="方正仿宋_GB2312" w:cs="方正仿宋_GB2312"/>
          <w:b/>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质疑投标人对答复不满意或采购人、采购代理机构未在规定时间内作出答复的，可在答复期满后15个工作日内向同级财政部门提起投诉。</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848"/>
        <w:jc w:val="center"/>
        <w:spacing w:before="200"/>
        <w:rPr>
          <w:rFonts w:hint="eastAsia" w:ascii="方正仿宋_GB2312" w:hAnsi="方正仿宋_GB2312" w:eastAsia="方正仿宋_GB2312" w:cs="方正仿宋_GB2312"/>
          <w:bCs/>
          <w:color w:val="000000" w:themeColor="text1"/>
          <w:sz w:val="44"/>
          <w:szCs w:val="44"/>
          <w:highlight w:val="none"/>
        </w:rPr>
      </w:pPr>
      <w:r>
        <w:rPr>
          <w:color w:val="000000" w:themeColor="text1"/>
        </w:rPr>
      </w:r>
      <w:bookmarkStart w:id="116" w:name="EB4d341233595e4bf8ad7006b4bd78d974"/>
      <w:r>
        <w:rPr>
          <w:color w:val="000000" w:themeColor="text1"/>
        </w:rPr>
      </w:r>
      <w:bookmarkEnd w:id="116"/>
      <w:r>
        <w:rPr>
          <w:color w:val="000000" w:themeColor="text1"/>
        </w:rPr>
      </w:r>
      <w:bookmarkStart w:id="117" w:name="_Toc81575201"/>
      <w:r>
        <w:rPr>
          <w:color w:val="000000" w:themeColor="text1"/>
        </w:rPr>
      </w:r>
      <w:bookmarkStart w:id="118" w:name="_Toc81575164"/>
      <w:r>
        <w:rPr>
          <w:rFonts w:hint="eastAsia" w:ascii="方正仿宋_GB2312" w:hAnsi="方正仿宋_GB2312" w:eastAsia="方正仿宋_GB2312" w:cs="方正仿宋_GB2312"/>
          <w:color w:val="000000" w:themeColor="text1"/>
          <w:highlight w:val="none"/>
        </w:rPr>
        <w:br w:type="page" w:clear="all"/>
      </w:r>
      <w:bookmarkStart w:id="119" w:name="_Toc17961"/>
      <w:r>
        <w:rPr>
          <w:color w:val="000000" w:themeColor="text1"/>
        </w:rPr>
      </w:r>
      <w:bookmarkStart w:id="120" w:name="_Toc27899"/>
      <w:r>
        <w:rPr>
          <w:rFonts w:hint="eastAsia" w:ascii="方正仿宋_GB2312" w:hAnsi="方正仿宋_GB2312" w:eastAsia="方正仿宋_GB2312" w:cs="方正仿宋_GB2312"/>
          <w:b/>
          <w:bCs w:val="0"/>
          <w:color w:val="000000" w:themeColor="text1"/>
          <w:sz w:val="44"/>
          <w:szCs w:val="44"/>
          <w:highlight w:val="none"/>
        </w:rPr>
        <w:t xml:space="preserve">第三章  资格审查及评标</w:t>
      </w:r>
      <w:bookmarkEnd w:id="117"/>
      <w:r>
        <w:rPr>
          <w:color w:val="000000" w:themeColor="text1"/>
        </w:rPr>
      </w:r>
      <w:bookmarkEnd w:id="118"/>
      <w:r>
        <w:rPr>
          <w:rFonts w:hint="eastAsia" w:ascii="方正仿宋_GB2312" w:hAnsi="方正仿宋_GB2312" w:eastAsia="方正仿宋_GB2312" w:cs="方正仿宋_GB2312"/>
          <w:b/>
          <w:bCs w:val="0"/>
          <w:color w:val="000000" w:themeColor="text1"/>
          <w:sz w:val="44"/>
          <w:szCs w:val="44"/>
          <w:highlight w:val="none"/>
        </w:rPr>
        <w:t xml:space="preserve">方法</w:t>
      </w:r>
      <w:bookmarkEnd w:id="119"/>
      <w:r>
        <w:rPr>
          <w:color w:val="000000" w:themeColor="text1"/>
        </w:rPr>
      </w:r>
      <w:bookmarkEnd w:id="120"/>
      <w:r>
        <w:rPr>
          <w:rFonts w:hint="eastAsia" w:ascii="方正仿宋_GB2312" w:hAnsi="方正仿宋_GB2312" w:eastAsia="方正仿宋_GB2312" w:cs="方正仿宋_GB2312"/>
          <w:bCs/>
          <w:color w:val="000000" w:themeColor="text1"/>
          <w:sz w:val="44"/>
          <w:szCs w:val="44"/>
          <w:highlight w:val="none"/>
        </w:rPr>
      </w:r>
      <w:r>
        <w:rPr>
          <w:color w:val="000000" w:themeColor="text1"/>
        </w:rPr>
      </w:r>
    </w:p>
    <w:p>
      <w:pPr>
        <w:pStyle w:val="799"/>
        <w:ind w:firstLine="482"/>
        <w:jc w:val="left"/>
        <w:spacing w:line="480" w:lineRule="exact"/>
        <w:rPr>
          <w:rFonts w:hint="eastAsia" w:ascii="方正仿宋_GB2312" w:hAnsi="方正仿宋_GB2312" w:eastAsia="方正仿宋_GB2312" w:cs="方正仿宋_GB2312"/>
          <w:b/>
          <w:bCs/>
          <w:color w:val="000000" w:themeColor="text1"/>
          <w:sz w:val="24"/>
          <w:highlight w:val="none"/>
        </w:rPr>
      </w:pPr>
      <w:r>
        <w:rPr>
          <w:rFonts w:hint="eastAsia" w:ascii="方正仿宋_GB2312" w:hAnsi="方正仿宋_GB2312" w:eastAsia="方正仿宋_GB2312" w:cs="方正仿宋_GB2312"/>
          <w:b/>
          <w:bCs/>
          <w:color w:val="000000" w:themeColor="text1"/>
          <w:sz w:val="24"/>
          <w:highlight w:val="none"/>
        </w:rPr>
        <w:t xml:space="preserve">一、资格审查</w:t>
      </w:r>
      <w:r>
        <w:rPr>
          <w:rFonts w:hint="eastAsia" w:ascii="方正仿宋_GB2312" w:hAnsi="方正仿宋_GB2312" w:eastAsia="方正仿宋_GB2312" w:cs="方正仿宋_GB2312"/>
          <w:b/>
          <w:bCs/>
          <w:color w:val="000000" w:themeColor="text1"/>
          <w:sz w:val="24"/>
          <w:highlight w:val="none"/>
        </w:rPr>
      </w:r>
      <w:r>
        <w:rPr>
          <w:color w:val="000000" w:themeColor="text1"/>
        </w:rPr>
      </w:r>
    </w:p>
    <w:p>
      <w:pPr>
        <w:pStyle w:val="799"/>
        <w:ind w:firstLine="480"/>
        <w:jc w:val="left"/>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szCs w:val="28"/>
          <w:highlight w:val="none"/>
        </w:rPr>
        <w:t xml:space="preserve">资格审查人员按照下列指标对各投标人的资格进行审查，未通过审查的为无效标，不参与评标。</w:t>
      </w:r>
      <w:r>
        <w:rPr>
          <w:rFonts w:hint="eastAsia" w:ascii="方正仿宋_GB2312" w:hAnsi="方正仿宋_GB2312" w:eastAsia="方正仿宋_GB2312" w:cs="方正仿宋_GB2312"/>
          <w:color w:val="000000" w:themeColor="text1"/>
          <w:sz w:val="24"/>
          <w:highlight w:val="none"/>
        </w:rPr>
      </w:r>
      <w:r>
        <w:rPr>
          <w:color w:val="000000" w:themeColor="text1"/>
        </w:rPr>
      </w:r>
    </w:p>
    <w:tbl>
      <w:tblPr>
        <w:tblW w:w="8668" w:type="dxa"/>
        <w:tblInd w:w="-14"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pStyle w:val="799"/>
              <w:jc w:val="center"/>
              <w:spacing w:line="480" w:lineRule="exact"/>
              <w:widowControl w:val="off"/>
              <w:rPr>
                <w:rFonts w:hint="eastAsia" w:ascii="方正仿宋_GB2312" w:hAnsi="方正仿宋_GB2312" w:eastAsia="方正仿宋_GB2312" w:cs="方正仿宋_GB2312"/>
                <w:color w:val="000000" w:themeColor="text1"/>
                <w:sz w:val="21"/>
                <w:szCs w:val="22"/>
                <w:highlight w:val="none"/>
              </w:rPr>
            </w:pPr>
            <w:r>
              <w:rPr>
                <w:rFonts w:hint="eastAsia" w:ascii="方正仿宋_GB2312" w:hAnsi="方正仿宋_GB2312" w:eastAsia="方正仿宋_GB2312" w:cs="方正仿宋_GB2312"/>
                <w:color w:val="000000" w:themeColor="text1"/>
                <w:sz w:val="21"/>
                <w:szCs w:val="22"/>
                <w:highlight w:val="none"/>
                <w:lang w:val="en-US" w:eastAsia="zh-CN" w:bidi="ar-SA"/>
              </w:rPr>
              <w:t xml:space="preserve">资格审查因素</w:t>
            </w:r>
            <w:r>
              <w:rPr>
                <w:rFonts w:hint="eastAsia" w:ascii="方正仿宋_GB2312" w:hAnsi="方正仿宋_GB2312" w:eastAsia="方正仿宋_GB2312" w:cs="方正仿宋_GB2312"/>
                <w:color w:val="000000" w:themeColor="text1"/>
                <w:sz w:val="21"/>
                <w:szCs w:val="22"/>
                <w:highlight w:val="none"/>
                <w:lang w:val="en-US" w:eastAsia="zh-CN" w:bidi="ar-SA"/>
              </w:rPr>
            </w:r>
            <w:r>
              <w:rPr>
                <w:color w:val="000000" w:themeColor="text1"/>
              </w:rPr>
            </w:r>
          </w:p>
        </w:tc>
        <w:tc>
          <w:tcPr>
            <w:tcW w:w="4246" w:type="dxa"/>
            <w:vAlign w:val="center"/>
            <w:textDirection w:val="lrTb"/>
            <w:noWrap w:val="false"/>
          </w:tcPr>
          <w:p>
            <w:pPr>
              <w:pStyle w:val="799"/>
              <w:jc w:val="center"/>
              <w:spacing w:line="480" w:lineRule="exact"/>
              <w:widowControl w:val="off"/>
              <w:rPr>
                <w:rFonts w:hint="eastAsia" w:ascii="方正仿宋_GB2312" w:hAnsi="方正仿宋_GB2312" w:eastAsia="方正仿宋_GB2312" w:cs="方正仿宋_GB2312"/>
                <w:color w:val="000000" w:themeColor="text1"/>
                <w:sz w:val="21"/>
                <w:szCs w:val="22"/>
                <w:highlight w:val="none"/>
              </w:rPr>
            </w:pPr>
            <w:r>
              <w:rPr>
                <w:rFonts w:hint="eastAsia" w:ascii="方正仿宋_GB2312" w:hAnsi="方正仿宋_GB2312" w:eastAsia="方正仿宋_GB2312" w:cs="方正仿宋_GB2312"/>
                <w:color w:val="000000" w:themeColor="text1"/>
                <w:sz w:val="21"/>
                <w:szCs w:val="22"/>
                <w:highlight w:val="none"/>
                <w:lang w:val="en-US" w:eastAsia="zh-CN" w:bidi="ar-SA"/>
              </w:rPr>
              <w:t xml:space="preserve">审查标准</w:t>
            </w:r>
            <w:r>
              <w:rPr>
                <w:rFonts w:hint="eastAsia" w:ascii="方正仿宋_GB2312" w:hAnsi="方正仿宋_GB2312" w:eastAsia="方正仿宋_GB2312" w:cs="方正仿宋_GB2312"/>
                <w:color w:val="000000" w:themeColor="text1"/>
                <w:sz w:val="21"/>
                <w:szCs w:val="22"/>
                <w:highlight w:val="none"/>
                <w:lang w:val="en-US" w:eastAsia="zh-CN" w:bidi="ar-SA"/>
              </w:rPr>
            </w:r>
            <w:r>
              <w:rPr>
                <w:color w:val="000000" w:themeColor="text1"/>
              </w:rPr>
            </w:r>
          </w:p>
        </w:tc>
      </w:tr>
      <w:tr>
        <w:trPr/>
        <w:tc>
          <w:tcPr>
            <w:tcW w:w="4422" w:type="dxa"/>
            <w:vAlign w:val="center"/>
            <w:textDirection w:val="lrTb"/>
            <w:noWrap w:val="false"/>
          </w:tcPr>
          <w:p>
            <w:pPr>
              <w:pStyle w:val="799"/>
              <w:jc w:val="left"/>
              <w:spacing w:line="400" w:lineRule="exact"/>
              <w:widowControl/>
              <w:rPr>
                <w:rFonts w:hint="eastAsia" w:ascii="方正仿宋_GB2312" w:hAnsi="方正仿宋_GB2312" w:eastAsia="方正仿宋_GB2312" w:cs="方正仿宋_GB2312"/>
                <w:color w:val="000000" w:themeColor="text1"/>
                <w:sz w:val="21"/>
                <w:szCs w:val="24"/>
                <w:highlight w:val="none"/>
              </w:rPr>
            </w:pPr>
            <w:r>
              <w:rPr>
                <w:rFonts w:hint="eastAsia" w:ascii="方正仿宋_GB2312" w:hAnsi="方正仿宋_GB2312" w:eastAsia="方正仿宋_GB2312" w:cs="方正仿宋_GB2312"/>
                <w:color w:val="000000" w:themeColor="text1"/>
                <w:sz w:val="21"/>
                <w:szCs w:val="24"/>
                <w:highlight w:val="none"/>
                <w:lang w:val="en-US" w:eastAsia="zh-CN" w:bidi="ar-SA"/>
              </w:rPr>
              <w:t xml:space="preserve">投标函</w:t>
            </w:r>
            <w:r>
              <w:rPr>
                <w:rFonts w:hint="eastAsia" w:ascii="方正仿宋_GB2312" w:hAnsi="方正仿宋_GB2312" w:eastAsia="方正仿宋_GB2312" w:cs="方正仿宋_GB2312"/>
                <w:color w:val="000000" w:themeColor="text1"/>
                <w:sz w:val="21"/>
                <w:szCs w:val="24"/>
                <w:highlight w:val="none"/>
                <w:lang w:val="en-US" w:eastAsia="zh-CN" w:bidi="ar-SA"/>
              </w:rPr>
            </w:r>
            <w:r>
              <w:rPr>
                <w:color w:val="000000" w:themeColor="text1"/>
              </w:rPr>
            </w:r>
          </w:p>
        </w:tc>
        <w:tc>
          <w:tcPr>
            <w:tcW w:w="4246" w:type="dxa"/>
            <w:vAlign w:val="center"/>
            <w:textDirection w:val="lrTb"/>
            <w:noWrap w:val="false"/>
          </w:tcPr>
          <w:p>
            <w:pPr>
              <w:pStyle w:val="799"/>
              <w:jc w:val="left"/>
              <w:spacing w:line="400" w:lineRule="exact"/>
              <w:widowControl/>
              <w:rPr>
                <w:rFonts w:hint="eastAsia" w:ascii="方正仿宋_GB2312" w:hAnsi="方正仿宋_GB2312" w:eastAsia="方正仿宋_GB2312" w:cs="方正仿宋_GB2312"/>
                <w:color w:val="000000" w:themeColor="text1"/>
                <w:sz w:val="21"/>
                <w:szCs w:val="24"/>
                <w:highlight w:val="none"/>
              </w:rPr>
            </w:pPr>
            <w:r>
              <w:rPr>
                <w:rFonts w:hint="eastAsia" w:ascii="方正仿宋_GB2312" w:hAnsi="方正仿宋_GB2312" w:eastAsia="方正仿宋_GB2312" w:cs="方正仿宋_GB2312"/>
                <w:color w:val="000000" w:themeColor="text1"/>
                <w:sz w:val="21"/>
                <w:szCs w:val="24"/>
                <w:highlight w:val="none"/>
                <w:lang w:val="en-US" w:eastAsia="zh-CN" w:bidi="ar-SA"/>
              </w:rPr>
              <w:t xml:space="preserve">符合招标文件要求</w:t>
            </w:r>
            <w:r>
              <w:rPr>
                <w:rFonts w:hint="eastAsia" w:ascii="方正仿宋_GB2312" w:hAnsi="方正仿宋_GB2312" w:eastAsia="方正仿宋_GB2312" w:cs="方正仿宋_GB2312"/>
                <w:color w:val="000000" w:themeColor="text1"/>
                <w:sz w:val="21"/>
                <w:szCs w:val="24"/>
                <w:highlight w:val="none"/>
                <w:lang w:val="en-US" w:eastAsia="zh-CN" w:bidi="ar-SA"/>
              </w:rPr>
            </w:r>
            <w:r>
              <w:rPr>
                <w:color w:val="000000" w:themeColor="text1"/>
              </w:rPr>
            </w:r>
          </w:p>
        </w:tc>
      </w:tr>
      <w:tr>
        <w:trPr/>
        <w:tc>
          <w:tcPr>
            <w:tcW w:w="4422" w:type="dxa"/>
            <w:vAlign w:val="center"/>
            <w:textDirection w:val="lrTb"/>
            <w:noWrap w:val="false"/>
          </w:tcPr>
          <w:p>
            <w:pPr>
              <w:pStyle w:val="799"/>
              <w:jc w:val="left"/>
              <w:spacing w:line="400" w:lineRule="exact"/>
              <w:widowControl/>
              <w:rPr>
                <w:rFonts w:hint="eastAsia" w:ascii="方正仿宋_GB2312" w:hAnsi="方正仿宋_GB2312" w:eastAsia="方正仿宋_GB2312" w:cs="方正仿宋_GB2312"/>
                <w:color w:val="000000" w:themeColor="text1"/>
                <w:sz w:val="21"/>
                <w:szCs w:val="24"/>
                <w:highlight w:val="none"/>
              </w:rPr>
            </w:pPr>
            <w:r>
              <w:rPr>
                <w:rFonts w:hint="eastAsia" w:ascii="方正仿宋_GB2312" w:hAnsi="方正仿宋_GB2312" w:eastAsia="方正仿宋_GB2312" w:cs="方正仿宋_GB2312"/>
                <w:color w:val="000000" w:themeColor="text1"/>
                <w:sz w:val="21"/>
                <w:szCs w:val="24"/>
                <w:highlight w:val="none"/>
                <w:lang w:val="en-US" w:eastAsia="zh-CN" w:bidi="ar-SA"/>
              </w:rPr>
              <w:t xml:space="preserve">信用信息</w:t>
            </w:r>
            <w:r>
              <w:rPr>
                <w:rFonts w:hint="eastAsia" w:ascii="方正仿宋_GB2312" w:hAnsi="方正仿宋_GB2312" w:eastAsia="方正仿宋_GB2312" w:cs="方正仿宋_GB2312"/>
                <w:color w:val="000000" w:themeColor="text1"/>
                <w:sz w:val="21"/>
                <w:szCs w:val="24"/>
                <w:highlight w:val="none"/>
                <w:lang w:val="en-US" w:eastAsia="zh-CN" w:bidi="ar-SA"/>
              </w:rPr>
            </w:r>
            <w:r>
              <w:rPr>
                <w:color w:val="000000" w:themeColor="text1"/>
              </w:rPr>
            </w:r>
          </w:p>
        </w:tc>
        <w:tc>
          <w:tcPr>
            <w:tcW w:w="4246" w:type="dxa"/>
            <w:vAlign w:val="center"/>
            <w:textDirection w:val="lrTb"/>
            <w:noWrap w:val="false"/>
          </w:tcPr>
          <w:p>
            <w:pPr>
              <w:pStyle w:val="799"/>
              <w:jc w:val="left"/>
              <w:spacing w:line="400" w:lineRule="exact"/>
              <w:widowControl/>
              <w:rPr>
                <w:rFonts w:hint="eastAsia" w:ascii="方正仿宋_GB2312" w:hAnsi="方正仿宋_GB2312" w:eastAsia="方正仿宋_GB2312" w:cs="方正仿宋_GB2312"/>
                <w:color w:val="000000" w:themeColor="text1"/>
                <w:sz w:val="21"/>
                <w:szCs w:val="24"/>
                <w:highlight w:val="none"/>
              </w:rPr>
            </w:pPr>
            <w:r>
              <w:rPr>
                <w:rFonts w:hint="eastAsia" w:ascii="方正仿宋_GB2312" w:hAnsi="方正仿宋_GB2312" w:eastAsia="方正仿宋_GB2312" w:cs="方正仿宋_GB2312"/>
                <w:color w:val="000000" w:themeColor="text1"/>
                <w:sz w:val="21"/>
                <w:szCs w:val="24"/>
                <w:highlight w:val="none"/>
                <w:lang w:val="en-US" w:eastAsia="zh-CN" w:bidi="ar-SA"/>
              </w:rPr>
              <w:t xml:space="preserve">符合招标文件要求</w:t>
            </w:r>
            <w:r>
              <w:rPr>
                <w:rFonts w:hint="eastAsia" w:ascii="方正仿宋_GB2312" w:hAnsi="方正仿宋_GB2312" w:eastAsia="方正仿宋_GB2312" w:cs="方正仿宋_GB2312"/>
                <w:color w:val="000000" w:themeColor="text1"/>
                <w:sz w:val="21"/>
                <w:szCs w:val="24"/>
                <w:highlight w:val="none"/>
                <w:lang w:val="en-US" w:eastAsia="zh-CN" w:bidi="ar-SA"/>
              </w:rPr>
            </w:r>
            <w:r>
              <w:rPr>
                <w:color w:val="000000" w:themeColor="text1"/>
              </w:rPr>
            </w:r>
          </w:p>
        </w:tc>
      </w:tr>
      <w:tr>
        <w:trPr/>
        <w:tc>
          <w:tcPr>
            <w:tcW w:w="4422" w:type="dxa"/>
            <w:vAlign w:val="center"/>
            <w:textDirection w:val="lrTb"/>
            <w:noWrap w:val="false"/>
          </w:tcPr>
          <w:p>
            <w:pPr>
              <w:pStyle w:val="799"/>
              <w:jc w:val="left"/>
              <w:spacing w:line="400" w:lineRule="exact"/>
              <w:widowControl/>
              <w:rPr>
                <w:rFonts w:hint="eastAsia" w:ascii="方正仿宋_GB2312" w:hAnsi="方正仿宋_GB2312" w:eastAsia="方正仿宋_GB2312" w:cs="方正仿宋_GB2312"/>
                <w:color w:val="000000" w:themeColor="text1"/>
                <w:sz w:val="21"/>
                <w:szCs w:val="24"/>
                <w:highlight w:val="none"/>
              </w:rPr>
            </w:pPr>
            <w:r>
              <w:rPr>
                <w:rFonts w:hint="eastAsia" w:ascii="方正仿宋_GB2312" w:hAnsi="方正仿宋_GB2312" w:eastAsia="方正仿宋_GB2312" w:cs="方正仿宋_GB2312"/>
                <w:color w:val="000000" w:themeColor="text1"/>
                <w:sz w:val="21"/>
                <w:szCs w:val="24"/>
                <w:highlight w:val="none"/>
                <w:lang w:val="en-US" w:eastAsia="zh-CN" w:bidi="ar-SA"/>
              </w:rPr>
              <w:t xml:space="preserve">中小企业或残疾人福利性单位声明函，或监狱企业证明文件</w:t>
            </w:r>
            <w:r>
              <w:rPr>
                <w:rFonts w:hint="eastAsia" w:ascii="方正仿宋_GB2312" w:hAnsi="方正仿宋_GB2312" w:eastAsia="方正仿宋_GB2312" w:cs="方正仿宋_GB2312"/>
                <w:color w:val="000000" w:themeColor="text1"/>
                <w:sz w:val="21"/>
                <w:szCs w:val="24"/>
                <w:highlight w:val="none"/>
                <w:lang w:val="en-US" w:eastAsia="zh-CN" w:bidi="ar-SA"/>
              </w:rPr>
            </w:r>
            <w:r>
              <w:rPr>
                <w:color w:val="000000" w:themeColor="text1"/>
              </w:rPr>
            </w:r>
          </w:p>
        </w:tc>
        <w:tc>
          <w:tcPr>
            <w:tcW w:w="4246" w:type="dxa"/>
            <w:vAlign w:val="center"/>
            <w:textDirection w:val="lrTb"/>
            <w:noWrap w:val="false"/>
          </w:tcPr>
          <w:p>
            <w:pPr>
              <w:pStyle w:val="799"/>
              <w:jc w:val="left"/>
              <w:spacing w:line="400" w:lineRule="exact"/>
              <w:widowControl/>
              <w:rPr>
                <w:rFonts w:hint="eastAsia" w:ascii="方正仿宋_GB2312" w:hAnsi="方正仿宋_GB2312" w:eastAsia="方正仿宋_GB2312" w:cs="方正仿宋_GB2312"/>
                <w:color w:val="000000" w:themeColor="text1"/>
                <w:sz w:val="21"/>
                <w:szCs w:val="24"/>
                <w:highlight w:val="none"/>
              </w:rPr>
            </w:pPr>
            <w:r>
              <w:rPr>
                <w:rFonts w:hint="eastAsia" w:ascii="方正仿宋_GB2312" w:hAnsi="方正仿宋_GB2312" w:eastAsia="方正仿宋_GB2312" w:cs="方正仿宋_GB2312"/>
                <w:color w:val="000000" w:themeColor="text1"/>
                <w:sz w:val="21"/>
                <w:szCs w:val="24"/>
                <w:highlight w:val="none"/>
                <w:lang w:val="en-US" w:eastAsia="zh-CN" w:bidi="ar-SA"/>
              </w:rPr>
              <w:t xml:space="preserve">符合招标文件要求</w:t>
            </w:r>
            <w:r>
              <w:rPr>
                <w:rFonts w:hint="eastAsia" w:ascii="方正仿宋_GB2312" w:hAnsi="方正仿宋_GB2312" w:eastAsia="方正仿宋_GB2312" w:cs="方正仿宋_GB2312"/>
                <w:color w:val="000000" w:themeColor="text1"/>
                <w:sz w:val="21"/>
                <w:szCs w:val="24"/>
                <w:highlight w:val="none"/>
                <w:lang w:val="en-US" w:eastAsia="zh-CN" w:bidi="ar-SA"/>
              </w:rPr>
            </w:r>
            <w:r>
              <w:rPr>
                <w:color w:val="000000" w:themeColor="text1"/>
              </w:rPr>
            </w:r>
          </w:p>
        </w:tc>
      </w:tr>
    </w:tbl>
    <w:p>
      <w:pPr>
        <w:pStyle w:val="799"/>
        <w:ind w:firstLine="482"/>
        <w:jc w:val="left"/>
        <w:spacing w:line="480" w:lineRule="exact"/>
        <w:rPr>
          <w:rFonts w:hint="eastAsia" w:ascii="方正仿宋_GB2312" w:hAnsi="方正仿宋_GB2312" w:eastAsia="方正仿宋_GB2312" w:cs="方正仿宋_GB2312"/>
          <w:b/>
          <w:bCs/>
          <w:color w:val="000000" w:themeColor="text1"/>
          <w:sz w:val="24"/>
          <w:highlight w:val="none"/>
        </w:rPr>
      </w:pPr>
      <w:r>
        <w:rPr>
          <w:rFonts w:hint="eastAsia" w:ascii="方正仿宋_GB2312" w:hAnsi="方正仿宋_GB2312" w:eastAsia="方正仿宋_GB2312" w:cs="方正仿宋_GB2312"/>
          <w:b/>
          <w:bCs/>
          <w:color w:val="000000" w:themeColor="text1"/>
          <w:sz w:val="24"/>
          <w:highlight w:val="none"/>
        </w:rPr>
        <w:t xml:space="preserve">二、符合性审查</w:t>
      </w:r>
      <w:r>
        <w:rPr>
          <w:rFonts w:hint="eastAsia" w:ascii="方正仿宋_GB2312" w:hAnsi="方正仿宋_GB2312" w:eastAsia="方正仿宋_GB2312" w:cs="方正仿宋_GB2312"/>
          <w:b/>
          <w:bCs/>
          <w:color w:val="000000" w:themeColor="text1"/>
          <w:sz w:val="24"/>
          <w:highlight w:val="none"/>
        </w:rPr>
      </w:r>
      <w:r>
        <w:rPr>
          <w:color w:val="000000" w:themeColor="text1"/>
        </w:rPr>
      </w:r>
    </w:p>
    <w:p>
      <w:pPr>
        <w:pStyle w:val="799"/>
        <w:ind w:firstLine="480"/>
        <w:jc w:val="left"/>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szCs w:val="28"/>
          <w:highlight w:val="none"/>
        </w:rPr>
        <w:t xml:space="preserve">评标委员会对符合资格的投标人的投标文件进行符合性审查，未通过审查的为无效标，不再参与评审。</w:t>
      </w:r>
      <w:r>
        <w:rPr>
          <w:rFonts w:hint="eastAsia" w:ascii="方正仿宋_GB2312" w:hAnsi="方正仿宋_GB2312" w:eastAsia="方正仿宋_GB2312" w:cs="方正仿宋_GB2312"/>
          <w:color w:val="000000" w:themeColor="text1"/>
          <w:sz w:val="24"/>
          <w:highlight w:val="none"/>
        </w:rPr>
      </w:r>
      <w:r>
        <w:rPr>
          <w:color w:val="000000" w:themeColor="text1"/>
        </w:rPr>
      </w:r>
    </w:p>
    <w:tbl>
      <w:tblPr>
        <w:tblW w:w="8668" w:type="dxa"/>
        <w:tblInd w:w="-14"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pStyle w:val="799"/>
              <w:jc w:val="center"/>
              <w:spacing w:line="480" w:lineRule="exact"/>
              <w:widowControl w:val="off"/>
              <w:rPr>
                <w:rFonts w:hint="eastAsia" w:ascii="方正仿宋_GB2312" w:hAnsi="方正仿宋_GB2312" w:eastAsia="方正仿宋_GB2312" w:cs="方正仿宋_GB2312"/>
                <w:color w:val="000000" w:themeColor="text1"/>
                <w:sz w:val="21"/>
                <w:szCs w:val="22"/>
                <w:highlight w:val="none"/>
              </w:rPr>
            </w:pPr>
            <w:r>
              <w:rPr>
                <w:rFonts w:hint="eastAsia" w:ascii="方正仿宋_GB2312" w:hAnsi="方正仿宋_GB2312" w:eastAsia="方正仿宋_GB2312" w:cs="方正仿宋_GB2312"/>
                <w:color w:val="000000" w:themeColor="text1"/>
                <w:sz w:val="21"/>
                <w:szCs w:val="22"/>
                <w:highlight w:val="none"/>
                <w:lang w:val="en-US" w:eastAsia="zh-CN" w:bidi="ar-SA"/>
              </w:rPr>
              <w:t xml:space="preserve">符合性审查因素</w:t>
            </w:r>
            <w:r>
              <w:rPr>
                <w:rFonts w:hint="eastAsia" w:ascii="方正仿宋_GB2312" w:hAnsi="方正仿宋_GB2312" w:eastAsia="方正仿宋_GB2312" w:cs="方正仿宋_GB2312"/>
                <w:color w:val="000000" w:themeColor="text1"/>
                <w:sz w:val="21"/>
                <w:szCs w:val="22"/>
                <w:highlight w:val="none"/>
                <w:lang w:val="en-US" w:eastAsia="zh-CN" w:bidi="ar-SA"/>
              </w:rPr>
            </w:r>
            <w:r>
              <w:rPr>
                <w:color w:val="000000" w:themeColor="text1"/>
              </w:rPr>
            </w:r>
          </w:p>
        </w:tc>
        <w:tc>
          <w:tcPr>
            <w:tcW w:w="4304" w:type="dxa"/>
            <w:vAlign w:val="center"/>
            <w:textDirection w:val="lrTb"/>
            <w:noWrap w:val="false"/>
          </w:tcPr>
          <w:p>
            <w:pPr>
              <w:pStyle w:val="799"/>
              <w:jc w:val="center"/>
              <w:spacing w:line="480" w:lineRule="exact"/>
              <w:widowControl w:val="off"/>
              <w:rPr>
                <w:rFonts w:hint="eastAsia" w:ascii="方正仿宋_GB2312" w:hAnsi="方正仿宋_GB2312" w:eastAsia="方正仿宋_GB2312" w:cs="方正仿宋_GB2312"/>
                <w:color w:val="000000" w:themeColor="text1"/>
                <w:sz w:val="21"/>
                <w:szCs w:val="22"/>
                <w:highlight w:val="none"/>
              </w:rPr>
            </w:pPr>
            <w:r>
              <w:rPr>
                <w:rFonts w:hint="eastAsia" w:ascii="方正仿宋_GB2312" w:hAnsi="方正仿宋_GB2312" w:eastAsia="方正仿宋_GB2312" w:cs="方正仿宋_GB2312"/>
                <w:color w:val="000000" w:themeColor="text1"/>
                <w:sz w:val="21"/>
                <w:szCs w:val="22"/>
                <w:highlight w:val="none"/>
                <w:lang w:val="en-US" w:eastAsia="zh-CN" w:bidi="ar-SA"/>
              </w:rPr>
              <w:t xml:space="preserve">审查标准</w:t>
            </w:r>
            <w:r>
              <w:rPr>
                <w:rFonts w:hint="eastAsia" w:ascii="方正仿宋_GB2312" w:hAnsi="方正仿宋_GB2312" w:eastAsia="方正仿宋_GB2312" w:cs="方正仿宋_GB2312"/>
                <w:color w:val="000000" w:themeColor="text1"/>
                <w:sz w:val="21"/>
                <w:szCs w:val="22"/>
                <w:highlight w:val="none"/>
                <w:lang w:val="en-US" w:eastAsia="zh-CN" w:bidi="ar-SA"/>
              </w:rPr>
            </w:r>
            <w:r>
              <w:rPr>
                <w:color w:val="000000" w:themeColor="text1"/>
              </w:rPr>
            </w:r>
          </w:p>
        </w:tc>
      </w:tr>
      <w:tr>
        <w:trPr/>
        <w:tc>
          <w:tcPr>
            <w:tcW w:w="4364" w:type="dxa"/>
            <w:vAlign w:val="center"/>
            <w:textDirection w:val="lrTb"/>
            <w:noWrap w:val="false"/>
          </w:tcPr>
          <w:p>
            <w:pPr>
              <w:pStyle w:val="799"/>
              <w:jc w:val="left"/>
              <w:spacing w:line="400" w:lineRule="exact"/>
              <w:widowControl/>
              <w:rPr>
                <w:rFonts w:hint="eastAsia" w:ascii="方正仿宋_GB2312" w:hAnsi="方正仿宋_GB2312" w:eastAsia="方正仿宋_GB2312" w:cs="方正仿宋_GB2312"/>
                <w:color w:val="000000" w:themeColor="text1"/>
                <w:sz w:val="21"/>
                <w:szCs w:val="24"/>
                <w:highlight w:val="none"/>
              </w:rPr>
            </w:pPr>
            <w:r>
              <w:rPr>
                <w:rFonts w:hint="eastAsia" w:ascii="方正仿宋_GB2312" w:hAnsi="方正仿宋_GB2312" w:eastAsia="方正仿宋_GB2312" w:cs="方正仿宋_GB2312"/>
                <w:color w:val="000000" w:themeColor="text1"/>
                <w:sz w:val="21"/>
                <w:szCs w:val="24"/>
                <w:highlight w:val="none"/>
                <w:lang w:val="en-US" w:eastAsia="zh-CN" w:bidi="ar-SA"/>
              </w:rPr>
              <w:t xml:space="preserve">法人授权书</w:t>
            </w:r>
            <w:r>
              <w:rPr>
                <w:rFonts w:hint="eastAsia" w:ascii="方正仿宋_GB2312" w:hAnsi="方正仿宋_GB2312" w:eastAsia="方正仿宋_GB2312" w:cs="方正仿宋_GB2312"/>
                <w:color w:val="000000" w:themeColor="text1"/>
                <w:sz w:val="21"/>
                <w:szCs w:val="24"/>
                <w:highlight w:val="none"/>
                <w:lang w:val="en-US" w:eastAsia="zh-CN" w:bidi="ar-SA"/>
              </w:rPr>
            </w:r>
            <w:r>
              <w:rPr>
                <w:color w:val="000000" w:themeColor="text1"/>
              </w:rPr>
            </w:r>
          </w:p>
        </w:tc>
        <w:tc>
          <w:tcPr>
            <w:tcW w:w="4304" w:type="dxa"/>
            <w:vAlign w:val="center"/>
            <w:textDirection w:val="lrTb"/>
            <w:noWrap w:val="false"/>
          </w:tcPr>
          <w:p>
            <w:pPr>
              <w:pStyle w:val="799"/>
              <w:jc w:val="left"/>
              <w:spacing w:line="400" w:lineRule="exact"/>
              <w:widowControl/>
              <w:rPr>
                <w:rFonts w:hint="eastAsia" w:ascii="方正仿宋_GB2312" w:hAnsi="方正仿宋_GB2312" w:eastAsia="方正仿宋_GB2312" w:cs="方正仿宋_GB2312"/>
                <w:color w:val="000000" w:themeColor="text1"/>
                <w:sz w:val="21"/>
                <w:szCs w:val="24"/>
                <w:highlight w:val="none"/>
              </w:rPr>
            </w:pPr>
            <w:r>
              <w:rPr>
                <w:rFonts w:hint="eastAsia" w:ascii="方正仿宋_GB2312" w:hAnsi="方正仿宋_GB2312" w:eastAsia="方正仿宋_GB2312" w:cs="方正仿宋_GB2312"/>
                <w:color w:val="000000" w:themeColor="text1"/>
                <w:sz w:val="21"/>
                <w:szCs w:val="24"/>
                <w:highlight w:val="none"/>
                <w:lang w:val="en-US" w:eastAsia="zh-CN" w:bidi="ar-SA"/>
              </w:rPr>
              <w:t xml:space="preserve">符合招标文件要求</w:t>
            </w:r>
            <w:r>
              <w:rPr>
                <w:rFonts w:hint="eastAsia" w:ascii="方正仿宋_GB2312" w:hAnsi="方正仿宋_GB2312" w:eastAsia="方正仿宋_GB2312" w:cs="方正仿宋_GB2312"/>
                <w:color w:val="000000" w:themeColor="text1"/>
                <w:sz w:val="21"/>
                <w:szCs w:val="24"/>
                <w:highlight w:val="none"/>
                <w:lang w:val="en-US" w:eastAsia="zh-CN" w:bidi="ar-SA"/>
              </w:rPr>
            </w:r>
            <w:r>
              <w:rPr>
                <w:color w:val="000000" w:themeColor="text1"/>
              </w:rPr>
            </w:r>
          </w:p>
        </w:tc>
      </w:tr>
      <w:tr>
        <w:trPr/>
        <w:tc>
          <w:tcPr>
            <w:tcW w:w="4364" w:type="dxa"/>
            <w:vAlign w:val="center"/>
            <w:textDirection w:val="lrTb"/>
            <w:noWrap w:val="false"/>
          </w:tcPr>
          <w:p>
            <w:pPr>
              <w:pStyle w:val="799"/>
              <w:jc w:val="left"/>
              <w:spacing w:line="400" w:lineRule="exact"/>
              <w:widowControl/>
              <w:rPr>
                <w:rFonts w:hint="eastAsia" w:ascii="方正仿宋_GB2312" w:hAnsi="方正仿宋_GB2312" w:eastAsia="方正仿宋_GB2312" w:cs="方正仿宋_GB2312"/>
                <w:color w:val="000000" w:themeColor="text1"/>
                <w:sz w:val="21"/>
                <w:szCs w:val="24"/>
                <w:highlight w:val="none"/>
              </w:rPr>
            </w:pPr>
            <w:r>
              <w:rPr>
                <w:rFonts w:hint="eastAsia" w:ascii="方正仿宋_GB2312" w:hAnsi="方正仿宋_GB2312" w:eastAsia="方正仿宋_GB2312" w:cs="方正仿宋_GB2312"/>
                <w:color w:val="000000" w:themeColor="text1"/>
                <w:sz w:val="21"/>
                <w:szCs w:val="24"/>
                <w:highlight w:val="none"/>
                <w:lang w:val="en-US" w:eastAsia="zh-CN" w:bidi="ar-SA"/>
              </w:rPr>
              <w:t xml:space="preserve">开标一览表及投标报价</w:t>
            </w:r>
            <w:r>
              <w:rPr>
                <w:rFonts w:hint="eastAsia" w:ascii="方正仿宋_GB2312" w:hAnsi="方正仿宋_GB2312" w:eastAsia="方正仿宋_GB2312" w:cs="方正仿宋_GB2312"/>
                <w:color w:val="000000" w:themeColor="text1"/>
                <w:sz w:val="21"/>
                <w:szCs w:val="24"/>
                <w:highlight w:val="none"/>
                <w:lang w:val="en-US" w:eastAsia="zh-CN" w:bidi="ar-SA"/>
              </w:rPr>
            </w:r>
            <w:r>
              <w:rPr>
                <w:color w:val="000000" w:themeColor="text1"/>
              </w:rPr>
            </w:r>
          </w:p>
        </w:tc>
        <w:tc>
          <w:tcPr>
            <w:tcW w:w="4304" w:type="dxa"/>
            <w:vAlign w:val="center"/>
            <w:textDirection w:val="lrTb"/>
            <w:noWrap w:val="false"/>
          </w:tcPr>
          <w:p>
            <w:pPr>
              <w:pStyle w:val="799"/>
              <w:jc w:val="left"/>
              <w:spacing w:line="400" w:lineRule="exact"/>
              <w:widowControl/>
              <w:rPr>
                <w:rFonts w:hint="eastAsia" w:ascii="方正仿宋_GB2312" w:hAnsi="方正仿宋_GB2312" w:eastAsia="方正仿宋_GB2312" w:cs="方正仿宋_GB2312"/>
                <w:color w:val="000000" w:themeColor="text1"/>
                <w:sz w:val="21"/>
                <w:szCs w:val="24"/>
                <w:highlight w:val="none"/>
              </w:rPr>
            </w:pPr>
            <w:r>
              <w:rPr>
                <w:rFonts w:hint="eastAsia" w:ascii="方正仿宋_GB2312" w:hAnsi="方正仿宋_GB2312" w:eastAsia="方正仿宋_GB2312" w:cs="方正仿宋_GB2312"/>
                <w:color w:val="000000" w:themeColor="text1"/>
                <w:sz w:val="21"/>
                <w:szCs w:val="24"/>
                <w:highlight w:val="none"/>
                <w:lang w:val="en-US" w:eastAsia="zh-CN" w:bidi="ar-SA"/>
              </w:rPr>
              <w:t xml:space="preserve">符合招标文件要求</w:t>
            </w:r>
            <w:r>
              <w:rPr>
                <w:rFonts w:hint="eastAsia" w:ascii="方正仿宋_GB2312" w:hAnsi="方正仿宋_GB2312" w:eastAsia="方正仿宋_GB2312" w:cs="方正仿宋_GB2312"/>
                <w:color w:val="000000" w:themeColor="text1"/>
                <w:sz w:val="21"/>
                <w:szCs w:val="24"/>
                <w:highlight w:val="none"/>
                <w:lang w:val="en-US" w:eastAsia="zh-CN" w:bidi="ar-SA"/>
              </w:rPr>
            </w:r>
            <w:r>
              <w:rPr>
                <w:color w:val="000000" w:themeColor="text1"/>
              </w:rPr>
            </w:r>
          </w:p>
        </w:tc>
      </w:tr>
      <w:tr>
        <w:trPr/>
        <w:tc>
          <w:tcPr>
            <w:tcW w:w="4364" w:type="dxa"/>
            <w:vAlign w:val="center"/>
            <w:textDirection w:val="lrTb"/>
            <w:noWrap w:val="false"/>
          </w:tcPr>
          <w:p>
            <w:pPr>
              <w:pStyle w:val="799"/>
              <w:jc w:val="left"/>
              <w:spacing w:line="400" w:lineRule="exact"/>
              <w:widowControl/>
              <w:rPr>
                <w:rFonts w:hint="eastAsia" w:ascii="方正仿宋_GB2312" w:hAnsi="方正仿宋_GB2312" w:eastAsia="方正仿宋_GB2312" w:cs="方正仿宋_GB2312"/>
                <w:color w:val="000000" w:themeColor="text1"/>
                <w:sz w:val="21"/>
                <w:szCs w:val="24"/>
                <w:highlight w:val="none"/>
              </w:rPr>
            </w:pPr>
            <w:r>
              <w:rPr>
                <w:rFonts w:hint="eastAsia" w:ascii="方正仿宋_GB2312" w:hAnsi="方正仿宋_GB2312" w:eastAsia="方正仿宋_GB2312" w:cs="方正仿宋_GB2312"/>
                <w:color w:val="000000" w:themeColor="text1"/>
                <w:sz w:val="21"/>
                <w:szCs w:val="24"/>
                <w:highlight w:val="none"/>
                <w:lang w:val="en-US" w:eastAsia="zh-CN" w:bidi="ar-SA"/>
              </w:rPr>
              <w:t xml:space="preserve">其他</w:t>
            </w:r>
            <w:r>
              <w:rPr>
                <w:rFonts w:hint="eastAsia" w:ascii="方正仿宋_GB2312" w:hAnsi="方正仿宋_GB2312" w:eastAsia="方正仿宋_GB2312" w:cs="方正仿宋_GB2312"/>
                <w:color w:val="000000" w:themeColor="text1"/>
                <w:sz w:val="21"/>
                <w:szCs w:val="24"/>
                <w:highlight w:val="none"/>
                <w:lang w:val="en-US" w:eastAsia="zh-CN" w:bidi="ar-SA"/>
              </w:rPr>
            </w:r>
            <w:r>
              <w:rPr>
                <w:color w:val="000000" w:themeColor="text1"/>
              </w:rPr>
            </w:r>
          </w:p>
        </w:tc>
        <w:tc>
          <w:tcPr>
            <w:tcW w:w="4304" w:type="dxa"/>
            <w:vAlign w:val="center"/>
            <w:textDirection w:val="lrTb"/>
            <w:noWrap w:val="false"/>
          </w:tcPr>
          <w:p>
            <w:pPr>
              <w:pStyle w:val="799"/>
              <w:jc w:val="left"/>
              <w:spacing w:line="400" w:lineRule="exact"/>
              <w:widowControl/>
              <w:rPr>
                <w:rFonts w:hint="eastAsia" w:ascii="方正仿宋_GB2312" w:hAnsi="方正仿宋_GB2312" w:eastAsia="方正仿宋_GB2312" w:cs="方正仿宋_GB2312"/>
                <w:color w:val="000000" w:themeColor="text1"/>
                <w:sz w:val="21"/>
                <w:szCs w:val="24"/>
                <w:highlight w:val="none"/>
              </w:rPr>
            </w:pPr>
            <w:r>
              <w:rPr>
                <w:rFonts w:hint="eastAsia" w:ascii="方正仿宋_GB2312" w:hAnsi="方正仿宋_GB2312" w:eastAsia="方正仿宋_GB2312" w:cs="方正仿宋_GB2312"/>
                <w:color w:val="000000" w:themeColor="text1"/>
                <w:sz w:val="21"/>
                <w:szCs w:val="24"/>
                <w:highlight w:val="none"/>
                <w:lang w:val="en-US" w:eastAsia="zh-CN" w:bidi="ar-SA"/>
              </w:rPr>
              <w:t xml:space="preserve">符合招标文件要求</w:t>
            </w:r>
            <w:r>
              <w:rPr>
                <w:rFonts w:hint="eastAsia" w:ascii="方正仿宋_GB2312" w:hAnsi="方正仿宋_GB2312" w:eastAsia="方正仿宋_GB2312" w:cs="方正仿宋_GB2312"/>
                <w:color w:val="000000" w:themeColor="text1"/>
                <w:sz w:val="21"/>
                <w:szCs w:val="24"/>
                <w:highlight w:val="none"/>
                <w:lang w:val="en-US" w:eastAsia="zh-CN" w:bidi="ar-SA"/>
              </w:rPr>
            </w:r>
            <w:r>
              <w:rPr>
                <w:color w:val="000000" w:themeColor="text1"/>
              </w:rPr>
            </w:r>
          </w:p>
        </w:tc>
      </w:tr>
    </w:tbl>
    <w:p>
      <w:pPr>
        <w:pStyle w:val="799"/>
        <w:ind w:firstLine="482"/>
        <w:jc w:val="left"/>
        <w:spacing w:line="480" w:lineRule="exact"/>
        <w:rPr>
          <w:rFonts w:hint="eastAsia" w:ascii="方正仿宋_GB2312" w:hAnsi="方正仿宋_GB2312" w:eastAsia="方正仿宋_GB2312" w:cs="方正仿宋_GB2312"/>
          <w:b/>
          <w:bCs/>
          <w:color w:val="000000" w:themeColor="text1"/>
          <w:sz w:val="24"/>
          <w:highlight w:val="none"/>
        </w:rPr>
      </w:pPr>
      <w:r>
        <w:rPr>
          <w:rFonts w:hint="eastAsia" w:ascii="方正仿宋_GB2312" w:hAnsi="方正仿宋_GB2312" w:eastAsia="方正仿宋_GB2312" w:cs="方正仿宋_GB2312"/>
          <w:b/>
          <w:bCs/>
          <w:color w:val="000000" w:themeColor="text1"/>
          <w:sz w:val="24"/>
          <w:highlight w:val="none"/>
        </w:rPr>
        <w:t xml:space="preserve">三、评标方法</w:t>
      </w:r>
      <w:r>
        <w:rPr>
          <w:rFonts w:hint="eastAsia" w:ascii="方正仿宋_GB2312" w:hAnsi="方正仿宋_GB2312" w:eastAsia="方正仿宋_GB2312" w:cs="方正仿宋_GB2312"/>
          <w:b/>
          <w:bCs/>
          <w:color w:val="000000" w:themeColor="text1"/>
          <w:sz w:val="24"/>
          <w:highlight w:val="none"/>
        </w:rPr>
      </w:r>
      <w:r>
        <w:rPr>
          <w:color w:val="000000" w:themeColor="text1"/>
        </w:rPr>
      </w:r>
    </w:p>
    <w:p>
      <w:pPr>
        <w:pStyle w:val="799"/>
        <w:ind w:firstLine="480"/>
        <w:jc w:val="left"/>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szCs w:val="28"/>
          <w:highlight w:val="none"/>
        </w:rPr>
        <w:t xml:space="preserve">本项目采用综合评分法，评标结果按评审后得分由高到低顺序排列。得分相同的，按投标报价由低到高顺序排序。得分且投标报价相同的并列。</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jc w:val="left"/>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综合评分保留至小数点后两位。</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ind w:firstLine="480"/>
        <w:jc w:val="left"/>
        <w:spacing w:line="48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评标委员会根据评标后投标人排序推荐中标候选人，并形成评标报告。招标文件未规定的评标标准不得作为评标的依据。</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799"/>
        <w:numPr>
          <w:ilvl w:val="0"/>
          <w:numId w:val="3"/>
        </w:numPr>
        <w:ind w:firstLine="482"/>
        <w:jc w:val="left"/>
        <w:spacing w:line="480" w:lineRule="exact"/>
        <w:rPr>
          <w:rFonts w:hint="eastAsia" w:ascii="方正仿宋_GB2312" w:hAnsi="方正仿宋_GB2312" w:eastAsia="方正仿宋_GB2312" w:cs="方正仿宋_GB2312"/>
          <w:b/>
          <w:bCs/>
          <w:color w:val="000000" w:themeColor="text1"/>
          <w:sz w:val="24"/>
          <w:highlight w:val="none"/>
        </w:rPr>
      </w:pPr>
      <w:r>
        <w:rPr>
          <w:rFonts w:hint="eastAsia" w:ascii="方正仿宋_GB2312" w:hAnsi="方正仿宋_GB2312" w:eastAsia="方正仿宋_GB2312" w:cs="方正仿宋_GB2312"/>
          <w:b/>
          <w:bCs/>
          <w:color w:val="000000" w:themeColor="text1"/>
          <w:sz w:val="24"/>
          <w:highlight w:val="none"/>
        </w:rPr>
        <w:t xml:space="preserve">评标标准</w:t>
      </w:r>
      <w:r>
        <w:rPr>
          <w:rFonts w:hint="eastAsia" w:ascii="方正仿宋_GB2312" w:hAnsi="方正仿宋_GB2312" w:eastAsia="方正仿宋_GB2312" w:cs="方正仿宋_GB2312"/>
          <w:b/>
          <w:bCs/>
          <w:color w:val="000000" w:themeColor="text1"/>
          <w:sz w:val="24"/>
          <w:highlight w:val="none"/>
        </w:rPr>
      </w:r>
      <w:r>
        <w:rPr>
          <w:color w:val="000000" w:themeColor="text1"/>
        </w:rPr>
      </w:r>
    </w:p>
    <w:tbl>
      <w:tblPr>
        <w:tblpPr w:horzAnchor="text" w:tblpXSpec="center" w:vertAnchor="text" w:tblpY="1" w:leftFromText="180" w:topFromText="0" w:rightFromText="180" w:bottomFromText="0"/>
        <w:tblW w:w="94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0"/>
        <w:gridCol w:w="1232"/>
        <w:gridCol w:w="6328"/>
      </w:tblGrid>
      <w:tr>
        <w:trPr>
          <w:tblHeader/>
        </w:trPr>
        <w:tc>
          <w:tcPr>
            <w:tcW w:w="1840" w:type="dxa"/>
            <w:vAlign w:val="center"/>
            <w:textDirection w:val="lrTb"/>
            <w:noWrap w:val="false"/>
          </w:tcPr>
          <w:p>
            <w:pPr>
              <w:pStyle w:val="799"/>
              <w:ind w:left="0" w:right="0" w:firstLine="0"/>
              <w:jc w:val="center"/>
              <w:keepNext/>
              <w:widowControl/>
              <w:rPr>
                <w:rFonts w:hint="eastAsia" w:ascii="方正仿宋_GB2312" w:hAnsi="方正仿宋_GB2312" w:eastAsia="方正仿宋_GB2312" w:cs="方正仿宋_GB2312"/>
                <w:b/>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color w:val="000000" w:themeColor="text1"/>
                <w:sz w:val="24"/>
                <w:szCs w:val="24"/>
                <w:highlight w:val="none"/>
                <w:lang w:val="en-US" w:eastAsia="zh-CN" w:bidi="ar-SA"/>
              </w:rPr>
              <w:t xml:space="preserve">评审因素</w:t>
            </w:r>
            <w:r>
              <w:rPr>
                <w:rFonts w:hint="eastAsia" w:ascii="方正仿宋_GB2312" w:hAnsi="方正仿宋_GB2312" w:eastAsia="方正仿宋_GB2312" w:cs="方正仿宋_GB2312"/>
                <w:b/>
                <w:color w:val="000000" w:themeColor="text1"/>
                <w:sz w:val="24"/>
                <w:szCs w:val="24"/>
                <w:highlight w:val="none"/>
                <w:lang w:val="en-US" w:eastAsia="zh-CN" w:bidi="ar-SA"/>
              </w:rPr>
            </w:r>
            <w:r>
              <w:rPr>
                <w:color w:val="000000" w:themeColor="text1"/>
              </w:rPr>
            </w:r>
          </w:p>
        </w:tc>
        <w:tc>
          <w:tcPr>
            <w:tcW w:w="1232" w:type="dxa"/>
            <w:vAlign w:val="center"/>
            <w:textDirection w:val="lrTb"/>
            <w:noWrap w:val="false"/>
          </w:tcPr>
          <w:p>
            <w:pPr>
              <w:pStyle w:val="799"/>
              <w:ind w:left="0" w:right="0" w:firstLine="0"/>
              <w:jc w:val="center"/>
              <w:keepNext/>
              <w:widowControl/>
              <w:rPr>
                <w:rFonts w:hint="eastAsia" w:ascii="方正仿宋_GB2312" w:hAnsi="方正仿宋_GB2312" w:eastAsia="方正仿宋_GB2312" w:cs="方正仿宋_GB2312"/>
                <w:b/>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color w:val="000000" w:themeColor="text1"/>
                <w:sz w:val="24"/>
                <w:szCs w:val="24"/>
                <w:highlight w:val="none"/>
                <w:lang w:val="en-US" w:eastAsia="zh-CN" w:bidi="ar-SA"/>
              </w:rPr>
              <w:t xml:space="preserve">分数</w:t>
            </w:r>
            <w:r>
              <w:rPr>
                <w:rFonts w:hint="eastAsia" w:ascii="方正仿宋_GB2312" w:hAnsi="方正仿宋_GB2312" w:eastAsia="方正仿宋_GB2312" w:cs="方正仿宋_GB2312"/>
                <w:b/>
                <w:color w:val="000000" w:themeColor="text1"/>
                <w:sz w:val="24"/>
                <w:szCs w:val="24"/>
                <w:highlight w:val="none"/>
                <w:lang w:val="en-US" w:eastAsia="zh-CN" w:bidi="ar-SA"/>
              </w:rPr>
            </w:r>
            <w:r>
              <w:rPr>
                <w:color w:val="000000" w:themeColor="text1"/>
              </w:rPr>
            </w:r>
          </w:p>
        </w:tc>
        <w:tc>
          <w:tcPr>
            <w:tcW w:w="6328" w:type="dxa"/>
            <w:vAlign w:val="center"/>
            <w:textDirection w:val="lrTb"/>
            <w:noWrap w:val="false"/>
          </w:tcPr>
          <w:p>
            <w:pPr>
              <w:pStyle w:val="799"/>
              <w:ind w:left="0" w:right="0" w:firstLine="0"/>
              <w:jc w:val="center"/>
              <w:keepNext/>
              <w:widowControl/>
              <w:rPr>
                <w:rFonts w:hint="eastAsia" w:ascii="方正仿宋_GB2312" w:hAnsi="方正仿宋_GB2312" w:eastAsia="方正仿宋_GB2312" w:cs="方正仿宋_GB2312"/>
                <w:b/>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color w:val="000000" w:themeColor="text1"/>
                <w:sz w:val="24"/>
                <w:szCs w:val="24"/>
                <w:highlight w:val="none"/>
                <w:lang w:val="en-US" w:eastAsia="zh-CN" w:bidi="ar-SA"/>
              </w:rPr>
              <w:t xml:space="preserve">评审标准</w:t>
            </w:r>
            <w:r>
              <w:rPr>
                <w:rFonts w:hint="eastAsia" w:ascii="方正仿宋_GB2312" w:hAnsi="方正仿宋_GB2312" w:eastAsia="方正仿宋_GB2312" w:cs="方正仿宋_GB2312"/>
                <w:b/>
                <w:color w:val="000000" w:themeColor="text1"/>
                <w:sz w:val="24"/>
                <w:szCs w:val="24"/>
                <w:highlight w:val="none"/>
                <w:lang w:val="en-US" w:eastAsia="zh-CN" w:bidi="ar-SA"/>
              </w:rPr>
            </w:r>
            <w:r>
              <w:rPr>
                <w:color w:val="000000" w:themeColor="text1"/>
              </w:rPr>
            </w:r>
          </w:p>
        </w:tc>
      </w:tr>
      <w:tr>
        <w:trPr/>
        <w:tc>
          <w:tcPr>
            <w:tcW w:w="1840" w:type="dxa"/>
            <w:vAlign w:val="center"/>
            <w:textDirection w:val="lrTb"/>
            <w:noWrap w:val="false"/>
          </w:tcPr>
          <w:p>
            <w:pPr>
              <w:pStyle w:val="799"/>
              <w:ind w:left="0" w:right="0" w:firstLine="0"/>
              <w:jc w:val="center"/>
              <w:keepNext/>
              <w:spacing w:before="0" w:after="0"/>
              <w:widowControl w:val="off"/>
              <w:rPr>
                <w:rFonts w:hint="eastAsia" w:ascii="仿宋" w:hAnsi="方正仿宋_GB2312" w:eastAsia="仿宋" w:cs="方正仿宋_GB2312"/>
                <w:color w:val="000000" w:themeColor="text1"/>
                <w:sz w:val="24"/>
                <w:szCs w:val="22"/>
                <w:highlight w:val="none"/>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仿宋" w:hAnsi="方正仿宋_GB2312" w:eastAsia="仿宋" w:cs="方正仿宋_GB2312"/>
                <w:color w:val="000000" w:themeColor="text1"/>
                <w:sz w:val="24"/>
                <w:szCs w:val="22"/>
                <w:highlight w:val="none"/>
                <w:lang w:val="en-US" w:eastAsia="zh-CN" w:bidi="ar-SA"/>
              </w:rPr>
              <w:t xml:space="preserve">投标报价</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c>
          <w:tcPr>
            <w:tcW w:w="1232" w:type="dxa"/>
            <w:vAlign w:val="center"/>
            <w:textDirection w:val="lrTb"/>
            <w:noWrap w:val="false"/>
          </w:tcPr>
          <w:p>
            <w:pPr>
              <w:pStyle w:val="799"/>
              <w:ind w:left="0" w:right="0" w:firstLine="0"/>
              <w:jc w:val="left"/>
              <w:keepNext/>
              <w:spacing w:before="0" w:after="0"/>
              <w:widowControl w:val="off"/>
              <w:rPr>
                <w:rFonts w:hint="eastAsia" w:ascii="仿宋" w:hAnsi="方正仿宋_GB2312" w:eastAsia="仿宋" w:cs="方正仿宋_GB2312"/>
                <w:color w:val="000000" w:themeColor="text1"/>
                <w:sz w:val="24"/>
                <w:szCs w:val="22"/>
                <w:highlight w:val="none"/>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仿宋" w:hAnsi="方正仿宋_GB2312" w:eastAsia="仿宋" w:cs="方正仿宋_GB2312"/>
                <w:color w:val="000000" w:themeColor="text1"/>
                <w:sz w:val="24"/>
                <w:szCs w:val="22"/>
                <w:highlight w:val="none"/>
                <w:lang w:val="en-US" w:eastAsia="zh-CN" w:bidi="ar-SA"/>
              </w:rPr>
              <w:t xml:space="preserve">20.00分</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c>
          <w:tcPr>
            <w:tcW w:w="6328" w:type="dxa"/>
            <w:vAlign w:val="center"/>
            <w:textDirection w:val="lrTb"/>
            <w:noWrap w:val="false"/>
          </w:tcPr>
          <w:p>
            <w:pPr>
              <w:pStyle w:val="799"/>
              <w:ind w:left="0" w:right="0" w:firstLine="0"/>
              <w:jc w:val="both"/>
              <w:keepNext/>
              <w:spacing w:before="0" w:after="0" w:line="240" w:lineRule="auto"/>
              <w:widowControl w:val="off"/>
              <w:rPr>
                <w:rFonts w:hint="eastAsia" w:ascii="仿宋" w:hAnsi="方正仿宋_GB2312" w:eastAsia="仿宋" w:cs="方正仿宋_GB2312"/>
                <w:color w:val="000000" w:themeColor="text1"/>
                <w:sz w:val="24"/>
                <w:szCs w:val="22"/>
                <w:highlight w:val="none"/>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仿宋" w:hAnsi="方正仿宋_GB2312" w:eastAsia="仿宋" w:cs="方正仿宋_GB2312"/>
                <w:color w:val="000000" w:themeColor="text1"/>
                <w:sz w:val="24"/>
                <w:szCs w:val="22"/>
                <w:highlight w:val="none"/>
                <w:lang w:val="en-US" w:eastAsia="zh-CN" w:bidi="ar-SA"/>
              </w:rPr>
              <w:t xml:space="preserve">采用低价优先法计算，即满足招标文件要求且投标价格最低的投标报价为评标基准价，其价格分为满分。其他投标人投标报价得分＝（评标基准价/投标报价）*20。</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r>
      <w:tr>
        <w:trPr/>
        <w:tc>
          <w:tcPr>
            <w:tcW w:w="1840" w:type="dxa"/>
            <w:vAlign w:val="center"/>
            <w:textDirection w:val="lrTb"/>
            <w:noWrap w:val="false"/>
          </w:tcPr>
          <w:p>
            <w:pPr>
              <w:pStyle w:val="799"/>
              <w:ind w:left="0" w:right="0" w:firstLine="0"/>
              <w:jc w:val="center"/>
              <w:keepNext/>
              <w:spacing w:before="0" w:after="0"/>
              <w:widowControl w:val="off"/>
              <w:rPr>
                <w:rFonts w:hint="eastAsia" w:ascii="仿宋" w:hAnsi="方正仿宋_GB2312" w:eastAsia="仿宋" w:cs="方正仿宋_GB2312"/>
                <w:color w:val="000000" w:themeColor="text1"/>
                <w:sz w:val="24"/>
                <w:szCs w:val="22"/>
                <w:highlight w:val="none"/>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仿宋" w:hAnsi="方正仿宋_GB2312" w:eastAsia="仿宋" w:cs="方正仿宋_GB2312"/>
                <w:color w:val="000000" w:themeColor="text1"/>
                <w:sz w:val="24"/>
                <w:szCs w:val="22"/>
                <w:highlight w:val="none"/>
                <w:lang w:val="en-US" w:eastAsia="zh-CN" w:bidi="ar-SA"/>
              </w:rPr>
              <w:t xml:space="preserve">企业业绩</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c>
          <w:tcPr>
            <w:tcW w:w="1232" w:type="dxa"/>
            <w:vAlign w:val="center"/>
            <w:textDirection w:val="lrTb"/>
            <w:noWrap w:val="false"/>
          </w:tcPr>
          <w:p>
            <w:pPr>
              <w:pStyle w:val="799"/>
              <w:ind w:left="0" w:right="0" w:firstLine="0"/>
              <w:jc w:val="left"/>
              <w:keepNext/>
              <w:spacing w:before="0" w:after="0"/>
              <w:widowControl w:val="off"/>
              <w:rPr>
                <w:rFonts w:hint="eastAsia" w:ascii="仿宋" w:hAnsi="方正仿宋_GB2312" w:eastAsia="仿宋" w:cs="方正仿宋_GB2312"/>
                <w:color w:val="000000" w:themeColor="text1"/>
                <w:sz w:val="24"/>
                <w:szCs w:val="22"/>
                <w:highlight w:val="none"/>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仿宋" w:hAnsi="方正仿宋_GB2312" w:eastAsia="仿宋" w:cs="方正仿宋_GB2312"/>
                <w:color w:val="000000" w:themeColor="text1"/>
                <w:sz w:val="24"/>
                <w:szCs w:val="22"/>
                <w:highlight w:val="none"/>
                <w:lang w:val="en-US" w:eastAsia="zh-CN" w:bidi="ar-SA"/>
              </w:rPr>
              <w:t xml:space="preserve">15.00分</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c>
          <w:tcPr>
            <w:tcW w:w="6328" w:type="dxa"/>
            <w:vAlign w:val="center"/>
            <w:textDirection w:val="lrTb"/>
            <w:noWrap w:val="false"/>
          </w:tcPr>
          <w:p>
            <w:pPr>
              <w:pStyle w:val="799"/>
              <w:ind w:left="0" w:right="0" w:firstLine="0"/>
              <w:jc w:val="both"/>
              <w:keepNext/>
              <w:spacing w:before="0" w:after="0" w:line="240" w:lineRule="auto"/>
              <w:widowControl w:val="off"/>
              <w:rPr>
                <w:rFonts w:hint="eastAsia" w:ascii="仿宋" w:hAnsi="方正仿宋_GB2312" w:eastAsia="仿宋" w:cs="方正仿宋_GB2312"/>
                <w:color w:val="000000" w:themeColor="text1"/>
                <w:sz w:val="24"/>
                <w:szCs w:val="22"/>
                <w:highlight w:val="none"/>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仿宋" w:hAnsi="方正仿宋_GB2312" w:eastAsia="仿宋" w:cs="方正仿宋_GB2312"/>
                <w:color w:val="000000" w:themeColor="text1"/>
                <w:sz w:val="24"/>
                <w:szCs w:val="22"/>
                <w:highlight w:val="none"/>
                <w:lang w:val="en-US" w:eastAsia="zh-CN" w:bidi="ar-SA"/>
              </w:rPr>
              <w:t xml:space="preserve">投标人自2023年1月1日（以合同签订时间为准）以来，承担过类似业绩的，每有1个得5分，最高得15分。</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p>
            <w:pPr>
              <w:pStyle w:val="799"/>
              <w:ind w:left="0" w:right="0" w:firstLine="0"/>
              <w:jc w:val="both"/>
              <w:keepNext/>
              <w:spacing w:before="0" w:after="0" w:line="240" w:lineRule="auto"/>
              <w:widowControl w:val="off"/>
              <w:rPr>
                <w:rFonts w:hint="eastAsia" w:ascii="仿宋" w:hAnsi="方正仿宋_GB2312" w:eastAsia="仿宋" w:cs="方正仿宋_GB2312"/>
                <w:color w:val="000000" w:themeColor="text1"/>
                <w:sz w:val="24"/>
                <w:szCs w:val="22"/>
                <w:highlight w:val="none"/>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仿宋" w:hAnsi="方正仿宋_GB2312" w:eastAsia="仿宋" w:cs="方正仿宋_GB2312"/>
                <w:color w:val="000000" w:themeColor="text1"/>
                <w:sz w:val="24"/>
                <w:szCs w:val="22"/>
                <w:highlight w:val="none"/>
                <w:lang w:val="en-US" w:eastAsia="zh-CN" w:bidi="ar-SA"/>
              </w:rPr>
              <w:t xml:space="preserve">注：（1）类似业绩指合同内容包含园林绿化养护服务的业绩。（2）投标文件中须同时提供合同及验收报告（或同等履约完成证明材料）的电子件，业绩合同主要内容、标的、投标人名称等需清晰可见，未提供的或提供内容不能反映出上述要求的，不予计分。（3）中标人提供的业绩将随中标结果同步公开。</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r>
      <w:tr>
        <w:trPr/>
        <w:tc>
          <w:tcPr>
            <w:tcW w:w="1840" w:type="dxa"/>
            <w:vAlign w:val="center"/>
            <w:textDirection w:val="lrTb"/>
            <w:noWrap w:val="false"/>
          </w:tcPr>
          <w:p>
            <w:pPr>
              <w:pStyle w:val="799"/>
              <w:ind w:left="0" w:right="0" w:firstLine="0"/>
              <w:jc w:val="center"/>
              <w:keepNext/>
              <w:spacing w:before="0" w:after="0"/>
              <w:widowControl w:val="off"/>
              <w:rPr>
                <w:rFonts w:hint="eastAsia" w:ascii="仿宋" w:hAnsi="方正仿宋_GB2312" w:eastAsia="仿宋" w:cs="方正仿宋_GB2312"/>
                <w:color w:val="000000" w:themeColor="text1"/>
                <w:sz w:val="24"/>
                <w:szCs w:val="22"/>
                <w:highlight w:val="none"/>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仿宋" w:hAnsi="方正仿宋_GB2312" w:eastAsia="仿宋" w:cs="方正仿宋_GB2312"/>
                <w:color w:val="000000" w:themeColor="text1"/>
                <w:sz w:val="24"/>
                <w:szCs w:val="22"/>
                <w:highlight w:val="none"/>
                <w:lang w:val="en-US" w:eastAsia="zh-CN" w:bidi="ar-SA"/>
              </w:rPr>
              <w:t xml:space="preserve">企业证书</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c>
          <w:tcPr>
            <w:tcW w:w="1232" w:type="dxa"/>
            <w:vAlign w:val="center"/>
            <w:textDirection w:val="lrTb"/>
            <w:noWrap w:val="false"/>
          </w:tcPr>
          <w:p>
            <w:pPr>
              <w:pStyle w:val="799"/>
              <w:ind w:left="0" w:right="0" w:firstLine="0"/>
              <w:jc w:val="left"/>
              <w:keepNext/>
              <w:spacing w:before="0" w:after="0"/>
              <w:widowControl w:val="off"/>
              <w:rPr>
                <w:rFonts w:hint="eastAsia" w:ascii="仿宋" w:hAnsi="方正仿宋_GB2312" w:eastAsia="仿宋" w:cs="方正仿宋_GB2312"/>
                <w:color w:val="000000" w:themeColor="text1"/>
                <w:sz w:val="24"/>
                <w:szCs w:val="22"/>
                <w:highlight w:val="none"/>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仿宋" w:hAnsi="方正仿宋_GB2312" w:eastAsia="仿宋" w:cs="方正仿宋_GB2312"/>
                <w:color w:val="000000" w:themeColor="text1"/>
                <w:sz w:val="24"/>
                <w:szCs w:val="22"/>
                <w:highlight w:val="none"/>
                <w:lang w:val="en-US" w:eastAsia="zh-CN" w:bidi="ar-SA"/>
              </w:rPr>
              <w:t xml:space="preserve">6.00分</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c>
          <w:tcPr>
            <w:tcW w:w="6328" w:type="dxa"/>
            <w:vAlign w:val="center"/>
            <w:textDirection w:val="lrTb"/>
            <w:noWrap w:val="false"/>
          </w:tcPr>
          <w:p>
            <w:pPr>
              <w:pStyle w:val="799"/>
              <w:ind w:left="0" w:right="0" w:firstLine="0"/>
              <w:jc w:val="both"/>
              <w:keepNext/>
              <w:spacing w:before="0" w:after="0" w:line="240" w:lineRule="auto"/>
              <w:widowControl w:val="off"/>
              <w:rPr>
                <w:rFonts w:hint="eastAsia" w:ascii="仿宋" w:hAnsi="方正仿宋_GB2312" w:eastAsia="仿宋" w:cs="方正仿宋_GB2312"/>
                <w:color w:val="000000" w:themeColor="text1"/>
                <w:sz w:val="24"/>
                <w:szCs w:val="22"/>
                <w:highlight w:val="none"/>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仿宋" w:hAnsi="方正仿宋_GB2312" w:eastAsia="仿宋" w:cs="方正仿宋_GB2312"/>
                <w:color w:val="000000" w:themeColor="text1"/>
                <w:sz w:val="24"/>
                <w:szCs w:val="22"/>
                <w:highlight w:val="none"/>
                <w:lang w:val="en-US" w:eastAsia="zh-CN" w:bidi="ar-SA"/>
              </w:rPr>
              <w:t xml:space="preserve">投标人具有有效期内的质量管理体系认证证书、环境管理体系认证证书、职业健康安全管理体系认证证书，每有一项得2分，本项最高得6分。</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p>
            <w:pPr>
              <w:pStyle w:val="799"/>
              <w:ind w:left="0" w:right="0" w:firstLine="0"/>
              <w:jc w:val="both"/>
              <w:keepNext/>
              <w:spacing w:before="0" w:after="0" w:line="240" w:lineRule="auto"/>
              <w:widowControl w:val="off"/>
              <w:rPr>
                <w:rFonts w:hint="eastAsia" w:ascii="仿宋" w:hAnsi="方正仿宋_GB2312" w:eastAsia="仿宋" w:cs="方正仿宋_GB2312"/>
                <w:color w:val="000000" w:themeColor="text1"/>
                <w:sz w:val="24"/>
                <w:szCs w:val="22"/>
                <w:highlight w:val="none"/>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仿宋" w:hAnsi="方正仿宋_GB2312" w:eastAsia="仿宋" w:cs="方正仿宋_GB2312"/>
                <w:color w:val="000000" w:themeColor="text1"/>
                <w:sz w:val="24"/>
                <w:szCs w:val="22"/>
                <w:highlight w:val="none"/>
                <w:lang w:val="en-US" w:eastAsia="zh-CN" w:bidi="ar-SA"/>
              </w:rPr>
              <w:t xml:space="preserve">注：提供上述相关证书电子件和在国家市场监督管理总局全国认证认可信息公共服务平台查询认证有效的页面截图，未提供的不得分。</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r>
      <w:tr>
        <w:trPr/>
        <w:tc>
          <w:tcPr>
            <w:tcW w:w="1840" w:type="dxa"/>
            <w:vAlign w:val="center"/>
            <w:textDirection w:val="lrTb"/>
            <w:noWrap w:val="false"/>
          </w:tcPr>
          <w:p>
            <w:pPr>
              <w:pStyle w:val="799"/>
              <w:ind w:left="0" w:right="0" w:firstLine="0"/>
              <w:jc w:val="center"/>
              <w:keepNext/>
              <w:spacing w:line="240" w:lineRule="auto"/>
              <w:widowControl/>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s="宋体"/>
                <w:color w:val="000000" w:themeColor="text1"/>
                <w:sz w:val="24"/>
                <w:szCs w:val="24"/>
                <w:highlight w:val="none"/>
                <w:lang w:val="en-US" w:eastAsia="zh-CN"/>
              </w:rPr>
              <w:t xml:space="preserve">高处操作</w:t>
            </w:r>
            <w:r>
              <w:rPr>
                <w:rFonts w:hint="eastAsia" w:ascii="仿宋" w:hAnsi="仿宋" w:eastAsia="仿宋" w:cs="宋体"/>
                <w:color w:val="000000" w:themeColor="text1"/>
                <w:sz w:val="24"/>
                <w:szCs w:val="24"/>
                <w:highlight w:val="none"/>
              </w:rPr>
              <w:t xml:space="preserve">工</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c>
          <w:tcPr>
            <w:tcW w:w="1232" w:type="dxa"/>
            <w:vAlign w:val="center"/>
            <w:textDirection w:val="lrTb"/>
            <w:noWrap w:val="false"/>
          </w:tcPr>
          <w:p>
            <w:pPr>
              <w:pStyle w:val="799"/>
              <w:ind w:left="0" w:right="0" w:firstLine="0"/>
              <w:jc w:val="left"/>
              <w:keepNext/>
              <w:spacing w:line="240" w:lineRule="auto"/>
              <w:widowControl/>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s="宋体"/>
                <w:color w:val="000000" w:themeColor="text1"/>
                <w:sz w:val="24"/>
                <w:szCs w:val="24"/>
                <w:highlight w:val="none"/>
                <w:lang w:val="en-US" w:eastAsia="zh-CN"/>
              </w:rPr>
              <w:t xml:space="preserve">3</w:t>
            </w:r>
            <w:r>
              <w:rPr>
                <w:rFonts w:hint="eastAsia" w:ascii="仿宋" w:hAnsi="仿宋" w:eastAsia="仿宋" w:cs="宋体"/>
                <w:color w:val="000000" w:themeColor="text1"/>
                <w:sz w:val="24"/>
                <w:szCs w:val="24"/>
                <w:highlight w:val="none"/>
              </w:rPr>
              <w:t xml:space="preserve">.00分</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c>
          <w:tcPr>
            <w:tcW w:w="6328" w:type="dxa"/>
            <w:vAlign w:val="center"/>
            <w:textDirection w:val="lrTb"/>
            <w:noWrap w:val="false"/>
          </w:tcPr>
          <w:p>
            <w:pPr>
              <w:pStyle w:val="799"/>
              <w:ind w:left="0" w:right="0" w:firstLine="0"/>
              <w:jc w:val="both"/>
              <w:keepNext/>
              <w:spacing w:line="240" w:lineRule="auto"/>
              <w:widowControl/>
              <w:rPr>
                <w:rFonts w:ascii="仿宋" w:hAnsi="仿宋" w:eastAsia="仿宋" w:cs="宋体"/>
                <w:color w:val="000000" w:themeColor="text1"/>
                <w:sz w:val="24"/>
                <w:szCs w:val="24"/>
                <w:highlight w:val="none"/>
              </w:rPr>
              <w:framePr w:vAnchor="margin" w:hAnchor="page" w:xAlign="center" w:y="1"/>
            </w:pPr>
            <w:r>
              <w:rPr>
                <w:rFonts w:hint="eastAsia" w:ascii="仿宋" w:hAnsi="仿宋" w:eastAsia="仿宋" w:cs="宋体"/>
                <w:color w:val="000000" w:themeColor="text1"/>
                <w:sz w:val="24"/>
                <w:szCs w:val="24"/>
                <w:highlight w:val="none"/>
                <w:lang w:val="en-US" w:eastAsia="zh-CN"/>
              </w:rPr>
              <w:t xml:space="preserve">项目组成员每有一个高处作业证，</w:t>
            </w:r>
            <w:r>
              <w:rPr>
                <w:rFonts w:hint="eastAsia" w:ascii="仿宋" w:hAnsi="仿宋" w:eastAsia="仿宋" w:cs="宋体"/>
                <w:bCs/>
                <w:color w:val="000000" w:themeColor="text1"/>
                <w:sz w:val="24"/>
                <w:szCs w:val="24"/>
                <w:highlight w:val="none"/>
              </w:rPr>
              <w:t xml:space="preserve">得</w:t>
            </w:r>
            <w:r>
              <w:rPr>
                <w:rFonts w:hint="eastAsia" w:ascii="仿宋" w:hAnsi="仿宋" w:eastAsia="仿宋" w:cs="宋体"/>
                <w:bCs/>
                <w:color w:val="000000" w:themeColor="text1"/>
                <w:sz w:val="24"/>
                <w:szCs w:val="24"/>
                <w:highlight w:val="none"/>
                <w:lang w:val="en-US" w:eastAsia="zh-CN"/>
              </w:rPr>
              <w:t xml:space="preserve">1.5</w:t>
            </w:r>
            <w:r>
              <w:rPr>
                <w:rFonts w:hint="eastAsia" w:ascii="仿宋" w:hAnsi="仿宋" w:eastAsia="仿宋" w:cs="宋体"/>
                <w:bCs/>
                <w:color w:val="000000" w:themeColor="text1"/>
                <w:sz w:val="24"/>
                <w:szCs w:val="24"/>
                <w:highlight w:val="none"/>
              </w:rPr>
              <w:t xml:space="preserve">分。本项最高得</w:t>
            </w:r>
            <w:r>
              <w:rPr>
                <w:rFonts w:hint="eastAsia" w:ascii="仿宋" w:hAnsi="仿宋" w:eastAsia="仿宋" w:cs="宋体"/>
                <w:bCs/>
                <w:color w:val="000000" w:themeColor="text1"/>
                <w:sz w:val="24"/>
                <w:szCs w:val="24"/>
                <w:highlight w:val="none"/>
                <w:lang w:val="en-US" w:eastAsia="zh-CN"/>
              </w:rPr>
              <w:t xml:space="preserve">3</w:t>
            </w:r>
            <w:r>
              <w:rPr>
                <w:rFonts w:hint="eastAsia" w:ascii="仿宋" w:hAnsi="仿宋" w:eastAsia="仿宋" w:cs="宋体"/>
                <w:bCs/>
                <w:color w:val="000000" w:themeColor="text1"/>
                <w:sz w:val="24"/>
                <w:szCs w:val="24"/>
                <w:highlight w:val="none"/>
              </w:rPr>
              <w:t xml:space="preserve">分。</w:t>
            </w:r>
            <w:r>
              <w:rPr>
                <w:rFonts w:ascii="仿宋" w:hAnsi="仿宋" w:eastAsia="仿宋" w:cs="宋体"/>
                <w:color w:val="000000" w:themeColor="text1"/>
                <w:sz w:val="24"/>
                <w:szCs w:val="24"/>
                <w:highlight w:val="none"/>
              </w:rPr>
            </w:r>
            <w:r>
              <w:rPr>
                <w:color w:val="000000" w:themeColor="text1"/>
              </w:rPr>
            </w:r>
          </w:p>
          <w:p>
            <w:pPr>
              <w:pStyle w:val="799"/>
              <w:ind w:left="0" w:right="0" w:firstLine="0"/>
              <w:jc w:val="both"/>
              <w:keepNext/>
              <w:spacing w:line="240" w:lineRule="auto"/>
              <w:widowControl/>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s="宋体"/>
                <w:color w:val="000000" w:themeColor="text1"/>
                <w:sz w:val="24"/>
                <w:szCs w:val="24"/>
                <w:highlight w:val="none"/>
              </w:rPr>
              <w:t xml:space="preserve">注：（1）投标文件中须提供相关证书电子件，否则不得分。（2）</w:t>
            </w:r>
            <w:r>
              <w:rPr>
                <w:rFonts w:ascii="仿宋" w:hAnsi="仿宋" w:eastAsia="仿宋"/>
                <w:color w:val="000000" w:themeColor="text1"/>
                <w:sz w:val="24"/>
                <w:szCs w:val="24"/>
                <w:highlight w:val="none"/>
              </w:rPr>
              <w:t xml:space="preserve">中标人提供的</w:t>
            </w:r>
            <w:r>
              <w:rPr>
                <w:rFonts w:hint="eastAsia" w:ascii="仿宋" w:hAnsi="仿宋" w:eastAsia="仿宋"/>
                <w:color w:val="000000" w:themeColor="text1"/>
                <w:sz w:val="24"/>
                <w:szCs w:val="24"/>
                <w:highlight w:val="none"/>
              </w:rPr>
              <w:t xml:space="preserve">证书</w:t>
            </w:r>
            <w:r>
              <w:rPr>
                <w:rFonts w:ascii="仿宋" w:hAnsi="仿宋" w:eastAsia="仿宋"/>
                <w:color w:val="000000" w:themeColor="text1"/>
                <w:sz w:val="24"/>
                <w:szCs w:val="24"/>
                <w:highlight w:val="none"/>
              </w:rPr>
              <w:t xml:space="preserve">将随中标结果同步公开。</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r>
      <w:tr>
        <w:trPr/>
        <w:tc>
          <w:tcPr>
            <w:tcW w:w="1840" w:type="dxa"/>
            <w:vAlign w:val="center"/>
            <w:textDirection w:val="lrTb"/>
            <w:noWrap w:val="false"/>
          </w:tcPr>
          <w:p>
            <w:pPr>
              <w:pStyle w:val="799"/>
              <w:ind w:left="0" w:right="0" w:firstLine="0"/>
              <w:jc w:val="center"/>
              <w:keepNext/>
              <w:spacing w:line="240" w:lineRule="auto"/>
              <w:widowControl/>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s="宋体"/>
                <w:color w:val="000000" w:themeColor="text1"/>
                <w:sz w:val="24"/>
                <w:szCs w:val="24"/>
                <w:highlight w:val="none"/>
                <w:lang w:val="en-US" w:eastAsia="zh-CN"/>
              </w:rPr>
              <w:t xml:space="preserve">项目经理及</w:t>
            </w:r>
            <w:r>
              <w:rPr>
                <w:rFonts w:hint="eastAsia" w:ascii="方正仿宋_GB2312" w:hAnsi="方正仿宋_GB2312" w:eastAsia="方正仿宋_GB2312" w:cs="方正仿宋_GB2312"/>
                <w:bCs/>
                <w:color w:val="000000" w:themeColor="text1"/>
                <w:sz w:val="24"/>
                <w:szCs w:val="24"/>
                <w:highlight w:val="none"/>
                <w:lang w:val="en-US" w:eastAsia="zh-CN"/>
              </w:rPr>
              <w:t xml:space="preserve">技术负责人</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c>
          <w:tcPr>
            <w:tcW w:w="1232" w:type="dxa"/>
            <w:vAlign w:val="center"/>
            <w:textDirection w:val="lrTb"/>
            <w:noWrap w:val="false"/>
          </w:tcPr>
          <w:p>
            <w:pPr>
              <w:pStyle w:val="799"/>
              <w:ind w:left="0" w:right="0" w:firstLine="0"/>
              <w:jc w:val="left"/>
              <w:keepNext/>
              <w:spacing w:line="240" w:lineRule="auto"/>
              <w:widowControl/>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s="宋体"/>
                <w:color w:val="000000" w:themeColor="text1"/>
                <w:sz w:val="24"/>
                <w:szCs w:val="24"/>
                <w:highlight w:val="none"/>
                <w:lang w:val="en-US" w:eastAsia="zh-CN"/>
              </w:rPr>
              <w:t xml:space="preserve">8</w:t>
            </w:r>
            <w:r>
              <w:rPr>
                <w:rFonts w:hint="eastAsia" w:ascii="仿宋" w:hAnsi="仿宋" w:eastAsia="仿宋" w:cs="宋体"/>
                <w:color w:val="000000" w:themeColor="text1"/>
                <w:sz w:val="24"/>
                <w:szCs w:val="24"/>
                <w:highlight w:val="none"/>
              </w:rPr>
              <w:t xml:space="preserve">.00分</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c>
          <w:tcPr>
            <w:tcW w:w="6328" w:type="dxa"/>
            <w:vAlign w:val="center"/>
            <w:textDirection w:val="lrTb"/>
            <w:noWrap w:val="false"/>
          </w:tcPr>
          <w:p>
            <w:pPr>
              <w:pStyle w:val="799"/>
              <w:ind w:left="0" w:right="0" w:firstLine="0"/>
              <w:jc w:val="both"/>
              <w:keepNext/>
              <w:spacing w:line="240" w:lineRule="auto"/>
              <w:widowControl/>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仿宋" w:hAnsi="仿宋" w:eastAsia="仿宋" w:cs="宋体"/>
                <w:color w:val="000000" w:themeColor="text1"/>
                <w:sz w:val="24"/>
                <w:szCs w:val="24"/>
                <w:highlight w:val="none"/>
                <w:lang w:val="en-US" w:eastAsia="zh-CN"/>
              </w:rPr>
              <w:t xml:space="preserve">1.项目经理</w:t>
            </w:r>
            <w:r>
              <w:rPr>
                <w:rFonts w:hint="eastAsia" w:ascii="仿宋" w:hAnsi="仿宋" w:eastAsia="仿宋" w:cs="宋体"/>
                <w:color w:val="000000" w:themeColor="text1"/>
                <w:sz w:val="24"/>
                <w:szCs w:val="24"/>
                <w:highlight w:val="none"/>
              </w:rPr>
              <w:t xml:space="preserve">具有园林绿化相关专业（园林绿化、风景园林、园林、园艺或植保专业等）</w:t>
            </w:r>
            <w:r>
              <w:rPr>
                <w:rFonts w:hint="eastAsia" w:ascii="仿宋" w:hAnsi="仿宋" w:eastAsia="仿宋" w:cs="宋体"/>
                <w:color w:val="000000" w:themeColor="text1"/>
                <w:sz w:val="24"/>
                <w:szCs w:val="24"/>
                <w:highlight w:val="none"/>
                <w:lang w:val="en-US" w:eastAsia="zh-CN"/>
              </w:rPr>
              <w:t xml:space="preserve">高</w:t>
            </w:r>
            <w:r>
              <w:rPr>
                <w:rFonts w:hint="eastAsia" w:ascii="仿宋" w:hAnsi="仿宋" w:eastAsia="仿宋" w:cs="宋体"/>
                <w:color w:val="000000" w:themeColor="text1"/>
                <w:sz w:val="24"/>
                <w:szCs w:val="24"/>
                <w:highlight w:val="none"/>
              </w:rPr>
              <w:t xml:space="preserve">级及以上技术职称的，得</w:t>
            </w:r>
            <w:r>
              <w:rPr>
                <w:rFonts w:hint="eastAsia" w:ascii="仿宋" w:hAnsi="仿宋" w:eastAsia="仿宋" w:cs="宋体"/>
                <w:color w:val="000000" w:themeColor="text1"/>
                <w:sz w:val="24"/>
                <w:szCs w:val="24"/>
                <w:highlight w:val="none"/>
                <w:lang w:val="en-US" w:eastAsia="zh-CN"/>
              </w:rPr>
              <w:t xml:space="preserve">4</w:t>
            </w:r>
            <w:r>
              <w:rPr>
                <w:rFonts w:hint="eastAsia" w:ascii="仿宋" w:hAnsi="仿宋" w:eastAsia="仿宋" w:cs="宋体"/>
                <w:color w:val="000000" w:themeColor="text1"/>
                <w:sz w:val="24"/>
                <w:szCs w:val="24"/>
                <w:highlight w:val="none"/>
              </w:rPr>
              <w:t xml:space="preserve">分。</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left="0" w:right="0" w:firstLine="0"/>
              <w:jc w:val="both"/>
              <w:keepNext/>
              <w:spacing w:line="240" w:lineRule="auto"/>
              <w:widowControl/>
              <w:rPr>
                <w:rFonts w:hint="eastAsia" w:ascii="仿宋" w:hAnsi="仿宋" w:eastAsia="仿宋" w:cs="宋体"/>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2.技术负责人</w:t>
            </w:r>
            <w:r>
              <w:rPr>
                <w:rFonts w:hint="eastAsia" w:ascii="仿宋" w:hAnsi="仿宋" w:eastAsia="仿宋" w:cs="宋体"/>
                <w:color w:val="000000" w:themeColor="text1"/>
                <w:sz w:val="24"/>
                <w:szCs w:val="24"/>
                <w:highlight w:val="none"/>
              </w:rPr>
              <w:t xml:space="preserve">具有园林绿化相关专业（园林绿化、风景园林、园林、园艺或植保专业等）中级及以上技术职称的，得</w:t>
            </w:r>
            <w:r>
              <w:rPr>
                <w:rFonts w:hint="eastAsia" w:ascii="仿宋" w:hAnsi="仿宋" w:eastAsia="仿宋" w:cs="宋体"/>
                <w:color w:val="000000" w:themeColor="text1"/>
                <w:sz w:val="24"/>
                <w:szCs w:val="24"/>
                <w:highlight w:val="none"/>
                <w:lang w:val="en-US" w:eastAsia="zh-CN"/>
              </w:rPr>
              <w:t xml:space="preserve">4</w:t>
            </w:r>
            <w:r>
              <w:rPr>
                <w:rFonts w:hint="eastAsia" w:ascii="仿宋" w:hAnsi="仿宋" w:eastAsia="仿宋" w:cs="宋体"/>
                <w:color w:val="000000" w:themeColor="text1"/>
                <w:sz w:val="24"/>
                <w:szCs w:val="24"/>
                <w:highlight w:val="none"/>
              </w:rPr>
              <w:t xml:space="preserve">分。</w:t>
            </w:r>
            <w:r>
              <w:rPr>
                <w:rFonts w:hint="eastAsia" w:ascii="仿宋" w:hAnsi="仿宋" w:eastAsia="仿宋" w:cs="宋体"/>
                <w:color w:val="000000" w:themeColor="text1"/>
                <w:sz w:val="24"/>
                <w:szCs w:val="24"/>
                <w:highlight w:val="none"/>
              </w:rPr>
            </w:r>
            <w:r>
              <w:rPr>
                <w:color w:val="000000" w:themeColor="text1"/>
              </w:rPr>
            </w:r>
          </w:p>
          <w:p>
            <w:pPr>
              <w:pStyle w:val="799"/>
              <w:ind w:left="0" w:right="0" w:firstLine="0"/>
              <w:jc w:val="both"/>
              <w:keepNext/>
              <w:spacing w:line="240" w:lineRule="auto"/>
              <w:widowControl/>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s="宋体"/>
                <w:color w:val="000000" w:themeColor="text1"/>
                <w:sz w:val="24"/>
                <w:szCs w:val="24"/>
                <w:highlight w:val="none"/>
              </w:rPr>
              <w:t xml:space="preserve">注：（1）投标文件中须提供相关证书电子件，否则不得分</w:t>
            </w:r>
            <w:r>
              <w:rPr>
                <w:rFonts w:hint="eastAsia" w:ascii="仿宋" w:hAnsi="仿宋" w:eastAsia="仿宋" w:cs="宋体"/>
                <w:color w:val="000000" w:themeColor="text1"/>
                <w:sz w:val="24"/>
                <w:szCs w:val="24"/>
                <w:highlight w:val="none"/>
                <w:lang w:eastAsia="zh-CN"/>
              </w:rPr>
              <w:t xml:space="preserve">。</w:t>
            </w:r>
            <w:r>
              <w:rPr>
                <w:rFonts w:hint="eastAsia" w:ascii="仿宋" w:hAnsi="仿宋" w:eastAsia="仿宋" w:cs="宋体"/>
                <w:color w:val="000000" w:themeColor="text1"/>
                <w:sz w:val="24"/>
                <w:szCs w:val="24"/>
                <w:highlight w:val="none"/>
              </w:rPr>
              <w:t xml:space="preserve">（2）</w:t>
            </w:r>
            <w:r>
              <w:rPr>
                <w:rFonts w:ascii="仿宋" w:hAnsi="仿宋" w:eastAsia="仿宋"/>
                <w:color w:val="000000" w:themeColor="text1"/>
                <w:sz w:val="24"/>
                <w:szCs w:val="24"/>
                <w:highlight w:val="none"/>
              </w:rPr>
              <w:t xml:space="preserve">中标人提供的</w:t>
            </w:r>
            <w:r>
              <w:rPr>
                <w:rFonts w:hint="eastAsia" w:ascii="仿宋" w:hAnsi="仿宋" w:eastAsia="仿宋"/>
                <w:color w:val="000000" w:themeColor="text1"/>
                <w:sz w:val="24"/>
                <w:szCs w:val="24"/>
                <w:highlight w:val="none"/>
              </w:rPr>
              <w:t xml:space="preserve">证书</w:t>
            </w:r>
            <w:r>
              <w:rPr>
                <w:rFonts w:ascii="仿宋" w:hAnsi="仿宋" w:eastAsia="仿宋"/>
                <w:color w:val="000000" w:themeColor="text1"/>
                <w:sz w:val="24"/>
                <w:szCs w:val="24"/>
                <w:highlight w:val="none"/>
              </w:rPr>
              <w:t xml:space="preserve">将随中标结果同步公开。</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r>
      <w:tr>
        <w:trPr/>
        <w:tc>
          <w:tcPr>
            <w:tcW w:w="1840" w:type="dxa"/>
            <w:vAlign w:val="center"/>
            <w:textDirection w:val="lrTb"/>
            <w:noWrap w:val="false"/>
          </w:tcPr>
          <w:p>
            <w:pPr>
              <w:pStyle w:val="799"/>
              <w:ind w:left="0" w:right="0" w:firstLine="0"/>
              <w:jc w:val="center"/>
              <w:keepNext/>
              <w:spacing w:line="240" w:lineRule="auto"/>
              <w:widowControl/>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s="宋体"/>
                <w:color w:val="000000" w:themeColor="text1"/>
                <w:sz w:val="24"/>
                <w:szCs w:val="24"/>
                <w:highlight w:val="none"/>
                <w:lang w:bidi="ar"/>
              </w:rPr>
              <w:t xml:space="preserve">洒水车</w:t>
            </w:r>
            <w:r>
              <w:rPr>
                <w:rFonts w:hint="eastAsia" w:ascii="仿宋" w:hAnsi="仿宋" w:eastAsia="仿宋" w:cs="宋体"/>
                <w:color w:val="000000" w:themeColor="text1"/>
                <w:sz w:val="24"/>
                <w:szCs w:val="24"/>
                <w:highlight w:val="none"/>
                <w:lang w:val="en-US" w:eastAsia="zh-CN" w:bidi="ar"/>
              </w:rPr>
              <w:t xml:space="preserve">及园林树枝粉碎机</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c>
          <w:tcPr>
            <w:tcW w:w="1232" w:type="dxa"/>
            <w:vAlign w:val="center"/>
            <w:textDirection w:val="lrTb"/>
            <w:noWrap w:val="false"/>
          </w:tcPr>
          <w:p>
            <w:pPr>
              <w:pStyle w:val="799"/>
              <w:ind w:left="0" w:right="0" w:firstLine="0"/>
              <w:jc w:val="left"/>
              <w:keepNext/>
              <w:spacing w:line="240" w:lineRule="auto"/>
              <w:widowControl/>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s="宋体"/>
                <w:color w:val="000000" w:themeColor="text1"/>
                <w:sz w:val="24"/>
                <w:szCs w:val="24"/>
                <w:highlight w:val="none"/>
              </w:rPr>
              <w:t xml:space="preserve">5.00分</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c>
          <w:tcPr>
            <w:tcW w:w="6328" w:type="dxa"/>
            <w:vAlign w:val="center"/>
            <w:textDirection w:val="lrTb"/>
            <w:noWrap w:val="false"/>
          </w:tcPr>
          <w:p>
            <w:pPr>
              <w:pStyle w:val="799"/>
              <w:ind w:left="0" w:right="0" w:firstLine="0"/>
              <w:jc w:val="both"/>
              <w:keepNext/>
              <w:spacing w:line="240" w:lineRule="auto"/>
              <w:widowControl/>
              <w:rPr>
                <w:rFonts w:hint="eastAsia" w:ascii="仿宋" w:hAnsi="仿宋" w:eastAsia="仿宋" w:cs="宋体"/>
                <w:color w:val="000000" w:themeColor="text1"/>
                <w:sz w:val="24"/>
                <w:szCs w:val="24"/>
                <w:highlight w:val="none"/>
              </w:rPr>
              <w:framePr w:vAnchor="margin" w:hAnchor="page" w:xAlign="center" w:y="1"/>
            </w:pPr>
            <w:r>
              <w:rPr>
                <w:rFonts w:hint="eastAsia" w:ascii="仿宋" w:hAnsi="仿宋" w:eastAsia="仿宋" w:cs="宋体"/>
                <w:color w:val="000000" w:themeColor="text1"/>
                <w:sz w:val="24"/>
                <w:szCs w:val="24"/>
                <w:highlight w:val="none"/>
              </w:rPr>
              <w:t xml:space="preserve">（1）在满足招标文件基础上，增加1辆罐式洒水车（</w:t>
            </w:r>
            <w:r>
              <w:rPr>
                <w:rFonts w:hint="eastAsia" w:ascii="方正仿宋_GB2312" w:hAnsi="方正仿宋_GB2312" w:eastAsia="方正仿宋_GB2312" w:cs="方正仿宋_GB2312"/>
                <w:b w:val="0"/>
                <w:bCs/>
                <w:color w:val="000000" w:themeColor="text1"/>
                <w:sz w:val="24"/>
                <w:szCs w:val="24"/>
                <w:highlight w:val="none"/>
              </w:rPr>
              <w:t xml:space="preserve">罐体容积≥8立方</w:t>
            </w:r>
            <w:r>
              <w:rPr>
                <w:rFonts w:hint="eastAsia" w:ascii="仿宋" w:hAnsi="仿宋" w:eastAsia="仿宋" w:cs="宋体"/>
                <w:color w:val="000000" w:themeColor="text1"/>
                <w:sz w:val="24"/>
                <w:szCs w:val="24"/>
                <w:highlight w:val="none"/>
              </w:rPr>
              <w:t xml:space="preserve">）</w:t>
            </w:r>
            <w:r>
              <w:rPr>
                <w:rFonts w:hint="eastAsia" w:ascii="仿宋" w:hAnsi="仿宋" w:eastAsia="仿宋" w:cs="宋体"/>
                <w:color w:val="000000" w:themeColor="text1"/>
                <w:sz w:val="24"/>
                <w:szCs w:val="24"/>
                <w:highlight w:val="none"/>
                <w:lang w:val="en-US" w:eastAsia="zh-CN"/>
              </w:rPr>
              <w:t xml:space="preserve">的</w:t>
            </w:r>
            <w:r>
              <w:rPr>
                <w:rFonts w:hint="eastAsia" w:ascii="仿宋" w:hAnsi="仿宋" w:eastAsia="仿宋" w:cs="宋体"/>
                <w:color w:val="000000" w:themeColor="text1"/>
                <w:sz w:val="24"/>
                <w:szCs w:val="24"/>
                <w:highlight w:val="none"/>
              </w:rPr>
              <w:t xml:space="preserve">，得3分。</w:t>
            </w:r>
            <w:r>
              <w:rPr>
                <w:rFonts w:hint="eastAsia" w:ascii="仿宋" w:hAnsi="仿宋" w:eastAsia="仿宋" w:cs="宋体"/>
                <w:color w:val="000000" w:themeColor="text1"/>
                <w:sz w:val="24"/>
                <w:szCs w:val="24"/>
                <w:highlight w:val="none"/>
              </w:rPr>
            </w:r>
            <w:r>
              <w:rPr>
                <w:color w:val="000000" w:themeColor="text1"/>
              </w:rPr>
            </w:r>
          </w:p>
          <w:p>
            <w:pPr>
              <w:pStyle w:val="799"/>
              <w:ind w:left="0" w:right="0" w:firstLine="0"/>
              <w:jc w:val="both"/>
              <w:keepNext/>
              <w:spacing w:line="240" w:lineRule="auto"/>
              <w:widowControl/>
              <w:rPr>
                <w:rFonts w:hint="eastAsia" w:ascii="仿宋" w:hAnsi="仿宋" w:eastAsia="仿宋" w:cs="宋体"/>
                <w:color w:val="000000" w:themeColor="text1"/>
                <w:sz w:val="24"/>
                <w:szCs w:val="24"/>
                <w:highlight w:val="none"/>
              </w:rPr>
              <w:framePr w:vAnchor="margin" w:hAnchor="page" w:xAlign="center" w:y="1"/>
            </w:pPr>
            <w:r>
              <w:rPr>
                <w:rFonts w:hint="eastAsia" w:ascii="仿宋" w:hAnsi="仿宋" w:eastAsia="仿宋" w:cs="宋体"/>
                <w:color w:val="000000" w:themeColor="text1"/>
                <w:sz w:val="24"/>
                <w:szCs w:val="24"/>
                <w:highlight w:val="none"/>
              </w:rPr>
              <w:t xml:space="preserve">（2）提供园林树枝粉碎机（15匹）的</w:t>
            </w:r>
            <w:r>
              <w:rPr>
                <w:rFonts w:hint="eastAsia" w:ascii="仿宋" w:hAnsi="仿宋" w:eastAsia="仿宋" w:cs="宋体"/>
                <w:color w:val="000000" w:themeColor="text1"/>
                <w:sz w:val="24"/>
                <w:szCs w:val="24"/>
                <w:highlight w:val="none"/>
                <w:lang w:eastAsia="zh-CN"/>
              </w:rPr>
              <w:t xml:space="preserve">，</w:t>
            </w:r>
            <w:r>
              <w:rPr>
                <w:rFonts w:hint="eastAsia" w:ascii="仿宋" w:hAnsi="仿宋" w:eastAsia="仿宋" w:cs="宋体"/>
                <w:color w:val="000000" w:themeColor="text1"/>
                <w:sz w:val="24"/>
                <w:szCs w:val="24"/>
                <w:highlight w:val="none"/>
              </w:rPr>
              <w:t xml:space="preserve">得</w:t>
            </w:r>
            <w:r>
              <w:rPr>
                <w:rFonts w:hint="eastAsia" w:ascii="仿宋" w:hAnsi="仿宋" w:eastAsia="仿宋" w:cs="宋体"/>
                <w:color w:val="000000" w:themeColor="text1"/>
                <w:sz w:val="24"/>
                <w:szCs w:val="24"/>
                <w:highlight w:val="none"/>
                <w:lang w:val="en-US" w:eastAsia="zh-CN"/>
              </w:rPr>
              <w:t xml:space="preserve">2</w:t>
            </w:r>
            <w:r>
              <w:rPr>
                <w:rFonts w:hint="eastAsia" w:ascii="仿宋" w:hAnsi="仿宋" w:eastAsia="仿宋" w:cs="宋体"/>
                <w:color w:val="000000" w:themeColor="text1"/>
                <w:sz w:val="24"/>
                <w:szCs w:val="24"/>
                <w:highlight w:val="none"/>
              </w:rPr>
              <w:t xml:space="preserve">分</w:t>
            </w:r>
            <w:r>
              <w:rPr>
                <w:rFonts w:hint="eastAsia" w:ascii="仿宋" w:hAnsi="仿宋" w:eastAsia="仿宋" w:cs="宋体"/>
                <w:color w:val="000000" w:themeColor="text1"/>
                <w:sz w:val="24"/>
                <w:szCs w:val="24"/>
                <w:highlight w:val="none"/>
              </w:rPr>
            </w:r>
            <w:r>
              <w:rPr>
                <w:color w:val="000000" w:themeColor="text1"/>
              </w:rPr>
            </w:r>
          </w:p>
          <w:p>
            <w:pPr>
              <w:pStyle w:val="799"/>
              <w:ind w:left="0" w:right="0" w:firstLine="0"/>
              <w:jc w:val="both"/>
              <w:keepNext/>
              <w:spacing w:line="240" w:lineRule="auto"/>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s="宋体"/>
                <w:bCs/>
                <w:color w:val="000000" w:themeColor="text1"/>
                <w:sz w:val="24"/>
                <w:szCs w:val="24"/>
                <w:highlight w:val="none"/>
              </w:rPr>
              <w:t xml:space="preserve">注：</w:t>
            </w:r>
            <w:r>
              <w:rPr>
                <w:rFonts w:hint="eastAsia" w:ascii="仿宋" w:hAnsi="仿宋" w:eastAsia="仿宋" w:cs="宋体"/>
                <w:bCs/>
                <w:color w:val="000000" w:themeColor="text1"/>
                <w:sz w:val="24"/>
                <w:szCs w:val="24"/>
                <w:highlight w:val="none"/>
                <w:lang w:eastAsia="zh-CN"/>
              </w:rPr>
              <w:t xml:space="preserve">（</w:t>
            </w:r>
            <w:r>
              <w:rPr>
                <w:rFonts w:hint="eastAsia" w:ascii="仿宋" w:hAnsi="仿宋" w:eastAsia="仿宋" w:cs="宋体"/>
                <w:bCs/>
                <w:color w:val="000000" w:themeColor="text1"/>
                <w:sz w:val="24"/>
                <w:szCs w:val="24"/>
                <w:highlight w:val="none"/>
                <w:lang w:val="en-US" w:eastAsia="zh-CN"/>
              </w:rPr>
              <w:t xml:space="preserve">1）</w:t>
            </w:r>
            <w:r>
              <w:rPr>
                <w:rFonts w:hint="eastAsia" w:ascii="仿宋" w:hAnsi="仿宋" w:eastAsia="仿宋" w:cs="宋体"/>
                <w:bCs/>
                <w:color w:val="000000" w:themeColor="text1"/>
                <w:sz w:val="24"/>
                <w:szCs w:val="24"/>
                <w:highlight w:val="none"/>
              </w:rPr>
              <w:t xml:space="preserve">中标后，投标人须在项目进场前配备到位，并在中标后按采购人要求提供购置发票或租赁合同、行驶证等材料供核查。未按要求配备到位的，取消其中标资格。</w:t>
            </w:r>
            <w:r>
              <w:rPr>
                <w:rFonts w:hint="eastAsia" w:ascii="仿宋" w:hAnsi="仿宋" w:eastAsia="仿宋" w:cs="宋体"/>
                <w:bCs/>
                <w:color w:val="000000" w:themeColor="text1"/>
                <w:sz w:val="24"/>
                <w:szCs w:val="24"/>
                <w:highlight w:val="none"/>
                <w:lang w:eastAsia="zh-CN"/>
              </w:rPr>
              <w:t xml:space="preserve">（</w:t>
            </w:r>
            <w:r>
              <w:rPr>
                <w:rFonts w:hint="eastAsia" w:ascii="仿宋" w:hAnsi="仿宋" w:eastAsia="仿宋" w:cs="宋体"/>
                <w:bCs/>
                <w:color w:val="000000" w:themeColor="text1"/>
                <w:sz w:val="24"/>
                <w:szCs w:val="24"/>
                <w:highlight w:val="none"/>
                <w:lang w:val="en-US" w:eastAsia="zh-CN"/>
              </w:rPr>
              <w:t xml:space="preserve">2）</w:t>
            </w:r>
            <w:r>
              <w:rPr>
                <w:rFonts w:hint="eastAsia" w:ascii="仿宋" w:hAnsi="仿宋" w:eastAsia="仿宋" w:cs="宋体"/>
                <w:bCs/>
                <w:color w:val="000000" w:themeColor="text1"/>
                <w:sz w:val="24"/>
                <w:szCs w:val="24"/>
                <w:highlight w:val="none"/>
              </w:rPr>
              <w:t xml:space="preserve">投标文件中提供承诺函。</w:t>
            </w:r>
            <w:r>
              <w:rPr>
                <w:rFonts w:hint="eastAsia" w:ascii="仿宋" w:hAnsi="仿宋" w:eastAsia="仿宋" w:cs="宋体"/>
                <w:bCs/>
                <w:color w:val="000000" w:themeColor="text1"/>
                <w:sz w:val="24"/>
                <w:szCs w:val="24"/>
                <w:highlight w:val="none"/>
                <w:lang w:eastAsia="zh-CN"/>
              </w:rPr>
              <w:t xml:space="preserve">（</w:t>
            </w:r>
            <w:r>
              <w:rPr>
                <w:rFonts w:hint="eastAsia" w:ascii="仿宋" w:hAnsi="仿宋" w:eastAsia="仿宋" w:cs="宋体"/>
                <w:bCs/>
                <w:color w:val="000000" w:themeColor="text1"/>
                <w:sz w:val="24"/>
                <w:szCs w:val="24"/>
                <w:highlight w:val="none"/>
                <w:lang w:val="en-US" w:eastAsia="zh-CN"/>
              </w:rPr>
              <w:t xml:space="preserve">3）</w:t>
            </w:r>
            <w:r>
              <w:rPr>
                <w:rFonts w:hint="eastAsia" w:ascii="仿宋" w:hAnsi="仿宋" w:eastAsia="仿宋" w:cs="宋体"/>
                <w:color w:val="000000" w:themeColor="text1"/>
                <w:sz w:val="24"/>
                <w:szCs w:val="24"/>
                <w:highlight w:val="none"/>
              </w:rPr>
              <w:t xml:space="preserve">中标人提供的承诺函将随中标结果同步公开。</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r>
      <w:tr>
        <w:trPr/>
        <w:tc>
          <w:tcPr>
            <w:tcW w:w="1840" w:type="dxa"/>
            <w:vAlign w:val="center"/>
            <w:textDirection w:val="lrTb"/>
            <w:noWrap w:val="false"/>
          </w:tcPr>
          <w:p>
            <w:pPr>
              <w:pStyle w:val="799"/>
              <w:ind w:left="0" w:right="0" w:firstLine="0"/>
              <w:jc w:val="center"/>
              <w:keepNext/>
              <w:spacing w:line="240" w:lineRule="auto"/>
              <w:widowControl/>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s="宋体"/>
                <w:color w:val="000000" w:themeColor="text1"/>
                <w:sz w:val="24"/>
                <w:szCs w:val="24"/>
                <w:highlight w:val="none"/>
              </w:rPr>
              <w:t xml:space="preserve">绿化养护技术方案</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c>
          <w:tcPr>
            <w:tcW w:w="1232" w:type="dxa"/>
            <w:vAlign w:val="center"/>
            <w:textDirection w:val="lrTb"/>
            <w:noWrap w:val="false"/>
          </w:tcPr>
          <w:p>
            <w:pPr>
              <w:pStyle w:val="799"/>
              <w:ind w:left="0" w:right="0" w:firstLine="0"/>
              <w:jc w:val="left"/>
              <w:keepNext/>
              <w:spacing w:line="240" w:lineRule="auto"/>
              <w:widowControl/>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s="宋体"/>
                <w:color w:val="000000" w:themeColor="text1"/>
                <w:sz w:val="24"/>
                <w:szCs w:val="24"/>
                <w:highlight w:val="none"/>
                <w:lang w:val="en-US" w:eastAsia="zh-CN"/>
              </w:rPr>
              <w:t xml:space="preserve">6</w:t>
            </w:r>
            <w:r>
              <w:rPr>
                <w:rFonts w:hint="eastAsia" w:ascii="仿宋" w:hAnsi="仿宋" w:eastAsia="仿宋" w:cs="宋体"/>
                <w:color w:val="000000" w:themeColor="text1"/>
                <w:sz w:val="24"/>
                <w:szCs w:val="24"/>
                <w:highlight w:val="none"/>
              </w:rPr>
              <w:t xml:space="preserve">.00分</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c>
          <w:tcPr>
            <w:tcW w:w="6328" w:type="dxa"/>
            <w:vAlign w:val="center"/>
            <w:textDirection w:val="lrTb"/>
            <w:noWrap w:val="false"/>
          </w:tcPr>
          <w:p>
            <w:pPr>
              <w:pStyle w:val="799"/>
              <w:ind w:left="0" w:right="0" w:firstLine="0"/>
              <w:jc w:val="both"/>
              <w:keepNext/>
              <w:spacing w:line="240" w:lineRule="auto"/>
              <w:widowControl/>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olor w:val="000000" w:themeColor="text1"/>
                <w:sz w:val="24"/>
                <w:szCs w:val="24"/>
                <w:highlight w:val="none"/>
              </w:rPr>
              <w:t xml:space="preserve">包括各种植物的养护措施、不良苗木及景观造型苗木的特殊管理、养护计划、苗木修剪、施肥、环保生态及病虫害防治工作、引入先进绿化养护经验及各类迎检保障、应急抢险工作。技术方案完善、合理、可行性强，得</w:t>
            </w:r>
            <w:r>
              <w:rPr>
                <w:rFonts w:hint="eastAsia" w:ascii="仿宋" w:hAnsi="仿宋" w:eastAsia="仿宋"/>
                <w:color w:val="000000" w:themeColor="text1"/>
                <w:sz w:val="24"/>
                <w:szCs w:val="24"/>
                <w:highlight w:val="none"/>
                <w:lang w:val="en-US" w:eastAsia="zh-CN"/>
              </w:rPr>
              <w:t xml:space="preserve">6</w:t>
            </w:r>
            <w:r>
              <w:rPr>
                <w:rFonts w:hint="eastAsia" w:ascii="仿宋" w:hAnsi="仿宋" w:eastAsia="仿宋"/>
                <w:color w:val="000000" w:themeColor="text1"/>
                <w:sz w:val="24"/>
                <w:szCs w:val="24"/>
                <w:highlight w:val="none"/>
              </w:rPr>
              <w:t xml:space="preserve">分；技术方案基本完整、基本合理</w:t>
            </w:r>
            <w:r>
              <w:rPr>
                <w:rFonts w:hint="eastAsia" w:ascii="仿宋" w:hAnsi="仿宋" w:eastAsia="仿宋"/>
                <w:color w:val="000000" w:themeColor="text1"/>
                <w:sz w:val="24"/>
                <w:szCs w:val="24"/>
                <w:highlight w:val="none"/>
                <w:lang w:eastAsia="zh-CN"/>
              </w:rPr>
              <w:t xml:space="preserve">，具</w:t>
            </w:r>
            <w:r>
              <w:rPr>
                <w:rFonts w:hint="eastAsia" w:ascii="仿宋" w:hAnsi="仿宋" w:eastAsia="仿宋"/>
                <w:color w:val="000000" w:themeColor="text1"/>
                <w:sz w:val="24"/>
                <w:szCs w:val="24"/>
                <w:highlight w:val="none"/>
              </w:rPr>
              <w:t xml:space="preserve">有一定可行</w:t>
            </w:r>
            <w:r>
              <w:rPr>
                <w:rFonts w:hint="eastAsia" w:ascii="仿宋" w:hAnsi="仿宋" w:eastAsia="仿宋"/>
                <w:color w:val="000000" w:themeColor="text1"/>
                <w:sz w:val="24"/>
                <w:szCs w:val="24"/>
                <w:highlight w:val="none"/>
                <w:lang w:eastAsia="zh-CN"/>
              </w:rPr>
              <w:t xml:space="preserve">性</w:t>
            </w:r>
            <w:r>
              <w:rPr>
                <w:rFonts w:hint="eastAsia" w:ascii="仿宋" w:hAnsi="仿宋" w:eastAsia="仿宋"/>
                <w:color w:val="000000" w:themeColor="text1"/>
                <w:sz w:val="24"/>
                <w:szCs w:val="24"/>
                <w:highlight w:val="none"/>
              </w:rPr>
              <w:t xml:space="preserve">，得</w:t>
            </w:r>
            <w:r>
              <w:rPr>
                <w:rFonts w:hint="eastAsia" w:ascii="仿宋" w:hAnsi="仿宋" w:eastAsia="仿宋"/>
                <w:color w:val="000000" w:themeColor="text1"/>
                <w:sz w:val="24"/>
                <w:szCs w:val="24"/>
                <w:highlight w:val="none"/>
                <w:lang w:val="en-US" w:eastAsia="zh-CN"/>
              </w:rPr>
              <w:t xml:space="preserve">3</w:t>
            </w:r>
            <w:r>
              <w:rPr>
                <w:rFonts w:hint="eastAsia" w:ascii="仿宋" w:hAnsi="仿宋" w:eastAsia="仿宋"/>
                <w:color w:val="000000" w:themeColor="text1"/>
                <w:sz w:val="24"/>
                <w:szCs w:val="24"/>
                <w:highlight w:val="none"/>
              </w:rPr>
              <w:t xml:space="preserve">分；技术方案、措施粗略，可行性不强，得</w:t>
            </w:r>
            <w:r>
              <w:rPr>
                <w:rFonts w:hint="eastAsia" w:ascii="仿宋" w:hAnsi="仿宋" w:eastAsia="仿宋" w:cs="Calibri"/>
                <w:color w:val="000000" w:themeColor="text1"/>
                <w:sz w:val="24"/>
                <w:szCs w:val="24"/>
                <w:highlight w:val="none"/>
              </w:rPr>
              <w:t xml:space="preserve">1</w:t>
            </w:r>
            <w:r>
              <w:rPr>
                <w:rFonts w:hint="eastAsia" w:ascii="仿宋" w:hAnsi="仿宋" w:eastAsia="仿宋"/>
                <w:color w:val="000000" w:themeColor="text1"/>
                <w:sz w:val="24"/>
                <w:szCs w:val="24"/>
                <w:highlight w:val="none"/>
              </w:rPr>
              <w:t xml:space="preserve">分；没有内容或其情况不满足招标文件需求的不得分。</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r>
      <w:tr>
        <w:trPr/>
        <w:tc>
          <w:tcPr>
            <w:tcW w:w="1840" w:type="dxa"/>
            <w:vAlign w:val="center"/>
            <w:textDirection w:val="lrTb"/>
            <w:noWrap w:val="false"/>
          </w:tcPr>
          <w:p>
            <w:pPr>
              <w:pStyle w:val="799"/>
              <w:ind w:left="0" w:right="0" w:firstLine="0"/>
              <w:jc w:val="center"/>
              <w:keepNext/>
              <w:spacing w:line="240" w:lineRule="auto"/>
              <w:rPr>
                <w:rFonts w:hint="eastAsia" w:ascii="仿宋" w:hAnsi="仿宋" w:eastAsia="仿宋" w:cs="宋体"/>
                <w:color w:val="000000" w:themeColor="text1"/>
                <w:sz w:val="24"/>
                <w:szCs w:val="24"/>
                <w:highlight w:val="none"/>
              </w:rPr>
              <w:framePr w:vAnchor="margin" w:hAnchor="page" w:xAlign="center" w:y="1"/>
            </w:pPr>
            <w:r>
              <w:rPr>
                <w:rFonts w:hint="eastAsia" w:ascii="仿宋" w:hAnsi="仿宋" w:eastAsia="仿宋"/>
                <w:color w:val="000000" w:themeColor="text1"/>
                <w:sz w:val="24"/>
                <w:szCs w:val="24"/>
                <w:highlight w:val="none"/>
              </w:rPr>
              <w:t xml:space="preserve">苗木补植方案</w:t>
            </w:r>
            <w:r>
              <w:rPr>
                <w:rFonts w:hint="eastAsia" w:ascii="仿宋" w:hAnsi="仿宋" w:eastAsia="仿宋" w:cs="宋体"/>
                <w:color w:val="000000" w:themeColor="text1"/>
                <w:sz w:val="24"/>
                <w:szCs w:val="24"/>
                <w:highlight w:val="none"/>
              </w:rPr>
            </w:r>
            <w:r>
              <w:rPr>
                <w:color w:val="000000" w:themeColor="text1"/>
              </w:rPr>
            </w:r>
          </w:p>
        </w:tc>
        <w:tc>
          <w:tcPr>
            <w:tcW w:w="1232" w:type="dxa"/>
            <w:vAlign w:val="center"/>
            <w:textDirection w:val="lrTb"/>
            <w:noWrap w:val="false"/>
          </w:tcPr>
          <w:p>
            <w:pPr>
              <w:pStyle w:val="799"/>
              <w:ind w:left="0" w:right="0" w:firstLine="0"/>
              <w:jc w:val="left"/>
              <w:keepNext/>
              <w:spacing w:line="240" w:lineRule="auto"/>
              <w:rPr>
                <w:rFonts w:hint="eastAsia" w:ascii="仿宋" w:hAnsi="仿宋" w:eastAsia="仿宋" w:cs="宋体"/>
                <w:color w:val="000000" w:themeColor="text1"/>
                <w:sz w:val="24"/>
                <w:szCs w:val="24"/>
                <w:highlight w:val="none"/>
              </w:rPr>
              <w:framePr w:vAnchor="margin" w:hAnchor="page" w:xAlign="center" w:y="1"/>
            </w:pPr>
            <w:r>
              <w:rPr>
                <w:rFonts w:hint="eastAsia" w:ascii="仿宋" w:hAnsi="仿宋" w:eastAsia="仿宋"/>
                <w:color w:val="000000" w:themeColor="text1"/>
                <w:sz w:val="24"/>
                <w:szCs w:val="24"/>
                <w:highlight w:val="none"/>
                <w:lang w:val="en-US" w:eastAsia="zh-CN"/>
              </w:rPr>
              <w:t xml:space="preserve">6</w:t>
            </w:r>
            <w:r>
              <w:rPr>
                <w:rFonts w:ascii="仿宋" w:hAnsi="仿宋" w:eastAsia="仿宋"/>
                <w:color w:val="000000" w:themeColor="text1"/>
                <w:sz w:val="24"/>
                <w:szCs w:val="24"/>
                <w:highlight w:val="none"/>
              </w:rPr>
              <w:t xml:space="preserve">.00</w:t>
            </w:r>
            <w:r>
              <w:rPr>
                <w:rFonts w:hint="eastAsia" w:ascii="仿宋" w:hAnsi="仿宋" w:eastAsia="仿宋"/>
                <w:color w:val="000000" w:themeColor="text1"/>
                <w:sz w:val="24"/>
                <w:szCs w:val="24"/>
                <w:highlight w:val="none"/>
              </w:rPr>
              <w:t xml:space="preserve">分</w:t>
            </w:r>
            <w:r>
              <w:rPr>
                <w:rFonts w:hint="eastAsia" w:ascii="仿宋" w:hAnsi="仿宋" w:eastAsia="仿宋" w:cs="宋体"/>
                <w:color w:val="000000" w:themeColor="text1"/>
                <w:sz w:val="24"/>
                <w:szCs w:val="24"/>
                <w:highlight w:val="none"/>
                <w:lang w:val="en-US" w:eastAsia="zh-CN"/>
              </w:rPr>
            </w:r>
            <w:r>
              <w:rPr>
                <w:color w:val="000000" w:themeColor="text1"/>
              </w:rPr>
            </w:r>
          </w:p>
        </w:tc>
        <w:tc>
          <w:tcPr>
            <w:tcW w:w="6328" w:type="dxa"/>
            <w:vAlign w:val="center"/>
            <w:textDirection w:val="lrTb"/>
            <w:noWrap w:val="false"/>
          </w:tcPr>
          <w:p>
            <w:pPr>
              <w:pStyle w:val="799"/>
              <w:ind w:left="0" w:right="0" w:firstLine="0"/>
              <w:jc w:val="both"/>
              <w:keepNext/>
              <w:spacing w:line="240" w:lineRule="auto"/>
              <w:widowControl/>
              <w:rPr>
                <w:rFonts w:hint="eastAsia" w:ascii="仿宋" w:hAnsi="仿宋" w:eastAsia="仿宋"/>
                <w:color w:val="000000" w:themeColor="text1"/>
                <w:sz w:val="24"/>
                <w:szCs w:val="24"/>
                <w:highlight w:val="none"/>
              </w:rPr>
              <w:framePr w:vAnchor="margin" w:hAnchor="page" w:xAlign="center" w:y="1"/>
            </w:pPr>
            <w:r>
              <w:rPr>
                <w:rFonts w:hint="eastAsia" w:ascii="仿宋" w:hAnsi="仿宋" w:eastAsia="仿宋"/>
                <w:color w:val="000000" w:themeColor="text1"/>
                <w:sz w:val="24"/>
                <w:szCs w:val="24"/>
                <w:highlight w:val="none"/>
              </w:rPr>
              <w:t xml:space="preserve">苗木补植方案主要是指在履约责任期内针对死亡、损坏、生长不良、病虫害、第三方开挖等情况的苗木进行清除、补种、更换、移植方案比较，至少包括第三方开挖处置方案、病虫害苗木补植方案、生长不良处置方案、苗木死亡更换方案、月度苗木统计分析方案这部分内容，技术方案完善、合理、可行性强，得</w:t>
            </w:r>
            <w:r>
              <w:rPr>
                <w:rFonts w:hint="eastAsia" w:ascii="仿宋" w:hAnsi="仿宋" w:eastAsia="仿宋" w:cs="Calibri"/>
                <w:color w:val="000000" w:themeColor="text1"/>
                <w:sz w:val="24"/>
                <w:szCs w:val="24"/>
                <w:highlight w:val="none"/>
                <w:lang w:val="en-US" w:eastAsia="zh-CN"/>
              </w:rPr>
              <w:t xml:space="preserve">6</w:t>
            </w:r>
            <w:r>
              <w:rPr>
                <w:rFonts w:hint="eastAsia" w:ascii="仿宋" w:hAnsi="仿宋" w:eastAsia="仿宋"/>
                <w:color w:val="000000" w:themeColor="text1"/>
                <w:sz w:val="24"/>
                <w:szCs w:val="24"/>
                <w:highlight w:val="none"/>
              </w:rPr>
              <w:t xml:space="preserve">分；技术方案基本完整、基本合理</w:t>
            </w:r>
            <w:r>
              <w:rPr>
                <w:rFonts w:hint="eastAsia" w:ascii="仿宋" w:hAnsi="仿宋" w:eastAsia="仿宋"/>
                <w:color w:val="000000" w:themeColor="text1"/>
                <w:sz w:val="24"/>
                <w:szCs w:val="24"/>
                <w:highlight w:val="none"/>
                <w:lang w:eastAsia="zh-CN"/>
              </w:rPr>
              <w:t xml:space="preserve">，具</w:t>
            </w:r>
            <w:r>
              <w:rPr>
                <w:rFonts w:hint="eastAsia" w:ascii="仿宋" w:hAnsi="仿宋" w:eastAsia="仿宋"/>
                <w:color w:val="000000" w:themeColor="text1"/>
                <w:sz w:val="24"/>
                <w:szCs w:val="24"/>
                <w:highlight w:val="none"/>
              </w:rPr>
              <w:t xml:space="preserve">有一定可行性，得</w:t>
            </w:r>
            <w:r>
              <w:rPr>
                <w:rFonts w:ascii="仿宋" w:hAnsi="仿宋" w:eastAsia="仿宋"/>
                <w:color w:val="000000" w:themeColor="text1"/>
                <w:sz w:val="24"/>
                <w:szCs w:val="24"/>
                <w:highlight w:val="none"/>
              </w:rPr>
              <w:t xml:space="preserve">3</w:t>
            </w:r>
            <w:r>
              <w:rPr>
                <w:rFonts w:hint="eastAsia" w:ascii="仿宋" w:hAnsi="仿宋" w:eastAsia="仿宋"/>
                <w:color w:val="000000" w:themeColor="text1"/>
                <w:sz w:val="24"/>
                <w:szCs w:val="24"/>
                <w:highlight w:val="none"/>
              </w:rPr>
              <w:t xml:space="preserve">分；技术方案、措施粗略，可行性不强，得</w:t>
            </w:r>
            <w:r>
              <w:rPr>
                <w:rFonts w:ascii="仿宋" w:hAnsi="仿宋" w:eastAsia="仿宋" w:cs="Calibri"/>
                <w:color w:val="000000" w:themeColor="text1"/>
                <w:sz w:val="24"/>
                <w:szCs w:val="24"/>
                <w:highlight w:val="none"/>
              </w:rPr>
              <w:t xml:space="preserve">1</w:t>
            </w:r>
            <w:r>
              <w:rPr>
                <w:rFonts w:hint="eastAsia" w:ascii="仿宋" w:hAnsi="仿宋" w:eastAsia="仿宋"/>
                <w:color w:val="000000" w:themeColor="text1"/>
                <w:sz w:val="24"/>
                <w:szCs w:val="24"/>
                <w:highlight w:val="none"/>
              </w:rPr>
              <w:t xml:space="preserve">分；没有内容或其情况不满足招标文件需求的不得分。</w:t>
            </w:r>
            <w:r>
              <w:rPr>
                <w:rFonts w:hint="eastAsia" w:ascii="仿宋" w:hAnsi="仿宋" w:eastAsia="仿宋"/>
                <w:color w:val="000000" w:themeColor="text1"/>
                <w:sz w:val="24"/>
                <w:szCs w:val="24"/>
                <w:highlight w:val="none"/>
              </w:rPr>
            </w:r>
            <w:r>
              <w:rPr>
                <w:color w:val="000000" w:themeColor="text1"/>
              </w:rPr>
            </w:r>
          </w:p>
        </w:tc>
      </w:tr>
      <w:tr>
        <w:trPr/>
        <w:tc>
          <w:tcPr>
            <w:tcW w:w="1840" w:type="dxa"/>
            <w:vAlign w:val="center"/>
            <w:textDirection w:val="lrTb"/>
            <w:noWrap w:val="false"/>
          </w:tcPr>
          <w:p>
            <w:pPr>
              <w:pStyle w:val="799"/>
              <w:ind w:left="0" w:right="0" w:firstLine="0"/>
              <w:jc w:val="center"/>
              <w:keepNext/>
              <w:spacing w:line="240" w:lineRule="auto"/>
              <w:rPr>
                <w:rFonts w:hint="eastAsia" w:ascii="仿宋" w:hAnsi="仿宋" w:eastAsia="仿宋"/>
                <w:color w:val="000000" w:themeColor="text1"/>
                <w:sz w:val="24"/>
                <w:szCs w:val="24"/>
                <w:highlight w:val="none"/>
              </w:rPr>
              <w:framePr w:vAnchor="margin" w:hAnchor="page" w:xAlign="center" w:y="1"/>
            </w:pPr>
            <w:r>
              <w:rPr>
                <w:rFonts w:hint="eastAsia" w:ascii="仿宋" w:hAnsi="仿宋" w:eastAsia="仿宋"/>
                <w:color w:val="000000" w:themeColor="text1"/>
                <w:sz w:val="24"/>
                <w:szCs w:val="24"/>
                <w:highlight w:val="none"/>
              </w:rPr>
              <w:t xml:space="preserve">安全管理方案</w:t>
            </w:r>
            <w:r>
              <w:rPr>
                <w:rFonts w:hint="eastAsia" w:ascii="仿宋" w:hAnsi="仿宋" w:eastAsia="仿宋"/>
                <w:color w:val="000000" w:themeColor="text1"/>
                <w:sz w:val="24"/>
                <w:szCs w:val="24"/>
                <w:highlight w:val="none"/>
              </w:rPr>
            </w:r>
            <w:r>
              <w:rPr>
                <w:color w:val="000000" w:themeColor="text1"/>
              </w:rPr>
            </w:r>
          </w:p>
        </w:tc>
        <w:tc>
          <w:tcPr>
            <w:tcW w:w="1232" w:type="dxa"/>
            <w:vAlign w:val="center"/>
            <w:textDirection w:val="lrTb"/>
            <w:noWrap w:val="false"/>
          </w:tcPr>
          <w:p>
            <w:pPr>
              <w:pStyle w:val="799"/>
              <w:ind w:left="0" w:right="0" w:firstLine="0"/>
              <w:jc w:val="left"/>
              <w:keepNext/>
              <w:spacing w:line="240" w:lineRule="auto"/>
              <w:rPr>
                <w:rFonts w:hint="eastAsia" w:ascii="仿宋" w:hAnsi="仿宋" w:eastAsia="仿宋"/>
                <w:color w:val="000000" w:themeColor="text1"/>
                <w:sz w:val="24"/>
                <w:szCs w:val="24"/>
                <w:highlight w:val="none"/>
              </w:rPr>
              <w:framePr w:vAnchor="margin" w:hAnchor="page" w:xAlign="center" w:y="1"/>
            </w:pPr>
            <w:r>
              <w:rPr>
                <w:rFonts w:hint="eastAsia" w:ascii="仿宋" w:hAnsi="仿宋" w:eastAsia="仿宋"/>
                <w:color w:val="000000" w:themeColor="text1"/>
                <w:sz w:val="24"/>
                <w:szCs w:val="24"/>
                <w:highlight w:val="none"/>
                <w:lang w:val="en-US" w:eastAsia="zh-CN"/>
              </w:rPr>
              <w:t xml:space="preserve">6</w:t>
            </w:r>
            <w:r>
              <w:rPr>
                <w:rFonts w:hint="eastAsia" w:ascii="仿宋" w:hAnsi="仿宋" w:eastAsia="仿宋"/>
                <w:color w:val="000000" w:themeColor="text1"/>
                <w:sz w:val="24"/>
                <w:szCs w:val="24"/>
                <w:highlight w:val="none"/>
              </w:rPr>
              <w:t xml:space="preserve">.00分</w:t>
            </w:r>
            <w:r>
              <w:rPr>
                <w:rFonts w:hint="eastAsia" w:ascii="仿宋" w:hAnsi="仿宋" w:eastAsia="仿宋"/>
                <w:color w:val="000000" w:themeColor="text1"/>
                <w:sz w:val="24"/>
                <w:szCs w:val="24"/>
                <w:highlight w:val="none"/>
                <w:lang w:val="en-US" w:eastAsia="zh-CN"/>
              </w:rPr>
            </w:r>
            <w:r>
              <w:rPr>
                <w:color w:val="000000" w:themeColor="text1"/>
              </w:rPr>
            </w:r>
          </w:p>
        </w:tc>
        <w:tc>
          <w:tcPr>
            <w:tcW w:w="6328" w:type="dxa"/>
            <w:vAlign w:val="center"/>
            <w:textDirection w:val="lrTb"/>
            <w:noWrap w:val="false"/>
          </w:tcPr>
          <w:p>
            <w:pPr>
              <w:pStyle w:val="799"/>
              <w:ind w:left="0" w:right="0" w:firstLine="0"/>
              <w:jc w:val="both"/>
              <w:keepNext/>
              <w:spacing w:line="240" w:lineRule="auto"/>
              <w:rPr>
                <w:rFonts w:hint="eastAsia" w:ascii="仿宋" w:hAnsi="仿宋" w:eastAsia="仿宋"/>
                <w:color w:val="000000" w:themeColor="text1"/>
                <w:sz w:val="24"/>
                <w:szCs w:val="24"/>
                <w:highlight w:val="none"/>
              </w:rPr>
              <w:framePr w:vAnchor="margin" w:hAnchor="page" w:xAlign="center" w:y="1"/>
            </w:pPr>
            <w:r>
              <w:rPr>
                <w:rFonts w:hint="eastAsia" w:ascii="仿宋" w:hAnsi="仿宋" w:eastAsia="仿宋"/>
                <w:color w:val="000000" w:themeColor="text1"/>
                <w:sz w:val="24"/>
                <w:szCs w:val="24"/>
                <w:highlight w:val="none"/>
              </w:rPr>
              <w:t xml:space="preserve">主要包括正常养护作业时和发生事故时的安全防护措施，至少包含登高、有毒药品使用、修剪、高空作业、高温作业等方案编制；技术方案完善、合理、可行性强，得</w:t>
            </w:r>
            <w:r>
              <w:rPr>
                <w:rFonts w:hint="eastAsia" w:ascii="仿宋" w:hAnsi="仿宋" w:eastAsia="仿宋" w:cs="Calibri"/>
                <w:color w:val="000000" w:themeColor="text1"/>
                <w:sz w:val="24"/>
                <w:szCs w:val="24"/>
                <w:highlight w:val="none"/>
                <w:lang w:val="en-US" w:eastAsia="zh-CN"/>
              </w:rPr>
              <w:t xml:space="preserve">6</w:t>
            </w:r>
            <w:r>
              <w:rPr>
                <w:rFonts w:hint="eastAsia" w:ascii="仿宋" w:hAnsi="仿宋" w:eastAsia="仿宋"/>
                <w:color w:val="000000" w:themeColor="text1"/>
                <w:sz w:val="24"/>
                <w:szCs w:val="24"/>
                <w:highlight w:val="none"/>
              </w:rPr>
              <w:t xml:space="preserve">分；技术方案基本完整、基本合理，有一定可行</w:t>
            </w:r>
            <w:r>
              <w:rPr>
                <w:rFonts w:hint="eastAsia" w:ascii="仿宋" w:hAnsi="仿宋" w:eastAsia="仿宋"/>
                <w:color w:val="000000" w:themeColor="text1"/>
                <w:sz w:val="24"/>
                <w:szCs w:val="24"/>
                <w:highlight w:val="none"/>
                <w:lang w:eastAsia="zh-CN"/>
              </w:rPr>
              <w:t xml:space="preserve">性</w:t>
            </w:r>
            <w:r>
              <w:rPr>
                <w:rFonts w:hint="eastAsia" w:ascii="仿宋" w:hAnsi="仿宋" w:eastAsia="仿宋"/>
                <w:color w:val="000000" w:themeColor="text1"/>
                <w:sz w:val="24"/>
                <w:szCs w:val="24"/>
                <w:highlight w:val="none"/>
              </w:rPr>
              <w:t xml:space="preserve">，得</w:t>
            </w:r>
            <w:r>
              <w:rPr>
                <w:rFonts w:hint="eastAsia" w:ascii="仿宋" w:hAnsi="仿宋" w:eastAsia="仿宋"/>
                <w:color w:val="000000" w:themeColor="text1"/>
                <w:sz w:val="24"/>
                <w:szCs w:val="24"/>
                <w:highlight w:val="none"/>
                <w:lang w:val="en-US" w:eastAsia="zh-CN"/>
              </w:rPr>
              <w:t xml:space="preserve">3</w:t>
            </w:r>
            <w:r>
              <w:rPr>
                <w:rFonts w:hint="eastAsia" w:ascii="仿宋" w:hAnsi="仿宋" w:eastAsia="仿宋"/>
                <w:color w:val="000000" w:themeColor="text1"/>
                <w:sz w:val="24"/>
                <w:szCs w:val="24"/>
                <w:highlight w:val="none"/>
              </w:rPr>
              <w:t xml:space="preserve">分；技术方案、措施粗略，可行性不强，得</w:t>
            </w:r>
            <w:r>
              <w:rPr>
                <w:rFonts w:hint="eastAsia" w:ascii="仿宋" w:hAnsi="仿宋" w:eastAsia="仿宋" w:cs="Calibri"/>
                <w:color w:val="000000" w:themeColor="text1"/>
                <w:sz w:val="24"/>
                <w:szCs w:val="24"/>
                <w:highlight w:val="none"/>
                <w:lang w:val="en-US" w:eastAsia="zh-CN"/>
              </w:rPr>
              <w:t xml:space="preserve">1</w:t>
            </w:r>
            <w:r>
              <w:rPr>
                <w:rFonts w:hint="eastAsia" w:ascii="仿宋" w:hAnsi="仿宋" w:eastAsia="仿宋"/>
                <w:color w:val="000000" w:themeColor="text1"/>
                <w:sz w:val="24"/>
                <w:szCs w:val="24"/>
                <w:highlight w:val="none"/>
              </w:rPr>
              <w:t xml:space="preserve">分；没有内容或其情况不满足招标文件需求的不得分。</w:t>
            </w:r>
            <w:r>
              <w:rPr>
                <w:rFonts w:hint="eastAsia" w:ascii="仿宋" w:hAnsi="仿宋" w:eastAsia="仿宋"/>
                <w:color w:val="000000" w:themeColor="text1"/>
                <w:sz w:val="24"/>
                <w:szCs w:val="24"/>
                <w:highlight w:val="none"/>
              </w:rPr>
            </w:r>
            <w:r>
              <w:rPr>
                <w:color w:val="000000" w:themeColor="text1"/>
              </w:rPr>
            </w:r>
          </w:p>
        </w:tc>
      </w:tr>
      <w:tr>
        <w:trPr/>
        <w:tc>
          <w:tcPr>
            <w:tcW w:w="1840" w:type="dxa"/>
            <w:vAlign w:val="center"/>
            <w:textDirection w:val="lrTb"/>
            <w:noWrap w:val="false"/>
          </w:tcPr>
          <w:p>
            <w:pPr>
              <w:pStyle w:val="799"/>
              <w:ind w:left="0" w:right="0" w:firstLine="0"/>
              <w:jc w:val="center"/>
              <w:keepNext/>
              <w:spacing w:line="240" w:lineRule="auto"/>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olor w:val="000000" w:themeColor="text1"/>
                <w:sz w:val="24"/>
                <w:szCs w:val="24"/>
                <w:highlight w:val="none"/>
              </w:rPr>
              <w:t xml:space="preserve">肥料管理方案</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c>
          <w:tcPr>
            <w:tcW w:w="1232" w:type="dxa"/>
            <w:vAlign w:val="center"/>
            <w:textDirection w:val="lrTb"/>
            <w:noWrap w:val="false"/>
          </w:tcPr>
          <w:p>
            <w:pPr>
              <w:pStyle w:val="799"/>
              <w:ind w:left="0" w:right="0" w:firstLine="0"/>
              <w:jc w:val="left"/>
              <w:keepNext/>
              <w:spacing w:line="240" w:lineRule="auto"/>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s="宋体"/>
                <w:color w:val="000000" w:themeColor="text1"/>
                <w:sz w:val="24"/>
                <w:szCs w:val="24"/>
                <w:highlight w:val="none"/>
                <w:lang w:val="en-US" w:eastAsia="zh-CN"/>
              </w:rPr>
              <w:t xml:space="preserve">5</w:t>
            </w:r>
            <w:r>
              <w:rPr>
                <w:rFonts w:hint="eastAsia" w:ascii="仿宋" w:hAnsi="仿宋" w:eastAsia="仿宋" w:cs="宋体"/>
                <w:color w:val="000000" w:themeColor="text1"/>
                <w:sz w:val="24"/>
                <w:szCs w:val="24"/>
                <w:highlight w:val="none"/>
              </w:rPr>
              <w:t xml:space="preserve">.00分</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c>
          <w:tcPr>
            <w:tcW w:w="6328" w:type="dxa"/>
            <w:vAlign w:val="center"/>
            <w:textDirection w:val="lrTb"/>
            <w:noWrap w:val="false"/>
          </w:tcPr>
          <w:p>
            <w:pPr>
              <w:pStyle w:val="799"/>
              <w:ind w:left="0" w:right="0" w:firstLine="0"/>
              <w:jc w:val="both"/>
              <w:keepNext/>
              <w:spacing w:line="240" w:lineRule="auto"/>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olor w:val="000000" w:themeColor="text1"/>
                <w:sz w:val="24"/>
                <w:szCs w:val="24"/>
                <w:highlight w:val="none"/>
              </w:rPr>
              <w:t xml:space="preserve">肥料管理方案主要是指按照园林植物养护标准相关要求，结合各路段实际需求采购、管理、使用肥料方案比较，至少包括日常采购方案、应急采购方案、年度采购方案、肥料管理方案、肥料使用标准、配合响应这部分内容，技术方案完善、合理、可行性强，得</w:t>
            </w:r>
            <w:r>
              <w:rPr>
                <w:rFonts w:hint="eastAsia" w:ascii="仿宋" w:hAnsi="仿宋" w:eastAsia="仿宋" w:cs="Calibri"/>
                <w:color w:val="000000" w:themeColor="text1"/>
                <w:sz w:val="24"/>
                <w:szCs w:val="24"/>
                <w:highlight w:val="none"/>
                <w:lang w:val="en-US" w:eastAsia="zh-CN"/>
              </w:rPr>
              <w:t xml:space="preserve">5</w:t>
            </w:r>
            <w:r>
              <w:rPr>
                <w:rFonts w:hint="eastAsia" w:ascii="仿宋" w:hAnsi="仿宋" w:eastAsia="仿宋"/>
                <w:color w:val="000000" w:themeColor="text1"/>
                <w:sz w:val="24"/>
                <w:szCs w:val="24"/>
                <w:highlight w:val="none"/>
              </w:rPr>
              <w:t xml:space="preserve">分；技术方案基本完整、基本合理</w:t>
            </w:r>
            <w:r>
              <w:rPr>
                <w:rFonts w:hint="eastAsia" w:ascii="仿宋" w:hAnsi="仿宋" w:eastAsia="仿宋"/>
                <w:color w:val="000000" w:themeColor="text1"/>
                <w:sz w:val="24"/>
                <w:szCs w:val="24"/>
                <w:highlight w:val="none"/>
                <w:lang w:eastAsia="zh-CN"/>
              </w:rPr>
              <w:t xml:space="preserve">，具</w:t>
            </w:r>
            <w:r>
              <w:rPr>
                <w:rFonts w:hint="eastAsia" w:ascii="仿宋" w:hAnsi="仿宋" w:eastAsia="仿宋"/>
                <w:color w:val="000000" w:themeColor="text1"/>
                <w:sz w:val="24"/>
                <w:szCs w:val="24"/>
                <w:highlight w:val="none"/>
              </w:rPr>
              <w:t xml:space="preserve">有一定可行性，得</w:t>
            </w:r>
            <w:r>
              <w:rPr>
                <w:rFonts w:hint="eastAsia" w:ascii="仿宋" w:hAnsi="仿宋" w:eastAsia="仿宋"/>
                <w:color w:val="000000" w:themeColor="text1"/>
                <w:sz w:val="24"/>
                <w:szCs w:val="24"/>
                <w:highlight w:val="none"/>
                <w:lang w:val="en-US" w:eastAsia="zh-CN"/>
              </w:rPr>
              <w:t xml:space="preserve">3</w:t>
            </w:r>
            <w:r>
              <w:rPr>
                <w:rFonts w:hint="eastAsia" w:ascii="仿宋" w:hAnsi="仿宋" w:eastAsia="仿宋"/>
                <w:color w:val="000000" w:themeColor="text1"/>
                <w:sz w:val="24"/>
                <w:szCs w:val="24"/>
                <w:highlight w:val="none"/>
              </w:rPr>
              <w:t xml:space="preserve">分；技术方案、措施粗略，可行性不强，得</w:t>
            </w:r>
            <w:r>
              <w:rPr>
                <w:rFonts w:hint="eastAsia" w:ascii="仿宋" w:hAnsi="仿宋" w:eastAsia="仿宋" w:cs="Calibri"/>
                <w:color w:val="000000" w:themeColor="text1"/>
                <w:sz w:val="24"/>
                <w:szCs w:val="24"/>
                <w:highlight w:val="none"/>
              </w:rPr>
              <w:t xml:space="preserve">1</w:t>
            </w:r>
            <w:r>
              <w:rPr>
                <w:rFonts w:hint="eastAsia" w:ascii="仿宋" w:hAnsi="仿宋" w:eastAsia="仿宋"/>
                <w:color w:val="000000" w:themeColor="text1"/>
                <w:sz w:val="24"/>
                <w:szCs w:val="24"/>
                <w:highlight w:val="none"/>
              </w:rPr>
              <w:t xml:space="preserve">分；没有内容或其情况不满足招标文件需求的不得分。</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r>
      <w:tr>
        <w:trPr/>
        <w:tc>
          <w:tcPr>
            <w:tcW w:w="1840" w:type="dxa"/>
            <w:vAlign w:val="center"/>
            <w:textDirection w:val="lrTb"/>
            <w:noWrap w:val="false"/>
          </w:tcPr>
          <w:p>
            <w:pPr>
              <w:pStyle w:val="799"/>
              <w:ind w:left="0" w:right="0" w:firstLine="0"/>
              <w:jc w:val="center"/>
              <w:keepNext/>
              <w:spacing w:line="240" w:lineRule="auto"/>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olor w:val="000000" w:themeColor="text1"/>
                <w:sz w:val="24"/>
                <w:szCs w:val="24"/>
                <w:highlight w:val="none"/>
              </w:rPr>
              <w:t xml:space="preserve">浇水作业方案</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c>
          <w:tcPr>
            <w:tcW w:w="1232" w:type="dxa"/>
            <w:vAlign w:val="center"/>
            <w:textDirection w:val="lrTb"/>
            <w:noWrap w:val="false"/>
          </w:tcPr>
          <w:p>
            <w:pPr>
              <w:pStyle w:val="799"/>
              <w:ind w:left="0" w:right="0" w:firstLine="0"/>
              <w:jc w:val="left"/>
              <w:keepNext/>
              <w:spacing w:line="240" w:lineRule="auto"/>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olor w:val="000000" w:themeColor="text1"/>
                <w:sz w:val="24"/>
                <w:szCs w:val="24"/>
                <w:highlight w:val="none"/>
                <w:lang w:val="en-US" w:eastAsia="zh-CN"/>
              </w:rPr>
              <w:t xml:space="preserve">5</w:t>
            </w:r>
            <w:r>
              <w:rPr>
                <w:rFonts w:ascii="仿宋" w:hAnsi="仿宋" w:eastAsia="仿宋"/>
                <w:color w:val="000000" w:themeColor="text1"/>
                <w:sz w:val="24"/>
                <w:szCs w:val="24"/>
                <w:highlight w:val="none"/>
              </w:rPr>
              <w:t xml:space="preserve">.00</w:t>
            </w:r>
            <w:r>
              <w:rPr>
                <w:rFonts w:hint="eastAsia" w:ascii="仿宋" w:hAnsi="仿宋" w:eastAsia="仿宋"/>
                <w:color w:val="000000" w:themeColor="text1"/>
                <w:sz w:val="24"/>
                <w:szCs w:val="24"/>
                <w:highlight w:val="none"/>
              </w:rPr>
              <w:t xml:space="preserve">分</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c>
          <w:tcPr>
            <w:tcW w:w="6328" w:type="dxa"/>
            <w:vAlign w:val="center"/>
            <w:textDirection w:val="lrTb"/>
            <w:noWrap w:val="false"/>
          </w:tcPr>
          <w:p>
            <w:pPr>
              <w:pStyle w:val="799"/>
              <w:ind w:left="0" w:right="0" w:firstLine="0"/>
              <w:jc w:val="both"/>
              <w:keepNext/>
              <w:spacing w:line="240" w:lineRule="auto"/>
              <w:widowControl/>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olor w:val="000000" w:themeColor="text1"/>
                <w:sz w:val="24"/>
                <w:szCs w:val="24"/>
                <w:highlight w:val="none"/>
              </w:rPr>
              <w:t xml:space="preserve">浇水作业方案主要是指根据植物需水要求标准，安排合理的浇水方案比较，至少包含日常浇水方案（包括浇水时间、投入设备及人员、频次、浇水作业标准等内容比较）、叶面除尘方案、针对每个季度设置不同特色浇水方案</w:t>
            </w:r>
            <w:r>
              <w:rPr>
                <w:rFonts w:hint="eastAsia" w:ascii="仿宋" w:hAnsi="仿宋" w:eastAsia="仿宋"/>
                <w:color w:val="000000" w:themeColor="text1"/>
                <w:sz w:val="24"/>
                <w:szCs w:val="24"/>
                <w:highlight w:val="none"/>
                <w:lang w:eastAsia="zh-CN"/>
              </w:rPr>
              <w:t xml:space="preserve">（</w:t>
            </w:r>
            <w:r>
              <w:rPr>
                <w:rFonts w:hint="eastAsia" w:ascii="仿宋" w:hAnsi="仿宋" w:eastAsia="仿宋"/>
                <w:color w:val="000000" w:themeColor="text1"/>
                <w:sz w:val="24"/>
                <w:szCs w:val="24"/>
                <w:highlight w:val="none"/>
              </w:rPr>
              <w:t xml:space="preserve">根据绿化不同品种 不同季节 不同土质等要素排出浇水计划总览表</w:t>
            </w:r>
            <w:r>
              <w:rPr>
                <w:rFonts w:hint="eastAsia" w:ascii="仿宋" w:hAnsi="仿宋" w:eastAsia="仿宋"/>
                <w:color w:val="000000" w:themeColor="text1"/>
                <w:sz w:val="24"/>
                <w:szCs w:val="24"/>
                <w:highlight w:val="none"/>
                <w:lang w:eastAsia="zh-CN"/>
              </w:rPr>
              <w:t xml:space="preserve">）</w:t>
            </w:r>
            <w:r>
              <w:rPr>
                <w:rFonts w:hint="eastAsia" w:ascii="仿宋" w:hAnsi="仿宋" w:eastAsia="仿宋"/>
                <w:color w:val="000000" w:themeColor="text1"/>
                <w:sz w:val="24"/>
                <w:szCs w:val="24"/>
                <w:highlight w:val="none"/>
              </w:rPr>
              <w:t xml:space="preserve">、取水方案、中耕方案、配合响应这部分内容，技术方案完善、合理、可行性强，得</w:t>
            </w:r>
            <w:r>
              <w:rPr>
                <w:rFonts w:hint="eastAsia" w:ascii="仿宋" w:hAnsi="仿宋" w:eastAsia="仿宋" w:cs="Calibri"/>
                <w:color w:val="000000" w:themeColor="text1"/>
                <w:sz w:val="24"/>
                <w:szCs w:val="24"/>
                <w:highlight w:val="none"/>
                <w:lang w:val="en-US" w:eastAsia="zh-CN"/>
              </w:rPr>
              <w:t xml:space="preserve">5</w:t>
            </w:r>
            <w:r>
              <w:rPr>
                <w:rFonts w:hint="eastAsia" w:ascii="仿宋" w:hAnsi="仿宋" w:eastAsia="仿宋"/>
                <w:color w:val="000000" w:themeColor="text1"/>
                <w:sz w:val="24"/>
                <w:szCs w:val="24"/>
                <w:highlight w:val="none"/>
              </w:rPr>
              <w:t xml:space="preserve">分；技术方案基本完整、基本合理</w:t>
            </w:r>
            <w:r>
              <w:rPr>
                <w:rFonts w:hint="eastAsia" w:ascii="仿宋" w:hAnsi="仿宋" w:eastAsia="仿宋"/>
                <w:color w:val="000000" w:themeColor="text1"/>
                <w:sz w:val="24"/>
                <w:szCs w:val="24"/>
                <w:highlight w:val="none"/>
                <w:lang w:eastAsia="zh-CN"/>
              </w:rPr>
              <w:t xml:space="preserve">，具</w:t>
            </w:r>
            <w:r>
              <w:rPr>
                <w:rFonts w:hint="eastAsia" w:ascii="仿宋" w:hAnsi="仿宋" w:eastAsia="仿宋"/>
                <w:color w:val="000000" w:themeColor="text1"/>
                <w:sz w:val="24"/>
                <w:szCs w:val="24"/>
                <w:highlight w:val="none"/>
              </w:rPr>
              <w:t xml:space="preserve">有一定可行性，得</w:t>
            </w:r>
            <w:r>
              <w:rPr>
                <w:rFonts w:hint="eastAsia" w:ascii="仿宋" w:hAnsi="仿宋" w:eastAsia="仿宋"/>
                <w:color w:val="000000" w:themeColor="text1"/>
                <w:sz w:val="24"/>
                <w:szCs w:val="24"/>
                <w:highlight w:val="none"/>
                <w:lang w:val="en-US" w:eastAsia="zh-CN"/>
              </w:rPr>
              <w:t xml:space="preserve">3</w:t>
            </w:r>
            <w:r>
              <w:rPr>
                <w:rFonts w:hint="eastAsia" w:ascii="仿宋" w:hAnsi="仿宋" w:eastAsia="仿宋"/>
                <w:color w:val="000000" w:themeColor="text1"/>
                <w:sz w:val="24"/>
                <w:szCs w:val="24"/>
                <w:highlight w:val="none"/>
              </w:rPr>
              <w:t xml:space="preserve">分；技术方案、措施粗略，可行性不强，得</w:t>
            </w:r>
            <w:r>
              <w:rPr>
                <w:rFonts w:hint="eastAsia" w:ascii="仿宋" w:hAnsi="仿宋" w:eastAsia="仿宋" w:cs="Calibri"/>
                <w:color w:val="000000" w:themeColor="text1"/>
                <w:sz w:val="24"/>
                <w:szCs w:val="24"/>
                <w:highlight w:val="none"/>
              </w:rPr>
              <w:t xml:space="preserve">1</w:t>
            </w:r>
            <w:r>
              <w:rPr>
                <w:rFonts w:hint="eastAsia" w:ascii="仿宋" w:hAnsi="仿宋" w:eastAsia="仿宋"/>
                <w:color w:val="000000" w:themeColor="text1"/>
                <w:sz w:val="24"/>
                <w:szCs w:val="24"/>
                <w:highlight w:val="none"/>
              </w:rPr>
              <w:t xml:space="preserve">分；没有内容或其情况不满足招标文件需求的不得分。</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r>
      <w:tr>
        <w:trPr/>
        <w:tc>
          <w:tcPr>
            <w:tcW w:w="1840" w:type="dxa"/>
            <w:vAlign w:val="center"/>
            <w:textDirection w:val="lrTb"/>
            <w:noWrap w:val="false"/>
          </w:tcPr>
          <w:p>
            <w:pPr>
              <w:pStyle w:val="799"/>
              <w:ind w:left="0" w:right="0" w:firstLine="0"/>
              <w:jc w:val="center"/>
              <w:keepNext/>
              <w:spacing w:line="240" w:lineRule="auto"/>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olor w:val="000000" w:themeColor="text1"/>
                <w:sz w:val="24"/>
                <w:szCs w:val="24"/>
                <w:highlight w:val="none"/>
              </w:rPr>
              <w:t xml:space="preserve">养护单位制度管理方案</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c>
          <w:tcPr>
            <w:tcW w:w="1232" w:type="dxa"/>
            <w:vAlign w:val="center"/>
            <w:textDirection w:val="lrTb"/>
            <w:noWrap w:val="false"/>
          </w:tcPr>
          <w:p>
            <w:pPr>
              <w:pStyle w:val="799"/>
              <w:ind w:left="0" w:right="0" w:firstLine="0"/>
              <w:jc w:val="left"/>
              <w:keepNext/>
              <w:spacing w:line="240" w:lineRule="auto"/>
              <w:rPr>
                <w:rFonts w:hint="eastAsia" w:ascii="仿宋" w:hAnsi="方正仿宋_GB2312" w:eastAsia="仿宋" w:cs="方正仿宋_GB2312"/>
                <w:color w:val="000000" w:themeColor="text1"/>
                <w:sz w:val="24"/>
                <w:szCs w:val="22"/>
                <w:highlight w:val="none"/>
              </w:rPr>
              <w:framePr w:vAnchor="margin" w:hAnchor="page" w:xAlign="center" w:y="1"/>
            </w:pPr>
            <w:r>
              <w:rPr>
                <w:rFonts w:ascii="仿宋" w:hAnsi="仿宋" w:eastAsia="仿宋"/>
                <w:color w:val="000000" w:themeColor="text1"/>
                <w:sz w:val="24"/>
                <w:szCs w:val="24"/>
                <w:highlight w:val="none"/>
              </w:rPr>
              <w:t xml:space="preserve">5.00</w:t>
            </w:r>
            <w:r>
              <w:rPr>
                <w:rFonts w:hint="eastAsia" w:ascii="仿宋" w:hAnsi="仿宋" w:eastAsia="仿宋"/>
                <w:color w:val="000000" w:themeColor="text1"/>
                <w:sz w:val="24"/>
                <w:szCs w:val="24"/>
                <w:highlight w:val="none"/>
              </w:rPr>
              <w:t xml:space="preserve">分</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c>
          <w:tcPr>
            <w:tcW w:w="6328" w:type="dxa"/>
            <w:vAlign w:val="center"/>
            <w:textDirection w:val="lrTb"/>
            <w:noWrap w:val="false"/>
          </w:tcPr>
          <w:p>
            <w:pPr>
              <w:pStyle w:val="799"/>
              <w:ind w:left="0" w:right="0" w:firstLine="0"/>
              <w:jc w:val="both"/>
              <w:keepNext/>
              <w:spacing w:line="240" w:lineRule="auto"/>
              <w:widowControl/>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olor w:val="000000" w:themeColor="text1"/>
                <w:sz w:val="24"/>
                <w:szCs w:val="24"/>
                <w:highlight w:val="none"/>
              </w:rPr>
              <w:t xml:space="preserve">养护单位制度管理方案主要是指在养护单位为能更好</w:t>
            </w:r>
            <w:r>
              <w:rPr>
                <w:rFonts w:hint="eastAsia" w:ascii="仿宋" w:hAnsi="仿宋" w:eastAsia="仿宋"/>
                <w:color w:val="000000" w:themeColor="text1"/>
                <w:sz w:val="24"/>
                <w:szCs w:val="24"/>
                <w:highlight w:val="none"/>
                <w:lang w:eastAsia="zh-CN"/>
              </w:rPr>
              <w:t xml:space="preserve">地</w:t>
            </w:r>
            <w:r>
              <w:rPr>
                <w:rFonts w:hint="eastAsia" w:ascii="仿宋" w:hAnsi="仿宋" w:eastAsia="仿宋"/>
                <w:color w:val="000000" w:themeColor="text1"/>
                <w:sz w:val="24"/>
                <w:szCs w:val="24"/>
                <w:highlight w:val="none"/>
              </w:rPr>
              <w:t xml:space="preserve">执行合同内容设置的管理制度比较，至少包括日常考勤制度、完善的档案制度、安全教育培训制度、养护标准作业导则、行政人事制度这部分内容，技术方案完善、合理、可行性强，得</w:t>
            </w:r>
            <w:r>
              <w:rPr>
                <w:rFonts w:ascii="仿宋" w:hAnsi="仿宋" w:eastAsia="仿宋" w:cs="Calibri"/>
                <w:color w:val="000000" w:themeColor="text1"/>
                <w:sz w:val="24"/>
                <w:szCs w:val="24"/>
                <w:highlight w:val="none"/>
              </w:rPr>
              <w:t xml:space="preserve">5</w:t>
            </w:r>
            <w:r>
              <w:rPr>
                <w:rFonts w:hint="eastAsia" w:ascii="仿宋" w:hAnsi="仿宋" w:eastAsia="仿宋"/>
                <w:color w:val="000000" w:themeColor="text1"/>
                <w:sz w:val="24"/>
                <w:szCs w:val="24"/>
                <w:highlight w:val="none"/>
              </w:rPr>
              <w:t xml:space="preserve">分；技术方案基本完整、基本合理，有一定可行</w:t>
            </w:r>
            <w:r>
              <w:rPr>
                <w:rFonts w:hint="eastAsia" w:ascii="仿宋" w:hAnsi="仿宋" w:eastAsia="仿宋"/>
                <w:color w:val="000000" w:themeColor="text1"/>
                <w:sz w:val="24"/>
                <w:szCs w:val="24"/>
                <w:highlight w:val="none"/>
                <w:lang w:eastAsia="zh-CN"/>
              </w:rPr>
              <w:t xml:space="preserve">性</w:t>
            </w:r>
            <w:r>
              <w:rPr>
                <w:rFonts w:hint="eastAsia" w:ascii="仿宋" w:hAnsi="仿宋" w:eastAsia="仿宋"/>
                <w:color w:val="000000" w:themeColor="text1"/>
                <w:sz w:val="24"/>
                <w:szCs w:val="24"/>
                <w:highlight w:val="none"/>
              </w:rPr>
              <w:t xml:space="preserve">，得</w:t>
            </w:r>
            <w:r>
              <w:rPr>
                <w:rFonts w:ascii="仿宋" w:hAnsi="仿宋" w:eastAsia="仿宋"/>
                <w:color w:val="000000" w:themeColor="text1"/>
                <w:sz w:val="24"/>
                <w:szCs w:val="24"/>
                <w:highlight w:val="none"/>
              </w:rPr>
              <w:t xml:space="preserve">3</w:t>
            </w:r>
            <w:r>
              <w:rPr>
                <w:rFonts w:hint="eastAsia" w:ascii="仿宋" w:hAnsi="仿宋" w:eastAsia="仿宋"/>
                <w:color w:val="000000" w:themeColor="text1"/>
                <w:sz w:val="24"/>
                <w:szCs w:val="24"/>
                <w:highlight w:val="none"/>
              </w:rPr>
              <w:t xml:space="preserve">分；技术方案、措施粗略，可行性不强，得</w:t>
            </w:r>
            <w:r>
              <w:rPr>
                <w:rFonts w:hint="eastAsia" w:ascii="仿宋" w:hAnsi="仿宋" w:eastAsia="仿宋" w:cs="Calibri"/>
                <w:color w:val="000000" w:themeColor="text1"/>
                <w:sz w:val="24"/>
                <w:szCs w:val="24"/>
                <w:highlight w:val="none"/>
              </w:rPr>
              <w:t xml:space="preserve">1</w:t>
            </w:r>
            <w:r>
              <w:rPr>
                <w:rFonts w:hint="eastAsia" w:ascii="仿宋" w:hAnsi="仿宋" w:eastAsia="仿宋"/>
                <w:color w:val="000000" w:themeColor="text1"/>
                <w:sz w:val="24"/>
                <w:szCs w:val="24"/>
                <w:highlight w:val="none"/>
              </w:rPr>
              <w:t xml:space="preserve">分；没有内容或其情况不满足招标文件需求的不得分。</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r>
      <w:tr>
        <w:trPr/>
        <w:tc>
          <w:tcPr>
            <w:tcW w:w="1840" w:type="dxa"/>
            <w:vAlign w:val="center"/>
            <w:textDirection w:val="lrTb"/>
            <w:noWrap w:val="false"/>
          </w:tcPr>
          <w:p>
            <w:pPr>
              <w:pStyle w:val="799"/>
              <w:ind w:left="0" w:right="0" w:firstLine="0"/>
              <w:jc w:val="center"/>
              <w:keepNext/>
              <w:spacing w:line="240" w:lineRule="auto"/>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olor w:val="000000" w:themeColor="text1"/>
                <w:sz w:val="24"/>
                <w:szCs w:val="24"/>
                <w:highlight w:val="none"/>
              </w:rPr>
              <w:t xml:space="preserve">巡视方案</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c>
          <w:tcPr>
            <w:tcW w:w="1232" w:type="dxa"/>
            <w:vAlign w:val="center"/>
            <w:textDirection w:val="lrTb"/>
            <w:noWrap w:val="false"/>
          </w:tcPr>
          <w:p>
            <w:pPr>
              <w:pStyle w:val="799"/>
              <w:ind w:left="0" w:right="0" w:firstLine="0"/>
              <w:jc w:val="left"/>
              <w:keepNext/>
              <w:spacing w:line="240" w:lineRule="auto"/>
              <w:rPr>
                <w:rFonts w:hint="eastAsia" w:ascii="仿宋" w:hAnsi="方正仿宋_GB2312" w:eastAsia="仿宋" w:cs="方正仿宋_GB2312"/>
                <w:color w:val="000000" w:themeColor="text1"/>
                <w:sz w:val="24"/>
                <w:szCs w:val="22"/>
                <w:highlight w:val="none"/>
              </w:rPr>
              <w:framePr w:vAnchor="margin" w:hAnchor="page" w:xAlign="center" w:y="1"/>
            </w:pPr>
            <w:r>
              <w:rPr>
                <w:rFonts w:ascii="仿宋" w:hAnsi="仿宋" w:eastAsia="仿宋"/>
                <w:color w:val="000000" w:themeColor="text1"/>
                <w:sz w:val="24"/>
                <w:szCs w:val="24"/>
                <w:highlight w:val="none"/>
              </w:rPr>
              <w:t xml:space="preserve">5</w:t>
            </w:r>
            <w:r>
              <w:rPr>
                <w:rFonts w:hint="eastAsia" w:ascii="仿宋" w:hAnsi="仿宋" w:eastAsia="仿宋"/>
                <w:color w:val="000000" w:themeColor="text1"/>
                <w:sz w:val="24"/>
                <w:szCs w:val="24"/>
                <w:highlight w:val="none"/>
              </w:rPr>
              <w:t xml:space="preserve">.00分</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c>
          <w:tcPr>
            <w:tcW w:w="6328" w:type="dxa"/>
            <w:vAlign w:val="center"/>
            <w:textDirection w:val="lrTb"/>
            <w:noWrap w:val="false"/>
          </w:tcPr>
          <w:p>
            <w:pPr>
              <w:pStyle w:val="799"/>
              <w:ind w:left="0" w:right="0" w:firstLine="0"/>
              <w:jc w:val="both"/>
              <w:keepNext/>
              <w:spacing w:line="240" w:lineRule="auto"/>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olor w:val="000000" w:themeColor="text1"/>
                <w:sz w:val="24"/>
                <w:szCs w:val="24"/>
                <w:highlight w:val="none"/>
              </w:rPr>
              <w:t xml:space="preserve">巡视方案主要指人员、设备、巡查路线、巡查频次、巡查节点设置的方案比较，至少包含日常巡视方案、夜间巡视方案、节假日特别巡视方案这部分内容，技术方案完善、合理、可行性强，得</w:t>
            </w:r>
            <w:r>
              <w:rPr>
                <w:rFonts w:ascii="仿宋" w:hAnsi="仿宋" w:eastAsia="仿宋" w:cs="Calibri"/>
                <w:color w:val="000000" w:themeColor="text1"/>
                <w:sz w:val="24"/>
                <w:szCs w:val="24"/>
                <w:highlight w:val="none"/>
              </w:rPr>
              <w:t xml:space="preserve">5</w:t>
            </w:r>
            <w:r>
              <w:rPr>
                <w:rFonts w:hint="eastAsia" w:ascii="仿宋" w:hAnsi="仿宋" w:eastAsia="仿宋"/>
                <w:color w:val="000000" w:themeColor="text1"/>
                <w:sz w:val="24"/>
                <w:szCs w:val="24"/>
                <w:highlight w:val="none"/>
              </w:rPr>
              <w:t xml:space="preserve">分；技术方案基本完整、基本合理</w:t>
            </w:r>
            <w:r>
              <w:rPr>
                <w:rFonts w:hint="eastAsia" w:ascii="仿宋" w:hAnsi="仿宋" w:eastAsia="仿宋"/>
                <w:color w:val="000000" w:themeColor="text1"/>
                <w:sz w:val="24"/>
                <w:szCs w:val="24"/>
                <w:highlight w:val="none"/>
                <w:lang w:eastAsia="zh-CN"/>
              </w:rPr>
              <w:t xml:space="preserve">，具</w:t>
            </w:r>
            <w:r>
              <w:rPr>
                <w:rFonts w:hint="eastAsia" w:ascii="仿宋" w:hAnsi="仿宋" w:eastAsia="仿宋"/>
                <w:color w:val="000000" w:themeColor="text1"/>
                <w:sz w:val="24"/>
                <w:szCs w:val="24"/>
                <w:highlight w:val="none"/>
              </w:rPr>
              <w:t xml:space="preserve">有一定可行</w:t>
            </w:r>
            <w:r>
              <w:rPr>
                <w:rFonts w:hint="eastAsia" w:ascii="仿宋" w:hAnsi="仿宋" w:eastAsia="仿宋"/>
                <w:color w:val="000000" w:themeColor="text1"/>
                <w:sz w:val="24"/>
                <w:szCs w:val="24"/>
                <w:highlight w:val="none"/>
                <w:lang w:eastAsia="zh-CN"/>
              </w:rPr>
              <w:t xml:space="preserve">性</w:t>
            </w:r>
            <w:r>
              <w:rPr>
                <w:rFonts w:hint="eastAsia" w:ascii="仿宋" w:hAnsi="仿宋" w:eastAsia="仿宋"/>
                <w:color w:val="000000" w:themeColor="text1"/>
                <w:sz w:val="24"/>
                <w:szCs w:val="24"/>
                <w:highlight w:val="none"/>
              </w:rPr>
              <w:t xml:space="preserve">，得</w:t>
            </w:r>
            <w:r>
              <w:rPr>
                <w:rFonts w:ascii="仿宋" w:hAnsi="仿宋" w:eastAsia="仿宋"/>
                <w:color w:val="000000" w:themeColor="text1"/>
                <w:sz w:val="24"/>
                <w:szCs w:val="24"/>
                <w:highlight w:val="none"/>
              </w:rPr>
              <w:t xml:space="preserve">3</w:t>
            </w:r>
            <w:r>
              <w:rPr>
                <w:rFonts w:hint="eastAsia" w:ascii="仿宋" w:hAnsi="仿宋" w:eastAsia="仿宋"/>
                <w:color w:val="000000" w:themeColor="text1"/>
                <w:sz w:val="24"/>
                <w:szCs w:val="24"/>
                <w:highlight w:val="none"/>
              </w:rPr>
              <w:t xml:space="preserve">分；技术方案、措施粗略，可行性不强，得</w:t>
            </w:r>
            <w:r>
              <w:rPr>
                <w:rFonts w:ascii="仿宋" w:hAnsi="仿宋" w:eastAsia="仿宋" w:cs="Calibri"/>
                <w:color w:val="000000" w:themeColor="text1"/>
                <w:sz w:val="24"/>
                <w:szCs w:val="24"/>
                <w:highlight w:val="none"/>
              </w:rPr>
              <w:t xml:space="preserve">1</w:t>
            </w:r>
            <w:r>
              <w:rPr>
                <w:rFonts w:hint="eastAsia" w:ascii="仿宋" w:hAnsi="仿宋" w:eastAsia="仿宋"/>
                <w:color w:val="000000" w:themeColor="text1"/>
                <w:sz w:val="24"/>
                <w:szCs w:val="24"/>
                <w:highlight w:val="none"/>
              </w:rPr>
              <w:t xml:space="preserve">分；没有内容或其情况不满足招标文件需求的不得分。</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r>
      <w:tr>
        <w:trPr/>
        <w:tc>
          <w:tcPr>
            <w:tcW w:w="1840" w:type="dxa"/>
            <w:vAlign w:val="center"/>
            <w:textDirection w:val="lrTb"/>
            <w:noWrap w:val="false"/>
          </w:tcPr>
          <w:p>
            <w:pPr>
              <w:pStyle w:val="799"/>
              <w:ind w:left="0" w:right="0" w:firstLine="0"/>
              <w:jc w:val="center"/>
              <w:keepNext/>
              <w:spacing w:line="240" w:lineRule="auto"/>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olor w:val="000000" w:themeColor="text1"/>
                <w:sz w:val="24"/>
                <w:szCs w:val="24"/>
                <w:highlight w:val="none"/>
              </w:rPr>
              <w:t xml:space="preserve">应急保障方案比较</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c>
          <w:tcPr>
            <w:tcW w:w="1232" w:type="dxa"/>
            <w:vAlign w:val="center"/>
            <w:textDirection w:val="lrTb"/>
            <w:noWrap w:val="false"/>
          </w:tcPr>
          <w:p>
            <w:pPr>
              <w:pStyle w:val="799"/>
              <w:ind w:left="0" w:right="0" w:firstLine="0"/>
              <w:jc w:val="left"/>
              <w:keepNext/>
              <w:spacing w:line="240" w:lineRule="auto"/>
              <w:rPr>
                <w:rFonts w:hint="eastAsia" w:ascii="仿宋" w:hAnsi="方正仿宋_GB2312" w:eastAsia="仿宋" w:cs="方正仿宋_GB2312"/>
                <w:color w:val="000000" w:themeColor="text1"/>
                <w:sz w:val="24"/>
                <w:szCs w:val="22"/>
                <w:highlight w:val="none"/>
              </w:rPr>
              <w:framePr w:vAnchor="margin" w:hAnchor="page" w:xAlign="center" w:y="1"/>
            </w:pPr>
            <w:r>
              <w:rPr>
                <w:rFonts w:ascii="仿宋" w:hAnsi="仿宋" w:eastAsia="仿宋"/>
                <w:color w:val="000000" w:themeColor="text1"/>
                <w:sz w:val="24"/>
                <w:szCs w:val="24"/>
                <w:highlight w:val="none"/>
              </w:rPr>
              <w:t xml:space="preserve">5</w:t>
            </w:r>
            <w:r>
              <w:rPr>
                <w:rFonts w:hint="eastAsia" w:ascii="仿宋" w:hAnsi="仿宋" w:eastAsia="仿宋"/>
                <w:color w:val="000000" w:themeColor="text1"/>
                <w:sz w:val="24"/>
                <w:szCs w:val="24"/>
                <w:highlight w:val="none"/>
              </w:rPr>
              <w:t xml:space="preserve">.00分</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c>
          <w:tcPr>
            <w:tcW w:w="6328" w:type="dxa"/>
            <w:vAlign w:val="center"/>
            <w:textDirection w:val="lrTb"/>
            <w:noWrap w:val="false"/>
          </w:tcPr>
          <w:p>
            <w:pPr>
              <w:pStyle w:val="799"/>
              <w:ind w:left="0" w:right="0" w:firstLine="0"/>
              <w:jc w:val="both"/>
              <w:keepNext/>
              <w:spacing w:line="240" w:lineRule="auto"/>
              <w:rPr>
                <w:rFonts w:hint="eastAsia" w:ascii="仿宋" w:hAnsi="方正仿宋_GB2312" w:eastAsia="仿宋" w:cs="方正仿宋_GB2312"/>
                <w:color w:val="000000" w:themeColor="text1"/>
                <w:sz w:val="24"/>
                <w:szCs w:val="22"/>
                <w:highlight w:val="none"/>
              </w:rPr>
              <w:framePr w:vAnchor="margin" w:hAnchor="page" w:xAlign="center" w:y="1"/>
            </w:pPr>
            <w:r>
              <w:rPr>
                <w:rFonts w:hint="eastAsia" w:ascii="仿宋" w:hAnsi="仿宋" w:eastAsia="仿宋"/>
                <w:color w:val="000000" w:themeColor="text1"/>
                <w:sz w:val="24"/>
                <w:szCs w:val="24"/>
                <w:highlight w:val="none"/>
              </w:rPr>
              <w:t xml:space="preserve">树木倒伏、恶劣天气、抗旱防涝、流行性病虫害预防等应急保障方案措施；技术方案完善、合理、可行性强，得</w:t>
            </w:r>
            <w:r>
              <w:rPr>
                <w:rFonts w:ascii="仿宋" w:hAnsi="仿宋" w:eastAsia="仿宋" w:cs="Calibri"/>
                <w:color w:val="000000" w:themeColor="text1"/>
                <w:sz w:val="24"/>
                <w:szCs w:val="24"/>
                <w:highlight w:val="none"/>
              </w:rPr>
              <w:t xml:space="preserve">5</w:t>
            </w:r>
            <w:r>
              <w:rPr>
                <w:rFonts w:hint="eastAsia" w:ascii="仿宋" w:hAnsi="仿宋" w:eastAsia="仿宋"/>
                <w:color w:val="000000" w:themeColor="text1"/>
                <w:sz w:val="24"/>
                <w:szCs w:val="24"/>
                <w:highlight w:val="none"/>
              </w:rPr>
              <w:t xml:space="preserve">分；技术方案基本完整、基本合理</w:t>
            </w:r>
            <w:r>
              <w:rPr>
                <w:rFonts w:hint="eastAsia" w:ascii="仿宋" w:hAnsi="仿宋" w:eastAsia="仿宋"/>
                <w:color w:val="000000" w:themeColor="text1"/>
                <w:sz w:val="24"/>
                <w:szCs w:val="24"/>
                <w:highlight w:val="none"/>
                <w:lang w:eastAsia="zh-CN"/>
              </w:rPr>
              <w:t xml:space="preserve">，具</w:t>
            </w:r>
            <w:r>
              <w:rPr>
                <w:rFonts w:hint="eastAsia" w:ascii="仿宋" w:hAnsi="仿宋" w:eastAsia="仿宋"/>
                <w:color w:val="000000" w:themeColor="text1"/>
                <w:sz w:val="24"/>
                <w:szCs w:val="24"/>
                <w:highlight w:val="none"/>
              </w:rPr>
              <w:t xml:space="preserve">有一定可行</w:t>
            </w:r>
            <w:r>
              <w:rPr>
                <w:rFonts w:hint="eastAsia" w:ascii="仿宋" w:hAnsi="仿宋" w:eastAsia="仿宋"/>
                <w:color w:val="000000" w:themeColor="text1"/>
                <w:sz w:val="24"/>
                <w:szCs w:val="24"/>
                <w:highlight w:val="none"/>
                <w:lang w:eastAsia="zh-CN"/>
              </w:rPr>
              <w:t xml:space="preserve">性</w:t>
            </w:r>
            <w:r>
              <w:rPr>
                <w:rFonts w:hint="eastAsia" w:ascii="仿宋" w:hAnsi="仿宋" w:eastAsia="仿宋"/>
                <w:color w:val="000000" w:themeColor="text1"/>
                <w:sz w:val="24"/>
                <w:szCs w:val="24"/>
                <w:highlight w:val="none"/>
              </w:rPr>
              <w:t xml:space="preserve">，得</w:t>
            </w:r>
            <w:r>
              <w:rPr>
                <w:rFonts w:ascii="仿宋" w:hAnsi="仿宋" w:eastAsia="仿宋"/>
                <w:color w:val="000000" w:themeColor="text1"/>
                <w:sz w:val="24"/>
                <w:szCs w:val="24"/>
                <w:highlight w:val="none"/>
              </w:rPr>
              <w:t xml:space="preserve">3</w:t>
            </w:r>
            <w:r>
              <w:rPr>
                <w:rFonts w:hint="eastAsia" w:ascii="仿宋" w:hAnsi="仿宋" w:eastAsia="仿宋"/>
                <w:color w:val="000000" w:themeColor="text1"/>
                <w:sz w:val="24"/>
                <w:szCs w:val="24"/>
                <w:highlight w:val="none"/>
              </w:rPr>
              <w:t xml:space="preserve">分；技术方案、措施粗略，可行性不强，得</w:t>
            </w:r>
            <w:r>
              <w:rPr>
                <w:rFonts w:ascii="仿宋" w:hAnsi="仿宋" w:eastAsia="仿宋" w:cs="Calibri"/>
                <w:color w:val="000000" w:themeColor="text1"/>
                <w:sz w:val="24"/>
                <w:szCs w:val="24"/>
                <w:highlight w:val="none"/>
              </w:rPr>
              <w:t xml:space="preserve">1</w:t>
            </w:r>
            <w:r>
              <w:rPr>
                <w:rFonts w:hint="eastAsia" w:ascii="仿宋" w:hAnsi="仿宋" w:eastAsia="仿宋"/>
                <w:color w:val="000000" w:themeColor="text1"/>
                <w:sz w:val="24"/>
                <w:szCs w:val="24"/>
                <w:highlight w:val="none"/>
              </w:rPr>
              <w:t xml:space="preserve">分；没有内容或其情况不满足招标文件需求的不得分。</w:t>
            </w:r>
            <w:r>
              <w:rPr>
                <w:rFonts w:hint="eastAsia" w:ascii="仿宋" w:hAnsi="方正仿宋_GB2312" w:eastAsia="仿宋" w:cs="方正仿宋_GB2312"/>
                <w:color w:val="000000" w:themeColor="text1"/>
                <w:sz w:val="24"/>
                <w:szCs w:val="22"/>
                <w:highlight w:val="none"/>
                <w:lang w:val="en-US" w:eastAsia="zh-CN" w:bidi="ar-SA"/>
              </w:rPr>
            </w:r>
            <w:r>
              <w:rPr>
                <w:color w:val="000000" w:themeColor="text1"/>
              </w:rPr>
            </w:r>
          </w:p>
        </w:tc>
      </w:tr>
    </w:tbl>
    <w:p>
      <w:pPr>
        <w:pStyle w:val="848"/>
        <w:jc w:val="center"/>
        <w:spacing w:before="200"/>
        <w:rPr>
          <w:rFonts w:hint="eastAsia" w:ascii="方正仿宋_GB2312" w:hAnsi="方正仿宋_GB2312" w:eastAsia="方正仿宋_GB2312" w:cs="方正仿宋_GB2312"/>
          <w:b w:val="0"/>
          <w:bCs/>
          <w:color w:val="000000" w:themeColor="text1"/>
          <w:sz w:val="44"/>
          <w:szCs w:val="44"/>
          <w:highlight w:val="none"/>
        </w:rPr>
      </w:pPr>
      <w:r>
        <w:rPr>
          <w:color w:val="000000" w:themeColor="text1"/>
        </w:rPr>
      </w:r>
      <w:bookmarkStart w:id="121" w:name="_Toc81575205"/>
      <w:r>
        <w:rPr>
          <w:color w:val="000000" w:themeColor="text1"/>
        </w:rPr>
      </w:r>
      <w:bookmarkStart w:id="122" w:name="_Toc81575168"/>
      <w:r>
        <w:rPr>
          <w:color w:val="000000" w:themeColor="text1"/>
        </w:rPr>
      </w:r>
      <w:bookmarkStart w:id="123" w:name="_Toc2916"/>
      <w:r>
        <w:rPr>
          <w:color w:val="000000" w:themeColor="text1"/>
        </w:rPr>
      </w:r>
      <w:bookmarkStart w:id="124" w:name="_Toc23973"/>
      <w:r>
        <w:rPr>
          <w:color w:val="000000" w:themeColor="text1"/>
        </w:rPr>
      </w:r>
      <w:bookmarkStart w:id="125" w:name="_Toc12255"/>
      <w:r>
        <w:rPr>
          <w:rFonts w:hint="eastAsia" w:ascii="方正仿宋_GB2312" w:hAnsi="方正仿宋_GB2312" w:eastAsia="方正仿宋_GB2312" w:cs="方正仿宋_GB2312"/>
          <w:color w:val="000000" w:themeColor="text1"/>
          <w:sz w:val="44"/>
          <w:szCs w:val="44"/>
          <w:highlight w:val="none"/>
        </w:rPr>
        <w:br w:type="page" w:clear="all"/>
      </w:r>
      <w:bookmarkStart w:id="126" w:name="_Toc2628"/>
      <w:r>
        <w:rPr>
          <w:rFonts w:hint="eastAsia" w:ascii="方正仿宋_GB2312" w:hAnsi="方正仿宋_GB2312" w:eastAsia="方正仿宋_GB2312" w:cs="方正仿宋_GB2312"/>
          <w:b/>
          <w:bCs w:val="0"/>
          <w:color w:val="000000" w:themeColor="text1"/>
          <w:sz w:val="44"/>
          <w:szCs w:val="44"/>
          <w:highlight w:val="none"/>
        </w:rPr>
        <w:t xml:space="preserve">第四章  采购需求</w:t>
      </w:r>
      <w:bookmarkEnd w:id="0"/>
      <w:r>
        <w:rPr>
          <w:color w:val="000000" w:themeColor="text1"/>
        </w:rPr>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rFonts w:hint="eastAsia" w:ascii="方正仿宋_GB2312" w:hAnsi="方正仿宋_GB2312" w:eastAsia="方正仿宋_GB2312" w:cs="方正仿宋_GB2312"/>
          <w:b w:val="0"/>
          <w:bCs/>
          <w:color w:val="000000" w:themeColor="text1"/>
          <w:sz w:val="44"/>
          <w:szCs w:val="44"/>
          <w:highlight w:val="none"/>
        </w:rPr>
      </w:r>
      <w:r>
        <w:rPr>
          <w:color w:val="000000" w:themeColor="text1"/>
        </w:rPr>
      </w:r>
    </w:p>
    <w:p>
      <w:pPr>
        <w:pStyle w:val="1155"/>
        <w:spacing w:before="40" w:after="40"/>
        <w:rPr>
          <w:rFonts w:hint="eastAsia" w:ascii="方正仿宋_GB2312" w:hAnsi="方正仿宋_GB2312" w:eastAsia="方正仿宋_GB2312" w:cs="方正仿宋_GB2312"/>
          <w:b/>
          <w:bCs/>
          <w:color w:val="000000" w:themeColor="text1"/>
          <w:sz w:val="28"/>
          <w:szCs w:val="28"/>
          <w:highlight w:val="none"/>
        </w:rPr>
      </w:pPr>
      <w:r>
        <w:rPr>
          <w:color w:val="000000" w:themeColor="text1"/>
        </w:rPr>
      </w:r>
      <w:bookmarkStart w:id="127" w:name="_Toc31499"/>
      <w:r>
        <w:rPr>
          <w:color w:val="000000" w:themeColor="text1"/>
        </w:rPr>
      </w:r>
      <w:bookmarkStart w:id="128" w:name="_Toc81575206"/>
      <w:r>
        <w:rPr>
          <w:color w:val="000000" w:themeColor="text1"/>
        </w:rPr>
      </w:r>
      <w:bookmarkStart w:id="129" w:name="_Toc22098"/>
      <w:r>
        <w:rPr>
          <w:color w:val="000000" w:themeColor="text1"/>
        </w:rPr>
      </w:r>
      <w:bookmarkStart w:id="130" w:name="_Toc81575169"/>
      <w:r>
        <w:rPr>
          <w:color w:val="000000" w:themeColor="text1"/>
        </w:rPr>
      </w:r>
      <w:bookmarkStart w:id="131" w:name="_Toc7023"/>
      <w:r>
        <w:rPr>
          <w:rFonts w:hint="eastAsia" w:ascii="方正仿宋_GB2312" w:hAnsi="方正仿宋_GB2312" w:eastAsia="方正仿宋_GB2312" w:cs="方正仿宋_GB2312"/>
          <w:b/>
          <w:bCs/>
          <w:color w:val="000000" w:themeColor="text1"/>
          <w:sz w:val="28"/>
          <w:szCs w:val="28"/>
          <w:highlight w:val="none"/>
        </w:rPr>
        <w:t xml:space="preserve">采购标的清单</w:t>
      </w:r>
      <w:r>
        <w:rPr>
          <w:rFonts w:hint="eastAsia" w:ascii="方正仿宋_GB2312" w:hAnsi="方正仿宋_GB2312" w:eastAsia="方正仿宋_GB2312" w:cs="方正仿宋_GB2312"/>
          <w:b/>
          <w:bCs/>
          <w:color w:val="000000" w:themeColor="text1"/>
          <w:sz w:val="28"/>
          <w:szCs w:val="28"/>
          <w:highlight w:val="none"/>
        </w:rPr>
      </w:r>
      <w:r>
        <w:rPr>
          <w:color w:val="000000" w:themeColor="text1"/>
        </w:rPr>
      </w:r>
    </w:p>
    <w:tbl>
      <w:tblPr>
        <w:tblW w:w="97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3"/>
        <w:gridCol w:w="5687"/>
        <w:gridCol w:w="2448"/>
      </w:tblGrid>
      <w:tr>
        <w:trPr>
          <w:cantSplit/>
          <w:trHeight w:val="754"/>
        </w:trPr>
        <w:tc>
          <w:tcPr>
            <w:tcW w:w="1603" w:type="dxa"/>
            <w:vAlign w:val="center"/>
            <w:textDirection w:val="lrTb"/>
            <w:noWrap w:val="false"/>
          </w:tcPr>
          <w:p>
            <w:pPr>
              <w:pStyle w:val="799"/>
              <w:jc w:val="center"/>
              <w:spacing w:line="36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序号</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5687" w:type="dxa"/>
            <w:vAlign w:val="center"/>
            <w:textDirection w:val="lrTb"/>
            <w:noWrap w:val="false"/>
          </w:tcPr>
          <w:p>
            <w:pPr>
              <w:pStyle w:val="799"/>
              <w:jc w:val="center"/>
              <w:spacing w:line="36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采购标的</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2448" w:type="dxa"/>
            <w:vAlign w:val="center"/>
            <w:textDirection w:val="lrTb"/>
            <w:noWrap w:val="false"/>
          </w:tcPr>
          <w:p>
            <w:pPr>
              <w:pStyle w:val="799"/>
              <w:jc w:val="center"/>
              <w:spacing w:line="36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对应中小企业划分标准所属行业</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r>
      <w:tr>
        <w:trPr>
          <w:cantSplit/>
          <w:trHeight w:val="774"/>
        </w:trPr>
        <w:tc>
          <w:tcPr>
            <w:tcW w:w="1603" w:type="dxa"/>
            <w:vAlign w:val="center"/>
            <w:textDirection w:val="lrTb"/>
            <w:noWrap w:val="false"/>
          </w:tcPr>
          <w:p>
            <w:pPr>
              <w:pStyle w:val="799"/>
              <w:jc w:val="center"/>
              <w:spacing w:line="360" w:lineRule="exact"/>
              <w:widowControl w:val="off"/>
              <w:tabs>
                <w:tab w:val="left" w:pos="2020" w:leader="none"/>
              </w:tabs>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1</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5687" w:type="dxa"/>
            <w:vAlign w:val="center"/>
            <w:textDirection w:val="lrTb"/>
            <w:noWrap w:val="false"/>
          </w:tcPr>
          <w:p>
            <w:pPr>
              <w:pStyle w:val="799"/>
              <w:jc w:val="center"/>
              <w:spacing w:line="360" w:lineRule="exact"/>
              <w:widowControl w:val="off"/>
              <w:tabs>
                <w:tab w:val="left" w:pos="2020" w:leader="none"/>
              </w:tabs>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苏州宿迁工业园区2026-2028年公共绿化养护项目</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2448" w:type="dxa"/>
            <w:vAlign w:val="center"/>
            <w:textDirection w:val="lrTb"/>
            <w:noWrap w:val="false"/>
          </w:tcPr>
          <w:p>
            <w:pPr>
              <w:pStyle w:val="799"/>
              <w:jc w:val="center"/>
              <w:spacing w:line="36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其他未列明行业</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r>
    </w:tbl>
    <w:p>
      <w:pPr>
        <w:pStyle w:val="799"/>
        <w:ind w:firstLine="482"/>
        <w:jc w:val="left"/>
        <w:spacing w:line="276" w:lineRule="auto"/>
        <w:rPr>
          <w:rFonts w:hint="eastAsia" w:ascii="方正仿宋_GB2312" w:hAnsi="方正仿宋_GB2312" w:eastAsia="方正仿宋_GB2312" w:cs="方正仿宋_GB2312"/>
          <w:b/>
          <w:bCs/>
          <w:color w:val="000000" w:themeColor="text1"/>
          <w:sz w:val="28"/>
          <w:szCs w:val="28"/>
          <w:highlight w:val="none"/>
        </w:rPr>
      </w:pPr>
      <w:r>
        <w:rPr>
          <w:rFonts w:hint="eastAsia" w:ascii="方正仿宋_GB2312" w:hAnsi="方正仿宋_GB2312" w:eastAsia="方正仿宋_GB2312" w:cs="方正仿宋_GB2312"/>
          <w:b/>
          <w:bCs/>
          <w:color w:val="000000" w:themeColor="text1"/>
          <w:sz w:val="28"/>
          <w:szCs w:val="28"/>
          <w:highlight w:val="none"/>
        </w:rPr>
        <w:t xml:space="preserve">一、项目名称</w:t>
      </w:r>
      <w:r>
        <w:rPr>
          <w:rFonts w:hint="eastAsia" w:ascii="方正仿宋_GB2312" w:hAnsi="方正仿宋_GB2312" w:eastAsia="方正仿宋_GB2312" w:cs="方正仿宋_GB2312"/>
          <w:b/>
          <w:bCs/>
          <w:color w:val="000000" w:themeColor="text1"/>
          <w:sz w:val="28"/>
          <w:szCs w:val="28"/>
          <w:highlight w:val="none"/>
        </w:rPr>
      </w:r>
      <w:r>
        <w:rPr>
          <w:color w:val="000000" w:themeColor="text1"/>
        </w:rPr>
      </w:r>
    </w:p>
    <w:p>
      <w:pPr>
        <w:pStyle w:val="799"/>
        <w:ind w:firstLine="480"/>
        <w:jc w:val="left"/>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苏州宿迁工业园区2026-2028年公共绿化养护项目</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2"/>
        <w:jc w:val="left"/>
        <w:spacing w:line="276" w:lineRule="auto"/>
        <w:rPr>
          <w:rFonts w:ascii="方正仿宋_GB2312" w:hAnsi="方正仿宋_GB2312" w:eastAsia="方正仿宋_GB2312" w:cs="方正仿宋_GB2312"/>
          <w:b/>
          <w:bCs/>
          <w:color w:val="000000" w:themeColor="text1"/>
          <w:sz w:val="28"/>
          <w:szCs w:val="28"/>
          <w:highlight w:val="none"/>
        </w:rPr>
      </w:pPr>
      <w:r>
        <w:rPr>
          <w:rFonts w:hint="eastAsia" w:ascii="方正仿宋_GB2312" w:hAnsi="方正仿宋_GB2312" w:eastAsia="方正仿宋_GB2312" w:cs="方正仿宋_GB2312"/>
          <w:b/>
          <w:bCs/>
          <w:color w:val="000000" w:themeColor="text1"/>
          <w:sz w:val="28"/>
          <w:szCs w:val="28"/>
          <w:highlight w:val="none"/>
        </w:rPr>
        <w:t xml:space="preserve">二、</w:t>
      </w:r>
      <w:r>
        <w:rPr>
          <w:rFonts w:hint="eastAsia" w:ascii="方正仿宋_GB2312" w:hAnsi="方正仿宋_GB2312" w:eastAsia="方正仿宋_GB2312" w:cs="方正仿宋_GB2312"/>
          <w:b/>
          <w:bCs/>
          <w:color w:val="000000" w:themeColor="text1"/>
          <w:sz w:val="28"/>
          <w:szCs w:val="28"/>
          <w:highlight w:val="none"/>
          <w:lang w:val="en-US" w:eastAsia="zh-CN"/>
        </w:rPr>
        <w:t xml:space="preserve">合同履行期限</w:t>
      </w:r>
      <w:r>
        <w:rPr>
          <w:rFonts w:ascii="方正仿宋_GB2312" w:hAnsi="方正仿宋_GB2312" w:eastAsia="方正仿宋_GB2312" w:cs="方正仿宋_GB2312"/>
          <w:b/>
          <w:bCs/>
          <w:color w:val="000000" w:themeColor="text1"/>
          <w:sz w:val="28"/>
          <w:szCs w:val="28"/>
          <w:highlight w:val="none"/>
          <w:lang w:val="en-US" w:eastAsia="zh-CN"/>
        </w:rPr>
      </w:r>
      <w:r>
        <w:rPr>
          <w:color w:val="000000" w:themeColor="text1"/>
        </w:rPr>
      </w:r>
    </w:p>
    <w:p>
      <w:pPr>
        <w:pStyle w:val="799"/>
        <w:ind w:firstLine="480"/>
        <w:jc w:val="left"/>
        <w:spacing w:line="276" w:lineRule="auto"/>
        <w:rPr>
          <w:rFonts w:hint="eastAsia" w:ascii="方正仿宋_GB2312" w:hAnsi="方正仿宋_GB2312" w:eastAsia="方正仿宋_GB2312" w:cs="方正仿宋_GB2312"/>
          <w:b/>
          <w:bCs w:val="0"/>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养护期：</w:t>
      </w:r>
      <w:r>
        <w:rPr>
          <w:rFonts w:hint="eastAsia" w:ascii="方正仿宋_GB2312" w:hAnsi="方正仿宋_GB2312" w:eastAsia="方正仿宋_GB2312" w:cs="方正仿宋_GB2312"/>
          <w:bCs/>
          <w:color w:val="000000" w:themeColor="text1"/>
          <w:sz w:val="24"/>
          <w:szCs w:val="24"/>
          <w:highlight w:val="none"/>
        </w:rPr>
        <w:t xml:space="preserve">36个月（实际进场日期以发包方通知时间为准）。</w:t>
      </w:r>
      <w:r>
        <w:rPr>
          <w:rFonts w:hint="eastAsia" w:ascii="方正仿宋_GB2312" w:hAnsi="方正仿宋_GB2312" w:eastAsia="方正仿宋_GB2312" w:cs="方正仿宋_GB2312"/>
          <w:b/>
          <w:bCs w:val="0"/>
          <w:color w:val="000000" w:themeColor="text1"/>
          <w:sz w:val="24"/>
          <w:szCs w:val="24"/>
          <w:highlight w:val="none"/>
          <w:lang w:val="en-US" w:eastAsia="zh-CN"/>
        </w:rPr>
        <w:t xml:space="preserve">【本合同采取“一年一签”模式。每期合同期满前，采购人有权对成交供应商在当期合同期内的履约情况进行考核。若供应商在任一合同年度内，累计有3个月（含）以上的月度考核得分低于85分（含85分），则采购人有权决定不再续签下一年度合同，本合同自当期期满之日起自动终止，双方无需另行签订终止协议。】</w:t>
      </w:r>
      <w:r>
        <w:rPr>
          <w:rFonts w:hint="eastAsia" w:ascii="方正仿宋_GB2312" w:hAnsi="方正仿宋_GB2312" w:eastAsia="方正仿宋_GB2312" w:cs="方正仿宋_GB2312"/>
          <w:b/>
          <w:bCs w:val="0"/>
          <w:color w:val="000000" w:themeColor="text1"/>
          <w:sz w:val="24"/>
          <w:szCs w:val="24"/>
          <w:highlight w:val="none"/>
        </w:rPr>
      </w:r>
      <w:r>
        <w:rPr>
          <w:color w:val="000000" w:themeColor="text1"/>
        </w:rPr>
      </w:r>
    </w:p>
    <w:p>
      <w:pPr>
        <w:pStyle w:val="799"/>
        <w:ind w:firstLine="482"/>
        <w:jc w:val="left"/>
        <w:spacing w:line="276" w:lineRule="auto"/>
        <w:rPr>
          <w:rFonts w:hint="eastAsia" w:ascii="方正仿宋_GB2312" w:hAnsi="方正仿宋_GB2312" w:eastAsia="方正仿宋_GB2312" w:cs="方正仿宋_GB2312"/>
          <w:b/>
          <w:bCs/>
          <w:color w:val="000000" w:themeColor="text1"/>
          <w:sz w:val="28"/>
          <w:szCs w:val="28"/>
          <w:highlight w:val="none"/>
        </w:rPr>
      </w:pPr>
      <w:r>
        <w:rPr>
          <w:rFonts w:hint="eastAsia" w:ascii="方正仿宋_GB2312" w:hAnsi="方正仿宋_GB2312" w:eastAsia="方正仿宋_GB2312" w:cs="方正仿宋_GB2312"/>
          <w:b/>
          <w:bCs/>
          <w:color w:val="000000" w:themeColor="text1"/>
          <w:sz w:val="28"/>
          <w:szCs w:val="28"/>
          <w:highlight w:val="none"/>
          <w:lang w:val="en-US" w:eastAsia="zh-CN"/>
        </w:rPr>
        <w:t xml:space="preserve">三、付款方式</w:t>
      </w:r>
      <w:r>
        <w:rPr>
          <w:rFonts w:hint="eastAsia" w:ascii="方正仿宋_GB2312" w:hAnsi="方正仿宋_GB2312" w:eastAsia="方正仿宋_GB2312" w:cs="方正仿宋_GB2312"/>
          <w:b/>
          <w:bCs/>
          <w:color w:val="000000" w:themeColor="text1"/>
          <w:sz w:val="28"/>
          <w:szCs w:val="28"/>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预付款：合同金额的10%，合同签订后按规定支付；</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进度款：</w:t>
      </w:r>
      <w:r>
        <w:rPr>
          <w:rFonts w:hint="eastAsia" w:ascii="方正仿宋_GB2312" w:hAnsi="方正仿宋_GB2312" w:eastAsia="方正仿宋_GB2312" w:cs="方正仿宋_GB2312"/>
          <w:color w:val="000000" w:themeColor="text1"/>
          <w:sz w:val="24"/>
          <w:szCs w:val="24"/>
          <w:highlight w:val="none"/>
          <w:lang w:val="en-US" w:eastAsia="zh-CN"/>
        </w:rPr>
        <w:t xml:space="preserve">采购人</w:t>
      </w:r>
      <w:r>
        <w:rPr>
          <w:rFonts w:hint="eastAsia" w:ascii="方正仿宋_GB2312" w:hAnsi="方正仿宋_GB2312" w:eastAsia="方正仿宋_GB2312" w:cs="方正仿宋_GB2312"/>
          <w:color w:val="000000" w:themeColor="text1"/>
          <w:sz w:val="24"/>
          <w:szCs w:val="24"/>
          <w:highlight w:val="none"/>
        </w:rPr>
        <w:t xml:space="preserve">依据约定的考核办法进行每月考核后，根据考核情况核定月度养护费用，于过月拨付核定的月度养护费用的90%，余款在本项目结算审计后3个月内付清。</w:t>
      </w:r>
      <w:r>
        <w:rPr>
          <w:rFonts w:hint="eastAsia" w:ascii="方正仿宋_GB2312" w:hAnsi="方正仿宋_GB2312" w:eastAsia="方正仿宋_GB2312" w:cs="方正仿宋_GB2312"/>
          <w:color w:val="000000" w:themeColor="text1"/>
          <w:sz w:val="24"/>
          <w:szCs w:val="24"/>
          <w:highlight w:val="none"/>
          <w:lang w:val="en-US" w:eastAsia="zh-CN"/>
        </w:rPr>
        <w:t xml:space="preserve">中标人</w:t>
      </w:r>
      <w:r>
        <w:rPr>
          <w:rFonts w:hint="eastAsia" w:ascii="方正仿宋_GB2312" w:hAnsi="方正仿宋_GB2312" w:eastAsia="方正仿宋_GB2312" w:cs="方正仿宋_GB2312"/>
          <w:color w:val="000000" w:themeColor="text1"/>
          <w:sz w:val="24"/>
          <w:szCs w:val="24"/>
          <w:highlight w:val="none"/>
        </w:rPr>
        <w:t xml:space="preserve">须根据</w:t>
      </w:r>
      <w:r>
        <w:rPr>
          <w:rFonts w:hint="eastAsia" w:ascii="方正仿宋_GB2312" w:hAnsi="方正仿宋_GB2312" w:eastAsia="方正仿宋_GB2312" w:cs="方正仿宋_GB2312"/>
          <w:color w:val="000000" w:themeColor="text1"/>
          <w:sz w:val="24"/>
          <w:szCs w:val="24"/>
          <w:highlight w:val="none"/>
          <w:lang w:val="en-US" w:eastAsia="zh-CN"/>
        </w:rPr>
        <w:t xml:space="preserve">采购人</w:t>
      </w:r>
      <w:r>
        <w:rPr>
          <w:rFonts w:hint="eastAsia" w:ascii="方正仿宋_GB2312" w:hAnsi="方正仿宋_GB2312" w:eastAsia="方正仿宋_GB2312" w:cs="方正仿宋_GB2312"/>
          <w:color w:val="000000" w:themeColor="text1"/>
          <w:sz w:val="24"/>
          <w:szCs w:val="24"/>
          <w:highlight w:val="none"/>
        </w:rPr>
        <w:t xml:space="preserve">要求完成相关资料报送，</w:t>
      </w:r>
      <w:r>
        <w:rPr>
          <w:rFonts w:hint="eastAsia" w:ascii="方正仿宋_GB2312" w:hAnsi="方正仿宋_GB2312" w:eastAsia="方正仿宋_GB2312" w:cs="方正仿宋_GB2312"/>
          <w:color w:val="000000" w:themeColor="text1"/>
          <w:sz w:val="24"/>
          <w:szCs w:val="24"/>
          <w:highlight w:val="none"/>
          <w:lang w:val="en-US" w:eastAsia="zh-CN"/>
        </w:rPr>
        <w:t xml:space="preserve">中标人</w:t>
      </w:r>
      <w:r>
        <w:rPr>
          <w:rFonts w:hint="eastAsia" w:ascii="方正仿宋_GB2312" w:hAnsi="方正仿宋_GB2312" w:eastAsia="方正仿宋_GB2312" w:cs="方正仿宋_GB2312"/>
          <w:color w:val="000000" w:themeColor="text1"/>
          <w:sz w:val="24"/>
          <w:szCs w:val="24"/>
          <w:highlight w:val="none"/>
        </w:rPr>
        <w:t xml:space="preserve">同意并认可由</w:t>
      </w:r>
      <w:r>
        <w:rPr>
          <w:rFonts w:hint="eastAsia" w:ascii="方正仿宋_GB2312" w:hAnsi="方正仿宋_GB2312" w:eastAsia="方正仿宋_GB2312" w:cs="方正仿宋_GB2312"/>
          <w:color w:val="000000" w:themeColor="text1"/>
          <w:sz w:val="24"/>
          <w:szCs w:val="24"/>
          <w:highlight w:val="none"/>
          <w:lang w:val="en-US" w:eastAsia="zh-CN"/>
        </w:rPr>
        <w:t xml:space="preserve">采购人</w:t>
      </w:r>
      <w:r>
        <w:rPr>
          <w:rFonts w:hint="eastAsia" w:ascii="方正仿宋_GB2312" w:hAnsi="方正仿宋_GB2312" w:eastAsia="方正仿宋_GB2312" w:cs="方正仿宋_GB2312"/>
          <w:color w:val="000000" w:themeColor="text1"/>
          <w:sz w:val="24"/>
          <w:szCs w:val="24"/>
          <w:highlight w:val="none"/>
        </w:rPr>
        <w:t xml:space="preserve">委托任意一家第三方审计机构进行审计，结算价以最终审计为准。每次付款前，</w:t>
      </w:r>
      <w:r>
        <w:rPr>
          <w:rFonts w:hint="eastAsia" w:ascii="方正仿宋_GB2312" w:hAnsi="方正仿宋_GB2312" w:eastAsia="方正仿宋_GB2312" w:cs="方正仿宋_GB2312"/>
          <w:color w:val="000000" w:themeColor="text1"/>
          <w:sz w:val="24"/>
          <w:szCs w:val="24"/>
          <w:highlight w:val="none"/>
          <w:lang w:val="en-US" w:eastAsia="zh-CN"/>
        </w:rPr>
        <w:t xml:space="preserve">中标人</w:t>
      </w:r>
      <w:r>
        <w:rPr>
          <w:rFonts w:hint="eastAsia" w:ascii="方正仿宋_GB2312" w:hAnsi="方正仿宋_GB2312" w:eastAsia="方正仿宋_GB2312" w:cs="方正仿宋_GB2312"/>
          <w:color w:val="000000" w:themeColor="text1"/>
          <w:sz w:val="24"/>
          <w:szCs w:val="24"/>
          <w:highlight w:val="none"/>
        </w:rPr>
        <w:t xml:space="preserve">需提供合法有效的发票。</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对于满足合同约定支付条件的，自收到发票后10个工作日内将资金支付到合同约定的</w:t>
      </w:r>
      <w:r>
        <w:rPr>
          <w:rFonts w:hint="eastAsia" w:ascii="方正仿宋_GB2312" w:hAnsi="方正仿宋_GB2312" w:eastAsia="方正仿宋_GB2312" w:cs="方正仿宋_GB2312"/>
          <w:color w:val="000000" w:themeColor="text1"/>
          <w:sz w:val="24"/>
          <w:szCs w:val="24"/>
          <w:highlight w:val="none"/>
          <w:lang w:val="en-US" w:eastAsia="zh-CN"/>
        </w:rPr>
        <w:t xml:space="preserve">中标人</w:t>
      </w:r>
      <w:r>
        <w:rPr>
          <w:rFonts w:hint="eastAsia" w:ascii="方正仿宋_GB2312" w:hAnsi="方正仿宋_GB2312" w:eastAsia="方正仿宋_GB2312" w:cs="方正仿宋_GB2312"/>
          <w:color w:val="000000" w:themeColor="text1"/>
          <w:sz w:val="24"/>
          <w:szCs w:val="24"/>
          <w:highlight w:val="none"/>
        </w:rPr>
        <w:t xml:space="preserve">账户或</w:t>
      </w:r>
      <w:r>
        <w:rPr>
          <w:rFonts w:hint="eastAsia" w:ascii="方正仿宋_GB2312" w:hAnsi="方正仿宋_GB2312" w:eastAsia="方正仿宋_GB2312" w:cs="方正仿宋_GB2312"/>
          <w:color w:val="000000" w:themeColor="text1"/>
          <w:sz w:val="24"/>
          <w:szCs w:val="24"/>
          <w:highlight w:val="none"/>
          <w:lang w:val="en-US" w:eastAsia="zh-CN"/>
        </w:rPr>
        <w:t xml:space="preserve">中标人</w:t>
      </w:r>
      <w:r>
        <w:rPr>
          <w:rFonts w:hint="eastAsia" w:ascii="方正仿宋_GB2312" w:hAnsi="方正仿宋_GB2312" w:eastAsia="方正仿宋_GB2312" w:cs="方正仿宋_GB2312"/>
          <w:color w:val="000000" w:themeColor="text1"/>
          <w:sz w:val="24"/>
          <w:szCs w:val="24"/>
          <w:highlight w:val="none"/>
        </w:rPr>
        <w:t xml:space="preserve">数字人民币账户。</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2"/>
        <w:spacing w:line="276" w:lineRule="auto"/>
        <w:rPr>
          <w:rFonts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 w:val="0"/>
          <w:bCs/>
          <w:color w:val="000000" w:themeColor="text1"/>
          <w:sz w:val="24"/>
          <w:szCs w:val="24"/>
          <w:highlight w:val="none"/>
          <w:u w:val="none"/>
        </w:rPr>
        <w:t xml:space="preserve">注：在签订合同时，中标人明确表示无需预付款或者主动要求降低预付款比例的金额，采购人可不适用前述规定。</w:t>
      </w:r>
      <w:r>
        <w:rPr>
          <w:rFonts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2"/>
        <w:jc w:val="left"/>
        <w:spacing w:line="276" w:lineRule="auto"/>
        <w:rPr>
          <w:rFonts w:hint="eastAsia" w:ascii="方正仿宋_GB2312" w:hAnsi="方正仿宋_GB2312" w:eastAsia="方正仿宋_GB2312" w:cs="方正仿宋_GB2312"/>
          <w:b/>
          <w:bCs/>
          <w:color w:val="000000" w:themeColor="text1"/>
          <w:sz w:val="28"/>
          <w:szCs w:val="28"/>
          <w:highlight w:val="none"/>
        </w:rPr>
      </w:pPr>
      <w:r>
        <w:rPr>
          <w:rFonts w:hint="eastAsia" w:ascii="方正仿宋_GB2312" w:hAnsi="方正仿宋_GB2312" w:eastAsia="方正仿宋_GB2312" w:cs="方正仿宋_GB2312"/>
          <w:b/>
          <w:bCs/>
          <w:color w:val="000000" w:themeColor="text1"/>
          <w:sz w:val="28"/>
          <w:szCs w:val="28"/>
          <w:highlight w:val="none"/>
          <w:lang w:val="en-US" w:eastAsia="zh-CN"/>
        </w:rPr>
        <w:t xml:space="preserve">四</w:t>
      </w:r>
      <w:r>
        <w:rPr>
          <w:rFonts w:hint="eastAsia" w:ascii="方正仿宋_GB2312" w:hAnsi="方正仿宋_GB2312" w:eastAsia="方正仿宋_GB2312" w:cs="方正仿宋_GB2312"/>
          <w:b/>
          <w:bCs/>
          <w:color w:val="000000" w:themeColor="text1"/>
          <w:sz w:val="28"/>
          <w:szCs w:val="28"/>
          <w:highlight w:val="none"/>
        </w:rPr>
        <w:t xml:space="preserve">、</w:t>
      </w:r>
      <w:r>
        <w:rPr>
          <w:rFonts w:hint="eastAsia" w:ascii="方正仿宋_GB2312" w:hAnsi="方正仿宋_GB2312" w:eastAsia="方正仿宋_GB2312" w:cs="方正仿宋_GB2312"/>
          <w:b/>
          <w:bCs/>
          <w:color w:val="000000" w:themeColor="text1"/>
          <w:sz w:val="28"/>
          <w:szCs w:val="28"/>
          <w:highlight w:val="none"/>
          <w:lang w:val="en-US" w:eastAsia="zh-CN"/>
        </w:rPr>
        <w:t xml:space="preserve">项目范围及服务标准</w:t>
      </w:r>
      <w:r>
        <w:rPr>
          <w:rFonts w:hint="eastAsia" w:ascii="方正仿宋_GB2312" w:hAnsi="方正仿宋_GB2312" w:eastAsia="方正仿宋_GB2312" w:cs="方正仿宋_GB2312"/>
          <w:b/>
          <w:bCs/>
          <w:color w:val="000000" w:themeColor="text1"/>
          <w:sz w:val="28"/>
          <w:szCs w:val="28"/>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
          <w:bCs w:val="0"/>
          <w:color w:val="000000" w:themeColor="text1"/>
          <w:sz w:val="24"/>
          <w:szCs w:val="24"/>
          <w:highlight w:val="none"/>
        </w:rPr>
      </w:pPr>
      <w:r>
        <w:rPr>
          <w:rFonts w:hint="eastAsia" w:ascii="方正仿宋_GB2312" w:hAnsi="方正仿宋_GB2312" w:eastAsia="方正仿宋_GB2312" w:cs="方正仿宋_GB2312"/>
          <w:b/>
          <w:bCs w:val="0"/>
          <w:color w:val="000000" w:themeColor="text1"/>
          <w:sz w:val="24"/>
          <w:szCs w:val="24"/>
          <w:highlight w:val="none"/>
          <w:lang w:val="en-US" w:eastAsia="zh-CN"/>
        </w:rPr>
        <w:t xml:space="preserve">（一）项目范围</w:t>
      </w:r>
      <w:r>
        <w:rPr>
          <w:rFonts w:hint="eastAsia" w:ascii="方正仿宋_GB2312" w:hAnsi="方正仿宋_GB2312" w:eastAsia="方正仿宋_GB2312" w:cs="方正仿宋_GB2312"/>
          <w:b/>
          <w:bCs w:val="0"/>
          <w:color w:val="000000" w:themeColor="text1"/>
          <w:sz w:val="24"/>
          <w:szCs w:val="24"/>
          <w:highlight w:val="none"/>
          <w:lang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1.本项目管养范围涵盖苏宿园区内的公园、道路及河道绿地，总面积约120万平方米；</w:t>
      </w:r>
      <w:r>
        <w:rPr>
          <w:rFonts w:hint="eastAsia" w:ascii="方正仿宋_GB2312" w:hAnsi="方正仿宋_GB2312" w:eastAsia="方正仿宋_GB2312" w:cs="方正仿宋_GB2312"/>
          <w:bCs/>
          <w:color w:val="000000" w:themeColor="text1"/>
          <w:sz w:val="24"/>
          <w:szCs w:val="24"/>
          <w:highlight w:val="none"/>
          <w:lang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2.路段明细</w:t>
      </w:r>
      <w:r>
        <w:rPr>
          <w:rFonts w:hint="eastAsia" w:ascii="方正仿宋_GB2312" w:hAnsi="方正仿宋_GB2312" w:eastAsia="方正仿宋_GB2312" w:cs="方正仿宋_GB2312"/>
          <w:bCs/>
          <w:color w:val="000000" w:themeColor="text1"/>
          <w:sz w:val="24"/>
          <w:szCs w:val="24"/>
          <w:highlight w:val="none"/>
        </w:rPr>
        <w:t xml:space="preserve">养护级别：</w:t>
      </w:r>
      <w:r>
        <w:rPr>
          <w:rFonts w:hint="eastAsia" w:ascii="方正仿宋_GB2312" w:hAnsi="方正仿宋_GB2312" w:eastAsia="方正仿宋_GB2312" w:cs="方正仿宋_GB2312"/>
          <w:b/>
          <w:bCs w:val="0"/>
          <w:color w:val="000000" w:themeColor="text1"/>
          <w:sz w:val="24"/>
          <w:szCs w:val="24"/>
          <w:highlight w:val="none"/>
          <w:u w:val="single"/>
        </w:rPr>
        <w:t xml:space="preserve">详见附件</w:t>
      </w:r>
      <w:r>
        <w:rPr>
          <w:rFonts w:hint="eastAsia" w:ascii="方正仿宋_GB2312" w:hAnsi="方正仿宋_GB2312" w:eastAsia="方正仿宋_GB2312" w:cs="方正仿宋_GB2312"/>
          <w:b/>
          <w:bCs w:val="0"/>
          <w:color w:val="000000" w:themeColor="text1"/>
          <w:sz w:val="24"/>
          <w:szCs w:val="24"/>
          <w:highlight w:val="none"/>
          <w:u w:val="single"/>
          <w:lang w:val="en-US" w:eastAsia="zh-CN"/>
        </w:rPr>
        <w:t xml:space="preserve">一</w:t>
      </w:r>
      <w:r>
        <w:rPr>
          <w:rFonts w:hint="eastAsia" w:ascii="方正仿宋_GB2312" w:hAnsi="方正仿宋_GB2312" w:eastAsia="方正仿宋_GB2312" w:cs="方正仿宋_GB2312"/>
          <w:b/>
          <w:bCs w:val="0"/>
          <w:color w:val="000000" w:themeColor="text1"/>
          <w:sz w:val="24"/>
          <w:szCs w:val="24"/>
          <w:highlight w:val="none"/>
          <w:u w:val="single"/>
        </w:rPr>
        <w:t xml:space="preserve">。</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
          <w:bCs w:val="0"/>
          <w:color w:val="000000" w:themeColor="text1"/>
          <w:sz w:val="24"/>
          <w:szCs w:val="24"/>
          <w:highlight w:val="none"/>
        </w:rPr>
      </w:pPr>
      <w:r>
        <w:rPr>
          <w:rFonts w:hint="eastAsia" w:ascii="方正仿宋_GB2312" w:hAnsi="方正仿宋_GB2312" w:eastAsia="方正仿宋_GB2312" w:cs="方正仿宋_GB2312"/>
          <w:b/>
          <w:bCs w:val="0"/>
          <w:color w:val="000000" w:themeColor="text1"/>
          <w:sz w:val="24"/>
          <w:szCs w:val="24"/>
          <w:highlight w:val="none"/>
          <w:lang w:val="en-US" w:eastAsia="zh-CN"/>
        </w:rPr>
        <w:t xml:space="preserve">（二）服务标准</w:t>
      </w:r>
      <w:r>
        <w:rPr>
          <w:rFonts w:hint="eastAsia" w:ascii="方正仿宋_GB2312" w:hAnsi="方正仿宋_GB2312" w:eastAsia="方正仿宋_GB2312" w:cs="方正仿宋_GB2312"/>
          <w:b/>
          <w:bCs w:val="0"/>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绿化养护标准：达到《江苏省城市园林绿化养护管理规范及分级标准》等国家、省、市相关技术规范要求，各绿地实行分级养护，按照《宿迁市城市园林绿化养护分级标准（修订稿）》的一、二、三级养护标准执行。</w:t>
      </w:r>
      <w:r>
        <w:rPr>
          <w:rFonts w:hint="eastAsia" w:ascii="方正仿宋_GB2312" w:hAnsi="方正仿宋_GB2312" w:eastAsia="方正仿宋_GB2312" w:cs="方正仿宋_GB2312"/>
          <w:b/>
          <w:bCs w:val="0"/>
          <w:color w:val="000000" w:themeColor="text1"/>
          <w:sz w:val="24"/>
          <w:szCs w:val="24"/>
          <w:highlight w:val="none"/>
          <w:u w:val="single"/>
          <w:lang w:val="en-US" w:eastAsia="zh-CN"/>
        </w:rPr>
        <w:t xml:space="preserve">详见附件二。</w:t>
      </w:r>
      <w:r>
        <w:rPr>
          <w:rFonts w:hint="eastAsia" w:ascii="方正仿宋_GB2312" w:hAnsi="方正仿宋_GB2312" w:eastAsia="方正仿宋_GB2312" w:cs="方正仿宋_GB2312"/>
          <w:bCs/>
          <w:color w:val="000000" w:themeColor="text1"/>
          <w:sz w:val="24"/>
          <w:szCs w:val="24"/>
          <w:highlight w:val="none"/>
          <w:lang w:val="en-US"/>
        </w:rPr>
      </w:r>
      <w:r>
        <w:rPr>
          <w:color w:val="000000" w:themeColor="text1"/>
        </w:rPr>
      </w:r>
    </w:p>
    <w:p>
      <w:pPr>
        <w:pStyle w:val="799"/>
        <w:ind w:firstLine="281"/>
        <w:jc w:val="left"/>
        <w:spacing w:line="276" w:lineRule="auto"/>
        <w:rPr>
          <w:rFonts w:hint="eastAsia" w:ascii="方正仿宋_GB2312" w:hAnsi="方正仿宋_GB2312" w:eastAsia="方正仿宋_GB2312" w:cs="方正仿宋_GB2312"/>
          <w:b/>
          <w:bCs/>
          <w:color w:val="000000" w:themeColor="text1"/>
          <w:sz w:val="28"/>
          <w:szCs w:val="28"/>
          <w:highlight w:val="none"/>
        </w:rPr>
      </w:pPr>
      <w:r>
        <w:rPr>
          <w:rFonts w:hint="eastAsia" w:ascii="方正仿宋_GB2312" w:hAnsi="方正仿宋_GB2312" w:eastAsia="方正仿宋_GB2312" w:cs="方正仿宋_GB2312"/>
          <w:b/>
          <w:bCs/>
          <w:color w:val="000000" w:themeColor="text1"/>
          <w:sz w:val="28"/>
          <w:szCs w:val="28"/>
          <w:highlight w:val="none"/>
          <w:lang w:val="en-US" w:eastAsia="zh-CN"/>
        </w:rPr>
        <w:t xml:space="preserve">★五</w:t>
      </w:r>
      <w:r>
        <w:rPr>
          <w:rFonts w:hint="eastAsia" w:ascii="方正仿宋_GB2312" w:hAnsi="方正仿宋_GB2312" w:eastAsia="方正仿宋_GB2312" w:cs="方正仿宋_GB2312"/>
          <w:b/>
          <w:bCs/>
          <w:color w:val="000000" w:themeColor="text1"/>
          <w:sz w:val="28"/>
          <w:szCs w:val="28"/>
          <w:highlight w:val="none"/>
        </w:rPr>
        <w:t xml:space="preserve">、人员及配备要求</w:t>
      </w:r>
      <w:r>
        <w:rPr>
          <w:rFonts w:hint="eastAsia" w:ascii="方正仿宋_GB2312" w:hAnsi="方正仿宋_GB2312" w:eastAsia="方正仿宋_GB2312" w:cs="方正仿宋_GB2312"/>
          <w:b/>
          <w:bCs/>
          <w:color w:val="000000" w:themeColor="text1"/>
          <w:sz w:val="28"/>
          <w:szCs w:val="28"/>
          <w:highlight w:val="none"/>
        </w:rPr>
      </w:r>
      <w:r>
        <w:rPr>
          <w:color w:val="000000" w:themeColor="text1"/>
        </w:rPr>
      </w:r>
    </w:p>
    <w:p>
      <w:pPr>
        <w:pStyle w:val="799"/>
        <w:ind w:firstLine="482"/>
        <w:jc w:val="left"/>
        <w:keepLines w:val="0"/>
        <w:keepNext w:val="0"/>
        <w:pageBreakBefore w:val="0"/>
        <w:spacing w:line="440" w:lineRule="exact"/>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（一）人员要求</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p>
      <w:pPr>
        <w:pStyle w:val="799"/>
        <w:numPr>
          <w:ilvl w:val="0"/>
          <w:numId w:val="0"/>
        </w:numPr>
        <w:jc w:val="center"/>
        <w:keepLines w:val="0"/>
        <w:keepNext w:val="0"/>
        <w:pageBreakBefore w:val="0"/>
        <w:spacing w:line="440" w:lineRule="exact"/>
        <w:widowControl w:val="off"/>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人员配置</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需求</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bl>
      <w:tblPr>
        <w:tblpPr w:horzAnchor="text" w:tblpXSpec="center" w:vertAnchor="text" w:tblpY="1" w:leftFromText="180" w:topFromText="0" w:rightFromText="180" w:bottomFromText="0"/>
        <w:tblW w:w="94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8"/>
        <w:gridCol w:w="1649"/>
        <w:gridCol w:w="6294"/>
        <w:gridCol w:w="859"/>
      </w:tblGrid>
      <w:tr>
        <w:trPr>
          <w:tblHeader/>
        </w:trPr>
        <w:tc>
          <w:tcPr>
            <w:gridSpan w:val="4"/>
            <w:tcW w:w="9400" w:type="dxa"/>
            <w:vAlign w:val="center"/>
            <w:textDirection w:val="lrTb"/>
            <w:noWrap w:val="false"/>
          </w:tcPr>
          <w:p>
            <w:pPr>
              <w:pStyle w:val="799"/>
              <w:ind w:left="0" w:right="0" w:firstLine="0"/>
              <w:jc w:val="center"/>
              <w:keepLines w:val="0"/>
              <w:keepNext w:val="0"/>
              <w:pageBreakBefore w:val="0"/>
              <w:spacing w:line="240" w:lineRule="auto"/>
              <w:rPr>
                <w:rFonts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shd w:val="clear" w:color="auto" w:fill="auto"/>
                <w:lang w:val="en-US" w:eastAsia="zh-CN"/>
              </w:rPr>
              <w:t xml:space="preserve">采购包1</w:t>
            </w:r>
            <w:r>
              <w:rPr>
                <w:rFonts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r>
      <w:tr>
        <w:trPr>
          <w:tblHeader/>
        </w:trPr>
        <w:tc>
          <w:tcPr>
            <w:tcW w:w="598"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序号</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164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岗位名称</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6294"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人员要求</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85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配置数量</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r>
      <w:tr>
        <w:trPr/>
        <w:tc>
          <w:tcPr>
            <w:tcW w:w="598" w:type="dxa"/>
            <w:vAlign w:val="center"/>
            <w:textDirection w:val="lrTb"/>
            <w:noWrap w:val="false"/>
          </w:tcPr>
          <w:p>
            <w:pPr>
              <w:pStyle w:val="799"/>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1</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1649" w:type="dxa"/>
            <w:vAlign w:val="center"/>
            <w:textDirection w:val="lrTb"/>
            <w:noWrap w:val="false"/>
          </w:tcPr>
          <w:p>
            <w:pPr>
              <w:pStyle w:val="799"/>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项目经理</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6294" w:type="dxa"/>
            <w:vAlign w:val="center"/>
            <w:textDirection w:val="lrTb"/>
            <w:noWrap w:val="false"/>
          </w:tcPr>
          <w:p>
            <w:pPr>
              <w:pStyle w:val="799"/>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具备园林绿化相关专业中级及以上技术职称。</w:t>
            </w: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rPr>
            </w:r>
          </w:p>
        </w:tc>
        <w:tc>
          <w:tcPr>
            <w:tcW w:w="859" w:type="dxa"/>
            <w:vAlign w:val="center"/>
            <w:textDirection w:val="lrTb"/>
            <w:noWrap w:val="false"/>
          </w:tcPr>
          <w:p>
            <w:pPr>
              <w:pStyle w:val="799"/>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1</w:t>
            </w: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rPr>
            </w:r>
          </w:p>
        </w:tc>
      </w:tr>
      <w:tr>
        <w:trPr/>
        <w:tc>
          <w:tcPr>
            <w:tcW w:w="598" w:type="dxa"/>
            <w:vAlign w:val="center"/>
            <w:textDirection w:val="lrTb"/>
            <w:noWrap w:val="false"/>
          </w:tcPr>
          <w:p>
            <w:pPr>
              <w:pStyle w:val="799"/>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2</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1649" w:type="dxa"/>
            <w:vAlign w:val="center"/>
            <w:textDirection w:val="lrTb"/>
            <w:noWrap w:val="false"/>
          </w:tcPr>
          <w:p>
            <w:pPr>
              <w:pStyle w:val="799"/>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技术负责人</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6294" w:type="dxa"/>
            <w:vAlign w:val="center"/>
            <w:textDirection w:val="lrTb"/>
            <w:noWrap w:val="false"/>
          </w:tcPr>
          <w:p>
            <w:pPr>
              <w:pStyle w:val="799"/>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具备园林绿化相关专业专科及以上学历（试用期1个月，合格后方可上岗）。</w:t>
            </w: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rPr>
            </w:r>
          </w:p>
        </w:tc>
        <w:tc>
          <w:tcPr>
            <w:tcW w:w="859" w:type="dxa"/>
            <w:vAlign w:val="center"/>
            <w:textDirection w:val="lrTb"/>
            <w:noWrap w:val="false"/>
          </w:tcPr>
          <w:p>
            <w:pPr>
              <w:pStyle w:val="799"/>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1</w:t>
            </w: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rPr>
            </w:r>
          </w:p>
        </w:tc>
      </w:tr>
      <w:tr>
        <w:trPr/>
        <w:tc>
          <w:tcPr>
            <w:tcW w:w="598"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3</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164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安全员</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6294" w:type="dxa"/>
            <w:vAlign w:val="center"/>
            <w:textDirection w:val="lrTb"/>
            <w:noWrap w:val="false"/>
          </w:tcPr>
          <w:p>
            <w:pPr>
              <w:pStyle w:val="799"/>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仿宋" w:hAnsi="仿宋" w:eastAsia="仿宋" w:cs="宋体"/>
                <w:bCs/>
                <w:color w:val="000000" w:themeColor="text1"/>
                <w:sz w:val="24"/>
                <w:szCs w:val="24"/>
                <w:highlight w:val="none"/>
              </w:rPr>
              <w:t xml:space="preserve">具有</w:t>
            </w:r>
            <w:r>
              <w:rPr>
                <w:rFonts w:hint="eastAsia" w:ascii="仿宋" w:hAnsi="仿宋" w:eastAsia="仿宋" w:cs="宋体"/>
                <w:bCs/>
                <w:color w:val="000000" w:themeColor="text1"/>
                <w:sz w:val="24"/>
                <w:szCs w:val="24"/>
                <w:highlight w:val="none"/>
                <w:lang w:val="en-US" w:eastAsia="zh-CN"/>
              </w:rPr>
              <w:t xml:space="preserve">建筑施工企业专职安全员证书（C类证）</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，年龄55岁以下。</w:t>
            </w: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rPr>
            </w:r>
          </w:p>
        </w:tc>
        <w:tc>
          <w:tcPr>
            <w:tcW w:w="85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1</w:t>
            </w: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rPr>
            </w:r>
          </w:p>
        </w:tc>
      </w:tr>
      <w:tr>
        <w:trPr/>
        <w:tc>
          <w:tcPr>
            <w:tcW w:w="598"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4</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164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资料员</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6294" w:type="dxa"/>
            <w:vAlign w:val="center"/>
            <w:textDirection w:val="lrTb"/>
            <w:noWrap w:val="false"/>
          </w:tcPr>
          <w:p>
            <w:pPr>
              <w:pStyle w:val="799"/>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具备园林绿化相关专业专科及以上学历，年龄45岁以下。</w:t>
            </w: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rPr>
            </w:r>
          </w:p>
        </w:tc>
        <w:tc>
          <w:tcPr>
            <w:tcW w:w="85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1</w:t>
            </w: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rPr>
            </w:r>
          </w:p>
        </w:tc>
      </w:tr>
      <w:tr>
        <w:trPr/>
        <w:tc>
          <w:tcPr>
            <w:tcW w:w="598"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5</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164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花卉园艺工</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6294" w:type="dxa"/>
            <w:vAlign w:val="center"/>
            <w:textDirection w:val="lrTb"/>
            <w:noWrap w:val="false"/>
          </w:tcPr>
          <w:p>
            <w:pPr>
              <w:pStyle w:val="799"/>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绿化工中级（四级）及以上证书或花卉园艺工中级（四级）及以上证书（试用期1个月，合格后方可上岗）。</w:t>
            </w: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rPr>
            </w:r>
          </w:p>
        </w:tc>
        <w:tc>
          <w:tcPr>
            <w:tcW w:w="85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6</w:t>
            </w: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rPr>
            </w:r>
          </w:p>
        </w:tc>
      </w:tr>
      <w:tr>
        <w:trPr/>
        <w:tc>
          <w:tcPr>
            <w:tcW w:w="598"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6</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1649" w:type="dxa"/>
            <w:vAlign w:val="center"/>
            <w:textDirection w:val="lrTb"/>
            <w:noWrap w:val="false"/>
          </w:tcPr>
          <w:p>
            <w:pPr>
              <w:pStyle w:val="799"/>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固定绿化养护人员</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6294" w:type="dxa"/>
            <w:vAlign w:val="center"/>
            <w:textDirection w:val="lrTb"/>
            <w:noWrap w:val="false"/>
          </w:tcPr>
          <w:p>
            <w:pPr>
              <w:pStyle w:val="799"/>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rPr>
            </w:r>
          </w:p>
        </w:tc>
        <w:tc>
          <w:tcPr>
            <w:tcW w:w="85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52</w:t>
            </w: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rPr>
            </w:r>
          </w:p>
        </w:tc>
      </w:tr>
      <w:tr>
        <w:trPr/>
        <w:tc>
          <w:tcPr>
            <w:gridSpan w:val="2"/>
            <w:tcW w:w="2247" w:type="dxa"/>
            <w:vAlign w:val="center"/>
            <w:textDirection w:val="lrTb"/>
            <w:noWrap w:val="false"/>
          </w:tcPr>
          <w:p>
            <w:pPr>
              <w:pStyle w:val="799"/>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合计</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6294" w:type="dxa"/>
            <w:vAlign w:val="center"/>
            <w:textDirection w:val="lrTb"/>
            <w:noWrap w:val="false"/>
          </w:tcPr>
          <w:p>
            <w:pPr>
              <w:pStyle w:val="799"/>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val="0"/>
                <w:color w:val="000000" w:themeColor="text1"/>
                <w:sz w:val="24"/>
                <w:szCs w:val="24"/>
                <w:highlight w:val="none"/>
                <w:lang w:val="en-US" w:eastAsia="zh-CN"/>
              </w:rPr>
            </w:r>
            <w:r>
              <w:rPr>
                <w:color w:val="000000" w:themeColor="text1"/>
              </w:rPr>
            </w:r>
          </w:p>
        </w:tc>
        <w:tc>
          <w:tcPr>
            <w:tcW w:w="85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62</w:t>
            </w:r>
            <w:r>
              <w:rPr>
                <w:rFonts w:hint="eastAsia" w:ascii="方正仿宋_GB2312" w:hAnsi="方正仿宋_GB2312" w:eastAsia="方正仿宋_GB2312" w:cs="方正仿宋_GB2312"/>
                <w:b/>
                <w:bCs w:val="0"/>
                <w:color w:val="000000" w:themeColor="text1"/>
                <w:sz w:val="24"/>
                <w:szCs w:val="24"/>
                <w:highlight w:val="none"/>
                <w:lang w:val="en-US" w:eastAsia="zh-CN"/>
              </w:rPr>
            </w:r>
            <w:r>
              <w:rPr>
                <w:color w:val="000000" w:themeColor="text1"/>
              </w:rPr>
            </w:r>
          </w:p>
        </w:tc>
      </w:tr>
      <w:tr>
        <w:trPr/>
        <w:tc>
          <w:tcPr>
            <w:gridSpan w:val="4"/>
            <w:tcW w:w="9400" w:type="dxa"/>
            <w:vAlign w:val="center"/>
            <w:textDirection w:val="lrTb"/>
            <w:noWrap w:val="false"/>
          </w:tcPr>
          <w:p>
            <w:pPr>
              <w:pStyle w:val="799"/>
              <w:ind w:left="0" w:right="0" w:firstLine="0"/>
              <w:jc w:val="center"/>
              <w:keepLines w:val="0"/>
              <w:keepNext w:val="0"/>
              <w:pageBreakBefore w:val="0"/>
              <w:spacing w:line="240" w:lineRule="auto"/>
              <w:rPr>
                <w:rFonts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采购包2</w:t>
            </w:r>
            <w:r>
              <w:rPr>
                <w:rFonts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r>
      <w:tr>
        <w:trPr/>
        <w:tc>
          <w:tcPr>
            <w:tcW w:w="598" w:type="dxa"/>
            <w:vAlign w:val="center"/>
            <w:textDirection w:val="lrTb"/>
            <w:noWrap w:val="false"/>
          </w:tcPr>
          <w:p>
            <w:pPr>
              <w:pStyle w:val="799"/>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1</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1649" w:type="dxa"/>
            <w:vAlign w:val="center"/>
            <w:textDirection w:val="lrTb"/>
            <w:noWrap w:val="false"/>
          </w:tcPr>
          <w:p>
            <w:pPr>
              <w:pStyle w:val="799"/>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项目经理</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6294" w:type="dxa"/>
            <w:vAlign w:val="center"/>
            <w:textDirection w:val="lrTb"/>
            <w:noWrap w:val="false"/>
          </w:tcPr>
          <w:p>
            <w:pPr>
              <w:pStyle w:val="799"/>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具备园林绿化相关专业中级及以上技术职称。</w:t>
            </w: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rPr>
            </w:r>
          </w:p>
        </w:tc>
        <w:tc>
          <w:tcPr>
            <w:tcW w:w="859" w:type="dxa"/>
            <w:vAlign w:val="center"/>
            <w:textDirection w:val="lrTb"/>
            <w:noWrap w:val="false"/>
          </w:tcPr>
          <w:p>
            <w:pPr>
              <w:pStyle w:val="799"/>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1</w:t>
            </w: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rPr>
            </w:r>
          </w:p>
        </w:tc>
      </w:tr>
      <w:tr>
        <w:trPr/>
        <w:tc>
          <w:tcPr>
            <w:tcW w:w="598" w:type="dxa"/>
            <w:vAlign w:val="center"/>
            <w:textDirection w:val="lrTb"/>
            <w:noWrap w:val="false"/>
          </w:tcPr>
          <w:p>
            <w:pPr>
              <w:pStyle w:val="799"/>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2</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1649" w:type="dxa"/>
            <w:vAlign w:val="center"/>
            <w:textDirection w:val="lrTb"/>
            <w:noWrap w:val="false"/>
          </w:tcPr>
          <w:p>
            <w:pPr>
              <w:pStyle w:val="799"/>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技术负责人</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6294" w:type="dxa"/>
            <w:vAlign w:val="center"/>
            <w:textDirection w:val="lrTb"/>
            <w:noWrap w:val="false"/>
          </w:tcPr>
          <w:p>
            <w:pPr>
              <w:pStyle w:val="799"/>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具备园林绿化相关专业专科及以上学历（试用期1个月，合格后方可上岗）。</w:t>
            </w: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rPr>
            </w:r>
          </w:p>
        </w:tc>
        <w:tc>
          <w:tcPr>
            <w:tcW w:w="859" w:type="dxa"/>
            <w:vAlign w:val="center"/>
            <w:textDirection w:val="lrTb"/>
            <w:noWrap w:val="false"/>
          </w:tcPr>
          <w:p>
            <w:pPr>
              <w:pStyle w:val="799"/>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1</w:t>
            </w: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rPr>
            </w:r>
          </w:p>
        </w:tc>
      </w:tr>
      <w:tr>
        <w:trPr/>
        <w:tc>
          <w:tcPr>
            <w:tcW w:w="598"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3</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164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安全员</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6294" w:type="dxa"/>
            <w:vAlign w:val="center"/>
            <w:textDirection w:val="lrTb"/>
            <w:noWrap w:val="false"/>
          </w:tcPr>
          <w:p>
            <w:pPr>
              <w:pStyle w:val="799"/>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具有安全员相关证书，年龄55岁以下。</w:t>
            </w: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rPr>
            </w:r>
          </w:p>
        </w:tc>
        <w:tc>
          <w:tcPr>
            <w:tcW w:w="85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1</w:t>
            </w: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rPr>
            </w:r>
          </w:p>
        </w:tc>
      </w:tr>
      <w:tr>
        <w:trPr/>
        <w:tc>
          <w:tcPr>
            <w:tcW w:w="598"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4</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164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资料员</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6294" w:type="dxa"/>
            <w:vAlign w:val="center"/>
            <w:textDirection w:val="lrTb"/>
            <w:noWrap w:val="false"/>
          </w:tcPr>
          <w:p>
            <w:pPr>
              <w:pStyle w:val="799"/>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具备园林绿化相关专业专科及以上学历，年龄45岁以下。</w:t>
            </w: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rPr>
            </w:r>
          </w:p>
        </w:tc>
        <w:tc>
          <w:tcPr>
            <w:tcW w:w="85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1</w:t>
            </w: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rPr>
            </w:r>
          </w:p>
        </w:tc>
      </w:tr>
      <w:tr>
        <w:trPr/>
        <w:tc>
          <w:tcPr>
            <w:tcW w:w="598"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5</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164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花卉园艺工</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6294" w:type="dxa"/>
            <w:vAlign w:val="center"/>
            <w:textDirection w:val="lrTb"/>
            <w:noWrap w:val="false"/>
          </w:tcPr>
          <w:p>
            <w:pPr>
              <w:pStyle w:val="799"/>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绿化工中级（四级）及以上证书或花卉园艺工中级（四级）及以上证书（试用期1个月，合格后方可上岗）。</w:t>
            </w: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rPr>
            </w:r>
          </w:p>
        </w:tc>
        <w:tc>
          <w:tcPr>
            <w:tcW w:w="85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6</w:t>
            </w: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rPr>
            </w:r>
          </w:p>
        </w:tc>
      </w:tr>
      <w:tr>
        <w:trPr/>
        <w:tc>
          <w:tcPr>
            <w:tcW w:w="598"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6</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1649" w:type="dxa"/>
            <w:vAlign w:val="center"/>
            <w:textDirection w:val="lrTb"/>
            <w:noWrap w:val="false"/>
          </w:tcPr>
          <w:p>
            <w:pPr>
              <w:pStyle w:val="799"/>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固定绿化养护人员</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6294" w:type="dxa"/>
            <w:vAlign w:val="center"/>
            <w:textDirection w:val="lrTb"/>
            <w:noWrap w:val="false"/>
          </w:tcPr>
          <w:p>
            <w:pPr>
              <w:pStyle w:val="799"/>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rPr>
            </w:r>
          </w:p>
        </w:tc>
        <w:tc>
          <w:tcPr>
            <w:tcW w:w="85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val="0"/>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50</w:t>
            </w: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rPr>
            </w:r>
          </w:p>
        </w:tc>
      </w:tr>
      <w:tr>
        <w:trPr/>
        <w:tc>
          <w:tcPr>
            <w:gridSpan w:val="2"/>
            <w:tcW w:w="2247" w:type="dxa"/>
            <w:vAlign w:val="center"/>
            <w:textDirection w:val="lrTb"/>
            <w:noWrap w:val="false"/>
          </w:tcPr>
          <w:p>
            <w:pPr>
              <w:pStyle w:val="799"/>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合计</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c>
          <w:tcPr>
            <w:tcW w:w="6294" w:type="dxa"/>
            <w:vAlign w:val="center"/>
            <w:textDirection w:val="lrTb"/>
            <w:noWrap w:val="false"/>
          </w:tcPr>
          <w:p>
            <w:pPr>
              <w:pStyle w:val="799"/>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val="0"/>
                <w:color w:val="000000" w:themeColor="text1"/>
                <w:sz w:val="24"/>
                <w:szCs w:val="24"/>
                <w:highlight w:val="none"/>
                <w:lang w:val="en-US" w:eastAsia="zh-CN"/>
              </w:rPr>
            </w:r>
            <w:r>
              <w:rPr>
                <w:color w:val="000000" w:themeColor="text1"/>
              </w:rPr>
            </w:r>
          </w:p>
        </w:tc>
        <w:tc>
          <w:tcPr>
            <w:tcW w:w="85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bCs w:val="0"/>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60</w:t>
            </w:r>
            <w:r>
              <w:rPr>
                <w:rFonts w:hint="eastAsia" w:ascii="方正仿宋_GB2312" w:hAnsi="方正仿宋_GB2312" w:eastAsia="方正仿宋_GB2312" w:cs="方正仿宋_GB2312"/>
                <w:b/>
                <w:bCs w:val="0"/>
                <w:color w:val="000000" w:themeColor="text1"/>
                <w:sz w:val="24"/>
                <w:szCs w:val="24"/>
                <w:highlight w:val="none"/>
                <w:lang w:val="en-US" w:eastAsia="zh-CN"/>
              </w:rPr>
            </w:r>
            <w:r>
              <w:rPr>
                <w:color w:val="000000" w:themeColor="text1"/>
              </w:rPr>
            </w:r>
          </w:p>
        </w:tc>
      </w:tr>
    </w:tbl>
    <w:p>
      <w:pPr>
        <w:pStyle w:val="799"/>
        <w:ind w:firstLine="482"/>
        <w:keepLines w:val="0"/>
        <w:keepNext w:val="0"/>
        <w:pageBreakBefore w:val="0"/>
        <w:spacing w:line="240" w:lineRule="auto"/>
        <w:tabs>
          <w:tab w:val="left" w:pos="2675" w:leader="none"/>
        </w:tabs>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备注：</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p>
      <w:pPr>
        <w:pStyle w:val="799"/>
        <w:ind w:firstLine="482"/>
        <w:keepLines w:val="0"/>
        <w:keepNext w:val="0"/>
        <w:pageBreakBefore w:val="0"/>
        <w:spacing w:line="240" w:lineRule="auto"/>
        <w:tabs>
          <w:tab w:val="left" w:pos="2675" w:leader="none"/>
        </w:tabs>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1.上述表中所注人数为最低配置，招标人有权根据现场实际管养需求，要求中标单位增加养护工人数量，因此产生的所有费用包含在本标段的报价内。</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p>
      <w:pPr>
        <w:pStyle w:val="799"/>
        <w:ind w:firstLine="482"/>
        <w:keepLines w:val="0"/>
        <w:keepNext w:val="0"/>
        <w:pageBreakBefore w:val="0"/>
        <w:spacing w:line="240" w:lineRule="auto"/>
        <w:tabs>
          <w:tab w:val="left" w:pos="2675" w:leader="none"/>
        </w:tabs>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2.中标单位严格按范围人员要求配备人员，范围内人员未经允许不得跨区域作业。</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p>
      <w:pPr>
        <w:pStyle w:val="799"/>
        <w:ind w:firstLine="482"/>
        <w:keepLines w:val="0"/>
        <w:keepNext w:val="0"/>
        <w:pageBreakBefore w:val="0"/>
        <w:spacing w:line="240" w:lineRule="auto"/>
        <w:tabs>
          <w:tab w:val="left" w:pos="2675" w:leader="none"/>
        </w:tabs>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3.因日常养护任务繁重时（包括区内重大活动、灾害性天气等），除各类人员按招标要求满员配备到位之外，对招标人提出的临时增加作业人员的要求，中标单位应无条件服从，相关费用在投标报价中统筹考虑，不再增加费用。</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p>
      <w:pPr>
        <w:pStyle w:val="799"/>
        <w:ind w:firstLine="482"/>
        <w:jc w:val="both"/>
        <w:keepLines w:val="0"/>
        <w:keepNext w:val="0"/>
        <w:pageBreakBefore w:val="0"/>
        <w:spacing w:line="276" w:lineRule="auto"/>
        <w:widowControl w:val="off"/>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（二）机械设备要求</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p>
      <w:pPr>
        <w:pStyle w:val="799"/>
        <w:jc w:val="center"/>
        <w:keepLines w:val="0"/>
        <w:keepNext w:val="0"/>
        <w:pageBreakBefore w:val="0"/>
        <w:spacing w:line="276"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机械设备配置</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需求</w:t>
      </w:r>
      <w:r>
        <w:rPr>
          <w:rFonts w:hint="eastAsia" w:ascii="方正仿宋_GB2312" w:hAnsi="方正仿宋_GB2312" w:eastAsia="方正仿宋_GB2312" w:cs="方正仿宋_GB2312"/>
          <w:b/>
          <w:color w:val="000000" w:themeColor="text1"/>
          <w:sz w:val="24"/>
          <w:szCs w:val="24"/>
          <w:highlight w:val="none"/>
          <w:lang w:val="en-US" w:eastAsia="zh-CN"/>
        </w:rPr>
      </w:r>
      <w:r>
        <w:rPr>
          <w:color w:val="000000" w:themeColor="text1"/>
        </w:rPr>
      </w:r>
    </w:p>
    <w:tbl>
      <w:tblPr>
        <w:tblpPr w:horzAnchor="text" w:tblpXSpec="center" w:vertAnchor="text" w:tblpY="1" w:leftFromText="180" w:topFromText="0" w:rightFromText="180" w:bottomFromText="0"/>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6"/>
        <w:gridCol w:w="617"/>
        <w:gridCol w:w="2586"/>
        <w:gridCol w:w="619"/>
        <w:gridCol w:w="619"/>
        <w:gridCol w:w="3465"/>
      </w:tblGrid>
      <w:tr>
        <w:trPr>
          <w:tblHeader/>
        </w:trPr>
        <w:tc>
          <w:tcPr>
            <w:gridSpan w:val="6"/>
            <w:tcW w:w="8522" w:type="dxa"/>
            <w:vAlign w:val="center"/>
            <w:textDirection w:val="lrTb"/>
            <w:noWrap w:val="false"/>
          </w:tcPr>
          <w:p>
            <w:pPr>
              <w:pStyle w:val="799"/>
              <w:ind w:left="0" w:right="0" w:firstLine="0"/>
              <w:jc w:val="center"/>
              <w:keepLines w:val="0"/>
              <w:keepNext w:val="0"/>
              <w:pageBreakBefore w:val="0"/>
              <w:spacing w:line="240" w:lineRule="auto"/>
              <w:rPr>
                <w:rFonts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采购包1</w:t>
            </w:r>
            <w:r>
              <w:rPr>
                <w:rFonts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c>
      </w:tr>
      <w:tr>
        <w:trPr>
          <w:tblHeader/>
        </w:trPr>
        <w:tc>
          <w:tcPr>
            <w:tcW w:w="616"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rPr>
              <w:t xml:space="preserve">序号</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tc>
        <w:tc>
          <w:tcPr>
            <w:tcW w:w="617"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rPr>
              <w:t xml:space="preserve">种类</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tc>
        <w:tc>
          <w:tcPr>
            <w:tcW w:w="2586"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rPr>
              <w:t xml:space="preserve">名称</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tc>
        <w:tc>
          <w:tcPr>
            <w:tcW w:w="61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rPr>
              <w:t xml:space="preserve">数量</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tc>
        <w:tc>
          <w:tcPr>
            <w:tcW w:w="61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rPr>
              <w:t xml:space="preserve">单位</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tc>
        <w:tc>
          <w:tcPr>
            <w:tcW w:w="3465"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rPr>
              <w:t xml:space="preserve">用途</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tc>
      </w:tr>
      <w:tr>
        <w:trPr/>
        <w:tc>
          <w:tcPr>
            <w:tcW w:w="616" w:type="dxa"/>
            <w:vAlign w:val="center"/>
            <w:textDirection w:val="lrTb"/>
            <w:noWrap w:val="false"/>
          </w:tcPr>
          <w:p>
            <w:pPr>
              <w:pStyle w:val="799"/>
              <w:numPr>
                <w:ilvl w:val="0"/>
                <w:numId w:val="0"/>
              </w:numPr>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1</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tc>
        <w:tc>
          <w:tcPr>
            <w:tcW w:w="617" w:type="dxa"/>
            <w:vAlign w:val="center"/>
            <w:vMerge w:val="restart"/>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绿</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化</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日</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常</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养</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护</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机</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械</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2586"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val="0"/>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color w:val="000000" w:themeColor="text1"/>
                <w:sz w:val="24"/>
                <w:szCs w:val="24"/>
                <w:highlight w:val="none"/>
              </w:rPr>
              <w:t xml:space="preserve">洒水车</w:t>
            </w:r>
            <w:r>
              <w:rPr>
                <w:rFonts w:hint="eastAsia" w:ascii="方正仿宋_GB2312" w:hAnsi="方正仿宋_GB2312" w:eastAsia="方正仿宋_GB2312" w:cs="方正仿宋_GB2312"/>
                <w:b w:val="0"/>
                <w:bCs/>
                <w:color w:val="000000" w:themeColor="text1"/>
                <w:sz w:val="24"/>
                <w:szCs w:val="24"/>
                <w:highlight w:val="none"/>
                <w:lang w:eastAsia="zh-CN"/>
              </w:rPr>
              <w:t xml:space="preserve">（</w:t>
            </w:r>
            <w:r>
              <w:rPr>
                <w:rFonts w:hint="eastAsia" w:ascii="方正仿宋_GB2312" w:hAnsi="方正仿宋_GB2312" w:eastAsia="方正仿宋_GB2312" w:cs="方正仿宋_GB2312"/>
                <w:b w:val="0"/>
                <w:bCs/>
                <w:color w:val="000000" w:themeColor="text1"/>
                <w:sz w:val="24"/>
                <w:szCs w:val="24"/>
                <w:highlight w:val="none"/>
              </w:rPr>
              <w:t xml:space="preserve">罐体容积≥8立方</w:t>
            </w:r>
            <w:r>
              <w:rPr>
                <w:rFonts w:hint="eastAsia" w:ascii="方正仿宋_GB2312" w:hAnsi="方正仿宋_GB2312" w:eastAsia="方正仿宋_GB2312" w:cs="方正仿宋_GB2312"/>
                <w:b w:val="0"/>
                <w:bCs/>
                <w:color w:val="000000" w:themeColor="text1"/>
                <w:sz w:val="24"/>
                <w:szCs w:val="24"/>
                <w:highlight w:val="none"/>
                <w:lang w:eastAsia="zh-CN"/>
              </w:rPr>
              <w:t xml:space="preserve">）</w:t>
            </w:r>
            <w:r>
              <w:rPr>
                <w:rFonts w:hint="eastAsia" w:ascii="方正仿宋_GB2312" w:hAnsi="方正仿宋_GB2312" w:eastAsia="方正仿宋_GB2312" w:cs="方正仿宋_GB2312"/>
                <w:b w:val="0"/>
                <w:bCs/>
                <w:color w:val="000000" w:themeColor="text1"/>
                <w:sz w:val="24"/>
                <w:szCs w:val="24"/>
                <w:highlight w:val="none"/>
                <w:lang w:eastAsia="zh-CN"/>
              </w:rPr>
            </w:r>
            <w:r>
              <w:rPr>
                <w:color w:val="000000" w:themeColor="text1"/>
              </w:rPr>
            </w:r>
          </w:p>
        </w:tc>
        <w:tc>
          <w:tcPr>
            <w:tcW w:w="619" w:type="dxa"/>
            <w:vAlign w:val="center"/>
            <w:textDirection w:val="lrTb"/>
            <w:noWrap w:val="false"/>
          </w:tcPr>
          <w:p>
            <w:pPr>
              <w:pStyle w:val="799"/>
              <w:ind w:left="0" w:right="0" w:firstLine="0"/>
              <w:jc w:val="left"/>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2</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tc>
        <w:tc>
          <w:tcPr>
            <w:tcW w:w="61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台</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tc>
        <w:tc>
          <w:tcPr>
            <w:tcW w:w="3465"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主要用于绿化浇水，并配有喷雾、喷药系统</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tcW w:w="616" w:type="dxa"/>
            <w:vAlign w:val="center"/>
            <w:textDirection w:val="lrTb"/>
            <w:noWrap w:val="false"/>
          </w:tcPr>
          <w:p>
            <w:pPr>
              <w:pStyle w:val="799"/>
              <w:numPr>
                <w:ilvl w:val="0"/>
                <w:numId w:val="0"/>
              </w:numPr>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2</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tc>
        <w:tc>
          <w:tcPr>
            <w:tcW w:w="617" w:type="dxa"/>
            <w:vAlign w:val="center"/>
            <w:vMerge w:val="continue"/>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sz w:val="24"/>
                <w:szCs w:val="24"/>
                <w:highlight w:val="none"/>
              </w:rPr>
              <w:framePr w:vAnchor="margin" w:hAnchor="page" w:xAlign="center" w:y="1"/>
            </w:pPr>
            <w:r>
              <w:rPr>
                <w:rFonts w:hint="eastAsia" w:ascii="方正仿宋_GB2312" w:hAnsi="方正仿宋_GB2312" w:eastAsia="方正仿宋_GB2312" w:cs="方正仿宋_GB2312"/>
                <w:bCs/>
                <w:color w:val="000000"/>
                <w:sz w:val="24"/>
                <w:szCs w:val="24"/>
                <w:highlight w:val="none"/>
              </w:rPr>
            </w:r>
            <w:r/>
          </w:p>
        </w:tc>
        <w:tc>
          <w:tcPr>
            <w:tcW w:w="2586"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val="0"/>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color w:val="000000" w:themeColor="text1"/>
                <w:sz w:val="24"/>
                <w:szCs w:val="24"/>
                <w:highlight w:val="none"/>
              </w:rPr>
              <w:t xml:space="preserve">皮卡车</w:t>
            </w:r>
            <w:r>
              <w:rPr>
                <w:rFonts w:hint="eastAsia" w:ascii="方正仿宋_GB2312" w:hAnsi="方正仿宋_GB2312" w:eastAsia="方正仿宋_GB2312" w:cs="方正仿宋_GB2312"/>
                <w:b w:val="0"/>
                <w:bCs/>
                <w:color w:val="000000" w:themeColor="text1"/>
                <w:sz w:val="24"/>
                <w:szCs w:val="24"/>
                <w:highlight w:val="none"/>
                <w:lang w:eastAsia="zh-CN"/>
              </w:rPr>
              <w:t xml:space="preserve">（</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四驱</w:t>
            </w:r>
            <w:r>
              <w:rPr>
                <w:rFonts w:hint="eastAsia" w:ascii="方正仿宋_GB2312" w:hAnsi="方正仿宋_GB2312" w:eastAsia="方正仿宋_GB2312" w:cs="方正仿宋_GB2312"/>
                <w:b w:val="0"/>
                <w:bCs/>
                <w:color w:val="000000" w:themeColor="text1"/>
                <w:sz w:val="24"/>
                <w:szCs w:val="24"/>
                <w:highlight w:val="none"/>
                <w:lang w:eastAsia="zh-CN"/>
              </w:rPr>
              <w:t xml:space="preserve">）</w:t>
            </w:r>
            <w:r>
              <w:rPr>
                <w:rFonts w:hint="eastAsia" w:ascii="方正仿宋_GB2312" w:hAnsi="方正仿宋_GB2312" w:eastAsia="方正仿宋_GB2312" w:cs="方正仿宋_GB2312"/>
                <w:b w:val="0"/>
                <w:bCs/>
                <w:color w:val="000000" w:themeColor="text1"/>
                <w:sz w:val="24"/>
                <w:szCs w:val="24"/>
                <w:highlight w:val="none"/>
                <w:lang w:eastAsia="zh-CN"/>
              </w:rPr>
            </w:r>
            <w:r>
              <w:rPr>
                <w:color w:val="000000" w:themeColor="text1"/>
              </w:rPr>
            </w:r>
          </w:p>
        </w:tc>
        <w:tc>
          <w:tcPr>
            <w:tcW w:w="619" w:type="dxa"/>
            <w:vAlign w:val="center"/>
            <w:textDirection w:val="lrTb"/>
            <w:noWrap w:val="false"/>
          </w:tcPr>
          <w:p>
            <w:pPr>
              <w:pStyle w:val="799"/>
              <w:ind w:left="0" w:right="0" w:firstLine="0"/>
              <w:jc w:val="left"/>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1</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61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辆</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3465"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主要用于日常养护巡视</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tcW w:w="616" w:type="dxa"/>
            <w:vAlign w:val="center"/>
            <w:textDirection w:val="lrTb"/>
            <w:noWrap w:val="false"/>
          </w:tcPr>
          <w:p>
            <w:pPr>
              <w:pStyle w:val="799"/>
              <w:numPr>
                <w:ilvl w:val="0"/>
                <w:numId w:val="0"/>
              </w:numPr>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3</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tc>
        <w:tc>
          <w:tcPr>
            <w:tcW w:w="617" w:type="dxa"/>
            <w:vAlign w:val="center"/>
            <w:vMerge w:val="continue"/>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sz w:val="24"/>
                <w:szCs w:val="24"/>
                <w:highlight w:val="none"/>
              </w:rPr>
              <w:framePr w:vAnchor="margin" w:hAnchor="page" w:xAlign="center" w:y="1"/>
            </w:pPr>
            <w:r>
              <w:rPr>
                <w:rFonts w:hint="eastAsia" w:ascii="方正仿宋_GB2312" w:hAnsi="方正仿宋_GB2312" w:eastAsia="方正仿宋_GB2312" w:cs="方正仿宋_GB2312"/>
                <w:bCs/>
                <w:color w:val="000000"/>
                <w:sz w:val="24"/>
                <w:szCs w:val="24"/>
                <w:highlight w:val="none"/>
              </w:rPr>
            </w:r>
            <w:r/>
          </w:p>
        </w:tc>
        <w:tc>
          <w:tcPr>
            <w:tcW w:w="2586"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val="0"/>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草坪打孔机（打孔机+拖拉机）</w:t>
            </w:r>
            <w:r>
              <w:rPr>
                <w:rFonts w:hint="eastAsia" w:ascii="方正仿宋_GB2312" w:hAnsi="方正仿宋_GB2312" w:eastAsia="方正仿宋_GB2312" w:cs="方正仿宋_GB2312"/>
                <w:b w:val="0"/>
                <w:bCs/>
                <w:color w:val="000000" w:themeColor="text1"/>
                <w:sz w:val="24"/>
                <w:szCs w:val="24"/>
                <w:highlight w:val="none"/>
                <w:lang w:val="en-US" w:eastAsia="zh-CN"/>
              </w:rPr>
            </w:r>
            <w:r>
              <w:rPr>
                <w:color w:val="000000" w:themeColor="text1"/>
              </w:rPr>
            </w:r>
          </w:p>
        </w:tc>
        <w:tc>
          <w:tcPr>
            <w:tcW w:w="619" w:type="dxa"/>
            <w:vAlign w:val="center"/>
            <w:textDirection w:val="lrTb"/>
            <w:noWrap w:val="false"/>
          </w:tcPr>
          <w:p>
            <w:pPr>
              <w:pStyle w:val="799"/>
              <w:ind w:left="0" w:right="0" w:firstLine="0"/>
              <w:jc w:val="left"/>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1</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tc>
        <w:tc>
          <w:tcPr>
            <w:tcW w:w="61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台</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tc>
        <w:tc>
          <w:tcPr>
            <w:tcW w:w="3465"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用于中央商区草坪打孔</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tc>
      </w:tr>
      <w:tr>
        <w:trPr/>
        <w:tc>
          <w:tcPr>
            <w:tcW w:w="616" w:type="dxa"/>
            <w:vAlign w:val="center"/>
            <w:textDirection w:val="lrTb"/>
            <w:noWrap w:val="false"/>
          </w:tcPr>
          <w:p>
            <w:pPr>
              <w:pStyle w:val="799"/>
              <w:numPr>
                <w:ilvl w:val="0"/>
                <w:numId w:val="0"/>
              </w:numPr>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4</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tc>
        <w:tc>
          <w:tcPr>
            <w:tcW w:w="617" w:type="dxa"/>
            <w:vAlign w:val="center"/>
            <w:vMerge w:val="continue"/>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sz w:val="24"/>
                <w:szCs w:val="24"/>
                <w:highlight w:val="none"/>
              </w:rPr>
              <w:framePr w:vAnchor="margin" w:hAnchor="page" w:xAlign="center" w:y="1"/>
            </w:pPr>
            <w:r>
              <w:rPr>
                <w:rFonts w:hint="eastAsia" w:ascii="方正仿宋_GB2312" w:hAnsi="方正仿宋_GB2312" w:eastAsia="方正仿宋_GB2312" w:cs="方正仿宋_GB2312"/>
                <w:bCs/>
                <w:color w:val="000000"/>
                <w:sz w:val="24"/>
                <w:szCs w:val="24"/>
                <w:highlight w:val="none"/>
              </w:rPr>
            </w:r>
            <w:r/>
          </w:p>
        </w:tc>
        <w:tc>
          <w:tcPr>
            <w:tcW w:w="2586"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座骑式草坪修剪机</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619" w:type="dxa"/>
            <w:vAlign w:val="center"/>
            <w:textDirection w:val="lrTb"/>
            <w:noWrap w:val="false"/>
          </w:tcPr>
          <w:p>
            <w:pPr>
              <w:pStyle w:val="799"/>
              <w:ind w:left="0" w:right="0" w:firstLine="0"/>
              <w:jc w:val="left"/>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1</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61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台</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3465"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主要用于草坪修剪</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r>
      <w:tr>
        <w:trPr/>
        <w:tc>
          <w:tcPr>
            <w:tcW w:w="616" w:type="dxa"/>
            <w:vAlign w:val="center"/>
            <w:textDirection w:val="lrTb"/>
            <w:noWrap w:val="false"/>
          </w:tcPr>
          <w:p>
            <w:pPr>
              <w:pStyle w:val="799"/>
              <w:numPr>
                <w:ilvl w:val="0"/>
                <w:numId w:val="0"/>
              </w:numPr>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5</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tc>
        <w:tc>
          <w:tcPr>
            <w:tcW w:w="617" w:type="dxa"/>
            <w:vAlign w:val="center"/>
            <w:vMerge w:val="continue"/>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sz w:val="24"/>
                <w:szCs w:val="24"/>
                <w:highlight w:val="none"/>
              </w:rPr>
              <w:framePr w:vAnchor="margin" w:hAnchor="page" w:xAlign="center" w:y="1"/>
            </w:pPr>
            <w:r>
              <w:rPr>
                <w:rFonts w:hint="eastAsia" w:ascii="方正仿宋_GB2312" w:hAnsi="方正仿宋_GB2312" w:eastAsia="方正仿宋_GB2312" w:cs="方正仿宋_GB2312"/>
                <w:bCs/>
                <w:color w:val="000000"/>
                <w:sz w:val="24"/>
                <w:szCs w:val="24"/>
                <w:highlight w:val="none"/>
              </w:rPr>
            </w:r>
            <w:r/>
          </w:p>
        </w:tc>
        <w:tc>
          <w:tcPr>
            <w:tcW w:w="2586"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运载货车</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619" w:type="dxa"/>
            <w:vAlign w:val="center"/>
            <w:textDirection w:val="lrTb"/>
            <w:noWrap w:val="false"/>
          </w:tcPr>
          <w:p>
            <w:pPr>
              <w:pStyle w:val="799"/>
              <w:ind w:left="0" w:right="0" w:firstLine="0"/>
              <w:jc w:val="left"/>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1</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tc>
        <w:tc>
          <w:tcPr>
            <w:tcW w:w="61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辆</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tc>
        <w:tc>
          <w:tcPr>
            <w:tcW w:w="3465"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用于苗木、枯枝落叶、杂物等清运</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r>
      <w:tr>
        <w:trPr/>
        <w:tc>
          <w:tcPr>
            <w:tcW w:w="616" w:type="dxa"/>
            <w:vAlign w:val="center"/>
            <w:textDirection w:val="lrTb"/>
            <w:noWrap w:val="false"/>
          </w:tcPr>
          <w:p>
            <w:pPr>
              <w:pStyle w:val="799"/>
              <w:numPr>
                <w:ilvl w:val="0"/>
                <w:numId w:val="0"/>
              </w:numPr>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6</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tc>
        <w:tc>
          <w:tcPr>
            <w:tcW w:w="617" w:type="dxa"/>
            <w:vAlign w:val="center"/>
            <w:vMerge w:val="continue"/>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sz w:val="24"/>
                <w:szCs w:val="24"/>
                <w:highlight w:val="none"/>
              </w:rPr>
              <w:framePr w:vAnchor="margin" w:hAnchor="page" w:xAlign="center" w:y="1"/>
            </w:pPr>
            <w:r>
              <w:rPr>
                <w:rFonts w:hint="eastAsia" w:ascii="方正仿宋_GB2312" w:hAnsi="方正仿宋_GB2312" w:eastAsia="方正仿宋_GB2312" w:cs="方正仿宋_GB2312"/>
                <w:bCs/>
                <w:color w:val="000000"/>
                <w:sz w:val="24"/>
                <w:szCs w:val="24"/>
                <w:highlight w:val="none"/>
              </w:rPr>
            </w:r>
            <w:r/>
          </w:p>
        </w:tc>
        <w:tc>
          <w:tcPr>
            <w:tcW w:w="2586"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手推式</w:t>
            </w:r>
            <w:r>
              <w:rPr>
                <w:rFonts w:hint="eastAsia" w:ascii="方正仿宋_GB2312" w:hAnsi="方正仿宋_GB2312" w:eastAsia="方正仿宋_GB2312" w:cs="方正仿宋_GB2312"/>
                <w:bCs/>
                <w:color w:val="000000" w:themeColor="text1"/>
                <w:sz w:val="24"/>
                <w:szCs w:val="24"/>
                <w:highlight w:val="none"/>
              </w:rPr>
              <w:t xml:space="preserve">草坪修剪机</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619" w:type="dxa"/>
            <w:vAlign w:val="center"/>
            <w:textDirection w:val="lrTb"/>
            <w:noWrap w:val="false"/>
          </w:tcPr>
          <w:p>
            <w:pPr>
              <w:pStyle w:val="799"/>
              <w:ind w:left="0" w:right="0" w:firstLine="0"/>
              <w:jc w:val="left"/>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2</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61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台</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3465"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主要用于草坪修剪</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r>
      <w:tr>
        <w:trPr/>
        <w:tc>
          <w:tcPr>
            <w:tcW w:w="616" w:type="dxa"/>
            <w:vAlign w:val="center"/>
            <w:textDirection w:val="lrTb"/>
            <w:noWrap w:val="false"/>
          </w:tcPr>
          <w:p>
            <w:pPr>
              <w:pStyle w:val="799"/>
              <w:numPr>
                <w:ilvl w:val="0"/>
                <w:numId w:val="0"/>
              </w:numPr>
              <w:ind w:left="0" w:right="0" w:firstLine="0"/>
              <w:jc w:val="center"/>
              <w:keepLines w:val="0"/>
              <w:keepNext w:val="0"/>
              <w:pageBreakBefore w:val="0"/>
              <w:spacing w:line="240" w:lineRule="auto"/>
              <w:rPr>
                <w:rFonts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7</w:t>
            </w:r>
            <w:r>
              <w:rPr>
                <w:rFonts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tc>
        <w:tc>
          <w:tcPr>
            <w:tcW w:w="617" w:type="dxa"/>
            <w:vAlign w:val="center"/>
            <w:vMerge w:val="continue"/>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sz w:val="24"/>
                <w:szCs w:val="24"/>
                <w:highlight w:val="none"/>
              </w:rPr>
              <w:framePr w:vAnchor="margin" w:hAnchor="page" w:xAlign="center" w:y="1"/>
            </w:pPr>
            <w:r>
              <w:rPr>
                <w:rFonts w:hint="eastAsia" w:ascii="方正仿宋_GB2312" w:hAnsi="方正仿宋_GB2312" w:eastAsia="方正仿宋_GB2312" w:cs="方正仿宋_GB2312"/>
                <w:bCs/>
                <w:color w:val="000000"/>
                <w:sz w:val="24"/>
                <w:szCs w:val="24"/>
                <w:highlight w:val="none"/>
              </w:rPr>
            </w:r>
            <w:r/>
          </w:p>
        </w:tc>
        <w:tc>
          <w:tcPr>
            <w:tcW w:w="2586"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高空升降车</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tc>
        <w:tc>
          <w:tcPr>
            <w:tcW w:w="619" w:type="dxa"/>
            <w:vAlign w:val="center"/>
            <w:textDirection w:val="lrTb"/>
            <w:noWrap w:val="false"/>
          </w:tcPr>
          <w:p>
            <w:pPr>
              <w:pStyle w:val="799"/>
              <w:ind w:left="0" w:right="0" w:firstLine="0"/>
              <w:jc w:val="left"/>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1</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61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辆</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3465"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主要用于高大乔木修剪</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r>
      <w:tr>
        <w:trPr/>
        <w:tc>
          <w:tcPr>
            <w:tcW w:w="616" w:type="dxa"/>
            <w:vAlign w:val="center"/>
            <w:textDirection w:val="lrTb"/>
            <w:noWrap w:val="false"/>
          </w:tcPr>
          <w:p>
            <w:pPr>
              <w:pStyle w:val="799"/>
              <w:numPr>
                <w:ilvl w:val="0"/>
                <w:numId w:val="0"/>
              </w:numPr>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8</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tc>
        <w:tc>
          <w:tcPr>
            <w:tcW w:w="617" w:type="dxa"/>
            <w:vAlign w:val="center"/>
            <w:vMerge w:val="continue"/>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sz w:val="24"/>
                <w:szCs w:val="24"/>
                <w:highlight w:val="none"/>
              </w:rPr>
              <w:framePr w:vAnchor="margin" w:hAnchor="page" w:xAlign="center" w:y="1"/>
            </w:pPr>
            <w:r>
              <w:rPr>
                <w:rFonts w:hint="eastAsia" w:ascii="方正仿宋_GB2312" w:hAnsi="方正仿宋_GB2312" w:eastAsia="方正仿宋_GB2312" w:cs="方正仿宋_GB2312"/>
                <w:bCs/>
                <w:color w:val="000000"/>
                <w:sz w:val="24"/>
                <w:szCs w:val="24"/>
                <w:highlight w:val="none"/>
              </w:rPr>
            </w:r>
            <w:r/>
          </w:p>
        </w:tc>
        <w:tc>
          <w:tcPr>
            <w:tcW w:w="2586"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高压打药机（射程</w:t>
            </w:r>
            <w:r>
              <w:rPr>
                <w:rFonts w:hint="eastAsia" w:ascii="方正仿宋_GB2312" w:hAnsi="方正仿宋_GB2312" w:eastAsia="方正仿宋_GB2312" w:cs="方正仿宋_GB2312"/>
                <w:bCs/>
                <w:color w:val="000000" w:themeColor="text1"/>
                <w:sz w:val="24"/>
                <w:szCs w:val="24"/>
                <w:highlight w:val="none"/>
              </w:rPr>
              <w:t xml:space="preserve">≥</w:t>
            </w:r>
            <w:r>
              <w:rPr>
                <w:rFonts w:hint="eastAsia" w:ascii="方正仿宋_GB2312" w:hAnsi="方正仿宋_GB2312" w:eastAsia="方正仿宋_GB2312" w:cs="方正仿宋_GB2312"/>
                <w:bCs/>
                <w:color w:val="000000" w:themeColor="text1"/>
                <w:sz w:val="24"/>
                <w:szCs w:val="24"/>
                <w:highlight w:val="none"/>
                <w:lang w:val="en-US" w:eastAsia="zh-CN"/>
              </w:rPr>
              <w:t xml:space="preserve">12米）</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619" w:type="dxa"/>
            <w:vAlign w:val="center"/>
            <w:textDirection w:val="lrTb"/>
            <w:noWrap w:val="false"/>
          </w:tcPr>
          <w:p>
            <w:pPr>
              <w:pStyle w:val="799"/>
              <w:ind w:left="0" w:right="0" w:firstLine="0"/>
              <w:jc w:val="left"/>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1</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tc>
        <w:tc>
          <w:tcPr>
            <w:tcW w:w="61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台</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tc>
        <w:tc>
          <w:tcPr>
            <w:tcW w:w="3465"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主要用于病虫害防治</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r>
      <w:tr>
        <w:trPr/>
        <w:tc>
          <w:tcPr>
            <w:gridSpan w:val="6"/>
            <w:tcW w:w="8522" w:type="dxa"/>
            <w:vAlign w:val="center"/>
            <w:textDirection w:val="lrTb"/>
            <w:noWrap w:val="false"/>
          </w:tcPr>
          <w:p>
            <w:pPr>
              <w:pStyle w:val="799"/>
              <w:ind w:left="0" w:right="0" w:firstLine="0"/>
              <w:jc w:val="center"/>
              <w:keepLines w:val="0"/>
              <w:keepNext w:val="0"/>
              <w:pageBreakBefore w:val="0"/>
              <w:spacing w:line="240" w:lineRule="auto"/>
              <w:rPr>
                <w:rFonts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采购包2</w:t>
            </w:r>
            <w:r>
              <w:rPr>
                <w:rFonts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tc>
      </w:tr>
      <w:tr>
        <w:trPr/>
        <w:tc>
          <w:tcPr>
            <w:tcW w:w="616"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1</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617" w:type="dxa"/>
            <w:vAlign w:val="center"/>
            <w:vMerge w:val="restart"/>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绿</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化</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日</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常</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养</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护</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机</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械</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2586"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val="0"/>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color w:val="000000" w:themeColor="text1"/>
                <w:sz w:val="24"/>
                <w:szCs w:val="24"/>
                <w:highlight w:val="none"/>
              </w:rPr>
              <w:t xml:space="preserve">洒水车</w:t>
            </w:r>
            <w:r>
              <w:rPr>
                <w:rFonts w:hint="eastAsia" w:ascii="方正仿宋_GB2312" w:hAnsi="方正仿宋_GB2312" w:eastAsia="方正仿宋_GB2312" w:cs="方正仿宋_GB2312"/>
                <w:b w:val="0"/>
                <w:bCs/>
                <w:color w:val="000000" w:themeColor="text1"/>
                <w:sz w:val="24"/>
                <w:szCs w:val="24"/>
                <w:highlight w:val="none"/>
                <w:lang w:eastAsia="zh-CN"/>
              </w:rPr>
              <w:t xml:space="preserve">（（罐体容积≥8立方）</w:t>
            </w:r>
            <w:r>
              <w:rPr>
                <w:rFonts w:hint="eastAsia" w:ascii="方正仿宋_GB2312" w:hAnsi="方正仿宋_GB2312" w:eastAsia="方正仿宋_GB2312" w:cs="方正仿宋_GB2312"/>
                <w:b w:val="0"/>
                <w:bCs/>
                <w:color w:val="000000" w:themeColor="text1"/>
                <w:sz w:val="24"/>
                <w:szCs w:val="24"/>
                <w:highlight w:val="none"/>
                <w:lang w:eastAsia="zh-CN"/>
              </w:rPr>
            </w:r>
            <w:r>
              <w:rPr>
                <w:color w:val="000000" w:themeColor="text1"/>
              </w:rPr>
            </w:r>
          </w:p>
        </w:tc>
        <w:tc>
          <w:tcPr>
            <w:tcW w:w="619" w:type="dxa"/>
            <w:vAlign w:val="center"/>
            <w:textDirection w:val="lrTb"/>
            <w:noWrap w:val="false"/>
          </w:tcPr>
          <w:p>
            <w:pPr>
              <w:pStyle w:val="799"/>
              <w:ind w:left="0" w:right="0" w:firstLine="0"/>
              <w:jc w:val="left"/>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2</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tc>
        <w:tc>
          <w:tcPr>
            <w:tcW w:w="61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台</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3465"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主要用于绿化浇水，并配有喷雾、喷药系统</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tcW w:w="616"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2</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617" w:type="dxa"/>
            <w:vAlign w:val="center"/>
            <w:vMerge w:val="continue"/>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sz w:val="24"/>
                <w:szCs w:val="24"/>
                <w:highlight w:val="none"/>
              </w:rPr>
              <w:framePr w:vAnchor="margin" w:hAnchor="page" w:xAlign="center" w:y="1"/>
            </w:pPr>
            <w:r>
              <w:rPr>
                <w:rFonts w:hint="eastAsia" w:ascii="方正仿宋_GB2312" w:hAnsi="方正仿宋_GB2312" w:eastAsia="方正仿宋_GB2312" w:cs="方正仿宋_GB2312"/>
                <w:bCs/>
                <w:color w:val="000000"/>
                <w:sz w:val="24"/>
                <w:szCs w:val="24"/>
                <w:highlight w:val="none"/>
              </w:rPr>
            </w:r>
            <w:r/>
          </w:p>
        </w:tc>
        <w:tc>
          <w:tcPr>
            <w:tcW w:w="2586"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 w:val="0"/>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val="0"/>
                <w:bCs/>
                <w:color w:val="000000" w:themeColor="text1"/>
                <w:sz w:val="24"/>
                <w:szCs w:val="24"/>
                <w:highlight w:val="none"/>
              </w:rPr>
              <w:t xml:space="preserve">皮卡车</w:t>
            </w:r>
            <w:r>
              <w:rPr>
                <w:rFonts w:hint="eastAsia" w:ascii="方正仿宋_GB2312" w:hAnsi="方正仿宋_GB2312" w:eastAsia="方正仿宋_GB2312" w:cs="方正仿宋_GB2312"/>
                <w:b w:val="0"/>
                <w:bCs/>
                <w:color w:val="000000" w:themeColor="text1"/>
                <w:sz w:val="24"/>
                <w:szCs w:val="24"/>
                <w:highlight w:val="none"/>
                <w:lang w:eastAsia="zh-CN"/>
              </w:rPr>
              <w:t xml:space="preserve">（</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四驱</w:t>
            </w:r>
            <w:r>
              <w:rPr>
                <w:rFonts w:hint="eastAsia" w:ascii="方正仿宋_GB2312" w:hAnsi="方正仿宋_GB2312" w:eastAsia="方正仿宋_GB2312" w:cs="方正仿宋_GB2312"/>
                <w:b w:val="0"/>
                <w:bCs/>
                <w:color w:val="000000" w:themeColor="text1"/>
                <w:sz w:val="24"/>
                <w:szCs w:val="24"/>
                <w:highlight w:val="none"/>
                <w:lang w:eastAsia="zh-CN"/>
              </w:rPr>
              <w:t xml:space="preserve">）</w:t>
            </w:r>
            <w:r>
              <w:rPr>
                <w:rFonts w:hint="eastAsia" w:ascii="方正仿宋_GB2312" w:hAnsi="方正仿宋_GB2312" w:eastAsia="方正仿宋_GB2312" w:cs="方正仿宋_GB2312"/>
                <w:b w:val="0"/>
                <w:bCs/>
                <w:color w:val="000000" w:themeColor="text1"/>
                <w:sz w:val="24"/>
                <w:szCs w:val="24"/>
                <w:highlight w:val="none"/>
                <w:lang w:eastAsia="zh-CN"/>
              </w:rPr>
            </w:r>
            <w:r>
              <w:rPr>
                <w:color w:val="000000" w:themeColor="text1"/>
              </w:rPr>
            </w:r>
          </w:p>
        </w:tc>
        <w:tc>
          <w:tcPr>
            <w:tcW w:w="619" w:type="dxa"/>
            <w:vAlign w:val="center"/>
            <w:textDirection w:val="lrTb"/>
            <w:noWrap w:val="false"/>
          </w:tcPr>
          <w:p>
            <w:pPr>
              <w:pStyle w:val="799"/>
              <w:ind w:left="0" w:right="0" w:firstLine="0"/>
              <w:jc w:val="left"/>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1</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61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辆</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3465"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主要用于日常养护巡视</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tcW w:w="616"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3</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tc>
        <w:tc>
          <w:tcPr>
            <w:tcW w:w="617" w:type="dxa"/>
            <w:vAlign w:val="center"/>
            <w:vMerge w:val="continue"/>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sz w:val="24"/>
                <w:szCs w:val="24"/>
                <w:highlight w:val="none"/>
              </w:rPr>
              <w:framePr w:vAnchor="margin" w:hAnchor="page" w:xAlign="center" w:y="1"/>
            </w:pPr>
            <w:r>
              <w:rPr>
                <w:rFonts w:hint="eastAsia" w:ascii="方正仿宋_GB2312" w:hAnsi="方正仿宋_GB2312" w:eastAsia="方正仿宋_GB2312" w:cs="方正仿宋_GB2312"/>
                <w:bCs/>
                <w:color w:val="000000"/>
                <w:sz w:val="24"/>
                <w:szCs w:val="24"/>
                <w:highlight w:val="none"/>
              </w:rPr>
            </w:r>
            <w:r/>
          </w:p>
        </w:tc>
        <w:tc>
          <w:tcPr>
            <w:tcW w:w="2586"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运载货车</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619" w:type="dxa"/>
            <w:vAlign w:val="center"/>
            <w:textDirection w:val="lrTb"/>
            <w:noWrap w:val="false"/>
          </w:tcPr>
          <w:p>
            <w:pPr>
              <w:pStyle w:val="799"/>
              <w:ind w:left="0" w:right="0" w:firstLine="0"/>
              <w:jc w:val="left"/>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1</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61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辆</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3465"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用于苗木、枯枝落叶、杂物等清运</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r>
      <w:tr>
        <w:trPr/>
        <w:tc>
          <w:tcPr>
            <w:tcW w:w="616"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4</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tc>
        <w:tc>
          <w:tcPr>
            <w:tcW w:w="617" w:type="dxa"/>
            <w:vAlign w:val="center"/>
            <w:vMerge w:val="continue"/>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sz w:val="24"/>
                <w:szCs w:val="24"/>
                <w:highlight w:val="none"/>
              </w:rPr>
              <w:framePr w:vAnchor="margin" w:hAnchor="page" w:xAlign="center" w:y="1"/>
            </w:pPr>
            <w:r>
              <w:rPr>
                <w:rFonts w:hint="eastAsia" w:ascii="方正仿宋_GB2312" w:hAnsi="方正仿宋_GB2312" w:eastAsia="方正仿宋_GB2312" w:cs="方正仿宋_GB2312"/>
                <w:bCs/>
                <w:color w:val="000000"/>
                <w:sz w:val="24"/>
                <w:szCs w:val="24"/>
                <w:highlight w:val="none"/>
              </w:rPr>
            </w:r>
            <w:r/>
          </w:p>
        </w:tc>
        <w:tc>
          <w:tcPr>
            <w:tcW w:w="2586"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手推式</w:t>
            </w:r>
            <w:r>
              <w:rPr>
                <w:rFonts w:hint="eastAsia" w:ascii="方正仿宋_GB2312" w:hAnsi="方正仿宋_GB2312" w:eastAsia="方正仿宋_GB2312" w:cs="方正仿宋_GB2312"/>
                <w:bCs/>
                <w:color w:val="000000" w:themeColor="text1"/>
                <w:sz w:val="24"/>
                <w:szCs w:val="24"/>
                <w:highlight w:val="none"/>
              </w:rPr>
              <w:t xml:space="preserve">修剪机</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619" w:type="dxa"/>
            <w:vAlign w:val="center"/>
            <w:textDirection w:val="lrTb"/>
            <w:noWrap w:val="false"/>
          </w:tcPr>
          <w:p>
            <w:pPr>
              <w:pStyle w:val="799"/>
              <w:ind w:left="0" w:right="0" w:firstLine="0"/>
              <w:jc w:val="left"/>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4</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61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台</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3465"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主要用于草坪修剪</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r>
      <w:tr>
        <w:trPr/>
        <w:tc>
          <w:tcPr>
            <w:tcW w:w="616"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5</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tc>
        <w:tc>
          <w:tcPr>
            <w:tcW w:w="617" w:type="dxa"/>
            <w:vAlign w:val="center"/>
            <w:vMerge w:val="continue"/>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sz w:val="24"/>
                <w:szCs w:val="24"/>
                <w:highlight w:val="none"/>
              </w:rPr>
              <w:framePr w:vAnchor="margin" w:hAnchor="page" w:xAlign="center" w:y="1"/>
            </w:pPr>
            <w:r>
              <w:rPr>
                <w:rFonts w:hint="eastAsia" w:ascii="方正仿宋_GB2312" w:hAnsi="方正仿宋_GB2312" w:eastAsia="方正仿宋_GB2312" w:cs="方正仿宋_GB2312"/>
                <w:bCs/>
                <w:color w:val="000000"/>
                <w:sz w:val="24"/>
                <w:szCs w:val="24"/>
                <w:highlight w:val="none"/>
              </w:rPr>
            </w:r>
            <w:r/>
          </w:p>
        </w:tc>
        <w:tc>
          <w:tcPr>
            <w:tcW w:w="2586"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高空升降车</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619" w:type="dxa"/>
            <w:vAlign w:val="center"/>
            <w:textDirection w:val="lrTb"/>
            <w:noWrap w:val="false"/>
          </w:tcPr>
          <w:p>
            <w:pPr>
              <w:pStyle w:val="799"/>
              <w:ind w:left="0" w:right="0" w:firstLine="0"/>
              <w:jc w:val="left"/>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1</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61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辆</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3465"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主要用于高大乔木修剪</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r>
      <w:tr>
        <w:trPr/>
        <w:tc>
          <w:tcPr>
            <w:tcW w:w="616" w:type="dxa"/>
            <w:vAlign w:val="center"/>
            <w:textDirection w:val="lrTb"/>
            <w:noWrap w:val="false"/>
          </w:tcPr>
          <w:p>
            <w:pPr>
              <w:pStyle w:val="799"/>
              <w:ind w:left="0" w:right="0" w:firstLine="0"/>
              <w:jc w:val="center"/>
              <w:keepLines w:val="0"/>
              <w:keepNext w:val="0"/>
              <w:pageBreakBefore w:val="0"/>
              <w:spacing w:line="240" w:lineRule="auto"/>
              <w:rPr>
                <w:rFonts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6</w:t>
            </w:r>
            <w:r>
              <w:rPr>
                <w:rFonts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tc>
        <w:tc>
          <w:tcPr>
            <w:tcW w:w="617"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2586" w:type="dxa"/>
            <w:vAlign w:val="center"/>
            <w:textDirection w:val="lrTb"/>
            <w:noWrap w:val="false"/>
          </w:tcPr>
          <w:p>
            <w:pPr>
              <w:pStyle w:val="799"/>
              <w:ind w:left="0" w:right="0" w:firstLine="0"/>
              <w:jc w:val="center"/>
              <w:keepLines w:val="0"/>
              <w:keepNext w:val="0"/>
              <w:pageBreakBefore w:val="0"/>
              <w:spacing w:line="240" w:lineRule="auto"/>
              <w:rPr>
                <w:rFonts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高压打药机（射程</w:t>
            </w:r>
            <w:r>
              <w:rPr>
                <w:rFonts w:hint="eastAsia" w:ascii="方正仿宋_GB2312" w:hAnsi="方正仿宋_GB2312" w:eastAsia="方正仿宋_GB2312" w:cs="方正仿宋_GB2312"/>
                <w:b w:val="0"/>
                <w:bCs/>
                <w:color w:val="000000" w:themeColor="text1"/>
                <w:sz w:val="24"/>
                <w:szCs w:val="24"/>
                <w:highlight w:val="none"/>
              </w:rPr>
              <w:t xml:space="preserve">≥</w:t>
            </w:r>
            <w:r>
              <w:rPr>
                <w:rFonts w:hint="eastAsia" w:ascii="方正仿宋_GB2312" w:hAnsi="方正仿宋_GB2312" w:eastAsia="方正仿宋_GB2312" w:cs="方正仿宋_GB2312"/>
                <w:bCs/>
                <w:color w:val="000000" w:themeColor="text1"/>
                <w:sz w:val="24"/>
                <w:szCs w:val="24"/>
                <w:highlight w:val="none"/>
                <w:lang w:val="en-US" w:eastAsia="zh-CN"/>
              </w:rPr>
              <w:t xml:space="preserve">12米）</w:t>
            </w:r>
            <w:r>
              <w:rPr>
                <w:rFonts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tc>
        <w:tc>
          <w:tcPr>
            <w:tcW w:w="619" w:type="dxa"/>
            <w:vAlign w:val="center"/>
            <w:textDirection w:val="lrTb"/>
            <w:noWrap w:val="false"/>
          </w:tcPr>
          <w:p>
            <w:pPr>
              <w:pStyle w:val="799"/>
              <w:ind w:left="0" w:right="0" w:firstLine="0"/>
              <w:jc w:val="left"/>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1</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tc>
        <w:tc>
          <w:tcPr>
            <w:tcW w:w="619" w:type="dxa"/>
            <w:vAlign w:val="center"/>
            <w:textDirection w:val="lrTb"/>
            <w:noWrap w:val="false"/>
          </w:tcPr>
          <w:p>
            <w:pPr>
              <w:pStyle w:val="799"/>
              <w:ind w:left="0" w:right="0" w:firstLine="0"/>
              <w:jc w:val="center"/>
              <w:keepLines w:val="0"/>
              <w:keepNext w:val="0"/>
              <w:pageBreakBefore w:val="0"/>
              <w:spacing w:line="240" w:lineRule="auto"/>
              <w:rPr>
                <w:rFonts w:hint="eastAsia"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lang w:val="en-US" w:eastAsia="zh-CN"/>
              </w:rPr>
              <w:t xml:space="preserve">台</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tc>
        <w:tc>
          <w:tcPr>
            <w:tcW w:w="3465" w:type="dxa"/>
            <w:vAlign w:val="center"/>
            <w:textDirection w:val="lrTb"/>
            <w:noWrap w:val="false"/>
          </w:tcPr>
          <w:p>
            <w:pPr>
              <w:pStyle w:val="799"/>
              <w:ind w:left="0" w:right="0" w:firstLine="0"/>
              <w:jc w:val="center"/>
              <w:keepLines w:val="0"/>
              <w:keepNext w:val="0"/>
              <w:pageBreakBefore w:val="0"/>
              <w:spacing w:line="240" w:lineRule="auto"/>
              <w:rPr>
                <w:rFonts w:ascii="方正仿宋_GB2312" w:hAnsi="方正仿宋_GB2312" w:eastAsia="方正仿宋_GB2312" w:cs="方正仿宋_GB2312"/>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Cs/>
                <w:color w:val="000000" w:themeColor="text1"/>
                <w:sz w:val="24"/>
                <w:szCs w:val="24"/>
                <w:highlight w:val="none"/>
              </w:rPr>
              <w:t xml:space="preserve">主要用于</w:t>
            </w:r>
            <w:r>
              <w:rPr>
                <w:rFonts w:hint="eastAsia" w:ascii="方正仿宋_GB2312" w:hAnsi="方正仿宋_GB2312" w:eastAsia="方正仿宋_GB2312" w:cs="方正仿宋_GB2312"/>
                <w:bCs/>
                <w:color w:val="000000" w:themeColor="text1"/>
                <w:sz w:val="24"/>
                <w:szCs w:val="24"/>
                <w:highlight w:val="none"/>
                <w:lang w:val="en-US" w:eastAsia="zh-CN"/>
              </w:rPr>
              <w:t xml:space="preserve">病虫害防治</w:t>
            </w:r>
            <w:r>
              <w:rPr>
                <w:rFonts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tc>
      </w:tr>
    </w:tbl>
    <w:p>
      <w:pPr>
        <w:pStyle w:val="799"/>
        <w:ind w:firstLine="482"/>
        <w:keepLines w:val="0"/>
        <w:keepNext w:val="0"/>
        <w:pageBreakBefore w:val="0"/>
        <w:spacing w:line="240" w:lineRule="auto"/>
        <w:tabs>
          <w:tab w:val="left" w:pos="2675" w:leader="none"/>
        </w:tabs>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备注：</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p>
      <w:pPr>
        <w:pStyle w:val="799"/>
        <w:ind w:firstLine="482"/>
        <w:keepLines w:val="0"/>
        <w:keepNext w:val="0"/>
        <w:pageBreakBefore w:val="0"/>
        <w:spacing w:line="240" w:lineRule="auto"/>
        <w:tabs>
          <w:tab w:val="left" w:pos="2675" w:leader="none"/>
        </w:tabs>
        <w:rPr>
          <w:rFonts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1.投标人按要求提供承诺函。</w:t>
      </w:r>
      <w:r>
        <w:rPr>
          <w:rFonts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p>
      <w:pPr>
        <w:pStyle w:val="799"/>
        <w:ind w:firstLine="482"/>
        <w:keepLines w:val="0"/>
        <w:keepNext w:val="0"/>
        <w:pageBreakBefore w:val="0"/>
        <w:spacing w:line="240" w:lineRule="auto"/>
        <w:tabs>
          <w:tab w:val="left" w:pos="2675" w:leader="none"/>
        </w:tabs>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2.洒水车、皮卡车车身需按</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招标人</w:t>
      </w:r>
      <w:r>
        <w:rPr>
          <w:rFonts w:hint="eastAsia" w:ascii="方正仿宋_GB2312" w:hAnsi="方正仿宋_GB2312" w:eastAsia="方正仿宋_GB2312" w:cs="方正仿宋_GB2312"/>
          <w:b/>
          <w:bCs/>
          <w:color w:val="000000" w:themeColor="text1"/>
          <w:sz w:val="24"/>
          <w:szCs w:val="24"/>
          <w:highlight w:val="none"/>
        </w:rPr>
        <w:t xml:space="preserve">要求喷涂“苏宿园区城市维护”标识。</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p>
      <w:pPr>
        <w:pStyle w:val="799"/>
        <w:ind w:firstLine="482"/>
        <w:keepLines w:val="0"/>
        <w:keepNext w:val="0"/>
        <w:pageBreakBefore w:val="0"/>
        <w:spacing w:line="240" w:lineRule="auto"/>
        <w:tabs>
          <w:tab w:val="left" w:pos="2675" w:leader="none"/>
        </w:tabs>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3.洒水车、巡视车辆必须按照</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招标人</w:t>
      </w:r>
      <w:r>
        <w:rPr>
          <w:rFonts w:hint="eastAsia" w:ascii="方正仿宋_GB2312" w:hAnsi="方正仿宋_GB2312" w:eastAsia="方正仿宋_GB2312" w:cs="方正仿宋_GB2312"/>
          <w:b/>
          <w:bCs/>
          <w:color w:val="000000" w:themeColor="text1"/>
          <w:sz w:val="24"/>
          <w:szCs w:val="24"/>
          <w:highlight w:val="none"/>
        </w:rPr>
        <w:t xml:space="preserve">的安排统一安装</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北斗定位</w:t>
      </w:r>
      <w:r>
        <w:rPr>
          <w:rFonts w:hint="eastAsia" w:ascii="方正仿宋_GB2312" w:hAnsi="方正仿宋_GB2312" w:eastAsia="方正仿宋_GB2312" w:cs="方正仿宋_GB2312"/>
          <w:b/>
          <w:bCs/>
          <w:color w:val="000000" w:themeColor="text1"/>
          <w:sz w:val="24"/>
          <w:szCs w:val="24"/>
          <w:highlight w:val="none"/>
        </w:rPr>
        <w:t xml:space="preserve">系统，安装及运行费用由</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中标单位</w:t>
      </w:r>
      <w:r>
        <w:rPr>
          <w:rFonts w:hint="eastAsia" w:ascii="方正仿宋_GB2312" w:hAnsi="方正仿宋_GB2312" w:eastAsia="方正仿宋_GB2312" w:cs="方正仿宋_GB2312"/>
          <w:b/>
          <w:bCs/>
          <w:color w:val="000000" w:themeColor="text1"/>
          <w:sz w:val="24"/>
          <w:szCs w:val="24"/>
          <w:highlight w:val="none"/>
        </w:rPr>
        <w:t xml:space="preserve">承担。</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招标人</w:t>
      </w:r>
      <w:r>
        <w:rPr>
          <w:rFonts w:hint="eastAsia" w:ascii="方正仿宋_GB2312" w:hAnsi="方正仿宋_GB2312" w:eastAsia="方正仿宋_GB2312" w:cs="方正仿宋_GB2312"/>
          <w:b/>
          <w:bCs/>
          <w:color w:val="000000" w:themeColor="text1"/>
          <w:sz w:val="24"/>
          <w:szCs w:val="24"/>
          <w:highlight w:val="none"/>
        </w:rPr>
        <w:t xml:space="preserve">提供的车辆</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北斗定位</w:t>
      </w:r>
      <w:r>
        <w:rPr>
          <w:rFonts w:hint="eastAsia" w:ascii="方正仿宋_GB2312" w:hAnsi="方正仿宋_GB2312" w:eastAsia="方正仿宋_GB2312" w:cs="方正仿宋_GB2312"/>
          <w:b/>
          <w:bCs/>
          <w:color w:val="000000" w:themeColor="text1"/>
          <w:sz w:val="24"/>
          <w:szCs w:val="24"/>
          <w:highlight w:val="none"/>
        </w:rPr>
        <w:t xml:space="preserve">系统需24小时开启，</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中标单位</w:t>
      </w:r>
      <w:r>
        <w:rPr>
          <w:rFonts w:hint="eastAsia" w:ascii="方正仿宋_GB2312" w:hAnsi="方正仿宋_GB2312" w:eastAsia="方正仿宋_GB2312" w:cs="方正仿宋_GB2312"/>
          <w:b/>
          <w:bCs/>
          <w:color w:val="000000" w:themeColor="text1"/>
          <w:sz w:val="24"/>
          <w:szCs w:val="24"/>
          <w:highlight w:val="none"/>
        </w:rPr>
        <w:t xml:space="preserve">自行配备的车辆在规定的作业时间内必须开启</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北斗定位</w:t>
      </w:r>
      <w:r>
        <w:rPr>
          <w:rFonts w:hint="eastAsia" w:ascii="方正仿宋_GB2312" w:hAnsi="方正仿宋_GB2312" w:eastAsia="方正仿宋_GB2312" w:cs="方正仿宋_GB2312"/>
          <w:b/>
          <w:bCs/>
          <w:color w:val="000000" w:themeColor="text1"/>
          <w:sz w:val="24"/>
          <w:szCs w:val="24"/>
          <w:highlight w:val="none"/>
        </w:rPr>
        <w:t xml:space="preserve">系统。</w:t>
      </w:r>
      <w:r>
        <w:rPr>
          <w:rFonts w:hint="eastAsia" w:ascii="方正仿宋_GB2312" w:hAnsi="方正仿宋_GB2312" w:eastAsia="方正仿宋_GB2312" w:cs="方正仿宋_GB2312"/>
          <w:b/>
          <w:bCs/>
          <w:color w:val="000000" w:themeColor="text1"/>
          <w:sz w:val="24"/>
          <w:szCs w:val="24"/>
          <w:highlight w:val="none"/>
          <w:lang w:eastAsia="zh-CN"/>
        </w:rPr>
        <w:t xml:space="preserve">洒水车、巡视车辆驾驶员需随身携带通讯设备并保持24小时开机，以便随时接受联系与调度。</w:t>
      </w:r>
      <w:r>
        <w:rPr>
          <w:rFonts w:hint="eastAsia" w:ascii="方正仿宋_GB2312" w:hAnsi="方正仿宋_GB2312" w:eastAsia="方正仿宋_GB2312" w:cs="方正仿宋_GB2312"/>
          <w:b/>
          <w:bCs/>
          <w:color w:val="000000" w:themeColor="text1"/>
          <w:sz w:val="24"/>
          <w:szCs w:val="24"/>
          <w:highlight w:val="none"/>
        </w:rPr>
        <w:t xml:space="preserve">合同期内，所有设施设备不得因设备</w:t>
      </w:r>
      <w:r>
        <w:rPr>
          <w:rFonts w:hint="eastAsia" w:ascii="方正仿宋_GB2312" w:hAnsi="方正仿宋_GB2312" w:eastAsia="方正仿宋_GB2312" w:cs="方正仿宋_GB2312"/>
          <w:b/>
          <w:bCs/>
          <w:color w:val="000000" w:themeColor="text1"/>
          <w:sz w:val="24"/>
          <w:szCs w:val="24"/>
          <w:highlight w:val="none"/>
          <w:lang w:eastAsia="zh-CN"/>
        </w:rPr>
        <w:t xml:space="preserve">损坏</w:t>
      </w:r>
      <w:r>
        <w:rPr>
          <w:rFonts w:hint="eastAsia" w:ascii="方正仿宋_GB2312" w:hAnsi="方正仿宋_GB2312" w:eastAsia="方正仿宋_GB2312" w:cs="方正仿宋_GB2312"/>
          <w:b/>
          <w:bCs/>
          <w:color w:val="000000" w:themeColor="text1"/>
          <w:sz w:val="24"/>
          <w:szCs w:val="24"/>
          <w:highlight w:val="none"/>
        </w:rPr>
        <w:t xml:space="preserve">等原因影响管养工作，否则列入除正常考核扣分。</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p>
      <w:pPr>
        <w:pStyle w:val="799"/>
        <w:ind w:firstLine="482"/>
        <w:keepLines w:val="0"/>
        <w:keepNext w:val="0"/>
        <w:pageBreakBefore w:val="0"/>
        <w:spacing w:line="240" w:lineRule="auto"/>
        <w:tabs>
          <w:tab w:val="left" w:pos="2675" w:leader="none"/>
        </w:tabs>
        <w:rPr>
          <w:rFonts w:hint="eastAsia" w:eastAsia="宋体"/>
          <w:color w:val="000000" w:themeColor="text1"/>
          <w:highlight w:val="none"/>
        </w:rPr>
      </w:pPr>
      <w:r>
        <w:rPr>
          <w:rFonts w:hint="eastAsia" w:ascii="方正仿宋_GB2312" w:hAnsi="方正仿宋_GB2312" w:eastAsia="方正仿宋_GB2312" w:cs="方正仿宋_GB2312"/>
          <w:b/>
          <w:bCs/>
          <w:color w:val="000000" w:themeColor="text1"/>
          <w:sz w:val="24"/>
          <w:szCs w:val="24"/>
          <w:highlight w:val="none"/>
          <w:lang w:eastAsia="zh-CN"/>
        </w:rPr>
        <w:t xml:space="preserve">4.</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招标人有权根据现场养护的实际情况，要求中标单位增加人员及设备配置。</w:t>
      </w:r>
      <w:r>
        <w:rPr>
          <w:rFonts w:hint="eastAsia" w:eastAsia="宋体"/>
          <w:color w:val="000000" w:themeColor="text1"/>
          <w:highlight w:val="none"/>
          <w:lang w:eastAsia="zh-CN"/>
        </w:rPr>
      </w:r>
      <w:r>
        <w:rPr>
          <w:color w:val="000000" w:themeColor="text1"/>
        </w:rPr>
      </w:r>
    </w:p>
    <w:p>
      <w:pPr>
        <w:pStyle w:val="799"/>
        <w:ind w:firstLine="482"/>
        <w:keepLines w:val="0"/>
        <w:keepNext w:val="0"/>
        <w:pageBreakBefore w:val="0"/>
        <w:spacing w:line="240" w:lineRule="auto"/>
        <w:tabs>
          <w:tab w:val="left" w:pos="2675" w:leader="none"/>
        </w:tabs>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5.具体机械设备配置及样式详见附件三。</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p>
      <w:pPr>
        <w:pStyle w:val="799"/>
        <w:ind w:firstLine="482"/>
        <w:keepLines w:val="0"/>
        <w:keepNext w:val="0"/>
        <w:pageBreakBefore w:val="0"/>
        <w:spacing w:line="240" w:lineRule="auto"/>
        <w:tabs>
          <w:tab w:val="left" w:pos="2675" w:leader="none"/>
        </w:tabs>
        <w:rPr>
          <w:rFonts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6.中标后，投标人须在项目进场前将上述所涉人员、车辆及设备全部配备到位，并在中标后按采购人要求提供身份证、购置发票或租赁合同、行驶证等材料供核查；同时，须在园区范围内设立固定的办公场所。以上内容未按要求配备或设立到位的，取消其中标资格。</w:t>
      </w:r>
      <w:r>
        <w:rPr>
          <w:rFonts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p>
      <w:pPr>
        <w:pStyle w:val="799"/>
        <w:ind w:firstLine="482"/>
        <w:jc w:val="left"/>
        <w:spacing w:line="276" w:lineRule="auto"/>
        <w:rPr>
          <w:rFonts w:hint="eastAsia" w:ascii="方正仿宋_GB2312" w:hAnsi="方正仿宋_GB2312" w:eastAsia="方正仿宋_GB2312" w:cs="方正仿宋_GB2312"/>
          <w:b/>
          <w:bCs/>
          <w:color w:val="000000" w:themeColor="text1"/>
          <w:sz w:val="28"/>
          <w:szCs w:val="28"/>
          <w:highlight w:val="none"/>
        </w:rPr>
      </w:pPr>
      <w:r>
        <w:rPr>
          <w:rFonts w:hint="eastAsia" w:ascii="方正仿宋_GB2312" w:hAnsi="方正仿宋_GB2312" w:eastAsia="方正仿宋_GB2312" w:cs="方正仿宋_GB2312"/>
          <w:b/>
          <w:bCs/>
          <w:color w:val="000000" w:themeColor="text1"/>
          <w:sz w:val="28"/>
          <w:szCs w:val="28"/>
          <w:highlight w:val="none"/>
          <w:lang w:val="en-US" w:eastAsia="zh-CN"/>
        </w:rPr>
        <w:t xml:space="preserve">六、服务内容及管理要求</w:t>
      </w:r>
      <w:r>
        <w:rPr>
          <w:rFonts w:hint="eastAsia" w:ascii="方正仿宋_GB2312" w:hAnsi="方正仿宋_GB2312" w:eastAsia="方正仿宋_GB2312" w:cs="方正仿宋_GB2312"/>
          <w:b/>
          <w:bCs/>
          <w:color w:val="000000" w:themeColor="text1"/>
          <w:sz w:val="28"/>
          <w:szCs w:val="28"/>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
          <w:bCs w:val="0"/>
          <w:color w:val="000000" w:themeColor="text1"/>
          <w:sz w:val="24"/>
          <w:szCs w:val="24"/>
          <w:highlight w:val="none"/>
        </w:rPr>
      </w:pPr>
      <w:r>
        <w:rPr>
          <w:rFonts w:hint="eastAsia" w:ascii="方正仿宋_GB2312" w:hAnsi="方正仿宋_GB2312" w:eastAsia="方正仿宋_GB2312" w:cs="方正仿宋_GB2312"/>
          <w:b/>
          <w:bCs w:val="0"/>
          <w:color w:val="000000" w:themeColor="text1"/>
          <w:sz w:val="24"/>
          <w:szCs w:val="24"/>
          <w:highlight w:val="none"/>
          <w:lang w:val="en-US" w:eastAsia="zh-CN"/>
        </w:rPr>
        <w:t xml:space="preserve">（一）服务内容</w:t>
      </w:r>
      <w:r>
        <w:rPr>
          <w:rFonts w:hint="eastAsia" w:ascii="方正仿宋_GB2312" w:hAnsi="方正仿宋_GB2312" w:eastAsia="方正仿宋_GB2312" w:cs="方正仿宋_GB2312"/>
          <w:b/>
          <w:bCs w:val="0"/>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日常养护与栽植：绿地保洁（含落叶清理）、绿化苗木浇灌与排水、整形与修剪、病虫害防治、松土与除草、施肥、支撑、防护与涂白，切边与留积水穴，复壮、管养期内苗木死亡补植、原有苗木开口移植、黄土露天整改等；另有对多年生草花、退化草坪进行复播、更新，并于冬季补播冷季型草籽有效延长草坪绿色期，确保观赏效果；同时负责园区范围内加拿大“一枝黄花”清理，绿化开口移植等工作（相关费用应自行计入投标报价，不另行单独计价）。</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2.黄土露天整改：包括人行踩踏处理、退化植被更新等，林下耐荫苗木更新栽植等（费用自行考虑在投标报价内，不另行计价）。</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3.供应商报价要充分考虑现场新栽苗木的养护成本，养护期间如遇因改造等原因交由其他部门管理的绿地，其工程量从养护标段内核减，养护费用也相应扣减。</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
          <w:bCs w:val="0"/>
          <w:color w:val="000000" w:themeColor="text1"/>
          <w:sz w:val="24"/>
          <w:szCs w:val="24"/>
          <w:highlight w:val="none"/>
        </w:rPr>
      </w:pPr>
      <w:r>
        <w:rPr>
          <w:rFonts w:hint="eastAsia" w:ascii="方正仿宋_GB2312" w:hAnsi="方正仿宋_GB2312" w:eastAsia="方正仿宋_GB2312" w:cs="方正仿宋_GB2312"/>
          <w:b/>
          <w:bCs w:val="0"/>
          <w:color w:val="000000" w:themeColor="text1"/>
          <w:sz w:val="24"/>
          <w:szCs w:val="24"/>
          <w:highlight w:val="none"/>
          <w:lang w:val="en-US" w:eastAsia="zh-CN"/>
        </w:rPr>
        <w:t xml:space="preserve">（二）人员管理要求</w:t>
      </w:r>
      <w:r>
        <w:rPr>
          <w:rFonts w:hint="eastAsia" w:ascii="方正仿宋_GB2312" w:hAnsi="方正仿宋_GB2312" w:eastAsia="方正仿宋_GB2312" w:cs="方正仿宋_GB2312"/>
          <w:b/>
          <w:bCs w:val="0"/>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项目经理专用原则：项目经理必须专门服务于本项目，不得用于其他项目中，且原则上不得更换。项目经理应为非变更后无在养项目，或是变更后无在养项目（必须是原合同养护期已满）。中标后项目经理未按投标承诺到位或中标单位未经采购方批准私自更换的，一经发现处罚 50000 元/人·次，同时中标单位仍应按投标承诺将人员配备到位。中标单位如需更换项目经理，应向采购方提出书面申请，经采购方批准后方可进行更换，所更换人员资格不得低于其投标文件承诺；中标后由于</w:t>
      </w:r>
      <w:r>
        <w:rPr>
          <w:rFonts w:hint="eastAsia" w:ascii="方正仿宋_GB2312" w:hAnsi="方正仿宋_GB2312" w:eastAsia="方正仿宋_GB2312" w:cs="方正仿宋_GB2312"/>
          <w:bCs/>
          <w:color w:val="000000" w:themeColor="text1"/>
          <w:sz w:val="24"/>
          <w:szCs w:val="24"/>
          <w:highlight w:val="none"/>
          <w:lang w:val="en-US" w:eastAsia="zh-CN"/>
        </w:rPr>
        <w:t xml:space="preserve">项目经理现场管理工作不到位，或无法起到应有的作用，视为不称职，采购方将要求中标单位更换项目经理，且所更换人员不得低于其投标文件承诺。无论中标单位申请更换或因不称职更换项目经理均视为中标单位违约行为，采购方将向中标单位收取违约金，进场前及履约服务开始十二个月内（含）更换项目经理 50000 元/人·次，履约服务后第十三个月至履约结束更换项目经理 30000 元/人·次。采购单位有权要求更换其不称职的项目管理人员（项目经理、技术负责人、安全员和资料员），项目管理人员试用期为1个月，1个月后视其履职情况决定去留。</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2.技术负责人职责：配合项目经理开展日常绿化养护工作，分解并落实各养护现场管理员的任务与责任，对其日常工作给予指导与监督。负责制定养护作业计划，安排并推进各项任务，确保现场养护的整体质量与效果；统筹协调植保工作、各类活动保障、创建达标任务及应急保障工作。</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3.专职安全员职责：防范与处置农民工欠薪等群体事件，组织安全培训与应急演练，监督作业现场安全。须对机械设备、登高、道路及机非带等高危作业进行旁站记录（佩戴红袖章），督促安全制度执行，规范养护作业行为。</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4.专职资料员职责：负责管理合同内各类文字数据资料（费用申请、会议纪要等）、日常投诉和检查通报的回复。</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5.项目组管理人员及现场养护作业人员均须实行打卡考勤制度，服从采购方工作调配，及时响应并完成采购方临时交办的绿化养护相关工作任务；所有人员须保持通讯畅通，按时接听采购方来电并及时回复，如有违反，除按正常考核标准扣分外，还应按500元/次的标准支付违约金；周末及法定节假日须至少安排一名管理人员在现场值班，相关考勤与值班记录应完整存档，供采购方核查。如出现推诿、故意拖延、敷衍履职等行为，采购方有权依照本合同约定在相关人员日常考核中予以记录并作出相应处理。</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6.项目经理及技术负责人，必须按时参加由发包人召开的养护例会和各种必须参加的考核等会议；特殊情况不能参加的，本人必须提前履行请假手续，经同意后，方可委托其他人代替参加，且 30 天内仅限委托他人参加一次。如有违反直接从当月管养经费中扣除 1000 元/人次。 </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7.在日常养护中，养护人员工作时须穿戴印有明显公司标识的统一服装，涉及道路绿地养护的人员须穿反光背心，不按要求设置警示标志，存在一定安全隐患的，纳入日常考核。因中标单位在养护作业中未做安全措施，导致人身伤害财产损失的，一律由中标单位自行承担。</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8.因日常养护任务繁重时（包括区内重大活动、灾害性天气等），除各类人员按招标要求满员配备到位之外，对采购方提出的临时增加作业人员的要求，中标单位应无条件服从，相关费用在投标报价中统筹考虑，不再增加费用。</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9.投标人员虽达到招标要求，实际配合达不到要求，采购方有权提出更换人员，并按照考核办法进行考核，更换人员须达到招标要求且采购方满意。</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
          <w:bCs w:val="0"/>
          <w:color w:val="000000" w:themeColor="text1"/>
          <w:sz w:val="28"/>
          <w:szCs w:val="28"/>
          <w:highlight w:val="none"/>
        </w:rPr>
      </w:pPr>
      <w:r>
        <w:rPr>
          <w:rFonts w:hint="eastAsia" w:ascii="方正仿宋_GB2312" w:hAnsi="方正仿宋_GB2312" w:eastAsia="方正仿宋_GB2312" w:cs="方正仿宋_GB2312"/>
          <w:b/>
          <w:bCs w:val="0"/>
          <w:color w:val="000000" w:themeColor="text1"/>
          <w:sz w:val="28"/>
          <w:szCs w:val="28"/>
          <w:highlight w:val="none"/>
          <w:lang w:val="en-US" w:eastAsia="zh-CN"/>
        </w:rPr>
        <w:t xml:space="preserve">七、其他要求</w:t>
      </w:r>
      <w:r>
        <w:rPr>
          <w:rFonts w:hint="eastAsia" w:ascii="方正仿宋_GB2312" w:hAnsi="方正仿宋_GB2312" w:eastAsia="方正仿宋_GB2312" w:cs="方正仿宋_GB2312"/>
          <w:b/>
          <w:bCs w:val="0"/>
          <w:color w:val="000000" w:themeColor="text1"/>
          <w:sz w:val="28"/>
          <w:szCs w:val="28"/>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1.中标单位须于中标公示结束后，在园区内设立固定办公场所，并立即进行人员、设备等筹备工作。根据项目实际情况，建立岗位职责、岗位流程、安全管理等相关制度，确保按合同约定准时进场开展养护。</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2.进场后一个月内，须完成全部现场苗木的清点核对工作。如发现与招标清单存在任何差异，应在此期限内以书面形式正式上报；逾期未报的，则视为现场苗木与清单完全一致，后续将严格按清单数量执行。</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3.中标单位必须按照法律、法规规定为所有职工缴纳相应的社会保险、商业保险，做到应保尽保，保险险种及保额应满足以下要求：</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（1）中标单位应为服务于本项目的人员购买雇主责任险，保险金额不低于120万元/人。</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（2）中标单位应为服务于本项目的机动车购买车辆保险，险种不低于以下要求：</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①交通事故责任强制险保险金额不低于：按政策要求。</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②第三者责任险保险金额不低于：300万元/辆。</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③车上人员责任险保险（驾驶人及乘客）保险金额均不低于：5万元/人。</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4.中标单位须按法律、法规的规定为养护工人提供必要的劳动保护用品。严格按照合同约定，按时足额支付工人工资，并为工人在指定银行开设工资账户。</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5.中标单位应全面负责所属绿化管养人员的安全教育、培训、考核及日常管理，规范记录各项作业情况，按时制定每周作业计划，并定期提交周度与月度工作总结。合同期满后，须完成绿化养护工程相关的结算、竣工验收及审计资料等相关工作。</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6.中标单位必须加强安全防范意识，建立健全安全管理机制，切实组织做好绿化苗木及相关管养设备设施的安全防护工作。在合同履约期间，中标单位工作人员若发生任何工伤、人身伤亡或其他意外事故，均由中标单位独立承担全部责任，采购单位不承担任何连带责任。其工作人员在履行合同过程中所发生的任何安全事故、人身伤亡及疾病意外等，所引发的一切经济与法律责任，均由中标单位承担。</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7.中标单位在承包范围内按标准和周期完成各项任务，不以任何形式转包给其他单位和个人，否则，中标单位应承担违约责任，采购方有权终止合同。</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8.中标单位应详细做好每月的养护台账，建立养护档案，按照采购方要求做好阶段性苗木清点、绿化日常养护资料汇总、影像资料收集等工作，未在采购方规定时间内完成纳入日常考核。</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9.园林绿化垃圾处理，由中标单位自行处理，鼓励对垃圾进行资源化处理，粉碎、消毒后作为树穴覆料，或堆制腐熟后作为有机肥改良土壤，处理场地、设备、人员由中标单位自行解决，所需费用综合考虑在投标报价内，不另外计费；</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10.中标单位在履行合同期间，需积极参加省、市各类工程争先创优工作（相关费用纳入报价）。</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11.违约赔偿</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中标单位须负责所承担养护区域内绿地及绿化苗木的全面保护工作，加强日常巡查。如遇第三方进行开挖作业，应主动查验其开挖许可证明，并全程跟踪监督开挖活动，确保绿化苗木完好无损。如开挖方无法出示有效开挖证明，养护单位须立即制止其开挖行为，并及时通知地方执法部门及采购单位。若因中标单位未履行上述职责，导致苗木缺损、死亡或其他损失，一切后果由中标单位承担，相关情况将纳入履约考核，所造成的损失由中标单位负责。上述风险费用应全部包含在养护费用报价中，不再另行计取。</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2）中标单位在合同履约期内，确保标段所有乔灌木及地被植物的成活率保持100%（投标人在投标报价中已充分考虑苗木死亡的全部履约风险及费用，采购人不再因此另行支付任何费用）。对于养护期间出现的死亡苗木，中标单位须建立详尽的统计台账，在报经采购方现场代表签字确认后，方可进行清除工作，适合补植季节按合同要求的苗木规格实施补种。拒不补植的采购人有权安排第三方进行补植，补植赔偿费用从养护款中扣除。</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3）在养护期内，凡因管理人员失职或养护措施未达到技术规范要求，致使乔灌木出现长势不良、树形偏冠、严重病虫害，或地被植物出现严重退化等情况，中标单位须按合同规定的同种类、同规格苗木进行更换或补植，所需全部费用由中标单位承担。</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（4）因中标单位人员在工作中的疏忽或失职，直接导致绿化植物、绿地设施设备发生被盗、毁坏、火灾、水电事故等重大安全事故的，中标单位应承担由此引起的一切经济损失及相应赔偿责任。</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12.肥料管理</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（1）本项目肥料由中标单位进行采购，采购方对肥料的使用进行全程监督控制。</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（2）肥料施用标准参照《江苏省城市园林绿化植物养护管理规范（201508）》执行。</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13.防汛、防风、抗旱 、防寒等抗灾抢险应急保障工作要求：</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前期准备工作：准备工作：中标人按要求做好管养地块的应急抢险演练等各项工作。中标人针对本项目建立完善的抗灾抢险应急预案机制，成立抗灾抢险应急专项工作小组，通过微信、QQ等方式建立通讯工作网络，落实抢险队伍，添置必需的抗灾抢险机械设备、材料工具等，做到及时响应，全面做好抗灾抢险各项应急保障工作。</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2）抗灾抢险工作：中标人要密切关注气象部门气象报告，灾情发生时组织人员紧急救援，按应急预案要求，采取有效措施减少损失，消除安全隐患，保障人民生命和财产安全，全面掌握灾情发生情况及发展趋势，并随时向采购人汇报抗灾抢险相关情况。紧急情况要随时安排处理解决，一般情况要在灾后 2 小时内处理完毕。除不可抗力因素外，因中标人抢险不力造成的一切后果和法律责任均由中标人承担。</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（3）抗灾抢险善后工作：中标人应加强灾后巡查保障工作，避免出现二次危害或次生灾害，同时要对每次抗灾抢险工作进行认真总结，形成专项报告上报采购人。</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eastAsia="宋体"/>
          <w:color w:val="000000" w:themeColor="text1"/>
          <w:highlight w:val="none"/>
        </w:rPr>
      </w:pPr>
      <w:r>
        <w:rPr>
          <w:rFonts w:hint="eastAsia" w:ascii="方正仿宋_GB2312" w:hAnsi="方正仿宋_GB2312" w:eastAsia="方正仿宋_GB2312" w:cs="方正仿宋_GB2312"/>
          <w:b/>
          <w:bCs w:val="0"/>
          <w:color w:val="000000" w:themeColor="text1"/>
          <w:sz w:val="24"/>
          <w:szCs w:val="24"/>
          <w:highlight w:val="none"/>
          <w:lang w:val="en-US" w:eastAsia="zh-CN"/>
        </w:rPr>
        <w:t xml:space="preserve">13.若中标单位投标文件中的实施方案优于采购需求，优先执行投标文件内容。</w:t>
      </w:r>
      <w:r>
        <w:rPr>
          <w:rFonts w:hint="eastAsia" w:eastAsia="宋体"/>
          <w:color w:val="000000" w:themeColor="text1"/>
          <w:highlight w:val="none"/>
          <w:lang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
          <w:bCs w:val="0"/>
          <w:color w:val="000000" w:themeColor="text1"/>
          <w:sz w:val="28"/>
          <w:szCs w:val="28"/>
          <w:highlight w:val="none"/>
        </w:rPr>
      </w:pPr>
      <w:r>
        <w:rPr>
          <w:rFonts w:hint="eastAsia" w:ascii="方正仿宋_GB2312" w:hAnsi="方正仿宋_GB2312" w:eastAsia="方正仿宋_GB2312" w:cs="方正仿宋_GB2312"/>
          <w:b/>
          <w:bCs w:val="0"/>
          <w:color w:val="000000" w:themeColor="text1"/>
          <w:sz w:val="28"/>
          <w:szCs w:val="28"/>
          <w:highlight w:val="none"/>
          <w:lang w:val="en-US" w:eastAsia="zh-CN"/>
        </w:rPr>
        <w:t xml:space="preserve">八、考核办法</w:t>
      </w:r>
      <w:r>
        <w:rPr>
          <w:rFonts w:hint="eastAsia" w:ascii="方正仿宋_GB2312" w:hAnsi="方正仿宋_GB2312" w:eastAsia="方正仿宋_GB2312" w:cs="方正仿宋_GB2312"/>
          <w:b/>
          <w:bCs w:val="0"/>
          <w:color w:val="000000" w:themeColor="text1"/>
          <w:sz w:val="28"/>
          <w:szCs w:val="28"/>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u w:val="singl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对中标单位的考核采取采购人日常检查、月度综合检查相结合的考核原则；考核标准和考核项目</w:t>
      </w:r>
      <w:r>
        <w:rPr>
          <w:rFonts w:hint="eastAsia" w:ascii="方正仿宋_GB2312" w:hAnsi="方正仿宋_GB2312" w:eastAsia="方正仿宋_GB2312" w:cs="方正仿宋_GB2312"/>
          <w:b/>
          <w:bCs w:val="0"/>
          <w:color w:val="000000" w:themeColor="text1"/>
          <w:sz w:val="24"/>
          <w:szCs w:val="24"/>
          <w:highlight w:val="none"/>
          <w:u w:val="single"/>
          <w:lang w:val="en-US" w:eastAsia="zh-CN"/>
        </w:rPr>
        <w:t xml:space="preserve">详见附件四：《苏州宿迁工业园区公共绿化养护管理考核细则》</w:t>
      </w:r>
      <w:r>
        <w:rPr>
          <w:rFonts w:hint="eastAsia" w:ascii="方正仿宋_GB2312" w:hAnsi="方正仿宋_GB2312" w:eastAsia="方正仿宋_GB2312" w:cs="方正仿宋_GB2312"/>
          <w:b w:val="0"/>
          <w:bCs/>
          <w:color w:val="000000" w:themeColor="text1"/>
          <w:sz w:val="24"/>
          <w:szCs w:val="24"/>
          <w:highlight w:val="none"/>
          <w:u w:val="none"/>
          <w:lang w:val="en-US" w:eastAsia="zh-CN"/>
        </w:rPr>
        <w:t xml:space="preserve">。</w:t>
      </w:r>
      <w:r>
        <w:rPr>
          <w:rFonts w:hint="eastAsia" w:ascii="方正仿宋_GB2312" w:hAnsi="方正仿宋_GB2312" w:eastAsia="方正仿宋_GB2312" w:cs="方正仿宋_GB2312"/>
          <w:bCs/>
          <w:color w:val="000000" w:themeColor="text1"/>
          <w:sz w:val="24"/>
          <w:szCs w:val="24"/>
          <w:highlight w:val="none"/>
          <w:u w:val="singl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1.考核方式对中标单位的考核采取采购人日常检查、月度综合检查相结合的考核原则。</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采购人现场代表每天对中标人工作进行检查，每月不少于4次。采购人在检查中发现的问题，中标人现场管理人员应在考核表上签字确认，如若中标人管理人员不及时签字确认，采购人一律视为中标人默认采购人的考核评分。采购人现场代表考核得分占月度考核成绩的70%。</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（2）采购人管理部门每月对中标人工作进行综合考评检查不少于1次。采购人综合考评得分占月度考核成绩的20%。</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（3）采购人管理层每月不定期对中标人工作进行检查不少于1次。采购人管理层考评得分占月度考核成绩的10%。</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2.扣款方式</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numPr>
          <w:ilvl w:val="0"/>
          <w:numId w:val="0"/>
        </w:numPr>
        <w:jc w:val="center"/>
        <w:keepLines w:val="0"/>
        <w:keepNext w:val="0"/>
        <w:pageBreakBefore w:val="0"/>
        <w:spacing w:line="440" w:lineRule="exact"/>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考核扣款方式</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bl>
      <w:tblPr>
        <w:tblW w:w="94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88"/>
        <w:gridCol w:w="6387"/>
        <w:gridCol w:w="925"/>
      </w:tblGrid>
      <w:tr>
        <w:trPr>
          <w:tblHeader/>
        </w:trPr>
        <w:tc>
          <w:tcPr>
            <w:tcW w:w="2088" w:type="dxa"/>
            <w:vAlign w:val="center"/>
            <w:textDirection w:val="lrTb"/>
            <w:noWrap w:val="false"/>
          </w:tcPr>
          <w:p>
            <w:pPr>
              <w:pStyle w:val="799"/>
              <w:numPr>
                <w:ilvl w:val="0"/>
                <w:numId w:val="0"/>
              </w:numPr>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考核得分</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p>
            <w:pPr>
              <w:pStyle w:val="799"/>
              <w:numPr>
                <w:ilvl w:val="0"/>
                <w:numId w:val="0"/>
              </w:numPr>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（满分100分）</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tc>
        <w:tc>
          <w:tcPr>
            <w:tcW w:w="6387" w:type="dxa"/>
            <w:vAlign w:val="center"/>
            <w:textDirection w:val="lrTb"/>
            <w:noWrap w:val="false"/>
          </w:tcPr>
          <w:p>
            <w:pPr>
              <w:pStyle w:val="799"/>
              <w:numPr>
                <w:ilvl w:val="0"/>
                <w:numId w:val="0"/>
              </w:numPr>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维护费用扣款方式</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tc>
        <w:tc>
          <w:tcPr>
            <w:tcW w:w="925" w:type="dxa"/>
            <w:vAlign w:val="center"/>
            <w:textDirection w:val="lrTb"/>
            <w:noWrap w:val="false"/>
          </w:tcPr>
          <w:p>
            <w:pPr>
              <w:pStyle w:val="799"/>
              <w:numPr>
                <w:ilvl w:val="0"/>
                <w:numId w:val="0"/>
              </w:numPr>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备注</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tc>
      </w:tr>
      <w:tr>
        <w:trPr/>
        <w:tc>
          <w:tcPr>
            <w:tcW w:w="2088" w:type="dxa"/>
            <w:vAlign w:val="center"/>
            <w:textDirection w:val="lrTb"/>
            <w:noWrap w:val="false"/>
          </w:tcPr>
          <w:p>
            <w:pPr>
              <w:pStyle w:val="799"/>
              <w:numPr>
                <w:ilvl w:val="0"/>
                <w:numId w:val="0"/>
              </w:numPr>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95分（含）以上</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6387" w:type="dxa"/>
            <w:vAlign w:val="center"/>
            <w:textDirection w:val="lrTb"/>
            <w:noWrap w:val="false"/>
          </w:tcPr>
          <w:p>
            <w:pPr>
              <w:pStyle w:val="799"/>
              <w:numPr>
                <w:ilvl w:val="0"/>
                <w:numId w:val="0"/>
              </w:numPr>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全额支付当月维护费用</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925" w:type="dxa"/>
            <w:vAlign w:val="center"/>
            <w:textDirection w:val="lrTb"/>
            <w:noWrap w:val="false"/>
          </w:tcPr>
          <w:p>
            <w:pPr>
              <w:pStyle w:val="799"/>
              <w:numPr>
                <w:ilvl w:val="0"/>
                <w:numId w:val="0"/>
              </w:numPr>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r>
      <w:tr>
        <w:trPr/>
        <w:tc>
          <w:tcPr>
            <w:tcW w:w="2088" w:type="dxa"/>
            <w:vAlign w:val="center"/>
            <w:textDirection w:val="lrTb"/>
            <w:noWrap w:val="false"/>
          </w:tcPr>
          <w:p>
            <w:pPr>
              <w:pStyle w:val="799"/>
              <w:numPr>
                <w:ilvl w:val="0"/>
                <w:numId w:val="0"/>
              </w:numPr>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90（含）-95分</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6387" w:type="dxa"/>
            <w:vAlign w:val="center"/>
            <w:textDirection w:val="lrTb"/>
            <w:noWrap w:val="false"/>
          </w:tcPr>
          <w:p>
            <w:pPr>
              <w:pStyle w:val="799"/>
              <w:numPr>
                <w:ilvl w:val="0"/>
                <w:numId w:val="0"/>
              </w:numPr>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扣款额=（100-当月考核得分）* 0.5%*当月完成额</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925" w:type="dxa"/>
            <w:vAlign w:val="center"/>
            <w:textDirection w:val="lrTb"/>
            <w:noWrap w:val="false"/>
          </w:tcPr>
          <w:p>
            <w:pPr>
              <w:pStyle w:val="799"/>
              <w:numPr>
                <w:ilvl w:val="0"/>
                <w:numId w:val="0"/>
              </w:numPr>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r>
      <w:tr>
        <w:trPr/>
        <w:tc>
          <w:tcPr>
            <w:tcW w:w="2088" w:type="dxa"/>
            <w:vAlign w:val="center"/>
            <w:textDirection w:val="lrTb"/>
            <w:noWrap w:val="false"/>
          </w:tcPr>
          <w:p>
            <w:pPr>
              <w:pStyle w:val="799"/>
              <w:numPr>
                <w:ilvl w:val="0"/>
                <w:numId w:val="0"/>
              </w:numPr>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80（含）-90分</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6387" w:type="dxa"/>
            <w:vAlign w:val="center"/>
            <w:textDirection w:val="lrTb"/>
            <w:noWrap w:val="false"/>
          </w:tcPr>
          <w:p>
            <w:pPr>
              <w:pStyle w:val="799"/>
              <w:numPr>
                <w:ilvl w:val="0"/>
                <w:numId w:val="0"/>
              </w:numPr>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扣款额=（100-当月考核得分）* 1%*当月完成额</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925" w:type="dxa"/>
            <w:vAlign w:val="center"/>
            <w:textDirection w:val="lrTb"/>
            <w:noWrap w:val="false"/>
          </w:tcPr>
          <w:p>
            <w:pPr>
              <w:pStyle w:val="799"/>
              <w:numPr>
                <w:ilvl w:val="0"/>
                <w:numId w:val="0"/>
              </w:numPr>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r>
      <w:tr>
        <w:trPr/>
        <w:tc>
          <w:tcPr>
            <w:tcW w:w="2088" w:type="dxa"/>
            <w:vAlign w:val="center"/>
            <w:textDirection w:val="lrTb"/>
            <w:noWrap w:val="false"/>
          </w:tcPr>
          <w:p>
            <w:pPr>
              <w:pStyle w:val="799"/>
              <w:numPr>
                <w:ilvl w:val="0"/>
                <w:numId w:val="0"/>
              </w:numPr>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70（含）-80分</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6387" w:type="dxa"/>
            <w:vAlign w:val="center"/>
            <w:textDirection w:val="lrTb"/>
            <w:noWrap w:val="false"/>
          </w:tcPr>
          <w:p>
            <w:pPr>
              <w:pStyle w:val="799"/>
              <w:numPr>
                <w:ilvl w:val="0"/>
                <w:numId w:val="0"/>
              </w:numPr>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支付50%当月维护费用</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925" w:type="dxa"/>
            <w:vAlign w:val="center"/>
            <w:textDirection w:val="lrTb"/>
            <w:noWrap w:val="false"/>
          </w:tcPr>
          <w:p>
            <w:pPr>
              <w:pStyle w:val="799"/>
              <w:numPr>
                <w:ilvl w:val="0"/>
                <w:numId w:val="0"/>
              </w:numPr>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r>
      <w:tr>
        <w:trPr/>
        <w:tc>
          <w:tcPr>
            <w:tcW w:w="2088" w:type="dxa"/>
            <w:vAlign w:val="center"/>
            <w:textDirection w:val="lrTb"/>
            <w:noWrap w:val="false"/>
          </w:tcPr>
          <w:p>
            <w:pPr>
              <w:pStyle w:val="799"/>
              <w:numPr>
                <w:ilvl w:val="0"/>
                <w:numId w:val="0"/>
              </w:numPr>
              <w:ind w:left="0" w:right="0" w:firstLine="0"/>
              <w:jc w:val="center"/>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70分以下</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6387" w:type="dxa"/>
            <w:vAlign w:val="center"/>
            <w:textDirection w:val="lrTb"/>
            <w:noWrap w:val="false"/>
          </w:tcPr>
          <w:p>
            <w:pPr>
              <w:pStyle w:val="799"/>
              <w:numPr>
                <w:ilvl w:val="0"/>
                <w:numId w:val="0"/>
              </w:numPr>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支付40%当月维护费用；连续2月考核得分低于70分的，</w:t>
            </w:r>
            <w:r>
              <w:rPr>
                <w:rFonts w:hint="eastAsia" w:ascii="方正仿宋_GB2312" w:hAnsi="方正仿宋_GB2312" w:eastAsia="方正仿宋_GB2312" w:cs="方正仿宋_GB2312"/>
                <w:bCs/>
                <w:color w:val="000000" w:themeColor="text1"/>
                <w:sz w:val="24"/>
                <w:szCs w:val="24"/>
                <w:highlight w:val="none"/>
                <w:lang w:eastAsia="zh-CN"/>
              </w:rPr>
              <w:t xml:space="preserve">采购人</w:t>
            </w:r>
            <w:r>
              <w:rPr>
                <w:rFonts w:hint="eastAsia" w:ascii="方正仿宋_GB2312" w:hAnsi="方正仿宋_GB2312" w:eastAsia="方正仿宋_GB2312" w:cs="方正仿宋_GB2312"/>
                <w:bCs/>
                <w:color w:val="000000" w:themeColor="text1"/>
                <w:sz w:val="24"/>
                <w:szCs w:val="24"/>
                <w:highlight w:val="none"/>
              </w:rPr>
              <w:t xml:space="preserve">有权解除合同，履约保证金全额扣除</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c>
          <w:tcPr>
            <w:tcW w:w="925" w:type="dxa"/>
            <w:vAlign w:val="center"/>
            <w:textDirection w:val="lrTb"/>
            <w:noWrap w:val="false"/>
          </w:tcPr>
          <w:p>
            <w:pPr>
              <w:pStyle w:val="799"/>
              <w:numPr>
                <w:ilvl w:val="0"/>
                <w:numId w:val="0"/>
              </w:numPr>
              <w:ind w:left="0" w:right="0" w:firstLine="0"/>
              <w:jc w:val="left"/>
              <w:keepLines w:val="0"/>
              <w:keepNext w:val="0"/>
              <w:pageBreakBefore w:val="0"/>
              <w:spacing w:line="24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c>
      </w:tr>
    </w:tbl>
    <w:p>
      <w:pPr>
        <w:pStyle w:val="799"/>
        <w:numPr>
          <w:ilvl w:val="0"/>
          <w:numId w:val="0"/>
        </w:numPr>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3.中标人对于合同约定的任务不积极配合或完成不及时的，采购人有权安排其它有资质的单位完成，其产生的费用从当月养护费用中扣除，不足的从该中标人的合同履约保证金中扣除。</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eastAsia="宋体"/>
          <w:color w:val="000000" w:themeColor="text1"/>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4.中标人首次申请付款时，需在付款申请材料后附上以下材料：</w:t>
      </w:r>
      <w:r>
        <w:rPr>
          <w:rFonts w:hint="eastAsia" w:eastAsia="宋体"/>
          <w:color w:val="000000" w:themeColor="text1"/>
          <w:highlight w:val="none"/>
          <w:lang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（1）发包人委托或要求承包人办理的雇主责任险、第三者责任险等相关保单（复印件）；</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（2）合同协议书复印件；</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spacing w:line="276" w:lineRule="auto"/>
        <w:rPr>
          <w:rFonts w:hint="eastAsia" w:eastAsia="宋体"/>
          <w:color w:val="000000" w:themeColor="text1"/>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（3）发包人出具的进场指令单。</w:t>
      </w:r>
      <w:r>
        <w:rPr>
          <w:rFonts w:hint="eastAsia" w:eastAsia="宋体"/>
          <w:color w:val="000000" w:themeColor="text1"/>
          <w:highlight w:val="none"/>
          <w:lang w:eastAsia="zh-CN"/>
        </w:rPr>
      </w:r>
      <w:r>
        <w:rPr>
          <w:color w:val="000000" w:themeColor="text1"/>
        </w:rPr>
      </w:r>
    </w:p>
    <w:p>
      <w:pPr>
        <w:pStyle w:val="799"/>
        <w:spacing w:line="276" w:lineRule="auto"/>
        <w:rPr>
          <w:rFonts w:hint="eastAsia" w:ascii="方正仿宋_GB2312" w:hAnsi="方正仿宋_GB2312" w:eastAsia="方正仿宋_GB2312" w:cs="方正仿宋_GB2312"/>
          <w:b/>
          <w:bCs w:val="0"/>
          <w:color w:val="000000" w:themeColor="text1"/>
          <w:sz w:val="28"/>
          <w:szCs w:val="28"/>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br w:type="page" w:clear="all"/>
      </w:r>
      <w:r>
        <w:rPr>
          <w:rFonts w:hint="eastAsia" w:ascii="方正仿宋_GB2312" w:hAnsi="方正仿宋_GB2312" w:eastAsia="方正仿宋_GB2312" w:cs="方正仿宋_GB2312"/>
          <w:b/>
          <w:bCs w:val="0"/>
          <w:color w:val="000000" w:themeColor="text1"/>
          <w:sz w:val="28"/>
          <w:szCs w:val="28"/>
          <w:highlight w:val="none"/>
          <w:lang w:val="en-US" w:eastAsia="zh-CN"/>
        </w:rPr>
        <w:t xml:space="preserve">附件一：</w:t>
      </w:r>
      <w:r>
        <w:rPr>
          <w:rFonts w:hint="eastAsia" w:ascii="方正仿宋_GB2312" w:hAnsi="方正仿宋_GB2312" w:eastAsia="方正仿宋_GB2312" w:cs="方正仿宋_GB2312"/>
          <w:b/>
          <w:bCs w:val="0"/>
          <w:color w:val="000000" w:themeColor="text1"/>
          <w:sz w:val="28"/>
          <w:szCs w:val="28"/>
          <w:highlight w:val="none"/>
          <w:lang w:val="en-US" w:eastAsia="zh-CN"/>
        </w:rPr>
      </w:r>
      <w:r>
        <w:rPr>
          <w:color w:val="000000" w:themeColor="text1"/>
        </w:rPr>
      </w:r>
    </w:p>
    <w:p>
      <w:pPr>
        <w:pStyle w:val="799"/>
        <w:jc w:val="center"/>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苏宿工业园区绿化养护路段分级标准划分</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（采购包1）</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bl>
      <w:tblPr>
        <w:tblpPr w:horzAnchor="text" w:tblpXSpec="center" w:vertAnchor="text" w:tblpY="1" w:leftFromText="180" w:topFromText="0" w:rightFromText="180" w:bottomFromText="0"/>
        <w:tblW w:w="9844" w:type="dxa"/>
        <w:tblInd w:w="-108" w:type="dxa"/>
        <w:tblLayout w:type="autofit"/>
        <w:tblCellMar>
          <w:left w:w="108" w:type="dxa"/>
          <w:top w:w="0" w:type="dxa"/>
          <w:right w:w="108" w:type="dxa"/>
          <w:bottom w:w="0" w:type="dxa"/>
        </w:tblCellMar>
        <w:tblLook w:val="04A0" w:firstRow="1" w:lastRow="0" w:firstColumn="1" w:lastColumn="0" w:noHBand="0" w:noVBand="1"/>
      </w:tblPr>
      <w:tblGrid>
        <w:gridCol w:w="817"/>
        <w:gridCol w:w="2976"/>
        <w:gridCol w:w="3216"/>
        <w:gridCol w:w="1299"/>
        <w:gridCol w:w="1536"/>
      </w:tblGrid>
      <w:tr>
        <w:trPr>
          <w:tblHeader/>
        </w:trPr>
        <w:tc>
          <w:tcPr>
            <w:shd w:val="clear" w:color="000000" w:fill="ffffff"/>
            <w:tcBorders>
              <w:top w:val="single" w:color="000000" w:sz="8" w:space="0"/>
              <w:left w:val="single" w:color="000000" w:sz="8" w:space="0"/>
              <w:bottom w:val="none" w:color="000000" w:sz="4" w:space="0"/>
              <w:right w:val="single" w:color="000000" w:sz="8" w:space="0"/>
            </w:tcBorders>
            <w:tcW w:w="817"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rPr>
              <w:t xml:space="preserve">序号</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tc>
        <w:tc>
          <w:tcPr>
            <w:shd w:val="clear" w:color="000000" w:fill="ffffff"/>
            <w:tcBorders>
              <w:top w:val="single" w:color="000000" w:sz="8" w:space="0"/>
              <w:left w:val="none" w:color="000000" w:sz="4" w:space="0"/>
              <w:bottom w:val="none" w:color="000000" w:sz="4" w:space="0"/>
              <w:right w:val="single" w:color="000000" w:sz="8"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rPr>
              <w:t xml:space="preserve">道路名称</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tc>
        <w:tc>
          <w:tcPr>
            <w:shd w:val="clear" w:color="000000" w:fill="ffffff"/>
            <w:tcBorders>
              <w:top w:val="single" w:color="000000" w:sz="8" w:space="0"/>
              <w:left w:val="none" w:color="000000" w:sz="4" w:space="0"/>
              <w:bottom w:val="none" w:color="000000" w:sz="4" w:space="0"/>
              <w:right w:val="single" w:color="000000" w:sz="8" w:space="0"/>
            </w:tcBorders>
            <w:tcW w:w="321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rPr>
              <w:t xml:space="preserve">起止点</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tc>
        <w:tc>
          <w:tcPr>
            <w:shd w:val="clear" w:color="000000" w:fill="ffffff"/>
            <w:tcBorders>
              <w:top w:val="single" w:color="000000" w:sz="8" w:space="0"/>
              <w:left w:val="none" w:color="000000" w:sz="4" w:space="0"/>
              <w:bottom w:val="none" w:color="000000" w:sz="4" w:space="0"/>
              <w:right w:val="single" w:color="000000" w:sz="8" w:space="0"/>
            </w:tcBorders>
            <w:tcW w:w="1299"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rPr>
              <w:t xml:space="preserve">养护标准</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tc>
        <w:tc>
          <w:tcPr>
            <w:shd w:val="clear" w:color="000000" w:fill="ffffff"/>
            <w:tcBorders>
              <w:top w:val="single" w:color="000000" w:sz="8" w:space="0"/>
              <w:left w:val="none" w:color="000000" w:sz="4" w:space="0"/>
              <w:bottom w:val="none" w:color="000000" w:sz="4" w:space="0"/>
              <w:right w:val="single" w:color="000000" w:sz="8" w:space="0"/>
            </w:tcBorders>
            <w:tcW w:w="153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b/>
                <w:bCs/>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b/>
                <w:bCs/>
                <w:color w:val="000000" w:themeColor="text1"/>
                <w:sz w:val="24"/>
                <w:szCs w:val="24"/>
                <w:highlight w:val="none"/>
              </w:rPr>
              <w:t xml:space="preserve">备注</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1</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苏州公园</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一级养护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53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non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2</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阳澄湖路</w:t>
            </w:r>
            <w:r>
              <w:rPr>
                <w:rFonts w:hint="eastAsia" w:ascii="方正仿宋_GB2312" w:hAnsi="方正仿宋_GB2312" w:eastAsia="方正仿宋_GB2312" w:cs="方正仿宋_GB2312"/>
                <w:color w:val="000000" w:themeColor="text1"/>
                <w:sz w:val="24"/>
                <w:szCs w:val="24"/>
                <w:highlight w:val="none"/>
                <w:lang w:eastAsia="zh-CN"/>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通湖大道-为民河</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一级养护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53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non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3</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苏宿大道</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为民河桥-通湖大道</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一级养护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53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4</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富民河</w:t>
            </w:r>
            <w:r>
              <w:rPr>
                <w:rFonts w:hint="eastAsia" w:ascii="方正仿宋_GB2312" w:hAnsi="方正仿宋_GB2312" w:eastAsia="方正仿宋_GB2312" w:cs="方正仿宋_GB2312"/>
                <w:color w:val="000000" w:themeColor="text1"/>
                <w:sz w:val="24"/>
                <w:szCs w:val="24"/>
                <w:highlight w:val="none"/>
                <w:lang w:eastAsia="zh-CN"/>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通湖大道至虞山路交汇处</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53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原一级养护</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5</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为民河</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清水河-西湖西路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53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原二级养护</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r>
      <w:tr>
        <w:trPr/>
        <w:tc>
          <w:tcPr>
            <w:shd w:val="clear" w:color="000000" w:fill="ffffff"/>
            <w:tcBorders>
              <w:top w:val="non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6</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利民河</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清水河-同里湖路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三级养护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53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non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7</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环形景观带</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天池山路与鄱阳湖路交叉路口起至同里湖路西侧</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53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原二级养护</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8</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邻里公园、邻里中心、</w:t>
            </w:r>
            <w:r>
              <w:rPr>
                <w:rFonts w:hint="eastAsia" w:ascii="方正仿宋_GB2312" w:hAnsi="方正仿宋_GB2312" w:eastAsia="方正仿宋_GB2312" w:cs="方正仿宋_GB2312"/>
                <w:color w:val="000000" w:themeColor="text1"/>
                <w:sz w:val="24"/>
                <w:szCs w:val="24"/>
                <w:highlight w:val="none"/>
                <w:lang w:val="en-US" w:eastAsia="zh-CN"/>
              </w:rPr>
              <w:t xml:space="preserve">文景阁</w:t>
            </w:r>
            <w:r>
              <w:rPr>
                <w:rFonts w:hint="eastAsia" w:ascii="方正仿宋_GB2312" w:hAnsi="方正仿宋_GB2312" w:eastAsia="方正仿宋_GB2312" w:cs="方正仿宋_GB2312"/>
                <w:color w:val="000000" w:themeColor="text1"/>
                <w:sz w:val="24"/>
                <w:szCs w:val="24"/>
                <w:highlight w:val="none"/>
              </w:rPr>
              <w:t xml:space="preserve">公园</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53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原二级养护</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9</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苏州大道</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通湖大道-为民河</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三级养护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536"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10</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通达大道</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清水河-西湖西路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二级养护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536"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non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11</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淀山湖路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通湖大道-通达大道</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三级养护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536"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non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12</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红海大道</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清水河-西湖西路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536"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原二级养护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non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13</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名车广场</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红飘带、展示节点</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三级养护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536"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14</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闸站</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为民河南、北闸、利民河北闸</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三级养护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536"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non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15</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天池山路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规划北端-西湖西路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三级养护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536"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16</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鄱阳湖路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通湖大道-红海大道</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三级养护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53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non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17</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独墅湖路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通达大道-虞山路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三级养护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53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non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18</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同里湖路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通达大道-虞山路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三级养护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53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non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19</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虞山路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独墅湖路-西湖西路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三级养护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53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20</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西湖路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振兴大道-通湖大道</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一级养护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21</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石公山路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青海湖西路-西湖西路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三级养护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22</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中央商务区</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一级养护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含复播百慕大草籽</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23</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深圳路、厦门路</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三级养护</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24</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古树</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前庵寺</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一级养护</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25</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学校.住宅周边</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苏外南北小区外围及住宅周边</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三级养护</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原二级养护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26</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清水河南岸待移交工程</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为民河-通湖大道</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二级养护</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t xml:space="preserve">原二级养护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27</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深圳西路、红海大道待移交项目</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三级养护</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28</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通湖大道景观带（东侧）</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清水河-北京路</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一级养护</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29</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苏宿大道、苏州公园、阳澄湖路节点提升</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lang w:val="en-US" w:eastAsia="zh-CN"/>
              </w:rPr>
              <w:t xml:space="preserve">一级养护</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framePr w:vAnchor="margin" w:hAnchor="page" w:xAlign="center" w:y="1"/>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bl>
    <w:p>
      <w:pPr>
        <w:pStyle w:val="799"/>
        <w:jc w:val="center"/>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br w:type="page" w:clear="all"/>
      </w:r>
      <w:r>
        <w:rPr>
          <w:rFonts w:hint="eastAsia" w:ascii="方正仿宋_GB2312" w:hAnsi="方正仿宋_GB2312" w:eastAsia="方正仿宋_GB2312" w:cs="方正仿宋_GB2312"/>
          <w:color w:val="000000" w:themeColor="text1"/>
          <w:sz w:val="24"/>
          <w:szCs w:val="24"/>
          <w:highlight w:val="none"/>
          <w:lang w:val="en-US" w:eastAsia="zh-CN"/>
        </w:rPr>
        <w:t xml:space="preserve">苏宿工业园区绿化养护路段分级标准划分</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（采购包2）</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tbl>
      <w:tblPr>
        <w:tblW w:w="940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13"/>
        <w:gridCol w:w="3235"/>
        <w:gridCol w:w="2596"/>
        <w:gridCol w:w="1309"/>
        <w:gridCol w:w="1547"/>
      </w:tblGrid>
      <w:tr>
        <w:trPr>
          <w:tblHeader/>
        </w:trPr>
        <w:tc>
          <w:tcPr>
            <w:shd w:val="clear" w:color="000000"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序号</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3235"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道路名称</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2596"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起止点</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309"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养护标准</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547"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备注</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tc>
      </w:tr>
      <w:tr>
        <w:trPr/>
        <w:tc>
          <w:tcPr>
            <w:shd w:val="clear" w:color="000000" w:fill="ffffff"/>
            <w:tcBorders>
              <w:top w:val="none" w:color="000000" w:sz="4" w:space="0"/>
              <w:left w:val="single" w:color="000000" w:sz="4" w:space="0"/>
              <w:bottom w:val="single" w:color="000000" w:sz="4" w:space="0"/>
              <w:right w:val="single" w:color="000000" w:sz="4" w:space="0"/>
            </w:tcBorders>
            <w:tcW w:w="713"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3235"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苏宿大道</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259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通湖大道-天柱山路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一级养护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54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none" w:color="000000" w:sz="4" w:space="0"/>
              <w:left w:val="single" w:color="000000" w:sz="4" w:space="0"/>
              <w:bottom w:val="single" w:color="000000" w:sz="4" w:space="0"/>
              <w:right w:val="single" w:color="000000" w:sz="4" w:space="0"/>
            </w:tcBorders>
            <w:tcW w:w="713"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2</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3235" w:type="dxa"/>
            <w:vAlign w:val="center"/>
            <w:textDirection w:val="lrTb"/>
            <w:noWrap w:val="false"/>
          </w:tcPr>
          <w:p>
            <w:pPr>
              <w:pStyle w:val="799"/>
              <w:ind w:left="0" w:right="0" w:firstLine="0"/>
              <w:jc w:val="center"/>
              <w:keepLines w:val="0"/>
              <w:keepNext w:val="0"/>
              <w:pageBreakBefore w:val="0"/>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阳明山大道</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2596" w:type="dxa"/>
            <w:vAlign w:val="center"/>
            <w:textDirection w:val="lrTb"/>
            <w:noWrap w:val="false"/>
          </w:tcPr>
          <w:p>
            <w:pPr>
              <w:pStyle w:val="799"/>
              <w:ind w:left="0" w:right="0" w:firstLine="0"/>
              <w:jc w:val="left"/>
              <w:keepLines w:val="0"/>
              <w:keepNext w:val="0"/>
              <w:pageBreakBefore w:val="0"/>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古城路-镜泊湖路</w:t>
            </w:r>
            <w:r>
              <w:rPr>
                <w:rFonts w:hint="eastAsia" w:ascii="方正仿宋_GB2312" w:hAnsi="方正仿宋_GB2312" w:eastAsia="方正仿宋_GB2312" w:cs="方正仿宋_GB2312"/>
                <w:color w:val="000000" w:themeColor="text1"/>
                <w:sz w:val="24"/>
                <w:szCs w:val="24"/>
                <w:highlight w:val="none"/>
                <w:lang w:val="en-US" w:eastAsia="zh-CN"/>
              </w:rPr>
              <w:t xml:space="preserve">以北</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799"/>
              <w:ind w:left="0" w:right="0" w:firstLine="0"/>
              <w:jc w:val="center"/>
              <w:keepLines w:val="0"/>
              <w:keepNext w:val="0"/>
              <w:pageBreakBefore w:val="0"/>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54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原二级养护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none" w:color="000000" w:sz="4" w:space="0"/>
              <w:left w:val="single" w:color="000000" w:sz="4" w:space="0"/>
              <w:bottom w:val="single" w:color="000000" w:sz="4" w:space="0"/>
              <w:right w:val="single" w:color="000000" w:sz="4" w:space="0"/>
            </w:tcBorders>
            <w:tcW w:w="713"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3</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3235"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双蔡路</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259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普陀山大道-天柱山路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54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原二级养护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none" w:color="000000" w:sz="4" w:space="0"/>
              <w:left w:val="single" w:color="000000" w:sz="4" w:space="0"/>
              <w:bottom w:val="single" w:color="000000" w:sz="4" w:space="0"/>
              <w:right w:val="single" w:color="000000" w:sz="4" w:space="0"/>
            </w:tcBorders>
            <w:tcW w:w="713"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4</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3235"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古城路</w:t>
            </w:r>
            <w:r>
              <w:rPr>
                <w:rFonts w:hint="eastAsia" w:ascii="方正仿宋_GB2312" w:hAnsi="方正仿宋_GB2312" w:eastAsia="方正仿宋_GB2312" w:cs="方正仿宋_GB2312"/>
                <w:color w:val="000000" w:themeColor="text1"/>
                <w:sz w:val="24"/>
                <w:szCs w:val="24"/>
                <w:highlight w:val="none"/>
                <w:lang w:eastAsia="zh-CN"/>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259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通湖大道--天柱山路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54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原二级养护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none" w:color="000000" w:sz="4" w:space="0"/>
              <w:left w:val="single" w:color="000000" w:sz="4" w:space="0"/>
              <w:bottom w:val="single" w:color="000000" w:sz="4" w:space="0"/>
              <w:right w:val="single" w:color="000000" w:sz="4" w:space="0"/>
            </w:tcBorders>
            <w:tcW w:w="713"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5</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3235"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蔡庄大沟</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259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十支渠-天柱山路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54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none" w:color="000000" w:sz="4" w:space="0"/>
              <w:left w:val="single" w:color="000000" w:sz="4" w:space="0"/>
              <w:bottom w:val="single" w:color="000000" w:sz="4" w:space="0"/>
              <w:right w:val="single" w:color="000000" w:sz="4" w:space="0"/>
            </w:tcBorders>
            <w:tcW w:w="713"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6</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3235"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吴淞路</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259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古城路-皂河灌溉总渠</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54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7</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3235"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昆明湖路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259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栖霞山路-天柱山路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309"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54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none" w:color="000000" w:sz="4" w:space="0"/>
              <w:left w:val="single" w:color="000000" w:sz="4" w:space="0"/>
              <w:bottom w:val="single" w:color="000000" w:sz="4" w:space="0"/>
              <w:right w:val="single" w:color="000000" w:sz="4" w:space="0"/>
            </w:tcBorders>
            <w:tcW w:w="713"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8</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3235"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苏创路</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259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古城路-皂河灌溉总渠</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54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9</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3235"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子胥路</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259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古城路</w:t>
            </w:r>
            <w:r>
              <w:rPr>
                <w:rFonts w:hint="eastAsia" w:ascii="方正仿宋_GB2312" w:hAnsi="方正仿宋_GB2312" w:eastAsia="方正仿宋_GB2312" w:cs="方正仿宋_GB2312"/>
                <w:color w:val="000000" w:themeColor="text1"/>
                <w:sz w:val="24"/>
                <w:szCs w:val="24"/>
                <w:highlight w:val="none"/>
              </w:rPr>
              <w:t xml:space="preserve">-皂河灌溉总渠</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309"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547" w:type="dxa"/>
            <w:vAlign w:val="center"/>
            <w:textDirection w:val="lrTb"/>
            <w:noWrap/>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10</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3235"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苏州大道</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259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通湖大道-</w:t>
            </w:r>
            <w:r>
              <w:rPr>
                <w:rFonts w:hint="eastAsia" w:ascii="方正仿宋_GB2312" w:hAnsi="方正仿宋_GB2312" w:eastAsia="方正仿宋_GB2312" w:cs="方正仿宋_GB2312"/>
                <w:color w:val="000000" w:themeColor="text1"/>
                <w:sz w:val="24"/>
                <w:szCs w:val="24"/>
                <w:highlight w:val="none"/>
                <w:lang w:val="en-US" w:eastAsia="zh-CN"/>
              </w:rPr>
              <w:t xml:space="preserve">天柱山路</w:t>
            </w:r>
            <w:r>
              <w:rPr>
                <w:rFonts w:hint="eastAsia" w:ascii="方正仿宋_GB2312" w:hAnsi="方正仿宋_GB2312" w:eastAsia="方正仿宋_GB2312" w:cs="方正仿宋_GB2312"/>
                <w:color w:val="000000" w:themeColor="text1"/>
                <w:sz w:val="24"/>
                <w:szCs w:val="24"/>
                <w:highlight w:val="none"/>
                <w:lang w:eastAsia="zh-CN"/>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547"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w:t>
            </w:r>
            <w:r>
              <w:rPr>
                <w:rFonts w:hint="eastAsia" w:ascii="方正仿宋_GB2312" w:hAnsi="方正仿宋_GB2312" w:eastAsia="方正仿宋_GB2312" w:cs="方正仿宋_GB2312"/>
                <w:color w:val="000000" w:themeColor="text1"/>
                <w:sz w:val="24"/>
                <w:szCs w:val="24"/>
                <w:highlight w:val="none"/>
                <w:lang w:val="en-US" w:eastAsia="zh-CN"/>
              </w:rPr>
              <w:t xml:space="preserve">1</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3235"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栖霞山路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259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古城路-镜泊湖路</w:t>
            </w:r>
            <w:r>
              <w:rPr>
                <w:rFonts w:hint="eastAsia" w:ascii="方正仿宋_GB2312" w:hAnsi="方正仿宋_GB2312" w:eastAsia="方正仿宋_GB2312" w:cs="方正仿宋_GB2312"/>
                <w:color w:val="000000" w:themeColor="text1"/>
                <w:sz w:val="24"/>
                <w:szCs w:val="24"/>
                <w:highlight w:val="none"/>
                <w:lang w:val="en-US" w:eastAsia="zh-CN"/>
              </w:rPr>
              <w:t xml:space="preserve">以北</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547"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12</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3235"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镜泊湖路</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259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栖霞山路-天柱山路</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547"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13</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3235"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东山大道</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259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古城路-蔡庄大沟</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309"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547"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14</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3235"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紫金山路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259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古城路-</w:t>
            </w:r>
            <w:r>
              <w:rPr>
                <w:rFonts w:hint="eastAsia" w:ascii="方正仿宋_GB2312" w:hAnsi="方正仿宋_GB2312" w:eastAsia="方正仿宋_GB2312" w:cs="方正仿宋_GB2312"/>
                <w:color w:val="000000" w:themeColor="text1"/>
                <w:sz w:val="24"/>
                <w:szCs w:val="24"/>
                <w:highlight w:val="none"/>
                <w:lang w:val="en-US" w:eastAsia="zh-CN"/>
              </w:rPr>
              <w:t xml:space="preserve">蔡庄大沟</w:t>
            </w:r>
            <w:r>
              <w:rPr>
                <w:rFonts w:hint="eastAsia" w:ascii="方正仿宋_GB2312" w:hAnsi="方正仿宋_GB2312" w:eastAsia="方正仿宋_GB2312" w:cs="方正仿宋_GB2312"/>
                <w:color w:val="000000" w:themeColor="text1"/>
                <w:sz w:val="24"/>
                <w:szCs w:val="24"/>
                <w:highlight w:val="none"/>
                <w:lang w:eastAsia="zh-CN"/>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547"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15</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3235"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民便河</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259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通湖大道-</w:t>
            </w:r>
            <w:r>
              <w:rPr>
                <w:rFonts w:hint="eastAsia" w:ascii="方正仿宋_GB2312" w:hAnsi="方正仿宋_GB2312" w:eastAsia="方正仿宋_GB2312" w:cs="方正仿宋_GB2312"/>
                <w:color w:val="000000" w:themeColor="text1"/>
                <w:sz w:val="24"/>
                <w:szCs w:val="24"/>
                <w:highlight w:val="none"/>
                <w:lang w:val="en-US" w:eastAsia="zh-CN"/>
              </w:rPr>
              <w:t xml:space="preserve">天柱山路</w:t>
            </w:r>
            <w:r>
              <w:rPr>
                <w:rFonts w:hint="eastAsia" w:ascii="方正仿宋_GB2312" w:hAnsi="方正仿宋_GB2312" w:eastAsia="方正仿宋_GB2312" w:cs="方正仿宋_GB2312"/>
                <w:color w:val="000000" w:themeColor="text1"/>
                <w:sz w:val="24"/>
                <w:szCs w:val="24"/>
                <w:highlight w:val="none"/>
                <w:lang w:eastAsia="zh-CN"/>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Borders>
              <w:top w:val="single" w:color="000000" w:sz="4" w:space="0"/>
              <w:left w:val="none" w:color="000000" w:sz="0" w:space="0"/>
              <w:bottom w:val="single" w:color="000000" w:sz="4" w:space="0"/>
              <w:right w:val="single" w:color="000000" w:sz="4" w:space="0"/>
            </w:tcBorders>
            <w:tcW w:w="1547"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16</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3235"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十支渠</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259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蔡庄大沟</w:t>
            </w:r>
            <w:r>
              <w:rPr>
                <w:rFonts w:hint="eastAsia" w:ascii="方正仿宋_GB2312" w:hAnsi="方正仿宋_GB2312" w:eastAsia="方正仿宋_GB2312" w:cs="方正仿宋_GB2312"/>
                <w:color w:val="000000" w:themeColor="text1"/>
                <w:sz w:val="24"/>
                <w:szCs w:val="24"/>
                <w:highlight w:val="none"/>
              </w:rPr>
              <w:t xml:space="preserve">-古城路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Borders>
              <w:top w:val="none" w:color="000000" w:sz="0" w:space="0"/>
              <w:left w:val="none" w:color="000000" w:sz="0" w:space="0"/>
              <w:bottom w:val="none" w:color="000000" w:sz="0" w:space="0"/>
              <w:right w:val="single" w:color="000000" w:sz="4" w:space="0"/>
            </w:tcBorders>
            <w:tcW w:w="1547"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w:t>
            </w:r>
            <w:r>
              <w:rPr>
                <w:rFonts w:hint="eastAsia" w:ascii="方正仿宋_GB2312" w:hAnsi="方正仿宋_GB2312" w:eastAsia="方正仿宋_GB2312" w:cs="方正仿宋_GB2312"/>
                <w:color w:val="000000" w:themeColor="text1"/>
                <w:sz w:val="24"/>
                <w:szCs w:val="24"/>
                <w:highlight w:val="none"/>
                <w:lang w:val="en-US" w:eastAsia="zh-CN"/>
              </w:rPr>
              <w:t xml:space="preserve">7</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垃圾中转站</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w:t>
            </w:r>
            <w:r>
              <w:rPr>
                <w:rFonts w:hint="eastAsia" w:ascii="方正仿宋_GB2312" w:hAnsi="方正仿宋_GB2312" w:eastAsia="方正仿宋_GB2312" w:cs="方正仿宋_GB2312"/>
                <w:color w:val="000000" w:themeColor="text1"/>
                <w:sz w:val="24"/>
                <w:szCs w:val="24"/>
                <w:highlight w:val="none"/>
                <w:lang w:val="en-US" w:eastAsia="zh-CN"/>
              </w:rPr>
              <w:t xml:space="preserve">8</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闸站、工业区企业门口</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级养护</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rHeight w:val="549"/>
        </w:trPr>
        <w:tc>
          <w:tcPr>
            <w:shd w:val="clear" w:color="000000"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19</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通湖大道</w:t>
            </w:r>
            <w:r>
              <w:rPr>
                <w:rFonts w:hint="eastAsia" w:ascii="方正仿宋_GB2312" w:hAnsi="方正仿宋_GB2312" w:eastAsia="方正仿宋_GB2312" w:cs="方正仿宋_GB2312"/>
                <w:color w:val="000000" w:themeColor="text1"/>
                <w:sz w:val="24"/>
                <w:szCs w:val="24"/>
                <w:highlight w:val="none"/>
                <w:lang w:val="en-US" w:eastAsia="zh-CN"/>
              </w:rPr>
              <w:t xml:space="preserve">道路绿化</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清水河-北京路</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一级养护</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含翻种多年生草花</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20</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通湖大道</w:t>
            </w:r>
            <w:r>
              <w:rPr>
                <w:rFonts w:hint="eastAsia" w:ascii="方正仿宋_GB2312" w:hAnsi="方正仿宋_GB2312" w:eastAsia="方正仿宋_GB2312" w:cs="方正仿宋_GB2312"/>
                <w:color w:val="000000" w:themeColor="text1"/>
                <w:sz w:val="24"/>
                <w:szCs w:val="24"/>
                <w:highlight w:val="none"/>
                <w:lang w:val="en-US" w:eastAsia="zh-CN"/>
              </w:rPr>
              <w:t xml:space="preserve">景观带（西侧）</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清水河-北京路</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一级养护</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21</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大明湖路</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三级养护</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22</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天平山路</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三级养护</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23</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沐春湖路</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三级养护</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24</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苏悦公园</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一</w:t>
            </w:r>
            <w:r>
              <w:rPr>
                <w:rFonts w:hint="eastAsia" w:ascii="方正仿宋_GB2312" w:hAnsi="方正仿宋_GB2312" w:eastAsia="方正仿宋_GB2312" w:cs="方正仿宋_GB2312"/>
                <w:color w:val="000000" w:themeColor="text1"/>
                <w:sz w:val="24"/>
                <w:szCs w:val="24"/>
                <w:highlight w:val="none"/>
              </w:rPr>
              <w:t xml:space="preserve">级养护</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25</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紫金山路、复旦路待移交项目</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三级养护</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tc>
          <w:tcPr>
            <w:shd w:val="clear" w:color="000000"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26</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简易绿化</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pStyle w:val="799"/>
              <w:ind w:left="0" w:right="0" w:firstLine="0"/>
              <w:jc w:val="left"/>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三级养护</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shd w:val="clear" w:color="000000" w:fill="ffffff"/>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799"/>
              <w:ind w:left="0" w:right="0" w:firstLine="0"/>
              <w:jc w:val="center"/>
              <w:keepLines w:val="0"/>
              <w:keepNext w:val="0"/>
              <w:pageBreakBefore w:val="0"/>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bl>
    <w:p>
      <w:pPr>
        <w:pStyle w:val="799"/>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br w:type="page" w:clear="all"/>
      </w:r>
      <w:r>
        <w:rPr>
          <w:rFonts w:hint="eastAsia" w:ascii="方正仿宋_GB2312" w:hAnsi="方正仿宋_GB2312" w:eastAsia="方正仿宋_GB2312" w:cs="方正仿宋_GB2312"/>
          <w:b/>
          <w:bCs w:val="0"/>
          <w:color w:val="000000" w:themeColor="text1"/>
          <w:sz w:val="28"/>
          <w:szCs w:val="28"/>
          <w:highlight w:val="none"/>
          <w:lang w:val="en-US" w:eastAsia="zh-CN"/>
        </w:rPr>
        <w:t xml:space="preserve">附件二：</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rPr>
      </w:r>
    </w:p>
    <w:p>
      <w:pPr>
        <w:pStyle w:val="799"/>
        <w:ind w:firstLine="480"/>
        <w:jc w:val="center"/>
        <w:spacing w:line="276"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江苏省城市园林绿化植物养护管理规范</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p>
      <w:pPr>
        <w:pStyle w:val="799"/>
        <w:ind w:firstLine="480"/>
        <w:jc w:val="center"/>
        <w:spacing w:line="276"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（2015年8月）</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1树木（乔木、灌木）养护管理</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养护管理内容包括：浇灌与排水，整形与修剪，病虫害防治，松土与除草，施肥，支撑、防护与涂白，切边和留积水穴，复壮、补植与调整等。</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1.1浇灌与排水</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1.1.1浇水应根据树木生物学特性、长势、季节和土质状况，做到适树、适地、适时、适量浇灌，确保植物正常生长所需水分。</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浇灌次数应根据气候、土壤墒情、植物特性和长势等具体情况确定，干旱季节宜多灌，雨季少灌或不灌；发芽生长期可多灌；休眠期前适当控制水量。</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苏南地区每年浇水6次以上，苏中地区每年浇水8次以上，苏北地区每年浇水10次以上。每年春季树木萌发前要浇春水至少1次，冬季休眠前浇防冻水至少1次，5月至10月期间，连续15天无降雨应浇透水1次。</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1.1.2浇灌前应先挖穴松土，以浇透为宜，水分应渗透至树木根部。补（移）植树木高温干旱时应避开高温进行叶面喷雾或树干保湿。</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1.1.3根部积水应及时排出。耐涝性差树木应该在12小时内排除积水，低洼易积水处应设置排水沟。</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1.1.4提倡使用不含有毒物质的中水、雨水和河水浇灌。</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1.2整形与修剪</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1.2.1依据园林绿化功能和设计的需要，在不违背树木的生长特性和自然分枝规律的前提下（特型树木除外），根据树木品种、生长阶段、生长势强弱、花芽着生部位、开花季节等生物学特性进行修剪。</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1.2.1.1自然型树木的修剪应以树木自然分枝习性所形成的树冠形状为基础进行修剪；</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1.2.2.2造型树木的修剪应根据园林绿化对树木的特定要求，适当控制树木部分枝干，保持树木设计要求的原有造型。</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1.2.2休眠期修剪，以整形为主，适宜进行中剪或重剪。同一树种，在幼年和成熟阶段，每年整形修剪1次；衰老阶段，2年～3年进行1次休眠期修剪，促进更新。生长势和萌芽力弱以及成枝率低的树种，修剪量和修剪频率应适当降低，只进行轻度疏剪。</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1.2.2.1落叶树木应在树木落叶后至萌芽前修剪；</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1.2.2.2常绿阔叶树木或抗寒力差树种应在秋季新梢停止生长至休眠前或春芽萌动前进行修剪；</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1.2.2.3观枝观叶植物如红瑞木、山麻杆等，应在早春萌动前抽除过密弱枝和枯老枝；</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1.2.2.4花芽着生于当年生枝条即夏季或秋季开花植物应在冬季或早春以短截和疏枝相结合方法进行修剪。</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1.2.3修剪应去除徒长枝、病虫枝、交叉枝、并生枝、下垂枝、扭伤枝以及枯枝和烂头。嫁接的树木必须及时除去砧木的萌蘖枝。遇有架空线应按杯状形修剪。</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1.2.4修剪切口要平整，疏枝必须自枝条基部修除</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不留短桩。大枝短截应分段截枝。直径2cm以上的截面应光滑平整</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略向内倾斜</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伤口应涂抹防腐剂或生长素。</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1.2.5生长期修剪3次以上，以调整树势为主，适宜轻剪。有伤流树种修剪应避开生长旺盛期。根据树木的生长特性和不同要求进行疏枝、剥芽、摘心等。</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1.2.5.1观果植物如木瓜海棠、石榴、山楂等，应及时摘心、抹芽和摘蕾，促使植物保持中庸树势，有利于花芽分化；</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1.2.5.2花芽着生于二年生枝条即早春开花植物应在花谢后进行修剪，花芽着生于多年生枝条上，如紫荆、贴梗海棠等，应于早春花后将枝条进行轻剪，生长季节进行摘心处理。</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1.2.6极端气候</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如强风、暴雨、冰雹、强降雪等</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造成树体倾斜、枝杈劈裂、折断等，应视其损伤程度，采用适宜方法，及时修剪。</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1.2.7修剪下来的枝条等废弃物，应及时清运，保证环境整洁；有病虫害的枝条要及时集中进行无害化处理，防止病虫害蔓延。</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1.2.8修剪前需制定修剪技术方案，上树前必须进行修剪培训和安全教育，全面掌握后方可修剪，并确保安全。</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1.3病虫害防治</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1.3.1贯彻“预防为主，综合防治”的方针，提倡使用生物防治、化学防治和物理防治等多种防治手段来控制病虫害。每年应根据病虫害预测预报及病虫害发生实际情况，制定短期和中长期病虫害防治计划，应防治病虫害5次以上。</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1.3.2春秋两季，应重点防治刺吸性害虫如蚜虫、蓟马、叶蝉、木虱、网蝽等害虫，注意白粉病、锈病、炭疽病的预防；在植物生长期应注意防治食叶类害虫如刺蛾、袋蛾、尺蠖、斑蛾、毒蛾、巢蛾等害虫，应注意防治钻蛀性害虫如木蠹蛾、天牛、吉丁虫、透翅蛾等害虫；在植物休眠期可通过修剪、树木涂白和清洁田园等措施，减少越冬虫源。</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1.3.3对病虫害及时进行预测预报，建立病虫害防治网络</w:t>
      </w:r>
      <w:r>
        <w:rPr>
          <w:rFonts w:hint="eastAsia" w:ascii="方正仿宋_GB2312" w:hAnsi="方正仿宋_GB2312" w:eastAsia="方正仿宋_GB2312" w:cs="方正仿宋_GB2312"/>
          <w:bCs/>
          <w:color w:val="000000" w:themeColor="text1"/>
          <w:sz w:val="24"/>
          <w:szCs w:val="24"/>
          <w:highlight w:val="none"/>
          <w:lang w:eastAsia="zh-CN"/>
        </w:rPr>
        <w:t xml:space="preserve">和台账</w:t>
      </w:r>
      <w:r>
        <w:rPr>
          <w:rFonts w:hint="eastAsia" w:ascii="方正仿宋_GB2312" w:hAnsi="方正仿宋_GB2312" w:eastAsia="方正仿宋_GB2312" w:cs="方正仿宋_GB2312"/>
          <w:bCs/>
          <w:color w:val="000000" w:themeColor="text1"/>
          <w:sz w:val="24"/>
          <w:szCs w:val="24"/>
          <w:highlight w:val="none"/>
        </w:rPr>
        <w:t xml:space="preserve">。</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1.4松土与除草</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1.4.1根部周围土壤保持疏松，松土深度以不伤根系生长为限，每年除结合浇水松土外，要松土5次以上。埋土过深的表层要扒土，过浅根系裸露的要填土。</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1.4.2及时去除大型恶性杂草，</w:t>
      </w:r>
      <w:r>
        <w:rPr>
          <w:rFonts w:hint="eastAsia" w:ascii="方正仿宋_GB2312" w:hAnsi="方正仿宋_GB2312" w:eastAsia="方正仿宋_GB2312" w:cs="方正仿宋_GB2312"/>
          <w:bCs/>
          <w:color w:val="000000" w:themeColor="text1"/>
          <w:sz w:val="24"/>
          <w:szCs w:val="24"/>
          <w:highlight w:val="none"/>
          <w:lang w:eastAsia="zh-CN"/>
        </w:rPr>
        <w:t xml:space="preserve">其他杂草</w:t>
      </w:r>
      <w:r>
        <w:rPr>
          <w:rFonts w:hint="eastAsia" w:ascii="方正仿宋_GB2312" w:hAnsi="方正仿宋_GB2312" w:eastAsia="方正仿宋_GB2312" w:cs="方正仿宋_GB2312"/>
          <w:bCs/>
          <w:color w:val="000000" w:themeColor="text1"/>
          <w:sz w:val="24"/>
          <w:szCs w:val="24"/>
          <w:highlight w:val="none"/>
        </w:rPr>
        <w:t xml:space="preserve">控制在不影响景观效果的范围内。杂草以人工拔除为主，适当采用生物防治、化学防治措施，每年清除杂草15次以上。其中，5月至10月期间，每15天要清除杂草1次。</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1.4.3及时清运拔除杂草，保证环境整洁。</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1.5施肥</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1.5.1施肥应根据树种、树龄、生长势和土壤理化性质而定。树木休眠期施基肥1次，生长期施追肥1-2次，花灌木花前、花后补施花肥。其中，乔木每年应施基肥、追肥各1次；花灌木每年应施基肥1次，追肥2次。花肥视开花次数而定。</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1.5.2基肥应采用腐熟有机肥。追肥应以磷肥、氮肥为主，视树种而定，提倡施用</w:t>
      </w:r>
      <w:r>
        <w:rPr>
          <w:rFonts w:hint="eastAsia" w:ascii="方正仿宋_GB2312" w:hAnsi="方正仿宋_GB2312" w:eastAsia="方正仿宋_GB2312" w:cs="方正仿宋_GB2312"/>
          <w:bCs/>
          <w:color w:val="000000" w:themeColor="text1"/>
          <w:sz w:val="24"/>
          <w:szCs w:val="24"/>
          <w:highlight w:val="none"/>
          <w:lang w:eastAsia="zh-CN"/>
        </w:rPr>
        <w:t xml:space="preserve">腐殖酸</w:t>
      </w:r>
      <w:r>
        <w:rPr>
          <w:rFonts w:hint="eastAsia" w:ascii="方正仿宋_GB2312" w:hAnsi="方正仿宋_GB2312" w:eastAsia="方正仿宋_GB2312" w:cs="方正仿宋_GB2312"/>
          <w:bCs/>
          <w:color w:val="000000" w:themeColor="text1"/>
          <w:sz w:val="24"/>
          <w:szCs w:val="24"/>
          <w:highlight w:val="none"/>
        </w:rPr>
        <w:t xml:space="preserve">肥料。乔灌木花前宜施磷钾肥，花后适宜补充氮肥。</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1.5.3施肥量应视树木生长情况、土壤肥力而定。一般情况下，基肥施用量乔木胸径或灌木地径小于10cm的，每株施用7.5kg-12kg有机肥；胸径或地径大于10cm的，每增加1cm应增施0.5kg-1kg有机肥。追肥采用</w:t>
      </w:r>
      <w:r>
        <w:rPr>
          <w:rFonts w:hint="eastAsia" w:ascii="方正仿宋_GB2312" w:hAnsi="方正仿宋_GB2312" w:eastAsia="方正仿宋_GB2312" w:cs="方正仿宋_GB2312"/>
          <w:bCs/>
          <w:color w:val="000000" w:themeColor="text1"/>
          <w:sz w:val="24"/>
          <w:szCs w:val="24"/>
          <w:highlight w:val="none"/>
          <w:lang w:eastAsia="zh-CN"/>
        </w:rPr>
        <w:t xml:space="preserve">腐殖酸</w:t>
      </w:r>
      <w:r>
        <w:rPr>
          <w:rFonts w:hint="eastAsia" w:ascii="方正仿宋_GB2312" w:hAnsi="方正仿宋_GB2312" w:eastAsia="方正仿宋_GB2312" w:cs="方正仿宋_GB2312"/>
          <w:bCs/>
          <w:color w:val="000000" w:themeColor="text1"/>
          <w:sz w:val="24"/>
          <w:szCs w:val="24"/>
          <w:highlight w:val="none"/>
        </w:rPr>
        <w:t xml:space="preserve">肥料，乔木胸径或灌木地径小于10cm的，每株施用2kg有机肥；胸径或地径大于10cm的，每增加1cm应增施0.5kg-1kg有机肥。</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1.5.4喜酸性植物应施用酸性有机肥。香樟、</w:t>
      </w:r>
      <w:r>
        <w:rPr>
          <w:rFonts w:hint="eastAsia" w:ascii="方正仿宋_GB2312" w:hAnsi="方正仿宋_GB2312" w:eastAsia="方正仿宋_GB2312" w:cs="方正仿宋_GB2312"/>
          <w:bCs/>
          <w:color w:val="000000" w:themeColor="text1"/>
          <w:sz w:val="24"/>
          <w:szCs w:val="24"/>
          <w:highlight w:val="none"/>
          <w:lang w:eastAsia="zh-CN"/>
        </w:rPr>
        <w:t xml:space="preserve">栀子花</w:t>
      </w:r>
      <w:r>
        <w:rPr>
          <w:rFonts w:hint="eastAsia" w:ascii="方正仿宋_GB2312" w:hAnsi="方正仿宋_GB2312" w:eastAsia="方正仿宋_GB2312" w:cs="方正仿宋_GB2312"/>
          <w:bCs/>
          <w:color w:val="000000" w:themeColor="text1"/>
          <w:sz w:val="24"/>
          <w:szCs w:val="24"/>
          <w:highlight w:val="none"/>
        </w:rPr>
        <w:t xml:space="preserve">等植物出现黄化症状时，应结合土壤改良，酸化根际土壤</w:t>
      </w:r>
      <w:r>
        <w:rPr>
          <w:rFonts w:hint="eastAsia" w:ascii="方正仿宋_GB2312" w:hAnsi="方正仿宋_GB2312" w:eastAsia="方正仿宋_GB2312" w:cs="方正仿宋_GB2312"/>
          <w:bCs/>
          <w:color w:val="000000" w:themeColor="text1"/>
          <w:sz w:val="24"/>
          <w:szCs w:val="24"/>
          <w:highlight w:val="none"/>
          <w:lang w:eastAsia="zh-CN"/>
        </w:rPr>
        <w:t xml:space="preserve">并向</w:t>
      </w:r>
      <w:r>
        <w:rPr>
          <w:rFonts w:hint="eastAsia" w:ascii="方正仿宋_GB2312" w:hAnsi="方正仿宋_GB2312" w:eastAsia="方正仿宋_GB2312" w:cs="方正仿宋_GB2312"/>
          <w:bCs/>
          <w:color w:val="000000" w:themeColor="text1"/>
          <w:sz w:val="24"/>
          <w:szCs w:val="24"/>
          <w:highlight w:val="none"/>
        </w:rPr>
        <w:t xml:space="preserve">树干注射、叶片喷施铁肥等。</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1.5.5追肥可采用沟施或穴施，深度不浅于30cm，可按0.5%—1%浓度溶解施用，以不伤或少伤树根为准。</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1.6支撑、防护与涂白</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1.6.1除特殊景观要求外，树木倾斜超过10°必须扶正，落叶树在休眠期进行，常绿树在萌芽前进行。扶正前应对土壤进行灌水，树冠进行疏枝和短截。</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1.6.2新种树木和扶正树木必须用支柱支撑。支撑方式可采用扁担支撑和四角支撑。支柱材料应统一，支柱方式应规范、整齐。在着力点与树干接触处应铺垫软质材料。每年应对支柱进行一次全面检查。</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1.6.3夏秋季节台风频繁时，应做好树木防台风工作。台风前对过密枝条进行疏枝、剥芽，结合修剪，去除病枝、枯枝。做好树木加固支撑。风害后倾斜树木应及时扶正。挖松倾斜反向面的土，树冠相应疏枝。扶正树木，加土夯实。固定树身。</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1.6.4冬季极端气候时，应做好树木防寒、防雪工作。秋季少施氮肥，增施钾肥，增加植物抗寒性。根颈部加土，略呈馒头形，确保根颈部不受冻。及时对枝条过密，尤其是树冠浓密常绿乔灌木疏枝。对易断裂枝条进行支撑。及时清除过厚积雪。</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1.6.5冬季越冬防寒宜采用地面覆盖、包扎树体、搭建防寒棚，树干涂白等防护措施。</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1.6.5.1包扎树木的材料可采用草绳或</w:t>
      </w:r>
      <w:r>
        <w:rPr>
          <w:rFonts w:hint="eastAsia" w:ascii="方正仿宋_GB2312" w:hAnsi="方正仿宋_GB2312" w:eastAsia="方正仿宋_GB2312" w:cs="方正仿宋_GB2312"/>
          <w:bCs/>
          <w:color w:val="000000" w:themeColor="text1"/>
          <w:sz w:val="24"/>
          <w:szCs w:val="24"/>
          <w:highlight w:val="none"/>
          <w:lang w:eastAsia="zh-CN"/>
        </w:rPr>
        <w:t xml:space="preserve">其他</w:t>
      </w:r>
      <w:r>
        <w:rPr>
          <w:rFonts w:hint="eastAsia" w:ascii="方正仿宋_GB2312" w:hAnsi="方正仿宋_GB2312" w:eastAsia="方正仿宋_GB2312" w:cs="方正仿宋_GB2312"/>
          <w:bCs/>
          <w:color w:val="000000" w:themeColor="text1"/>
          <w:sz w:val="24"/>
          <w:szCs w:val="24"/>
          <w:highlight w:val="none"/>
        </w:rPr>
        <w:t xml:space="preserve">透气材料。</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1.6.5.2树木树干涂白应于越冬前完成。树木涂白剂应稀稠均匀，高度一致，不抛、洒、滴、漏。</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乔木及行道树，高度在1.3米左右，灌木高度在1米左右。</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涂白剂推荐配方为：生石灰8kg、硫磺1kg、食盐1kg、动</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植</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物油0.1kg、热水18kg。配制方法：先用热水将生石灰与食盐溶化，然后将石灰乳和食盐水混合，加入硫磺和油脂充分搅匀即成。</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1.7切边和留积水穴</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1.7.1在绿地内树木，应视情况和需要，在树木根部外20—50cm切边或留出积水穴，深度以10-20cm为宜。</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1.7.2切边和积水穴应流畅圆润，其内种植土应细碎平整。</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1.8复壮、补植与调整</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1.8.1长势衰弱树木应采取复壮措施：修平断枝、枯枝，清理创口，消毒防腐；改良土壤立地条件，清理修补树洞；枯烂树身应做支撑。</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1.8.2树木长势衰弱且濒临死亡的，应根据原有树木规格、品种和质量进行更换。</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1.8.3树木因土壤污染造成长势不良且濒临死亡的，更换前应换土。</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1.8.4树木因栽植过密，缺乏光照和生长空间而造成长势不良且濒临死亡的，原则上应将其移除。</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1.8.5抽稀的植株应根据“留大去小、留强去弱”的原则，应注意保持与周围环境的协调。</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1.8.6死树需连根挖除；抽稀、挖除死树所留下的空穴应当及时填平。</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1.8.7移除和更换苗木时应重视对周围植物的保护。</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1.8.8树木的补植和调整应规范手续，有专门</w:t>
      </w:r>
      <w:r>
        <w:rPr>
          <w:rFonts w:hint="eastAsia" w:ascii="方正仿宋_GB2312" w:hAnsi="方正仿宋_GB2312" w:eastAsia="方正仿宋_GB2312" w:cs="方正仿宋_GB2312"/>
          <w:bCs/>
          <w:color w:val="000000" w:themeColor="text1"/>
          <w:sz w:val="24"/>
          <w:szCs w:val="24"/>
          <w:highlight w:val="none"/>
          <w:lang w:eastAsia="zh-CN"/>
        </w:rPr>
        <w:t xml:space="preserve">台账记录</w:t>
      </w:r>
      <w:r>
        <w:rPr>
          <w:rFonts w:hint="eastAsia" w:ascii="方正仿宋_GB2312" w:hAnsi="方正仿宋_GB2312" w:eastAsia="方正仿宋_GB2312" w:cs="方正仿宋_GB2312"/>
          <w:bCs/>
          <w:color w:val="000000" w:themeColor="text1"/>
          <w:sz w:val="24"/>
          <w:szCs w:val="24"/>
          <w:highlight w:val="none"/>
        </w:rPr>
        <w:t xml:space="preserve">。</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2行道树</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养护管理内容包括：浇灌与排水，整形与修剪，病虫害防治，松土与除草，施肥，支撑、防护与涂白，切边和留积水穴，树池管理，复壮、补植与调整等。</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2.1浇灌与排水</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参照1.1执行。对于已种植书带草、色块等地被植物的树穴</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浇水时应先对树穴进行打洞</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然后进行浇水。对于未种植地被植物且土壤严重板结的树穴，浇水时应对树穴进行深翻。浇水时间应避免行人及车辆上下班高峰期间及夏季高温时间。</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2.2整形与修剪</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2.2.1整形与修剪</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行道树的整形依栽植地点的架空线路及交通状况决定。主干道上及一般干道上，宜采用环状形、自然开心形。在无机动车辆通行的道路或狭窄的巷道内以及种植上方没有线路时宜采用中央领导干形。同一条道路修剪手法应一致，树冠圆整，树形美观，骨架均匀，通风透光。</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2.2.1.1杯状形行道树的整形。在主干一定高度处留3～5主枝向四面均匀配列，各主枝与主干的角度约45度，在各主枝上适当留二级枝，在二级枝上留三级枝，</w:t>
      </w:r>
      <w:r>
        <w:rPr>
          <w:rFonts w:hint="eastAsia" w:ascii="方正仿宋_GB2312" w:hAnsi="方正仿宋_GB2312" w:eastAsia="方正仿宋_GB2312" w:cs="方正仿宋_GB2312"/>
          <w:bCs/>
          <w:color w:val="000000" w:themeColor="text1"/>
          <w:sz w:val="24"/>
          <w:szCs w:val="24"/>
          <w:highlight w:val="none"/>
          <w:lang w:eastAsia="zh-CN"/>
        </w:rPr>
        <w:t xml:space="preserve">以此类推</w:t>
      </w:r>
      <w:r>
        <w:rPr>
          <w:rFonts w:hint="eastAsia" w:ascii="方正仿宋_GB2312" w:hAnsi="方正仿宋_GB2312" w:eastAsia="方正仿宋_GB2312" w:cs="方正仿宋_GB2312"/>
          <w:bCs/>
          <w:color w:val="000000" w:themeColor="text1"/>
          <w:sz w:val="24"/>
          <w:szCs w:val="24"/>
          <w:highlight w:val="none"/>
        </w:rPr>
        <w:t xml:space="preserve">，即形成杯状形树冠。以法桐及国槐行道树为例：定干高度通常为3～3.5m，在其截干顶端均匀地保留三个主枝在壮芽处进行中截，冬季可在每个主枝中选</w:t>
      </w:r>
      <w:r>
        <w:rPr>
          <w:rFonts w:hint="eastAsia" w:ascii="方正仿宋_GB2312" w:hAnsi="方正仿宋_GB2312" w:eastAsia="方正仿宋_GB2312" w:cs="方正仿宋_GB2312"/>
          <w:bCs/>
          <w:color w:val="000000" w:themeColor="text1"/>
          <w:sz w:val="24"/>
          <w:szCs w:val="24"/>
          <w:highlight w:val="none"/>
          <w:lang w:eastAsia="zh-CN"/>
        </w:rPr>
        <w:t xml:space="preserve">两个</w:t>
      </w:r>
      <w:r>
        <w:rPr>
          <w:rFonts w:hint="eastAsia" w:ascii="方正仿宋_GB2312" w:hAnsi="方正仿宋_GB2312" w:eastAsia="方正仿宋_GB2312" w:cs="方正仿宋_GB2312"/>
          <w:bCs/>
          <w:color w:val="000000" w:themeColor="text1"/>
          <w:sz w:val="24"/>
          <w:szCs w:val="24"/>
          <w:highlight w:val="none"/>
        </w:rPr>
        <w:t xml:space="preserve">侧枝短截作为二级枝；来年冬季，在二级枝上</w:t>
      </w:r>
      <w:r>
        <w:rPr>
          <w:rFonts w:hint="eastAsia" w:ascii="方正仿宋_GB2312" w:hAnsi="方正仿宋_GB2312" w:eastAsia="方正仿宋_GB2312" w:cs="方正仿宋_GB2312"/>
          <w:bCs/>
          <w:color w:val="000000" w:themeColor="text1"/>
          <w:sz w:val="24"/>
          <w:szCs w:val="24"/>
          <w:highlight w:val="none"/>
          <w:lang w:eastAsia="zh-CN"/>
        </w:rPr>
        <w:t xml:space="preserve">选两个</w:t>
      </w:r>
      <w:r>
        <w:rPr>
          <w:rFonts w:hint="eastAsia" w:ascii="方正仿宋_GB2312" w:hAnsi="方正仿宋_GB2312" w:eastAsia="方正仿宋_GB2312" w:cs="方正仿宋_GB2312"/>
          <w:bCs/>
          <w:color w:val="000000" w:themeColor="text1"/>
          <w:sz w:val="24"/>
          <w:szCs w:val="24"/>
          <w:highlight w:val="none"/>
        </w:rPr>
        <w:t xml:space="preserve">枝条短截为三级枝，则可形成三叉六股十二分枝的杯状型造型。剪口留外向芽，主干延长枝选用角度开张的壮枝。在选留枝条和选取剪口部位时，</w:t>
      </w:r>
      <w:r>
        <w:rPr>
          <w:rFonts w:hint="eastAsia" w:ascii="方正仿宋_GB2312" w:hAnsi="方正仿宋_GB2312" w:eastAsia="方正仿宋_GB2312" w:cs="方正仿宋_GB2312"/>
          <w:bCs/>
          <w:color w:val="000000" w:themeColor="text1"/>
          <w:sz w:val="24"/>
          <w:szCs w:val="24"/>
          <w:highlight w:val="none"/>
          <w:lang w:eastAsia="zh-CN"/>
        </w:rPr>
        <w:t xml:space="preserve">必须</w:t>
      </w:r>
      <w:r>
        <w:rPr>
          <w:rFonts w:hint="eastAsia" w:ascii="方正仿宋_GB2312" w:hAnsi="方正仿宋_GB2312" w:eastAsia="方正仿宋_GB2312" w:cs="方正仿宋_GB2312"/>
          <w:bCs/>
          <w:color w:val="000000" w:themeColor="text1"/>
          <w:sz w:val="24"/>
          <w:szCs w:val="24"/>
          <w:highlight w:val="none"/>
        </w:rPr>
        <w:t xml:space="preserve">把握二级枝弱于主枝、三级枝要弱于二级枝。该种修剪方式地法桐行道树中常采用。</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2.2.1.2自然开心形行道树的整形。不留中央领导干而留多数主枝配列四方，在主枝上每年留有主枝延长枝，并于主枝侧方留有二级枝、三级枝处于主枝间的空隙处的整形修剪方式。以香樟、楝树行道树为例：定干高度通常在2.5～3m之间。主干达到要求高度后，宜在主干顶部留3～5个主枝并短截，剪口处留内向芽。翌年，及时抹除主干、主枝上的萌芽，每个主枝上只留向上生长的枝条2～3个，并短截，依此即可形成斜向上的枝干结构。</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2.2.1.3中央领导干形行道树的整形。留一强大的中央领导干，在其上配列疏散的主枝的整形修剪方式。以雪松、枫杨、银杏、法桐行道树为例。当栽植苗为截干苗时，采用接干法，即在主干顶部选一个生长健壮、较直立的侧枝作为主干延长枝培养，其余角度小、对主干延长枝有竞争力的枝条全部剪除。冬季，视主干延长枝的生长情况决定采取修剪措施，若其生长健壮，只</w:t>
      </w:r>
      <w:r>
        <w:rPr>
          <w:rFonts w:hint="eastAsia" w:ascii="方正仿宋_GB2312" w:hAnsi="方正仿宋_GB2312" w:eastAsia="方正仿宋_GB2312" w:cs="方正仿宋_GB2312"/>
          <w:bCs/>
          <w:color w:val="000000" w:themeColor="text1"/>
          <w:sz w:val="24"/>
          <w:szCs w:val="24"/>
          <w:highlight w:val="none"/>
          <w:lang w:eastAsia="zh-CN"/>
        </w:rPr>
        <w:t xml:space="preserve">需</w:t>
      </w:r>
      <w:r>
        <w:rPr>
          <w:rFonts w:hint="eastAsia" w:ascii="方正仿宋_GB2312" w:hAnsi="方正仿宋_GB2312" w:eastAsia="方正仿宋_GB2312" w:cs="方正仿宋_GB2312"/>
          <w:bCs/>
          <w:color w:val="000000" w:themeColor="text1"/>
          <w:sz w:val="24"/>
          <w:szCs w:val="24"/>
          <w:highlight w:val="none"/>
        </w:rPr>
        <w:t xml:space="preserve">疏除过密的、交叉的侧枝，翌年任其自然生长，及时短截与主干延长枝产生竞争的侧枝， 即可形成有中央领导干的树冠；若其生长较弱，应齐基剪除全部侧枝，并将主干延长枝短截，翌年，再选一健壮直立的侧枝作为主干延长枝培养，直至树冠成形。</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2.2.1.4成形树生长季节修剪。选用轻剪或疏除的办法，及时对干枯枝、病虫枝、细弱枝、下垂枝、交叉枝、空中挂</w:t>
      </w:r>
      <w:r>
        <w:rPr>
          <w:rFonts w:hint="eastAsia" w:ascii="方正仿宋_GB2312" w:hAnsi="方正仿宋_GB2312" w:eastAsia="方正仿宋_GB2312" w:cs="方正仿宋_GB2312"/>
          <w:bCs/>
          <w:color w:val="000000" w:themeColor="text1"/>
          <w:sz w:val="24"/>
          <w:szCs w:val="24"/>
          <w:highlight w:val="none"/>
          <w:lang w:eastAsia="zh-CN"/>
        </w:rPr>
        <w:t xml:space="preserve">枝</w:t>
      </w:r>
      <w:r>
        <w:rPr>
          <w:rFonts w:hint="eastAsia" w:ascii="方正仿宋_GB2312" w:hAnsi="方正仿宋_GB2312" w:eastAsia="方正仿宋_GB2312" w:cs="方正仿宋_GB2312"/>
          <w:bCs/>
          <w:color w:val="000000" w:themeColor="text1"/>
          <w:sz w:val="24"/>
          <w:szCs w:val="24"/>
          <w:highlight w:val="none"/>
        </w:rPr>
        <w:t xml:space="preserve">等进行修剪。同时</w:t>
      </w:r>
      <w:r>
        <w:rPr>
          <w:rFonts w:hint="eastAsia" w:ascii="方正仿宋_GB2312" w:hAnsi="方正仿宋_GB2312" w:eastAsia="方正仿宋_GB2312" w:cs="方正仿宋_GB2312"/>
          <w:bCs/>
          <w:color w:val="000000" w:themeColor="text1"/>
          <w:sz w:val="24"/>
          <w:szCs w:val="24"/>
          <w:highlight w:val="none"/>
          <w:lang w:eastAsia="zh-CN"/>
        </w:rPr>
        <w:t xml:space="preserve">兼顾</w:t>
      </w:r>
      <w:r>
        <w:rPr>
          <w:rFonts w:hint="eastAsia" w:ascii="方正仿宋_GB2312" w:hAnsi="方正仿宋_GB2312" w:eastAsia="方正仿宋_GB2312" w:cs="方正仿宋_GB2312"/>
          <w:bCs/>
          <w:color w:val="000000" w:themeColor="text1"/>
          <w:sz w:val="24"/>
          <w:szCs w:val="24"/>
          <w:highlight w:val="none"/>
        </w:rPr>
        <w:t xml:space="preserve">树枝与路灯、供电线路、交通指示牌、周边建筑屋檐等之间的关系，做到上不挂各类线路、下不妨碍交通、旁不影响建筑。</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2.2.1.5冬季回缩修剪。为降低其行道树顶端优势位置，</w:t>
      </w:r>
      <w:r>
        <w:rPr>
          <w:rFonts w:hint="eastAsia" w:ascii="方正仿宋_GB2312" w:hAnsi="方正仿宋_GB2312" w:eastAsia="方正仿宋_GB2312" w:cs="方正仿宋_GB2312"/>
          <w:bCs/>
          <w:color w:val="000000" w:themeColor="text1"/>
          <w:sz w:val="24"/>
          <w:szCs w:val="24"/>
          <w:highlight w:val="none"/>
          <w:lang w:eastAsia="zh-CN"/>
        </w:rPr>
        <w:t xml:space="preserve">促进</w:t>
      </w:r>
      <w:r>
        <w:rPr>
          <w:rFonts w:hint="eastAsia" w:ascii="方正仿宋_GB2312" w:hAnsi="方正仿宋_GB2312" w:eastAsia="方正仿宋_GB2312" w:cs="方正仿宋_GB2312"/>
          <w:bCs/>
          <w:color w:val="000000" w:themeColor="text1"/>
          <w:sz w:val="24"/>
          <w:szCs w:val="24"/>
          <w:highlight w:val="none"/>
        </w:rPr>
        <w:t xml:space="preserve">多年生枝条基部更新复壮，可采用冬季回缩修剪方法。以老龄法桐为例：回缩时间在每年的12月至次年的2月，回缩可结合冬季正常修剪同步进行。对较大的树枝和树干修剪时，可采用分步作业法。即先在离要求锯口上方20厘米处，从枝条下方向上锯一切口，深度为枝干粗度的一半，从上方将枝干锯断，留下一条残桩，然后从锯口处锯除残桩，以避免枝干劈裂。回缩后及时对锯口用20%的硫酸铜溶液消毒，最后涂上保护剂</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保护蜡、调和漆等</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，以起到防腐防干和促进愈合的作用。</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2.2.2剥芽。行道树生长季节要经常剥芽，不同树种剥芽次数及剥芽部位存在一定的差异。通常法桐等落叶树应在每年的4月下旬起，每半月一次，至每年的10月中旬该工作基本告段落，而香樟等常绿树木一般在每年的5月起，通常一月三次，芽长不应超过6㎝。剥芽时不应倒拉，以免伤及树皮。对抹芽产生的废弃物，应及时清除，以确保路面整洁。</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2.2.3清除死膀及枯枝。行道树由于受生长空间的限制，至一定年份容易形成荫梢现象，并产生枯枝，加上修剪切口常年受风吹雨淋极易</w:t>
      </w:r>
      <w:r>
        <w:rPr>
          <w:rFonts w:hint="eastAsia" w:ascii="方正仿宋_GB2312" w:hAnsi="方正仿宋_GB2312" w:eastAsia="方正仿宋_GB2312" w:cs="方正仿宋_GB2312"/>
          <w:bCs/>
          <w:color w:val="000000" w:themeColor="text1"/>
          <w:sz w:val="24"/>
          <w:szCs w:val="24"/>
          <w:highlight w:val="none"/>
          <w:lang w:eastAsia="zh-CN"/>
        </w:rPr>
        <w:t xml:space="preserve">产生</w:t>
      </w:r>
      <w:r>
        <w:rPr>
          <w:rFonts w:hint="eastAsia" w:ascii="方正仿宋_GB2312" w:hAnsi="方正仿宋_GB2312" w:eastAsia="方正仿宋_GB2312" w:cs="方正仿宋_GB2312"/>
          <w:bCs/>
          <w:color w:val="000000" w:themeColor="text1"/>
          <w:sz w:val="24"/>
          <w:szCs w:val="24"/>
          <w:highlight w:val="none"/>
        </w:rPr>
        <w:t xml:space="preserve">死膀。日常养护除结合修剪工作外，应在每年台风及</w:t>
      </w:r>
      <w:r>
        <w:rPr>
          <w:rFonts w:hint="eastAsia" w:ascii="方正仿宋_GB2312" w:hAnsi="方正仿宋_GB2312" w:eastAsia="方正仿宋_GB2312" w:cs="方正仿宋_GB2312"/>
          <w:bCs/>
          <w:color w:val="000000" w:themeColor="text1"/>
          <w:sz w:val="24"/>
          <w:szCs w:val="24"/>
          <w:highlight w:val="none"/>
          <w:lang w:eastAsia="zh-CN"/>
        </w:rPr>
        <w:t xml:space="preserve">梅雨</w:t>
      </w:r>
      <w:r>
        <w:rPr>
          <w:rFonts w:hint="eastAsia" w:ascii="方正仿宋_GB2312" w:hAnsi="方正仿宋_GB2312" w:eastAsia="方正仿宋_GB2312" w:cs="方正仿宋_GB2312"/>
          <w:bCs/>
          <w:color w:val="000000" w:themeColor="text1"/>
          <w:sz w:val="24"/>
          <w:szCs w:val="24"/>
          <w:highlight w:val="none"/>
        </w:rPr>
        <w:t xml:space="preserve">季节来临时，重点防范，并对新生产的截面切口，涂抹防腐剂。</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2.3病虫害防治</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行道树病虫害可通过喷药、捕杀、挖蛹、刮树皮、树干涂白等方法进行防治。行道树病虫害防治重点需做好蛀干害虫天牛、食叶害虫刺蛾、重阳木锦斑蛾及女贞白蜡蚧的防治，其中天牛防治应在每年的6月下旬开始，</w:t>
      </w:r>
      <w:r>
        <w:rPr>
          <w:rFonts w:hint="eastAsia" w:ascii="方正仿宋_GB2312" w:hAnsi="方正仿宋_GB2312" w:eastAsia="方正仿宋_GB2312" w:cs="方正仿宋_GB2312"/>
          <w:bCs/>
          <w:color w:val="000000" w:themeColor="text1"/>
          <w:sz w:val="24"/>
          <w:szCs w:val="24"/>
          <w:highlight w:val="none"/>
          <w:lang w:eastAsia="zh-CN"/>
        </w:rPr>
        <w:t xml:space="preserve">主要</w:t>
      </w:r>
      <w:r>
        <w:rPr>
          <w:rFonts w:hint="eastAsia" w:ascii="方正仿宋_GB2312" w:hAnsi="方正仿宋_GB2312" w:eastAsia="方正仿宋_GB2312" w:cs="方正仿宋_GB2312"/>
          <w:bCs/>
          <w:color w:val="000000" w:themeColor="text1"/>
          <w:sz w:val="24"/>
          <w:szCs w:val="24"/>
          <w:highlight w:val="none"/>
        </w:rPr>
        <w:t xml:space="preserve">采用人工捕捉，并在虫粪口</w:t>
      </w:r>
      <w:r>
        <w:rPr>
          <w:rFonts w:hint="eastAsia" w:ascii="方正仿宋_GB2312" w:hAnsi="方正仿宋_GB2312" w:eastAsia="方正仿宋_GB2312" w:cs="方正仿宋_GB2312"/>
          <w:bCs/>
          <w:color w:val="000000" w:themeColor="text1"/>
          <w:sz w:val="24"/>
          <w:szCs w:val="24"/>
          <w:highlight w:val="none"/>
          <w:lang w:eastAsia="zh-CN"/>
        </w:rPr>
        <w:t xml:space="preserve">涂抹沾有</w:t>
      </w:r>
      <w:r>
        <w:rPr>
          <w:rFonts w:hint="eastAsia" w:ascii="方正仿宋_GB2312" w:hAnsi="方正仿宋_GB2312" w:eastAsia="方正仿宋_GB2312" w:cs="方正仿宋_GB2312"/>
          <w:bCs/>
          <w:color w:val="000000" w:themeColor="text1"/>
          <w:sz w:val="24"/>
          <w:szCs w:val="24"/>
          <w:highlight w:val="none"/>
        </w:rPr>
        <w:t xml:space="preserve">敌敌畏等农药的棉花，该项工作应延续至每年的9月份，通常每半月一次。刺蛾通常在每年的六月至九月发生</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主要采用药物防治</w:t>
      </w:r>
      <w:r>
        <w:rPr>
          <w:rFonts w:hint="eastAsia" w:ascii="方正仿宋_GB2312" w:hAnsi="方正仿宋_GB2312" w:eastAsia="方正仿宋_GB2312" w:cs="方正仿宋_GB2312"/>
          <w:bCs/>
          <w:color w:val="000000" w:themeColor="text1"/>
          <w:sz w:val="24"/>
          <w:szCs w:val="24"/>
          <w:highlight w:val="none"/>
          <w:lang w:eastAsia="zh-CN"/>
        </w:rPr>
        <w:t xml:space="preserve">及</w:t>
      </w:r>
      <w:r>
        <w:rPr>
          <w:rFonts w:hint="eastAsia" w:ascii="方正仿宋_GB2312" w:hAnsi="方正仿宋_GB2312" w:eastAsia="方正仿宋_GB2312" w:cs="方正仿宋_GB2312"/>
          <w:bCs/>
          <w:color w:val="000000" w:themeColor="text1"/>
          <w:sz w:val="24"/>
          <w:szCs w:val="24"/>
          <w:highlight w:val="none"/>
        </w:rPr>
        <w:t xml:space="preserve">生物防治。女贞白蜡蚧通常在每年的5月下旬，防治时除采用花宝药剂外，应对修剪下来的病虫枝集中烧毁。重阳木锦斑蛾在每年的6月至11月发生， 主要采用灭幼脲、高效氯氰菊酯 、甲维盐 大机喷雾。冬季可采用树干涂白、挖蛹、刮树皮等方法，以消灭各种越冬虫源，并可采用集中火烧或深埋有病虫的枝、干、叶等办法，以减轻次年害虫危害。</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2.4施肥</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行道树施肥分基肥、追肥二类。基肥一般安排在冬季进行</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施肥主要采用追肥，以根部穴施复合肥为主</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一般每年追肥</w:t>
      </w:r>
      <w:r>
        <w:rPr>
          <w:rFonts w:hint="eastAsia" w:ascii="方正仿宋_GB2312" w:hAnsi="方正仿宋_GB2312" w:eastAsia="方正仿宋_GB2312" w:cs="方正仿宋_GB2312"/>
          <w:bCs/>
          <w:color w:val="000000" w:themeColor="text1"/>
          <w:sz w:val="24"/>
          <w:szCs w:val="24"/>
          <w:highlight w:val="none"/>
          <w:lang w:eastAsia="zh-CN"/>
        </w:rPr>
        <w:t xml:space="preserve">两次</w:t>
      </w:r>
      <w:r>
        <w:rPr>
          <w:rFonts w:hint="eastAsia" w:ascii="方正仿宋_GB2312" w:hAnsi="方正仿宋_GB2312" w:eastAsia="方正仿宋_GB2312" w:cs="方正仿宋_GB2312"/>
          <w:bCs/>
          <w:color w:val="000000" w:themeColor="text1"/>
          <w:sz w:val="24"/>
          <w:szCs w:val="24"/>
          <w:highlight w:val="none"/>
        </w:rPr>
        <w:t xml:space="preserve">，条件限制时每年至少施追肥一次，每次每株平均施肥5㎏左右。对于穴施确有困难的应采取液态肥树干注射、地面打孔等办法进行。</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2.5支撑、防护与涂白</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2.5.1支撑。幼年行道树，应设立支柱进行加固，当出现机械车辆撞击或台风侵袭造成树木向一侧严重倾斜时，可切除部分长根，进行重植。成年行道树，由于根系发达，当出现上述情况时，可采取平衡树冠法，即对向一侧倾斜的树冠进行重截，并设立支撑物向其相对方向进行支撑。对倾斜老树应逐年控制倾斜度，并扶正、支撑。</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2.5.2防护与涂白。每年的初冬，对行道树进行</w:t>
      </w:r>
      <w:r>
        <w:rPr>
          <w:rFonts w:hint="eastAsia" w:ascii="方正仿宋_GB2312" w:hAnsi="方正仿宋_GB2312" w:eastAsia="方正仿宋_GB2312" w:cs="方正仿宋_GB2312"/>
          <w:bCs/>
          <w:color w:val="000000" w:themeColor="text1"/>
          <w:sz w:val="24"/>
          <w:szCs w:val="24"/>
          <w:highlight w:val="none"/>
          <w:lang w:eastAsia="zh-CN"/>
        </w:rPr>
        <w:t xml:space="preserve">根基</w:t>
      </w:r>
      <w:r>
        <w:rPr>
          <w:rFonts w:hint="eastAsia" w:ascii="方正仿宋_GB2312" w:hAnsi="方正仿宋_GB2312" w:eastAsia="方正仿宋_GB2312" w:cs="方正仿宋_GB2312"/>
          <w:bCs/>
          <w:color w:val="000000" w:themeColor="text1"/>
          <w:sz w:val="24"/>
          <w:szCs w:val="24"/>
          <w:highlight w:val="none"/>
        </w:rPr>
        <w:t xml:space="preserve">培土、主干包扎、涂白等抗冻处理。发生枝叶积雪应及时清除，有倒伏危险的树木应立支撑保护。出现树洞可用水泥及时修补，以防止腐朽进一步扩大。台风季节，做好行道树抗风暴的预防工作，根据树木的实际情况，采取立支柱、绑扎、加土、扶正、疏枝、打地桩等综合措施</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一旦风暴来临，应及时检查，发现问题，妥善处理。对于严重倒伏</w:t>
      </w:r>
      <w:r>
        <w:rPr>
          <w:rFonts w:hint="eastAsia" w:ascii="方正仿宋_GB2312" w:hAnsi="方正仿宋_GB2312" w:eastAsia="方正仿宋_GB2312" w:cs="方正仿宋_GB2312"/>
          <w:bCs/>
          <w:color w:val="000000" w:themeColor="text1"/>
          <w:sz w:val="24"/>
          <w:szCs w:val="24"/>
          <w:highlight w:val="none"/>
          <w:lang w:eastAsia="zh-CN"/>
        </w:rPr>
        <w:t xml:space="preserve">，就</w:t>
      </w:r>
      <w:r>
        <w:rPr>
          <w:rFonts w:hint="eastAsia" w:ascii="方正仿宋_GB2312" w:hAnsi="方正仿宋_GB2312" w:eastAsia="方正仿宋_GB2312" w:cs="方正仿宋_GB2312"/>
          <w:bCs/>
          <w:color w:val="000000" w:themeColor="text1"/>
          <w:sz w:val="24"/>
          <w:szCs w:val="24"/>
          <w:highlight w:val="none"/>
        </w:rPr>
        <w:t xml:space="preserve">地种植难以成活的树木，应将树冠强截后送苗圃种植养护。</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2.5.3行道树补植。一旦出现行道树枯死</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应及时报批</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申请倒伐</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并在手续齐全情况下视季节及时补植。倒伐时应连同根部一起挖除，并填平树穴。补植树木应选用同品种、同规格苗木，并加强养护，确保成活。 </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3古树名木和古树后续资源（以下简称“古树”）</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针对古树生态环境的变化和古树生长的特点，加大科学研究力度，实现科学管理和养护，除参照1树木（乔木、灌木）要求对古树进行日常养护管理外，重点做好：控制生长环境、防护与支撑、复壮等养护管理工作。</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3.1控制生长环境</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必须处理好古树与周围其他植物之间的关系。 </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3.1.1除对古树生长有利的部分植物可适量保留外，必须对古树周围生长的阔叶树、速生树和杂灌草进行控制。</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3.1.1.1在松柏类古树周围可适量保留壳斗科树种如栎、槲等，以利菌根菌的活动，促进古树生长</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3.1.1.2古松树冠垂直投影范围内严禁种植核桃树、接骨木、榆树，以避免对其的生长产生抑制作用。 </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3.1.1.3在坡林地环境的古树应有下木和地被植物伴生的自然生态环境。应对坡坎进行加固、防止水土流失。平地古树林地应适时适地栽种豆科地被植物。浇水应一次浇透浇足。暂不使用再生水浇灌古树。</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3.1.2应保持古树及周围环境的清洁。</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3.1.3应加强古树的病虫害防治工作。参照1.3执行。 </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3.2防护与支撑</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3.2.1应因地制宜地设置围栏保护古树，孤立树或树群围栏与树干的距离不小于3m。 </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3.2.2在古树保护范围内（树冠垂直投影外沿3m范围内），禁止动土或铺砌不透气材料。各种施工范围内的古树必须在其保护范围边缘事先采取保护措施。 </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3.2.3在古树根系分布范围内，严禁设置临时厨房或厕所等有污染气体、液体的设施和排放污水的渗沟；严禁在树下堆放污染古树根系、土壤的物品，如石灰、撒过盐的积雪、人粪尿、垃圾、废料或倒污水等。 </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3.2.4严禁在树体上钉钉子、绕铁丝、挂杂物或作为施工的支撑点。严禁攀折、</w:t>
      </w:r>
      <w:r>
        <w:rPr>
          <w:rFonts w:hint="eastAsia" w:ascii="方正仿宋_GB2312" w:hAnsi="方正仿宋_GB2312" w:eastAsia="方正仿宋_GB2312" w:cs="方正仿宋_GB2312"/>
          <w:bCs/>
          <w:color w:val="000000" w:themeColor="text1"/>
          <w:sz w:val="24"/>
          <w:szCs w:val="24"/>
          <w:highlight w:val="none"/>
          <w:lang w:eastAsia="zh-CN"/>
        </w:rPr>
        <w:t xml:space="preserve">剐蹭和刻画</w:t>
      </w:r>
      <w:r>
        <w:rPr>
          <w:rFonts w:hint="eastAsia" w:ascii="方正仿宋_GB2312" w:hAnsi="方正仿宋_GB2312" w:eastAsia="方正仿宋_GB2312" w:cs="方正仿宋_GB2312"/>
          <w:bCs/>
          <w:color w:val="000000" w:themeColor="text1"/>
          <w:sz w:val="24"/>
          <w:szCs w:val="24"/>
          <w:highlight w:val="none"/>
        </w:rPr>
        <w:t xml:space="preserve">树皮等伤害古树的行为。</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3.2.5有纪念意义和特殊观赏价值的古树，应保留其原貌，对枯枝、树洞等采取防腐处理。需修剪的应制定修剪方案，报主管部门批准。古树树体上的伤疤或空洞应及时填充修补，防止进水。 </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3.2.6当古树树体及大枝有倾倒、劈裂或折断的可能时，应及时采取加固或支撑等保护措施。 </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3.2.7对高大树体必须安装避雷装置，以防雷击。 </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3.3复壮</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古树复壮要严格采用成功的方法，吸收和运用新的研究成果，制定科学合理的技术方案，并经专家组论证，报请城市园林绿化主管部门审核、政府批准后，并在园林部门监督下实施。</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4绿篱、模纹和色块、球类和</w:t>
      </w:r>
      <w:r>
        <w:rPr>
          <w:rFonts w:hint="eastAsia" w:ascii="方正仿宋_GB2312" w:hAnsi="方正仿宋_GB2312" w:eastAsia="方正仿宋_GB2312" w:cs="方正仿宋_GB2312"/>
          <w:bCs/>
          <w:color w:val="000000" w:themeColor="text1"/>
          <w:sz w:val="24"/>
          <w:szCs w:val="24"/>
          <w:highlight w:val="none"/>
          <w:lang w:eastAsia="zh-CN"/>
        </w:rPr>
        <w:t xml:space="preserve">其他</w:t>
      </w:r>
      <w:r>
        <w:rPr>
          <w:rFonts w:hint="eastAsia" w:ascii="方正仿宋_GB2312" w:hAnsi="方正仿宋_GB2312" w:eastAsia="方正仿宋_GB2312" w:cs="方正仿宋_GB2312"/>
          <w:bCs/>
          <w:color w:val="000000" w:themeColor="text1"/>
          <w:sz w:val="24"/>
          <w:szCs w:val="24"/>
          <w:highlight w:val="none"/>
        </w:rPr>
        <w:t xml:space="preserve">造型（灌木类）</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养护管理内容包括：浇灌与排水、整形与修剪、病虫害防治、除草与切边、施肥、补植等。</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4.1浇灌与排水</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4.1.1根据气候、土壤墒情、植物习性等适时、适量浇灌，土壤含水量应保持在70%左右，叶片萎蔫时应及时浇水。江北地区每年</w:t>
      </w:r>
      <w:r>
        <w:rPr>
          <w:rFonts w:hint="eastAsia" w:ascii="方正仿宋_GB2312" w:hAnsi="方正仿宋_GB2312" w:eastAsia="方正仿宋_GB2312" w:cs="方正仿宋_GB2312"/>
          <w:bCs/>
          <w:color w:val="000000" w:themeColor="text1"/>
          <w:sz w:val="24"/>
          <w:szCs w:val="24"/>
          <w:highlight w:val="none"/>
          <w:lang w:eastAsia="zh-CN"/>
        </w:rPr>
        <w:t xml:space="preserve">至少10次</w:t>
      </w:r>
      <w:r>
        <w:rPr>
          <w:rFonts w:hint="eastAsia" w:ascii="方正仿宋_GB2312" w:hAnsi="方正仿宋_GB2312" w:eastAsia="方正仿宋_GB2312" w:cs="方正仿宋_GB2312"/>
          <w:bCs/>
          <w:color w:val="000000" w:themeColor="text1"/>
          <w:sz w:val="24"/>
          <w:szCs w:val="24"/>
          <w:highlight w:val="none"/>
        </w:rPr>
        <w:t xml:space="preserve">，江南地区每年至少6次以上。</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4.1.1.1每年春季树木萌发前要浇春水至少1次，冬季休眠前浇防冻水至少1次。</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4.1.1.2每年5月至10月期间，连续15天无降雨应浇透水1次，道路</w:t>
      </w:r>
      <w:r>
        <w:rPr>
          <w:rFonts w:hint="eastAsia" w:ascii="方正仿宋_GB2312" w:hAnsi="方正仿宋_GB2312" w:eastAsia="方正仿宋_GB2312" w:cs="方正仿宋_GB2312"/>
          <w:bCs/>
          <w:color w:val="000000" w:themeColor="text1"/>
          <w:sz w:val="24"/>
          <w:szCs w:val="24"/>
          <w:highlight w:val="none"/>
          <w:lang w:eastAsia="zh-CN"/>
        </w:rPr>
        <w:t xml:space="preserve">及</w:t>
      </w:r>
      <w:r>
        <w:rPr>
          <w:rFonts w:hint="eastAsia" w:ascii="方正仿宋_GB2312" w:hAnsi="方正仿宋_GB2312" w:eastAsia="方正仿宋_GB2312" w:cs="方正仿宋_GB2312"/>
          <w:bCs/>
          <w:color w:val="000000" w:themeColor="text1"/>
          <w:sz w:val="24"/>
          <w:szCs w:val="24"/>
          <w:highlight w:val="none"/>
        </w:rPr>
        <w:t xml:space="preserve">非隔离带绿化应每周不少于1次冲淋去尘。</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4.1.1.3开花期前应适当增加浇水量。</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1.1.2以浇透为宜，水分应渗透至树木根部。补（移）植树木高温干旱时应避开高温进行叶面喷雾保湿。</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1.1.3暴雨、梅雨季节应开沟排水，防止积水。根部积水应及时排出，耐涝性差树木应该在12小时内排除积水，低洼易积水处应设置排水沟。</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1.1.4提倡使用不含有毒物质的中水、雨水和河水浇灌；绿地设施应逐步完善浇灌系统。</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4.2整形与修剪</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4.2.1绿篱、模纹和色块、球类和</w:t>
      </w:r>
      <w:r>
        <w:rPr>
          <w:rFonts w:hint="eastAsia" w:ascii="方正仿宋_GB2312" w:hAnsi="方正仿宋_GB2312" w:eastAsia="方正仿宋_GB2312" w:cs="方正仿宋_GB2312"/>
          <w:bCs/>
          <w:color w:val="000000" w:themeColor="text1"/>
          <w:sz w:val="24"/>
          <w:szCs w:val="24"/>
          <w:highlight w:val="none"/>
          <w:lang w:eastAsia="zh-CN"/>
        </w:rPr>
        <w:t xml:space="preserve">其他</w:t>
      </w:r>
      <w:r>
        <w:rPr>
          <w:rFonts w:hint="eastAsia" w:ascii="方正仿宋_GB2312" w:hAnsi="方正仿宋_GB2312" w:eastAsia="方正仿宋_GB2312" w:cs="方正仿宋_GB2312"/>
          <w:bCs/>
          <w:color w:val="000000" w:themeColor="text1"/>
          <w:sz w:val="24"/>
          <w:szCs w:val="24"/>
          <w:highlight w:val="none"/>
        </w:rPr>
        <w:t xml:space="preserve">造型（灌木类）等应按原设计的造型或规定的形状和高度修剪。以生长期修剪为主，休眠期修剪为辅。每年应修剪8次以上，5月下旬至10月中旬，每3周左右修剪1次。</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4.2.2规则式绿篱、模纹（色块）修剪应保持顶部和基部水平，做到无断层、无缺口、无光秃，轮廓线应流畅、柔和。两个品种以上连片种植时，修剪时应注意</w:t>
      </w:r>
      <w:r>
        <w:rPr>
          <w:rFonts w:hint="eastAsia" w:ascii="方正仿宋_GB2312" w:hAnsi="方正仿宋_GB2312" w:eastAsia="方正仿宋_GB2312" w:cs="方正仿宋_GB2312"/>
          <w:bCs/>
          <w:color w:val="000000" w:themeColor="text1"/>
          <w:sz w:val="24"/>
          <w:szCs w:val="24"/>
          <w:highlight w:val="none"/>
          <w:lang w:eastAsia="zh-CN"/>
        </w:rPr>
        <w:t xml:space="preserve">相互</w:t>
      </w:r>
      <w:r>
        <w:rPr>
          <w:rFonts w:hint="eastAsia" w:ascii="方正仿宋_GB2312" w:hAnsi="方正仿宋_GB2312" w:eastAsia="方正仿宋_GB2312" w:cs="方正仿宋_GB2312"/>
          <w:bCs/>
          <w:color w:val="000000" w:themeColor="text1"/>
          <w:sz w:val="24"/>
          <w:szCs w:val="24"/>
          <w:highlight w:val="none"/>
        </w:rPr>
        <w:t xml:space="preserve">衔接，保证平顺缓和</w:t>
      </w:r>
      <w:r>
        <w:rPr>
          <w:rFonts w:hint="eastAsia" w:ascii="方正仿宋_GB2312" w:hAnsi="方正仿宋_GB2312" w:eastAsia="方正仿宋_GB2312" w:cs="方正仿宋_GB2312"/>
          <w:bCs/>
          <w:color w:val="000000" w:themeColor="text1"/>
          <w:sz w:val="24"/>
          <w:szCs w:val="24"/>
          <w:highlight w:val="none"/>
          <w:lang w:eastAsia="zh-CN"/>
        </w:rPr>
        <w:t xml:space="preserve">过渡</w:t>
      </w:r>
      <w:r>
        <w:rPr>
          <w:rFonts w:hint="eastAsia" w:ascii="方正仿宋_GB2312" w:hAnsi="方正仿宋_GB2312" w:eastAsia="方正仿宋_GB2312" w:cs="方正仿宋_GB2312"/>
          <w:bCs/>
          <w:color w:val="000000" w:themeColor="text1"/>
          <w:sz w:val="24"/>
          <w:szCs w:val="24"/>
          <w:highlight w:val="none"/>
        </w:rPr>
        <w:t xml:space="preserve">。</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4.2.3自然式绿篱修剪，幼年以定干整形为主，成年以促进开花和结实为主。</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4.2.4规则式绿篱、模纹（色块）修剪后新梢生长超过10cm时，应进行第二次修剪，红叶石楠等色叶植物应在新梢木质化后修剪。</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4.2.5植株生长过密或病虫害发生严重的应及时进行疏枝修剪。</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4.2.6当生长高度影响景观效果或影响交通安全时，要进行强度修剪，强度修剪宜在休眠期进行。</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4.2.7修剪下来的枝、叶等废弃物，应及时清运，保证环境整洁；有病虫害的枝、叶要及时集中进行无害化处理，防止病虫害蔓延。</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4.2.8造景树修剪。以及时修剪、长枝短截、密枝疏剪为修剪基本原则。对于松类树种在芽刚萌发时摘心摘芽控制新枝长度，以保持优美的树姿和适当的比例。</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4.2.8.1摘心。造景树为控制其高度生长，促使侧枝平展，可摘去其枝梢嫩头。</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4.2.8.2摘芽。造景树在其干基或干上生长出许多不定芽时，应随时摘除，以免萌生叉枝，特别是榆树，易产生不定芽，更应注意摘芽</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4.2.8.3摘叶。观叶造景树 其观赏期往往是新叶萌发期，通过摘叶措施，可使树木一年发几次新叶，鲜艳悦目，提高其观赏效果。</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4.2.8.4修枝。修枝方式应根据树形来确定，如云片状树枝，则将枝条修剪成平整状。对于萌发力强的树种， 可以修剪为主。修剪时</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 首先可将平行枝、交叉枝、重叠枝、对生枝、轮生枝等进行调整，有些剪掉，有些结合攀扎进行改造。当留下的枝干培养到粗度适合时，就可进行强度的剪截，使生出第二节枝，待第二节枝长到粗度适合时，又加剪截，依次第三、第四节，如此施行。一般第一枝上留两个小枝，一长一短，经多年修剪后则枝干苍劲有力，逐步形成树冠。</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4.2.8.5攀扎。松柏类及萌发力弱的树种，一般以攀扎为主。即通过金属丝或棕丝等攀扎材料，将树木枝干弯曲成各种形状。</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金属丝法。一般选用14～24号金属丝（根据所攀扎枝干的粗度选用）。攀扎时，先将金属丝一端固定在枝干的基部或交叉处，然后最贴树皮徐徐缠绕，使金属组织丝与枝干约成45度角。如要将枝干向右扭旋下弯，金属丝则按顺时针方向缠绕，反之，则按逆时针方向缠绕。注意边扭边弯曲，才能使金属丝</w:t>
      </w:r>
      <w:r>
        <w:rPr>
          <w:rFonts w:hint="eastAsia" w:ascii="方正仿宋_GB2312" w:hAnsi="方正仿宋_GB2312" w:eastAsia="方正仿宋_GB2312" w:cs="方正仿宋_GB2312"/>
          <w:bCs/>
          <w:color w:val="000000" w:themeColor="text1"/>
          <w:sz w:val="24"/>
          <w:szCs w:val="24"/>
          <w:highlight w:val="none"/>
          <w:lang w:eastAsia="zh-CN"/>
        </w:rPr>
        <w:t xml:space="preserve">紧贴</w:t>
      </w:r>
      <w:r>
        <w:rPr>
          <w:rFonts w:hint="eastAsia" w:ascii="方正仿宋_GB2312" w:hAnsi="方正仿宋_GB2312" w:eastAsia="方正仿宋_GB2312" w:cs="方正仿宋_GB2312"/>
          <w:bCs/>
          <w:color w:val="000000" w:themeColor="text1"/>
          <w:sz w:val="24"/>
          <w:szCs w:val="24"/>
          <w:highlight w:val="none"/>
        </w:rPr>
        <w:t xml:space="preserve">树木，同时枝干也不易断裂。对石榴、红枫等一些皮薄易受损伤的树种，可先用麻皮包卷枝干，然后再攀扎金属丝。对于两根基部相差不远的侧枝，可使用一根金属丝缠绕。 在一根枝上如有重复的金属丝缠绕时，须注意缠绕方向的一致，尽量避免交叉。</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棕丝扎法。先将棕丝捻成不同粗细的麻绳，将棕绳的中段缚住需弯曲枝干的下端（ 或打过套结），将两头相互绞几下，放在需要弯曲的枝干的上端，打一活结，再将枝干徐徐弯曲至所需弧度，再收紧棕绳打成死结，即完成一个弯曲。一般弯曲不宜过分，否则易</w:t>
      </w:r>
      <w:r>
        <w:rPr>
          <w:rFonts w:hint="eastAsia" w:ascii="方正仿宋_GB2312" w:hAnsi="方正仿宋_GB2312" w:eastAsia="方正仿宋_GB2312" w:cs="方正仿宋_GB2312"/>
          <w:bCs/>
          <w:color w:val="000000" w:themeColor="text1"/>
          <w:sz w:val="24"/>
          <w:szCs w:val="24"/>
          <w:highlight w:val="none"/>
          <w:lang w:eastAsia="zh-CN"/>
        </w:rPr>
        <w:t xml:space="preserve">失去</w:t>
      </w:r>
      <w:r>
        <w:rPr>
          <w:rFonts w:hint="eastAsia" w:ascii="方正仿宋_GB2312" w:hAnsi="方正仿宋_GB2312" w:eastAsia="方正仿宋_GB2312" w:cs="方正仿宋_GB2312"/>
          <w:bCs/>
          <w:color w:val="000000" w:themeColor="text1"/>
          <w:sz w:val="24"/>
          <w:szCs w:val="24"/>
          <w:highlight w:val="none"/>
        </w:rPr>
        <w:t xml:space="preserve">自然形态。棕丝攀扎的前</w:t>
      </w:r>
      <w:r>
        <w:rPr>
          <w:rFonts w:hint="eastAsia" w:ascii="方正仿宋_GB2312" w:hAnsi="方正仿宋_GB2312" w:eastAsia="方正仿宋_GB2312" w:cs="方正仿宋_GB2312"/>
          <w:bCs/>
          <w:color w:val="000000" w:themeColor="text1"/>
          <w:sz w:val="24"/>
          <w:szCs w:val="24"/>
          <w:highlight w:val="none"/>
          <w:lang w:eastAsia="zh-CN"/>
        </w:rPr>
        <w:t xml:space="preserve">关键在于</w:t>
      </w:r>
      <w:r>
        <w:rPr>
          <w:rFonts w:hint="eastAsia" w:ascii="方正仿宋_GB2312" w:hAnsi="方正仿宋_GB2312" w:eastAsia="方正仿宋_GB2312" w:cs="方正仿宋_GB2312"/>
          <w:bCs/>
          <w:color w:val="000000" w:themeColor="text1"/>
          <w:sz w:val="24"/>
          <w:szCs w:val="24"/>
          <w:highlight w:val="none"/>
        </w:rPr>
        <w:t xml:space="preserve">掌握好力点。要根据造型的需要，选择下棕与打结的位置。棕丝绑扎的顺序：开始时，先扎树干，后扎枝叶；扎枝叶时，先扎顶部后扎下部：每扎一个部分时，先扎大枝再扎小枝；每扎根枝（干）时，从基部到梢部。无论采用金属丝或棕丝绑扎，一般在一年以后拆除。</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4.2.8.6雕凿。对于松柏类及体量较大的造景树，为了显示树木苍古，有时可用锋利的工具对树干进行雕凿，并剥去部分树皮，甚至将树干劈去一半，但不可露出人工斧凿痕迹。</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4.2.8.7遮荫。一些耐荫的造型树木，如罗汉松、五针松等，在夏季高温强光下，应采取遮荫措施，否则会造成生长不良。</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4.3病虫害防治</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参照1.3执行。</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4.4除草和切边</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4.4.1除草应除早、除小，及时去除大型恶性杂草及杂树，</w:t>
      </w:r>
      <w:r>
        <w:rPr>
          <w:rFonts w:hint="eastAsia" w:ascii="方正仿宋_GB2312" w:hAnsi="方正仿宋_GB2312" w:eastAsia="方正仿宋_GB2312" w:cs="方正仿宋_GB2312"/>
          <w:bCs/>
          <w:color w:val="000000" w:themeColor="text1"/>
          <w:sz w:val="24"/>
          <w:szCs w:val="24"/>
          <w:highlight w:val="none"/>
          <w:lang w:eastAsia="zh-CN"/>
        </w:rPr>
        <w:t xml:space="preserve">其他杂草</w:t>
      </w:r>
      <w:r>
        <w:rPr>
          <w:rFonts w:hint="eastAsia" w:ascii="方正仿宋_GB2312" w:hAnsi="方正仿宋_GB2312" w:eastAsia="方正仿宋_GB2312" w:cs="方正仿宋_GB2312"/>
          <w:bCs/>
          <w:color w:val="000000" w:themeColor="text1"/>
          <w:sz w:val="24"/>
          <w:szCs w:val="24"/>
          <w:highlight w:val="none"/>
        </w:rPr>
        <w:t xml:space="preserve">控制在不影响景观效果的范围内。杂草、杂树不得高于绿篱、模纹和色块植物；造型灌木上应及时去除大型蔓性藤本杂草。杂草以人工拔除为主，适当采用生物防治、化学防治措施，每年清除杂草15次以上。其中，5月至10月期间，每15天要清除杂草1次。</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4.4.2绿篱、模纹和色块、造型灌木边缘，与地被、草坪结合处应进行切边处理，宽度宜10—15cm，深度宜10cm。</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4.4.3切边应流畅圆润，其内种植土应细碎平整。</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4.4.4及时清运拔除杂草，保证环境整洁。</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4.5施肥</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4.5.1视植物生长状况，适时、适量进行施肥，提倡使用有机肥和复合肥料，每年施基肥不少于1次，追肥不少于3次。花灌木品种应适当增加施肥次数。</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4.5.2基肥施用量为0.5kg/㎡；施追肥一般按0.5%-1%浓度的溶解液施用，肥料施用量不超过30g/㎡。</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4.5.3 撒施化肥后应及时充分浇水，肥料不得粘在花、叶上，以免灼伤叶片。</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4.6补植</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4.6.1绿篱、模纹和色块、造型灌木出现死亡、缺株或空秃后应进行补植。</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4.6.2补植的植物应与原植物品种和规格接近。</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4.6.3落叶植物补植应在植物落叶后土壤结冻前或在新芽萌发前进行；常绿植物补植应在土壤解冻后，新芽萌发前进行。</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5水生植物</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养护管理内容包括：控制水位和换水、清理与分株、病虫害防治、施肥、除草与灭苔等。</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5.1控制水位和换水</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5.1.1及时调整和控制水生植物正常生长水位。苗期水适当，保持浅水层，分蘖期，浅水勤灌，后期，适时排水，漂浮植物须足够的水深使其漂浮；沉水植物水高必须超过植株，使茎叶自然伸展；水边植物保持土壤湿润、稍呈积水状态；挺水植物须保持50cm至100cm左右的水深；浮水植物水位高低须依茎梗长短调整，使叶浮于水面呈自然状态。</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5.1.2为避免蚊虫</w:t>
      </w:r>
      <w:r>
        <w:rPr>
          <w:rFonts w:hint="eastAsia" w:ascii="方正仿宋_GB2312" w:hAnsi="方正仿宋_GB2312" w:eastAsia="方正仿宋_GB2312" w:cs="方正仿宋_GB2312"/>
          <w:bCs/>
          <w:color w:val="000000" w:themeColor="text1"/>
          <w:sz w:val="24"/>
          <w:szCs w:val="24"/>
          <w:highlight w:val="none"/>
          <w:lang w:eastAsia="zh-CN"/>
        </w:rPr>
        <w:t xml:space="preserve">滋生</w:t>
      </w:r>
      <w:r>
        <w:rPr>
          <w:rFonts w:hint="eastAsia" w:ascii="方正仿宋_GB2312" w:hAnsi="方正仿宋_GB2312" w:eastAsia="方正仿宋_GB2312" w:cs="方正仿宋_GB2312"/>
          <w:bCs/>
          <w:color w:val="000000" w:themeColor="text1"/>
          <w:sz w:val="24"/>
          <w:szCs w:val="24"/>
          <w:highlight w:val="none"/>
        </w:rPr>
        <w:t xml:space="preserve">或水质恶化，当用水发生</w:t>
      </w:r>
      <w:r>
        <w:rPr>
          <w:rFonts w:hint="eastAsia" w:ascii="方正仿宋_GB2312" w:hAnsi="方正仿宋_GB2312" w:eastAsia="方正仿宋_GB2312" w:cs="方正仿宋_GB2312"/>
          <w:bCs/>
          <w:color w:val="000000" w:themeColor="text1"/>
          <w:sz w:val="24"/>
          <w:szCs w:val="24"/>
          <w:highlight w:val="none"/>
          <w:lang w:eastAsia="zh-CN"/>
        </w:rPr>
        <w:t xml:space="preserve">浑浊</w:t>
      </w:r>
      <w:r>
        <w:rPr>
          <w:rFonts w:hint="eastAsia" w:ascii="方正仿宋_GB2312" w:hAnsi="方正仿宋_GB2312" w:eastAsia="方正仿宋_GB2312" w:cs="方正仿宋_GB2312"/>
          <w:bCs/>
          <w:color w:val="000000" w:themeColor="text1"/>
          <w:sz w:val="24"/>
          <w:szCs w:val="24"/>
          <w:highlight w:val="none"/>
        </w:rPr>
        <w:t xml:space="preserve">时，必须换水，夏季则</w:t>
      </w:r>
      <w:r>
        <w:rPr>
          <w:rFonts w:hint="eastAsia" w:ascii="方正仿宋_GB2312" w:hAnsi="方正仿宋_GB2312" w:eastAsia="方正仿宋_GB2312" w:cs="方正仿宋_GB2312"/>
          <w:bCs/>
          <w:color w:val="000000" w:themeColor="text1"/>
          <w:sz w:val="24"/>
          <w:szCs w:val="24"/>
          <w:highlight w:val="none"/>
          <w:lang w:eastAsia="zh-CN"/>
        </w:rPr>
        <w:t xml:space="preserve">需</w:t>
      </w:r>
      <w:r>
        <w:rPr>
          <w:rFonts w:hint="eastAsia" w:ascii="方正仿宋_GB2312" w:hAnsi="方正仿宋_GB2312" w:eastAsia="方正仿宋_GB2312" w:cs="方正仿宋_GB2312"/>
          <w:bCs/>
          <w:color w:val="000000" w:themeColor="text1"/>
          <w:sz w:val="24"/>
          <w:szCs w:val="24"/>
          <w:highlight w:val="none"/>
        </w:rPr>
        <w:t xml:space="preserve">增加换水次数。</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5.2清理与分株</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5.2.1对于不耐寒而干枯的水生植物，应在冬季枯黄后将其泥上部分清除。</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5.2.2对于多年生耐寒水生植物应在每年2月底新芽长出前泥上部分剪除。</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5.2.3及时清除枯残枝叶及杂物。</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5.2.4对于因病虫等原因而造成整盆死亡的，应将空盆撤出。</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5.2.5同一水池中混合栽植各类水生植物，必须定时疏除繁殖过快的种类，以免覆满水面，影响睡莲或</w:t>
      </w:r>
      <w:r>
        <w:rPr>
          <w:rFonts w:hint="eastAsia" w:ascii="方正仿宋_GB2312" w:hAnsi="方正仿宋_GB2312" w:eastAsia="方正仿宋_GB2312" w:cs="方正仿宋_GB2312"/>
          <w:bCs/>
          <w:color w:val="000000" w:themeColor="text1"/>
          <w:sz w:val="24"/>
          <w:szCs w:val="24"/>
          <w:highlight w:val="none"/>
          <w:lang w:eastAsia="zh-CN"/>
        </w:rPr>
        <w:t xml:space="preserve">其他</w:t>
      </w:r>
      <w:r>
        <w:rPr>
          <w:rFonts w:hint="eastAsia" w:ascii="方正仿宋_GB2312" w:hAnsi="方正仿宋_GB2312" w:eastAsia="方正仿宋_GB2312" w:cs="方正仿宋_GB2312"/>
          <w:bCs/>
          <w:color w:val="000000" w:themeColor="text1"/>
          <w:sz w:val="24"/>
          <w:szCs w:val="24"/>
          <w:highlight w:val="none"/>
        </w:rPr>
        <w:t xml:space="preserve">沉水植物的生长。</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5.2.6浮水植物过大，叶面互相遮盖时，必须进行分株，一般3至4年分1次株。</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5.3病虫害防治</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5.3.1贯彻“预防为主，综合防治”的方针，提倡使用生物防治、化学防治和物理防治等多种防治手段来控制病虫害。每年应根据病虫害预测预报及病虫害发生情况，制定短期和中长期病虫害防治计划，每年应防治病虫害3次以上。</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5.3.2水生植物的病害主要可分为侵染性病害与非侵染性病害。形成致命性危害的一般为侵染性病害，是由于病原微生物如真菌、细菌、病毒、线虫等引起的，具有传染性，危害极大。在植物生长期应加强菱白绢病，睡莲蚜虫，荷花茎腐病、褐斑病、黑斑病和根线虫的防治，芡实真菌性病害，水仙线虫病，水竹芋叶斑病等病虫害防治。</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5.3.3对病虫害及时进行预测预报，建立病虫害防治网络</w:t>
      </w:r>
      <w:r>
        <w:rPr>
          <w:rFonts w:hint="eastAsia" w:ascii="方正仿宋_GB2312" w:hAnsi="方正仿宋_GB2312" w:eastAsia="方正仿宋_GB2312" w:cs="方正仿宋_GB2312"/>
          <w:bCs/>
          <w:color w:val="000000" w:themeColor="text1"/>
          <w:sz w:val="24"/>
          <w:szCs w:val="24"/>
          <w:highlight w:val="none"/>
          <w:lang w:eastAsia="zh-CN"/>
        </w:rPr>
        <w:t xml:space="preserve">和台账</w:t>
      </w:r>
      <w:r>
        <w:rPr>
          <w:rFonts w:hint="eastAsia" w:ascii="方正仿宋_GB2312" w:hAnsi="方正仿宋_GB2312" w:eastAsia="方正仿宋_GB2312" w:cs="方正仿宋_GB2312"/>
          <w:bCs/>
          <w:color w:val="000000" w:themeColor="text1"/>
          <w:sz w:val="24"/>
          <w:szCs w:val="24"/>
          <w:highlight w:val="none"/>
        </w:rPr>
        <w:t xml:space="preserve">。</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5.4施肥：</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5.4.1注重早期施肥，施足基肥，春、秋各进行一次追肥，尽量利用低水位时补肥。</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5.4.2施肥不应污染水质，合理配置氮、磷、钾，增施磷钾肥。</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5.4.3盆栽水生植物应在冬季连盆拿出水面，并在开春移入水池前10天补施1次基肥，待其新叶长出后再移入水中。</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5.5除草与灭苔</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水生杂草和青苔应在早春植物萌芽前进行人工或适当的化学防治。</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6攀援（垂直绿化）植物</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养护管理内容包括：浇灌与排水、修剪与理藤、病虫害防治、施肥、补植、藤架管护等。</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6.1浇灌与排水</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6.1.1根据气候条件、植物习性和长势情况进行浇水，生长季节应松土保墒，土壤含水量应在65%—70%范围。气温在10℃—25℃范围内，每周浇水次数应不少于1次、气温在25℃—35℃范围内，每周浇水次数应不少于2次，高架悬挂植物需每两天至少浇水1次；气温35℃以上</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应2天浇1次水，高架悬挂植物需每</w:t>
      </w:r>
      <w:r>
        <w:rPr>
          <w:rFonts w:hint="eastAsia" w:ascii="方正仿宋_GB2312" w:hAnsi="方正仿宋_GB2312" w:eastAsia="方正仿宋_GB2312" w:cs="方正仿宋_GB2312"/>
          <w:bCs/>
          <w:color w:val="000000" w:themeColor="text1"/>
          <w:sz w:val="24"/>
          <w:szCs w:val="24"/>
          <w:highlight w:val="none"/>
          <w:lang w:eastAsia="zh-CN"/>
        </w:rPr>
        <w:t xml:space="preserve">两天</w:t>
      </w:r>
      <w:r>
        <w:rPr>
          <w:rFonts w:hint="eastAsia" w:ascii="方正仿宋_GB2312" w:hAnsi="方正仿宋_GB2312" w:eastAsia="方正仿宋_GB2312" w:cs="方正仿宋_GB2312"/>
          <w:bCs/>
          <w:color w:val="000000" w:themeColor="text1"/>
          <w:sz w:val="24"/>
          <w:szCs w:val="24"/>
          <w:highlight w:val="none"/>
        </w:rPr>
        <w:t xml:space="preserve">至少浇水1次；冬季浇水每月不少于1次。</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6.1.2梅雨和暴雨季节应及时排除积水。</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6.2修剪与理藤</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6.2.1在生长季节应进行理藤、造型、固定，以逐步达到满铺的效果，定期检查绑扎物防脱落。</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6.2.2多年生藤本应定期翻蔓，清除枯枝，疏除老弱藤蔓。</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6.2.3 修剪宜在5月、7月、11月或植株开花后进行。</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6.2.4 对枝叶稀少的植株可通过摘心促进分枝；未完全覆盖的植株应短截空隙周围枝条，促生副</w:t>
      </w:r>
      <w:r>
        <w:rPr>
          <w:rFonts w:hint="eastAsia" w:ascii="方正仿宋_GB2312" w:hAnsi="方正仿宋_GB2312" w:eastAsia="方正仿宋_GB2312" w:cs="方正仿宋_GB2312"/>
          <w:bCs/>
          <w:color w:val="000000" w:themeColor="text1"/>
          <w:sz w:val="24"/>
          <w:szCs w:val="24"/>
          <w:highlight w:val="none"/>
          <w:lang w:eastAsia="zh-CN"/>
        </w:rPr>
        <w:t xml:space="preserve">梢</w:t>
      </w:r>
      <w:r>
        <w:rPr>
          <w:rFonts w:hint="eastAsia" w:ascii="方正仿宋_GB2312" w:hAnsi="方正仿宋_GB2312" w:eastAsia="方正仿宋_GB2312" w:cs="方正仿宋_GB2312"/>
          <w:bCs/>
          <w:color w:val="000000" w:themeColor="text1"/>
          <w:sz w:val="24"/>
          <w:szCs w:val="24"/>
          <w:highlight w:val="none"/>
        </w:rPr>
        <w:t xml:space="preserve">。</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6.2.5部分徒长枝长度达15—30cm时应抑制生长；对长势过密的植株适当疏剪重叠枝控制厚度；2年以上的植株应疏减上部枝叶，并适当疏剪下部枝叶以减少枝条重叠；对生长势衰弱的植株应进行重剪促进萌发。</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6.2.6枝叶过密以及立地条件差的垂直绿化应分别绑扎，疏枝。</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6.3病虫害防治</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6.3.1贯彻“预防为主，综合防治”的方针，提倡使用生物防治、化学防治和物理防治等多种防治手段来控制病虫害。每年应根据病虫害预测预报及病虫害发生情况，制定短期和中长期病虫害防治计划，应防治病虫害3次以上。</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6.3.2对病虫害及时进行预测预报，建立病虫害防治网络</w:t>
      </w:r>
      <w:r>
        <w:rPr>
          <w:rFonts w:hint="eastAsia" w:ascii="方正仿宋_GB2312" w:hAnsi="方正仿宋_GB2312" w:eastAsia="方正仿宋_GB2312" w:cs="方正仿宋_GB2312"/>
          <w:bCs/>
          <w:color w:val="000000" w:themeColor="text1"/>
          <w:sz w:val="24"/>
          <w:szCs w:val="24"/>
          <w:highlight w:val="none"/>
          <w:lang w:eastAsia="zh-CN"/>
        </w:rPr>
        <w:t xml:space="preserve">和台账</w:t>
      </w:r>
      <w:r>
        <w:rPr>
          <w:rFonts w:hint="eastAsia" w:ascii="方正仿宋_GB2312" w:hAnsi="方正仿宋_GB2312" w:eastAsia="方正仿宋_GB2312" w:cs="方正仿宋_GB2312"/>
          <w:bCs/>
          <w:color w:val="000000" w:themeColor="text1"/>
          <w:sz w:val="24"/>
          <w:szCs w:val="24"/>
          <w:highlight w:val="none"/>
        </w:rPr>
        <w:t xml:space="preserve">。</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6.4施肥</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6.4.1每年冬季应施1次有机肥。生长期应施追肥，每3个月施肥一次，以复合肥为主。吸附类藤本应叶面施肥。</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6.4.2新栽苗在栽植后两年内宜根据生长势进行追肥。</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6.4.3生长较差、恢复较慢的新栽苗或要促使快长的植物可用生长激素或根外追肥等措施。</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6.5补植</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6.5.1植物死亡、缺株面积超过0.5m2，必须进行补植。</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6.5.2落叶植物补植应在植物落叶后土壤结冻前进行；常绿植物补植应在土壤解冻后，新芽萌发前进行。</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6.6藤架管护</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藤架要牢固、不变形、无损毁，定期对棚架、挂网等攀援设施检查，每月全面检查一次桥墩外包裹网片的牢固程度，每周检查一次高架悬挂花槽的完整和支架的牢固程度，发现问题立即更换或加固。</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7多年生地被植物（含花境）</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养护管理内容包括：浇灌与排水、修剪与疏除、病虫害防治、除草与切边、施肥等。</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7.1浇灌与排水</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7.1.1应根据立地条件、季节差异、植物习性和生长状况及时浇灌，土壤含水量应保持在50%—60%范围。表层土壤发白时，或当叶片发生萎蔫时，应及时浇水。江北地区每年</w:t>
      </w:r>
      <w:r>
        <w:rPr>
          <w:rFonts w:hint="eastAsia" w:ascii="方正仿宋_GB2312" w:hAnsi="方正仿宋_GB2312" w:eastAsia="方正仿宋_GB2312" w:cs="方正仿宋_GB2312"/>
          <w:bCs/>
          <w:color w:val="000000" w:themeColor="text1"/>
          <w:sz w:val="24"/>
          <w:szCs w:val="24"/>
          <w:highlight w:val="none"/>
          <w:lang w:eastAsia="zh-CN"/>
        </w:rPr>
        <w:t xml:space="preserve">至少10次</w:t>
      </w:r>
      <w:r>
        <w:rPr>
          <w:rFonts w:hint="eastAsia" w:ascii="方正仿宋_GB2312" w:hAnsi="方正仿宋_GB2312" w:eastAsia="方正仿宋_GB2312" w:cs="方正仿宋_GB2312"/>
          <w:bCs/>
          <w:color w:val="000000" w:themeColor="text1"/>
          <w:sz w:val="24"/>
          <w:szCs w:val="24"/>
          <w:highlight w:val="none"/>
        </w:rPr>
        <w:t xml:space="preserve">，江南地区每年6次以上。每年春季树木萌发前要浇春水至少1次，冬季休眠前浇防冻水至少1次，5月至10月期间，连续15天无降雨应浇透水1次。</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7.1.1.1浇水必须湿透根系层，浸湿土层应大于5cm。</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7.1.1.2沙质土壤应勤浇水，粘质土壤应合理浇水。</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7.1.1.3肉质根花卉应少浇水，草本花卉应勤浇水。</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7.1.1.4营养生长和生殖生长时应多浇水，盛花期可少浇水。</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7.1.2提倡使用不含有毒物质的中水、雨水和河水浇灌。</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7.1.3根部积水应及时排出。耐涝性差地被应该在12小时内排除积水，低洼易积水处应设置排水沟。</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7.2修剪和疏除</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7.2.1应按照原设计意图、景观需要和生长状况，及时对生长过密、过高植物适当疏除或修剪；及时对影响景观的干枯枝叶进行清除。</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7.2.2疏除和修剪后，应及时清理现场，确保工完场清。</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7.2.3宿根花卉每</w:t>
      </w:r>
      <w:r>
        <w:rPr>
          <w:rFonts w:hint="eastAsia" w:ascii="方正仿宋_GB2312" w:hAnsi="方正仿宋_GB2312" w:eastAsia="方正仿宋_GB2312" w:cs="方正仿宋_GB2312"/>
          <w:bCs/>
          <w:color w:val="000000" w:themeColor="text1"/>
          <w:sz w:val="24"/>
          <w:szCs w:val="24"/>
          <w:highlight w:val="none"/>
          <w:lang w:eastAsia="zh-CN"/>
        </w:rPr>
        <w:t xml:space="preserve">2～3年</w:t>
      </w:r>
      <w:r>
        <w:rPr>
          <w:rFonts w:hint="eastAsia" w:ascii="方正仿宋_GB2312" w:hAnsi="方正仿宋_GB2312" w:eastAsia="方正仿宋_GB2312" w:cs="方正仿宋_GB2312"/>
          <w:bCs/>
          <w:color w:val="000000" w:themeColor="text1"/>
          <w:sz w:val="24"/>
          <w:szCs w:val="24"/>
          <w:highlight w:val="none"/>
        </w:rPr>
        <w:t xml:space="preserve">需重新分株复壮、翻种次。</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7.3病虫害防治</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7.3.1贯彻“预防为主，综合防治”的方针，提倡使用生物防治、化学防治和物理防治等多种防治手段来控制病虫害。每年应根据病虫害预测预报及病虫害发生情况，制定短期和中长期病虫害防治计划，应防治病虫害3次以上。</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7.3.2应重点防治地下害虫。</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7.3.3对病虫害及时进行预测预报，建立病虫害防治网络</w:t>
      </w:r>
      <w:r>
        <w:rPr>
          <w:rFonts w:hint="eastAsia" w:ascii="方正仿宋_GB2312" w:hAnsi="方正仿宋_GB2312" w:eastAsia="方正仿宋_GB2312" w:cs="方正仿宋_GB2312"/>
          <w:bCs/>
          <w:color w:val="000000" w:themeColor="text1"/>
          <w:sz w:val="24"/>
          <w:szCs w:val="24"/>
          <w:highlight w:val="none"/>
          <w:lang w:eastAsia="zh-CN"/>
        </w:rPr>
        <w:t xml:space="preserve">和台账</w:t>
      </w:r>
      <w:r>
        <w:rPr>
          <w:rFonts w:hint="eastAsia" w:ascii="方正仿宋_GB2312" w:hAnsi="方正仿宋_GB2312" w:eastAsia="方正仿宋_GB2312" w:cs="方正仿宋_GB2312"/>
          <w:bCs/>
          <w:color w:val="000000" w:themeColor="text1"/>
          <w:sz w:val="24"/>
          <w:szCs w:val="24"/>
          <w:highlight w:val="none"/>
        </w:rPr>
        <w:t xml:space="preserve">。</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7.4除草和切边</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参照4.4执行。</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7.5施肥</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7.5.1根据地被植物品种、长势情况、气候条件和需要进行施肥，</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7.5.2草坪越冬期宜施有机肥料，平时宜薄肥勤施。</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7.5.3施用量为有机肥每年宜0.5kg/m2，复合肥每月宜15g/m2—20g/m2。</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7.5.4施肥方法可采用颗粒撒施、叶面喷施和灌溉施肥。</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7.5.5肥料撒施后应立即充分浇水，以免化肥灼伤叶片。</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8竹类植物</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养护管理内容包括：浇灌与排水、修剪与疏除、病虫害防治、松土与除草、施肥等。</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8.1浇灌与排水</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8.1.1浇水应根据竹子生物学特性、长势、季节和土质状况，做到适地、适时、适量浇灌，确保植物正常生长所需水分。浇灌次数江北地区每年6次以上，江南地区每年3次以上。每年春季树木萌发前要浇春水至少1次，冬季休眠前浇防冻水至少1次</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遇到干黄梅天</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应浇行鞭水。</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8.1.2根部积水应及时排出。耐涝性差竹子应该在12小时内排除积水，低洼易积水处应设置排水沟。</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8.1.3提倡使用不含有毒物质的中水、雨水和河水浇灌。</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8.2修剪与疏除</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8.2.1竹林每经过3—5年，应深翻、断鞭，将4年生以上的老鞭及每年砍伐后的竹蔸挖出。</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8.2.2竹林应加强抚育管理，保留适当密度，使竹林通风透光、生长健壮。</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8.2.3竹林过密应适当间伐或间移，使留竹分布均匀，并及时用土杂肥回填土坑，竹林应于每年初冬适量培土。</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8.2.4间伐修剪应在晚秋或冬季进行，间伐以保留4、5年生以下立竹，去除6、7年以上，尤其是10年生以上老竹的原则进行。</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8.3病虫害防治</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8.3.1贯彻“预防为主，综合防治”的方针，提倡使用生物防治、化学防治和物理防治等多种防治手段来控制病虫害。每年应根据病虫害预测预报及病虫害发生情况，制定短期和中长期病虫害防治计划，应防治病虫害5次以上。</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8.3.2在竹类植物生长期间，要注意防治竹竿锈病、竹丛枝病、竹煤污病、竹黑粉病的防治；要注意防治竹茎扁蚜、竹蝗、舟蛾、毒蛾等害虫。冬季结合修剪和清洁田园，减少越冬病菌和虫卵数量。</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8.3.3对病虫害及时进行预测预报，建立病虫害防治网络</w:t>
      </w:r>
      <w:r>
        <w:rPr>
          <w:rFonts w:hint="eastAsia" w:ascii="方正仿宋_GB2312" w:hAnsi="方正仿宋_GB2312" w:eastAsia="方正仿宋_GB2312" w:cs="方正仿宋_GB2312"/>
          <w:bCs/>
          <w:color w:val="000000" w:themeColor="text1"/>
          <w:sz w:val="24"/>
          <w:szCs w:val="24"/>
          <w:highlight w:val="none"/>
          <w:lang w:eastAsia="zh-CN"/>
        </w:rPr>
        <w:t xml:space="preserve">和台账</w:t>
      </w:r>
      <w:r>
        <w:rPr>
          <w:rFonts w:hint="eastAsia" w:ascii="方正仿宋_GB2312" w:hAnsi="方正仿宋_GB2312" w:eastAsia="方正仿宋_GB2312" w:cs="方正仿宋_GB2312"/>
          <w:bCs/>
          <w:color w:val="000000" w:themeColor="text1"/>
          <w:sz w:val="24"/>
          <w:szCs w:val="24"/>
          <w:highlight w:val="none"/>
        </w:rPr>
        <w:t xml:space="preserve">。</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8.4松土与除草</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8.4.1除2—4月外，其他季节应及时清除竹园危害性杂草。</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8.4.2每年应松土1次，松土应于6月—7月进行，深度15cm。</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8.4.3松土时应及时除去林内老鞭和竹篼、杂草、石块。</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8.5施肥</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8.5.1全年应施基肥1次，追肥1—3次。</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8.5.2冬季施肥应以酸性有机肥为主；春夏季追肥适宜施用尿素等速效肥，即3月、6月、9月</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每次宜150kg/hm2—230kg/hm2。</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8.5.3提倡林下种植耐荫绿肥，锄下的嫩草宜埋入土中。</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9露地一、二年生草花</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养护管理内容包括：浇灌与排水、病虫害防治、松土与除草、施肥、补植与换茬等。</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9.1浇灌与排水</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参照7.1执行。</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9.2 病虫害防治</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9.2.1贯彻“预防为主，综合防治”的方针，提倡使用生物防治、化学防治和物理防治等多种防治手段来控制病虫害。每年应根据病虫害预测预报及病虫害发生情况，制定短期和中长期病虫害防治计划，应防治病虫害5次以上。</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9.2.2草花更换时，应严格检查，防止病虫植株带入花坛。草花换茬时应翻晒土壤，消毒灭菌。</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9.2.3每百平方米草花面积内，食叶类和刺吸类害虫危害率不得超过10%，病害发病率应控制在10%以下。</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9.2.4对病虫害及时进行预测预报，建立病虫害防治</w:t>
      </w:r>
      <w:r>
        <w:rPr>
          <w:rFonts w:hint="eastAsia" w:ascii="方正仿宋_GB2312" w:hAnsi="方正仿宋_GB2312" w:eastAsia="方正仿宋_GB2312" w:cs="方正仿宋_GB2312"/>
          <w:bCs/>
          <w:color w:val="000000" w:themeColor="text1"/>
          <w:sz w:val="24"/>
          <w:szCs w:val="24"/>
          <w:highlight w:val="none"/>
          <w:lang w:eastAsia="zh-CN"/>
        </w:rPr>
        <w:t xml:space="preserve">台账</w:t>
      </w:r>
      <w:r>
        <w:rPr>
          <w:rFonts w:hint="eastAsia" w:ascii="方正仿宋_GB2312" w:hAnsi="方正仿宋_GB2312" w:eastAsia="方正仿宋_GB2312" w:cs="方正仿宋_GB2312"/>
          <w:bCs/>
          <w:color w:val="000000" w:themeColor="text1"/>
          <w:sz w:val="24"/>
          <w:szCs w:val="24"/>
          <w:highlight w:val="none"/>
        </w:rPr>
        <w:t xml:space="preserve">。</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9.3松土与除草</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9.3.1草花换茬间隔期，土壤应进行翻挖、平整和消毒，但间隔期不得超过7天（遇阴雨天顺延）。</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9.3.2表层土壤保持疏松，严禁人为踩踏，如有踩踏板结的应及时松土。</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9.3.3杂草应控制在不影响景观效果水平下。</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9.3.4除草应除早、除小，杂草需连根拔</w:t>
      </w:r>
      <w:r>
        <w:rPr>
          <w:rFonts w:hint="eastAsia" w:ascii="方正仿宋_GB2312" w:hAnsi="方正仿宋_GB2312" w:eastAsia="方正仿宋_GB2312" w:cs="方正仿宋_GB2312"/>
          <w:bCs/>
          <w:color w:val="000000" w:themeColor="text1"/>
          <w:sz w:val="24"/>
          <w:szCs w:val="24"/>
          <w:highlight w:val="none"/>
          <w:lang w:eastAsia="zh-CN"/>
        </w:rPr>
        <w:t xml:space="preserve">除</w:t>
      </w:r>
      <w:r>
        <w:rPr>
          <w:rFonts w:hint="eastAsia" w:ascii="方正仿宋_GB2312" w:hAnsi="方正仿宋_GB2312" w:eastAsia="方正仿宋_GB2312" w:cs="方正仿宋_GB2312"/>
          <w:bCs/>
          <w:color w:val="000000" w:themeColor="text1"/>
          <w:sz w:val="24"/>
          <w:szCs w:val="24"/>
          <w:highlight w:val="none"/>
        </w:rPr>
        <w:t xml:space="preserve">。</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9.4施肥</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9.4.1视植物生长状况，适时、适量进行施肥。</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9.4.2草花更换后需每月追肥1次。施肥可采用撒施和喷施。肥料可采用复合肥，施肥量不少于15g/m2。</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9.4.3花卉花蕾露色前、后适当施追肥，盛花期后不宜施肥。</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9.5补植与换茬</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9.5.1缺株面积超过0.5m2，必须进行补植。补植草花应同品种同色系。</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9.5.2应及时清除残花，当残花量大于50%，必须进行换茬。换茬间隔期间不得超过7天（遇阴雨天顺延）。</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9.5.3草花换茬次数根据绿地等级，每年不少于4-6次，新换的草花开花率需达到30%以上。</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9.5.4种植草花宜选用杂交F1代品种，且开花率在85%以上。种植密度以黄土不裸露为宜。</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10草坪</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 养护管理内容包括：浇灌与排水、修剪、病虫害防治、除草和切边、施肥、追播、复壮等。</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10.1浇灌与排水</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10.1.1应根据立地条件、季节差异、草坪习性和生长状况及时浇灌，土壤含水量应保持在50%—60%范围。当叶片发生萎蔫时，应及时浇水，江北地区每年</w:t>
      </w:r>
      <w:r>
        <w:rPr>
          <w:rFonts w:hint="eastAsia" w:ascii="方正仿宋_GB2312" w:hAnsi="方正仿宋_GB2312" w:eastAsia="方正仿宋_GB2312" w:cs="方正仿宋_GB2312"/>
          <w:bCs/>
          <w:color w:val="000000" w:themeColor="text1"/>
          <w:sz w:val="24"/>
          <w:szCs w:val="24"/>
          <w:highlight w:val="none"/>
          <w:lang w:eastAsia="zh-CN"/>
        </w:rPr>
        <w:t xml:space="preserve">至少10次</w:t>
      </w:r>
      <w:r>
        <w:rPr>
          <w:rFonts w:hint="eastAsia" w:ascii="方正仿宋_GB2312" w:hAnsi="方正仿宋_GB2312" w:eastAsia="方正仿宋_GB2312" w:cs="方正仿宋_GB2312"/>
          <w:bCs/>
          <w:color w:val="000000" w:themeColor="text1"/>
          <w:sz w:val="24"/>
          <w:szCs w:val="24"/>
          <w:highlight w:val="none"/>
        </w:rPr>
        <w:t xml:space="preserve">，江南地区每年至少6次以上。每年春季树木萌发前要浇春水至少1次，冬季休眠前浇防冻水至少1次，5月至10月期间，连续15天无降雨应浇透水1次。</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10.1.1.1浇水必须湿透根系层，浸湿土层应大于5cm。</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10.1.1.2沙质土壤应勤浇水，粘质土壤应合理浇水。</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10.1.1.3提倡使用不含有毒物质的中水、雨水和河水浇灌。</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10.1.1.4绿地内应逐步完善喷灌或</w:t>
      </w:r>
      <w:r>
        <w:rPr>
          <w:rFonts w:hint="eastAsia" w:ascii="方正仿宋_GB2312" w:hAnsi="方正仿宋_GB2312" w:eastAsia="方正仿宋_GB2312" w:cs="方正仿宋_GB2312"/>
          <w:bCs/>
          <w:color w:val="000000" w:themeColor="text1"/>
          <w:sz w:val="24"/>
          <w:szCs w:val="24"/>
          <w:highlight w:val="none"/>
          <w:lang w:eastAsia="zh-CN"/>
        </w:rPr>
        <w:t xml:space="preserve">滴灌系统</w:t>
      </w:r>
      <w:r>
        <w:rPr>
          <w:rFonts w:hint="eastAsia" w:ascii="方正仿宋_GB2312" w:hAnsi="方正仿宋_GB2312" w:eastAsia="方正仿宋_GB2312" w:cs="方正仿宋_GB2312"/>
          <w:bCs/>
          <w:color w:val="000000" w:themeColor="text1"/>
          <w:sz w:val="24"/>
          <w:szCs w:val="24"/>
          <w:highlight w:val="none"/>
        </w:rPr>
        <w:t xml:space="preserve">。</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10.1.2根部积水应在24小时内排除，低洼易积水处应设置排水沟。</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10.2修剪</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10.2.1草坪应定期修剪，修剪高度应当一致，边缘整齐。观赏型暖季型、冷季型草坪和混播草坪江北地区每年修剪12次以上，江南地区每年15次以上。每年草坪越冬前应重修剪1次，5月至10月期间，每10-15天应修剪1次。一般草坪和杂草型草坪每年应修剪5次以上，越冬前应重修剪1次。</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10.2.2草坪生长季节应采用条纹状交叉修剪方式，按1/3原则进行适时修剪。</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冷季型草坪留茬高度不超过6-7cm，</w:t>
      </w:r>
      <w:r>
        <w:rPr>
          <w:rFonts w:hint="eastAsia" w:ascii="方正仿宋_GB2312" w:hAnsi="方正仿宋_GB2312" w:eastAsia="方正仿宋_GB2312" w:cs="方正仿宋_GB2312"/>
          <w:bCs/>
          <w:color w:val="000000" w:themeColor="text1"/>
          <w:sz w:val="24"/>
          <w:szCs w:val="24"/>
          <w:highlight w:val="none"/>
          <w:lang w:eastAsia="zh-CN"/>
        </w:rPr>
        <w:t xml:space="preserve">暖</w:t>
      </w:r>
      <w:r>
        <w:rPr>
          <w:rFonts w:hint="eastAsia" w:ascii="方正仿宋_GB2312" w:hAnsi="方正仿宋_GB2312" w:eastAsia="方正仿宋_GB2312" w:cs="方正仿宋_GB2312"/>
          <w:bCs/>
          <w:color w:val="000000" w:themeColor="text1"/>
          <w:sz w:val="24"/>
          <w:szCs w:val="24"/>
          <w:highlight w:val="none"/>
        </w:rPr>
        <w:t xml:space="preserve">季型草坪留茬高度不超过4—5cm。</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当草坪实际高度超过额定高度1/3时，应进行修剪。混播草坪在4月上中旬应对冷季型草坪进行低修剪，降低留茬高度，以确保暖季型草坪出芽。</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10.2.3修剪后，草屑应及时清理，确保工完场清。</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10.3病虫害防治</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10.3.1参照7.3执行。</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10.3.2特别注意地下害虫的防治。</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10.4除草和切边</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参照4.4执行。与树木交界处，边缘应进行切边处理或留出积水穴，宽度宜20—50cm，深度宜10cm。</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10.5施肥</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10.5.1根据草坪品种、长势情况和气候条件进行施肥。</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10.5.2草坪越冬期宜施有机肥料，平时宜薄肥勤施。</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10.5.3施用量为有机肥每年宜1kg/m2，复合肥每月宜15g/m2 —20g/m2。</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10.5.4施肥方法可采用颗粒撒施、叶面喷施和灌溉施肥。</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10.5.5肥料撒施后应立即充分浇水，以免化肥灼伤叶片。</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10.6追播</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10.6.1混播草坪应在9月下旬至10月上中旬追播冷季型草坪。</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10.6.2播籽前应进行低修剪，留茬高度应低于3cm。</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10.6.3冷季型草坪播种量应为20g/m2—25g/m2，种子纯度98%以上，播种要均匀。</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10.6.4播种后必须均匀喷水保持土壤湿润，出苗后正常养护。</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10.7复壮</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10.7.1当枯草层增厚，土层通气性差，空秃严重，杂草明显，必须复壮更新，每3-5年1次。</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10.7.2枯草层可采用疏草机或钢齿耙消除；应用打孔机打孔改善土壤通气性；结合打孔增施有机肥、复合肥</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并适当覆黄沙改良表层土壤。</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10.7.3草坪高低悬殊、出现秃斑或成片杂草侵入</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在采取相应的平整除草措施后用同类草籽或草皮修补。</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11保洁和秩序管理</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11.1绿地（包括水面）、设施应巡视保洁，做到随产随清，要求无垃圾、石子砖块、各种杂物、白色污染物（树挂）。无绿色废弃物（如树枝、树叶、草屑等）。</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11.2绿地中无堆物、堆料、搭棚，建筑墙面和树干上无钉拴刻画等现象。</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11.3应安排专门地方用于养护工具、机械的安放，绿地中严禁停放任何车辆。</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11.4日常保洁人员、安保人员应统一着装上岗，穿戴整齐，并佩戴工号牌，且有所属单位的明显标志等。</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11.5每天应定人定时巡视，及时阻止各类偷盗、毁绿行为，并及时报案。</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11.6保洁作业应实行夜间清扫作业、日间保洁维护的保洁方式；作业过程中应做到安全、规范、文明、卫生，无明显扬尘。</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11.7及时清运清除的各种垃圾、杂物等，严禁现场焚烧。</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12技术档案管理</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12.1应建立完整的绿化养护</w:t>
      </w:r>
      <w:r>
        <w:rPr>
          <w:rFonts w:hint="eastAsia" w:ascii="方正仿宋_GB2312" w:hAnsi="方正仿宋_GB2312" w:eastAsia="方正仿宋_GB2312" w:cs="方正仿宋_GB2312"/>
          <w:bCs/>
          <w:color w:val="000000" w:themeColor="text1"/>
          <w:sz w:val="24"/>
          <w:szCs w:val="24"/>
          <w:highlight w:val="none"/>
          <w:lang w:eastAsia="zh-CN"/>
        </w:rPr>
        <w:t xml:space="preserve">管理台账</w:t>
      </w:r>
      <w:r>
        <w:rPr>
          <w:rFonts w:hint="eastAsia" w:ascii="方正仿宋_GB2312" w:hAnsi="方正仿宋_GB2312" w:eastAsia="方正仿宋_GB2312" w:cs="方正仿宋_GB2312"/>
          <w:bCs/>
          <w:color w:val="000000" w:themeColor="text1"/>
          <w:sz w:val="24"/>
          <w:szCs w:val="24"/>
          <w:highlight w:val="none"/>
        </w:rPr>
        <w:t xml:space="preserve">，并由专人负责。绿化资料记录详细，分类清楚，数据详实。</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12.2月度养护计划及养护作业应按时记录并符合现状和季节特点，针对性强，不弄虚作假。</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jc w:val="center"/>
        <w:spacing w:line="276"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br w:type="page" w:clear="all"/>
      </w:r>
      <w:r>
        <w:rPr>
          <w:rFonts w:hint="eastAsia" w:ascii="方正仿宋_GB2312" w:hAnsi="方正仿宋_GB2312" w:eastAsia="方正仿宋_GB2312" w:cs="方正仿宋_GB2312"/>
          <w:b/>
          <w:bCs/>
          <w:color w:val="000000" w:themeColor="text1"/>
          <w:sz w:val="24"/>
          <w:szCs w:val="24"/>
          <w:highlight w:val="none"/>
        </w:rPr>
        <w:t xml:space="preserve">宿迁市城市园林绿化养护分级标准</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p>
      <w:pPr>
        <w:pStyle w:val="799"/>
        <w:jc w:val="center"/>
        <w:spacing w:line="6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（修订稿）</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jc w:val="left"/>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宿迁市园林绿化养护管理包括园林植物养护、园林设施维护及其他管理工作。我市园林绿化养护分级，是指综合城市园林绿地的规模、性质、位置、设施量、服务对象、重要程度等因素，将园林绿化的养护划分为不同等级，对其提出不同管护要求。养护质量由高到低分为三个等级，即一级养护、二级养护、三级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2"/>
        <w:jc w:val="left"/>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一级养护绿地：</w:t>
      </w:r>
      <w:r>
        <w:rPr>
          <w:rFonts w:hint="eastAsia" w:ascii="方正仿宋_GB2312" w:hAnsi="方正仿宋_GB2312" w:eastAsia="方正仿宋_GB2312" w:cs="方正仿宋_GB2312"/>
          <w:color w:val="000000" w:themeColor="text1"/>
          <w:sz w:val="24"/>
          <w:szCs w:val="24"/>
          <w:highlight w:val="none"/>
        </w:rPr>
        <w:t xml:space="preserve">城市中具有较大影响且服务功能辐射范围广的各类综合公园、重要的游园（单位庭院绿地）和广场绿地、城市主干道及重要次干道附属绿地、城市主要出入口绿地等。</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2"/>
        <w:jc w:val="left"/>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二级养护绿地：</w:t>
      </w:r>
      <w:r>
        <w:rPr>
          <w:rFonts w:hint="eastAsia" w:ascii="方正仿宋_GB2312" w:hAnsi="方正仿宋_GB2312" w:eastAsia="方正仿宋_GB2312" w:cs="方正仿宋_GB2312"/>
          <w:color w:val="000000" w:themeColor="text1"/>
          <w:sz w:val="24"/>
          <w:szCs w:val="24"/>
          <w:highlight w:val="none"/>
        </w:rPr>
        <w:t xml:space="preserve">能满足一定区域居民休闲游憩需求的各类公园、城市中具有一定影响的游园（单位庭院绿地）和广场绿地、城市次干道附属绿地等。</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2"/>
        <w:jc w:val="left"/>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三级养护绿地：</w:t>
      </w:r>
      <w:r>
        <w:rPr>
          <w:rFonts w:hint="eastAsia" w:ascii="方正仿宋_GB2312" w:hAnsi="方正仿宋_GB2312" w:eastAsia="方正仿宋_GB2312" w:cs="方正仿宋_GB2312"/>
          <w:color w:val="000000" w:themeColor="text1"/>
          <w:sz w:val="24"/>
          <w:szCs w:val="24"/>
          <w:highlight w:val="none"/>
        </w:rPr>
        <w:t xml:space="preserve">除一级、二级以外的</w:t>
      </w:r>
      <w:r>
        <w:rPr>
          <w:rFonts w:hint="eastAsia" w:ascii="方正仿宋_GB2312" w:hAnsi="方正仿宋_GB2312" w:eastAsia="方正仿宋_GB2312" w:cs="方正仿宋_GB2312"/>
          <w:color w:val="000000" w:themeColor="text1"/>
          <w:sz w:val="24"/>
          <w:szCs w:val="24"/>
          <w:highlight w:val="none"/>
          <w:lang w:eastAsia="zh-CN"/>
        </w:rPr>
        <w:t xml:space="preserve">其他</w:t>
      </w:r>
      <w:r>
        <w:rPr>
          <w:rFonts w:hint="eastAsia" w:ascii="方正仿宋_GB2312" w:hAnsi="方正仿宋_GB2312" w:eastAsia="方正仿宋_GB2312" w:cs="方正仿宋_GB2312"/>
          <w:color w:val="000000" w:themeColor="text1"/>
          <w:sz w:val="24"/>
          <w:szCs w:val="24"/>
          <w:highlight w:val="none"/>
        </w:rPr>
        <w:t xml:space="preserve">绿地。</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jc w:val="left"/>
        <w:widowControl/>
        <w:rPr>
          <w:rFonts w:hint="eastAsia" w:ascii="方正仿宋_GB2312" w:hAnsi="方正仿宋_GB2312" w:eastAsia="方正仿宋_GB2312" w:cs="方正仿宋_GB2312"/>
          <w:color w:val="000000" w:themeColor="text1"/>
          <w:sz w:val="24"/>
          <w:szCs w:val="24"/>
          <w:highlight w:val="none"/>
        </w:rPr>
        <w:sectPr>
          <w:footerReference w:type="default" r:id="rId13"/>
          <w:footnotePr/>
          <w:endnotePr/>
          <w:type w:val="continuous"/>
          <w:pgSz w:w="11906" w:h="16838" w:orient="portrait"/>
          <w:pgMar w:top="1440" w:right="1800" w:bottom="1440" w:left="1800" w:header="851" w:footer="992" w:gutter="0"/>
          <w:cols w:num="1" w:sep="0" w:space="1701" w:equalWidth="1"/>
          <w:docGrid w:linePitch="360"/>
        </w:sectPr>
      </w:pPr>
      <w:r>
        <w:rPr>
          <w:rFonts w:hint="eastAsia" w:ascii="方正仿宋_GB2312" w:hAnsi="方正仿宋_GB2312" w:eastAsia="方正仿宋_GB2312" w:cs="方正仿宋_GB2312"/>
          <w:color w:val="000000" w:themeColor="text1"/>
          <w:sz w:val="24"/>
          <w:szCs w:val="24"/>
          <w:highlight w:val="none"/>
        </w:rPr>
        <w:t xml:space="preserve">各县区园林绿化行政主管部门可按照上述分级养护要求，结合本地实际情况，具体划分制定本地一、二、三级绿</w:t>
      </w:r>
      <w:r>
        <w:rPr>
          <w:rFonts w:hint="eastAsia" w:ascii="方正仿宋_GB2312" w:hAnsi="方正仿宋_GB2312" w:eastAsia="方正仿宋_GB2312" w:cs="方正仿宋_GB2312"/>
          <w:color w:val="000000" w:themeColor="text1"/>
          <w:sz w:val="24"/>
          <w:szCs w:val="24"/>
          <w:highlight w:val="none"/>
          <w:lang w:val="en-US" w:eastAsia="zh-CN"/>
        </w:rPr>
        <w:t xml:space="preserve">地。</w:t>
      </w:r>
      <w:r>
        <w:rPr>
          <w:rFonts w:hint="eastAsia" w:ascii="方正仿宋_GB2312" w:hAnsi="方正仿宋_GB2312" w:eastAsia="方正仿宋_GB2312" w:cs="方正仿宋_GB2312"/>
          <w:color w:val="000000" w:themeColor="text1"/>
          <w:sz w:val="24"/>
          <w:szCs w:val="24"/>
          <w:highlight w:val="none"/>
          <w:lang w:val="en-US" w:eastAsia="zh-CN"/>
        </w:rPr>
        <w:br w:type="page" w:clear="all"/>
      </w:r>
      <w:r>
        <w:rPr>
          <w:color w:val="000000" w:themeColor="text1"/>
        </w:rPr>
      </w:r>
    </w:p>
    <w:p>
      <w:pPr>
        <w:pStyle w:val="799"/>
        <w:jc w:val="center"/>
        <w:spacing w:line="600" w:lineRule="exact"/>
        <w:shd w:val="clear" w:color="auto" w:fill="ffffff"/>
        <w:widowControl/>
        <w:rPr>
          <w:rFonts w:hint="eastAsia" w:ascii="方正仿宋_GB2312" w:hAnsi="方正仿宋_GB2312" w:eastAsia="方正仿宋_GB2312" w:cs="方正仿宋_GB2312"/>
          <w:b/>
          <w:bCs/>
          <w:color w:val="000000" w:themeColor="text1"/>
          <w:sz w:val="44"/>
          <w:szCs w:val="44"/>
          <w:highlight w:val="none"/>
        </w:rPr>
      </w:pPr>
      <w:r>
        <w:rPr>
          <w:rFonts w:hint="eastAsia" w:ascii="方正仿宋_GB2312" w:hAnsi="方正仿宋_GB2312" w:eastAsia="方正仿宋_GB2312" w:cs="方正仿宋_GB2312"/>
          <w:b/>
          <w:bCs/>
          <w:color w:val="000000" w:themeColor="text1"/>
          <w:sz w:val="44"/>
          <w:szCs w:val="44"/>
          <w:highlight w:val="none"/>
        </w:rPr>
        <w:t xml:space="preserve">宿迁市城市园林绿化养护分级标准</w:t>
      </w:r>
      <w:r>
        <w:rPr>
          <w:rFonts w:hint="eastAsia" w:ascii="方正仿宋_GB2312" w:hAnsi="方正仿宋_GB2312" w:eastAsia="方正仿宋_GB2312" w:cs="方正仿宋_GB2312"/>
          <w:b/>
          <w:bCs/>
          <w:color w:val="000000" w:themeColor="text1"/>
          <w:sz w:val="44"/>
          <w:szCs w:val="44"/>
          <w:highlight w:val="none"/>
        </w:rPr>
      </w:r>
      <w:r>
        <w:rPr>
          <w:color w:val="000000" w:themeColor="text1"/>
        </w:rPr>
      </w:r>
    </w:p>
    <w:tbl>
      <w:tblPr>
        <w:tblW w:w="15163" w:type="dxa"/>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57" w:type="dxa"/>
          <w:right w:w="57" w:type="dxa"/>
          <w:bottom w:w="57" w:type="dxa"/>
        </w:tblCellMar>
        <w:tblLook w:val="04A0" w:firstRow="1" w:lastRow="0" w:firstColumn="1" w:lastColumn="0" w:noHBand="0" w:noVBand="1"/>
      </w:tblPr>
      <w:tblGrid>
        <w:gridCol w:w="959"/>
        <w:gridCol w:w="1120"/>
        <w:gridCol w:w="4073"/>
        <w:gridCol w:w="4664"/>
        <w:gridCol w:w="4332"/>
        <w:gridCol w:w="15"/>
      </w:tblGrid>
      <w:tr>
        <w:trPr>
          <w:trHeight w:val="227"/>
          <w:tblHeader/>
        </w:trPr>
        <w:tc>
          <w:tcPr>
            <w:gridSpan w:val="2"/>
            <w:tcMar>
              <w:left w:w="57" w:type="dxa"/>
              <w:top w:w="57" w:type="dxa"/>
              <w:right w:w="57" w:type="dxa"/>
              <w:bottom w:w="57" w:type="dxa"/>
            </w:tcMar>
            <w:tcW w:w="2079" w:type="dxa"/>
            <w:vAlign w:val="center"/>
            <w:textDirection w:val="lrTb"/>
            <w:noWrap w:val="false"/>
          </w:tcPr>
          <w:p>
            <w:pPr>
              <w:pStyle w:val="799"/>
              <w:jc w:val="right"/>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分级</w:t>
            </w:r>
            <w:r>
              <w:rPr>
                <w:rFonts w:hint="eastAsia" w:ascii="方正仿宋_GB2312" w:hAnsi="方正仿宋_GB2312" w:eastAsia="方正仿宋_GB2312" w:cs="方正仿宋_GB2312"/>
                <w:b/>
                <w:bCs/>
                <w:color w:val="000000" w:themeColor="text1"/>
                <w:szCs w:val="21"/>
                <w:highlight w:val="none"/>
              </w:rPr>
            </w:r>
            <w:r>
              <w:rPr>
                <w:color w:val="000000" w:themeColor="text1"/>
              </w:rPr>
            </w:r>
          </w:p>
          <w:p>
            <w:pPr>
              <w:pStyle w:val="799"/>
              <w:jc w:val="right"/>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名称</w:t>
            </w:r>
            <w:r>
              <w:rPr>
                <w:rFonts w:hint="eastAsia" w:ascii="方正仿宋_GB2312" w:hAnsi="方正仿宋_GB2312" w:eastAsia="方正仿宋_GB2312" w:cs="方正仿宋_GB2312"/>
                <w:b/>
                <w:bCs/>
                <w:color w:val="000000" w:themeColor="text1"/>
                <w:szCs w:val="21"/>
                <w:highlight w:val="none"/>
              </w:rPr>
            </w:r>
            <w:r>
              <w:rPr>
                <w:color w:val="000000" w:themeColor="text1"/>
              </w:rPr>
            </w:r>
          </w:p>
          <w:p>
            <w:pPr>
              <w:pStyle w:val="799"/>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标准</w:t>
            </w:r>
            <w:r>
              <w:rPr>
                <w:rFonts w:hint="eastAsia" w:ascii="方正仿宋_GB2312" w:hAnsi="方正仿宋_GB2312" w:eastAsia="方正仿宋_GB2312" w:cs="方正仿宋_GB2312"/>
                <w:b/>
                <w:bCs/>
                <w:color w:val="000000" w:themeColor="text1"/>
                <w:szCs w:val="21"/>
                <w:highlight w:val="none"/>
              </w:rPr>
            </w:r>
            <w:r>
              <w:rPr>
                <w:color w:val="000000" w:themeColor="text1"/>
              </w:rPr>
            </w:r>
          </w:p>
          <w:p>
            <w:pPr>
              <w:pStyle w:val="799"/>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要求类别</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tcMar>
              <w:left w:w="57" w:type="dxa"/>
              <w:top w:w="57" w:type="dxa"/>
              <w:right w:w="57" w:type="dxa"/>
              <w:bottom w:w="57" w:type="dxa"/>
            </w:tcMar>
            <w:tcW w:w="4073" w:type="dxa"/>
            <w:vAlign w:val="center"/>
            <w:textDirection w:val="lrTb"/>
            <w:noWrap w:val="false"/>
          </w:tcPr>
          <w:p>
            <w:pPr>
              <w:pStyle w:val="799"/>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一级养护</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tcMar>
              <w:left w:w="57" w:type="dxa"/>
              <w:top w:w="57" w:type="dxa"/>
              <w:right w:w="57" w:type="dxa"/>
              <w:bottom w:w="57" w:type="dxa"/>
            </w:tcMar>
            <w:tcW w:w="4664" w:type="dxa"/>
            <w:vAlign w:val="center"/>
            <w:textDirection w:val="lrTb"/>
            <w:noWrap w:val="false"/>
          </w:tcPr>
          <w:p>
            <w:pPr>
              <w:pStyle w:val="799"/>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二级养护</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gridSpan w:val="2"/>
            <w:tcMar>
              <w:left w:w="57" w:type="dxa"/>
              <w:top w:w="57" w:type="dxa"/>
              <w:right w:w="57" w:type="dxa"/>
              <w:bottom w:w="57" w:type="dxa"/>
            </w:tcMar>
            <w:tcW w:w="4347" w:type="dxa"/>
            <w:vAlign w:val="center"/>
            <w:textDirection w:val="lrTb"/>
            <w:noWrap w:val="false"/>
          </w:tcPr>
          <w:p>
            <w:pPr>
              <w:pStyle w:val="799"/>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三级养护</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r>
      <w:tr>
        <w:trPr>
          <w:trHeight w:val="340"/>
        </w:trPr>
        <w:tc>
          <w:tcPr>
            <w:gridSpan w:val="2"/>
            <w:tcMar>
              <w:left w:w="57" w:type="dxa"/>
              <w:top w:w="57" w:type="dxa"/>
              <w:right w:w="57" w:type="dxa"/>
              <w:bottom w:w="57" w:type="dxa"/>
            </w:tcMar>
            <w:tcW w:w="2079" w:type="dxa"/>
            <w:vAlign w:val="center"/>
            <w:textDirection w:val="lrTb"/>
            <w:noWrap w:val="false"/>
          </w:tcPr>
          <w:p>
            <w:pPr>
              <w:pStyle w:val="799"/>
              <w:jc w:val="center"/>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整体要求</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073" w:type="dxa"/>
            <w:vAlign w:val="center"/>
            <w:textDirection w:val="lrTb"/>
            <w:noWrap w:val="false"/>
          </w:tcPr>
          <w:p>
            <w:pPr>
              <w:pStyle w:val="799"/>
              <w:ind w:firstLine="420"/>
              <w:jc w:val="both"/>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1.植物生长健壮，管养精细；无可视的病虫危害症状，被害株率≤2%。</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805"/>
              <w:ind w:firstLine="420"/>
              <w:jc w:val="both"/>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rPr>
              <w:t xml:space="preserve">2.各类设施使用功能和外观均良好。</w:t>
            </w:r>
            <w:r>
              <w:rPr>
                <w:rFonts w:hint="eastAsia" w:ascii="方正仿宋_GB2312" w:hAnsi="方正仿宋_GB2312" w:eastAsia="方正仿宋_GB2312" w:cs="方正仿宋_GB2312"/>
                <w:color w:val="000000" w:themeColor="text1"/>
                <w:sz w:val="21"/>
                <w:szCs w:val="21"/>
                <w:highlight w:val="none"/>
              </w:rPr>
            </w:r>
            <w:r>
              <w:rPr>
                <w:color w:val="000000" w:themeColor="text1"/>
              </w:rPr>
            </w:r>
          </w:p>
          <w:p>
            <w:pPr>
              <w:pStyle w:val="799"/>
              <w:ind w:firstLine="420"/>
              <w:jc w:val="both"/>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3.绿地（含水面）整体环境干净、整洁，垃圾及杂物随产随清。</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664" w:type="dxa"/>
            <w:vAlign w:val="center"/>
            <w:textDirection w:val="lrTb"/>
            <w:noWrap w:val="false"/>
          </w:tcPr>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1.植物生长健康，管养较精细；基本无可视的病虫危害症状，被害株率≤5%。</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2.各类设施功能正常，外观良好，维护及时。</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3.绿地（含水面）基本干净、整洁，观感舒适。</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gridSpan w:val="2"/>
            <w:tcMar>
              <w:left w:w="57" w:type="dxa"/>
              <w:top w:w="57" w:type="dxa"/>
              <w:right w:w="57" w:type="dxa"/>
              <w:bottom w:w="57" w:type="dxa"/>
            </w:tcMar>
            <w:tcW w:w="4347" w:type="dxa"/>
            <w:vAlign w:val="center"/>
            <w:textDirection w:val="lrTb"/>
            <w:noWrap w:val="false"/>
          </w:tcPr>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1.植物生长正常，及时采取管养措施；无明显可视的病虫危害症状，被害株率≤10%。</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2.各类设施功能正常，维护及时。</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3.绿地（含水面）环境较干净、整洁，垃圾及杂物日产日清</w:t>
            </w:r>
            <w:r>
              <w:rPr>
                <w:rFonts w:hint="eastAsia" w:ascii="方正仿宋_GB2312" w:hAnsi="方正仿宋_GB2312" w:eastAsia="方正仿宋_GB2312" w:cs="方正仿宋_GB2312"/>
                <w:color w:val="000000" w:themeColor="text1"/>
                <w:szCs w:val="21"/>
                <w:highlight w:val="none"/>
              </w:rPr>
            </w:r>
            <w:r>
              <w:rPr>
                <w:color w:val="000000" w:themeColor="text1"/>
              </w:rPr>
            </w:r>
          </w:p>
        </w:tc>
      </w:tr>
      <w:tr>
        <w:trPr>
          <w:trHeight w:val="340"/>
        </w:trPr>
        <w:tc>
          <w:tcPr>
            <w:tcMar>
              <w:left w:w="57" w:type="dxa"/>
              <w:top w:w="57" w:type="dxa"/>
              <w:right w:w="57" w:type="dxa"/>
              <w:bottom w:w="57" w:type="dxa"/>
            </w:tcMar>
            <w:tcW w:w="959" w:type="dxa"/>
            <w:vAlign w:val="center"/>
            <w:vMerge w:val="restart"/>
            <w:textDirection w:val="lrTb"/>
            <w:noWrap w:val="false"/>
          </w:tcPr>
          <w:p>
            <w:pPr>
              <w:pStyle w:val="799"/>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一</w:t>
            </w:r>
            <w:r>
              <w:rPr>
                <w:rFonts w:hint="eastAsia" w:ascii="方正仿宋_GB2312" w:hAnsi="方正仿宋_GB2312" w:eastAsia="方正仿宋_GB2312" w:cs="方正仿宋_GB2312"/>
                <w:b/>
                <w:bCs/>
                <w:color w:val="000000" w:themeColor="text1"/>
                <w:szCs w:val="21"/>
                <w:highlight w:val="none"/>
              </w:rPr>
            </w:r>
            <w:r>
              <w:rPr>
                <w:color w:val="000000" w:themeColor="text1"/>
              </w:rPr>
            </w:r>
          </w:p>
          <w:p>
            <w:pPr>
              <w:pStyle w:val="799"/>
              <w:jc w:val="center"/>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园林植物养护</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1120" w:type="dxa"/>
            <w:vAlign w:val="center"/>
            <w:textDirection w:val="lrTb"/>
            <w:noWrap w:val="false"/>
          </w:tcPr>
          <w:p>
            <w:pPr>
              <w:pStyle w:val="799"/>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乔木</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tcMar>
              <w:left w:w="57" w:type="dxa"/>
              <w:top w:w="57" w:type="dxa"/>
              <w:right w:w="57" w:type="dxa"/>
              <w:bottom w:w="57" w:type="dxa"/>
            </w:tcMar>
            <w:tcW w:w="4073" w:type="dxa"/>
            <w:vAlign w:val="center"/>
            <w:textDirection w:val="lrTb"/>
            <w:noWrap w:val="false"/>
          </w:tcPr>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1.生长健壮，树冠完整，树形优美。</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2.分枝点合适，无枯枝死杈；主侧枝分布匀称、数量适宜；修剪及时、合理，内膛不乱，通风透光。树木不歪斜（造型树木除外）。叶片大小、颜色正常，无黄叶、焦叶、卷叶。</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3.无缺株、死株。</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664" w:type="dxa"/>
            <w:vAlign w:val="center"/>
            <w:textDirection w:val="lrTb"/>
            <w:noWrap w:val="false"/>
          </w:tcPr>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1.生长正常，树冠完整，树形较优美。</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2.分枝点较合适，基本无枯枝死杈；主侧枝分布匀称、数量较适宜；修剪及时、合理，内膛不乱，通风透光。树木基本不歪斜（造型树木除外）。叶片大小、颜色正常，无明显黄叶、焦叶、卷叶。</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3.基本无枯死株。</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gridSpan w:val="2"/>
            <w:tcMar>
              <w:left w:w="57" w:type="dxa"/>
              <w:top w:w="57" w:type="dxa"/>
              <w:right w:w="57" w:type="dxa"/>
              <w:bottom w:w="57" w:type="dxa"/>
            </w:tcMar>
            <w:tcW w:w="4347" w:type="dxa"/>
            <w:vAlign w:val="center"/>
            <w:textDirection w:val="lrTb"/>
            <w:noWrap w:val="false"/>
          </w:tcPr>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1.生长正常，树冠完整。</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2.无明显枯枝死杈；主侧枝分布匀称、数量较适宜；修剪合理；树木无明显歪斜（造型树木除外）。叶片大小、颜色正常，有黄叶、焦叶和卷叶的株数不超过10%，正常叶片保存率在85%以上。</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Style w:val="824"/>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Cs w:val="21"/>
                <w:highlight w:val="none"/>
              </w:rPr>
              <w:t xml:space="preserve">3.无明显枯死株。</w:t>
            </w:r>
            <w:r>
              <w:rPr>
                <w:rStyle w:val="824"/>
                <w:rFonts w:hint="eastAsia" w:ascii="方正仿宋_GB2312" w:hAnsi="方正仿宋_GB2312" w:eastAsia="方正仿宋_GB2312" w:cs="方正仿宋_GB2312"/>
                <w:color w:val="000000" w:themeColor="text1"/>
                <w:sz w:val="21"/>
                <w:szCs w:val="21"/>
                <w:highlight w:val="none"/>
              </w:rPr>
            </w:r>
            <w:r>
              <w:rPr>
                <w:color w:val="000000" w:themeColor="text1"/>
              </w:rPr>
            </w:r>
          </w:p>
        </w:tc>
      </w:tr>
      <w:tr>
        <w:trPr>
          <w:trHeight w:val="340"/>
        </w:trPr>
        <w:tc>
          <w:tcPr>
            <w:tcMar>
              <w:left w:w="57" w:type="dxa"/>
              <w:top w:w="57" w:type="dxa"/>
              <w:right w:w="57" w:type="dxa"/>
              <w:bottom w:w="57" w:type="dxa"/>
            </w:tcMar>
            <w:tcW w:w="959" w:type="dxa"/>
            <w:vAlign w:val="center"/>
            <w:vMerge w:val="continue"/>
            <w:textDirection w:val="lrTb"/>
            <w:noWrap w:val="false"/>
          </w:tcPr>
          <w:p>
            <w:pPr>
              <w:pStyle w:val="799"/>
              <w:jc w:val="center"/>
              <w:spacing w:line="2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799"/>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行道树</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tcMar>
              <w:left w:w="57" w:type="dxa"/>
              <w:top w:w="57" w:type="dxa"/>
              <w:right w:w="57" w:type="dxa"/>
              <w:bottom w:w="57" w:type="dxa"/>
            </w:tcMar>
            <w:tcW w:w="4073" w:type="dxa"/>
            <w:vAlign w:val="center"/>
            <w:textDirection w:val="lrTb"/>
            <w:noWrap w:val="false"/>
          </w:tcPr>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1.树形完整、树冠舒展，同一路段行道树修剪造型一致，保留3级及以上分枝，长势良好，无徒长枝、病虫枝、交叉枝、重叠枝、下垂枝、扭伤枝、萌蘖枝、枯枝以及烂头等。</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2.树穴黄土不裸露，设施完好，种植地被植物或有平整盖板、覆盖物。</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664" w:type="dxa"/>
            <w:vAlign w:val="center"/>
            <w:textDirection w:val="lrTb"/>
            <w:noWrap w:val="false"/>
          </w:tcPr>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1.树形、树冠舒展，同一路段行道树修剪造型基本一致，保留3级及以上分枝，长势良好，无明显徒长枝、病虫枝、交叉枝、重叠枝、下垂枝、扭伤枝、萌蘖枝、枯枝以及烂头等。</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2.树穴黄土不裸露，覆盖物或设施基本完好。</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gridSpan w:val="2"/>
            <w:tcMar>
              <w:left w:w="57" w:type="dxa"/>
              <w:top w:w="57" w:type="dxa"/>
              <w:right w:w="57" w:type="dxa"/>
              <w:bottom w:w="57" w:type="dxa"/>
            </w:tcMar>
            <w:tcW w:w="4347" w:type="dxa"/>
            <w:vAlign w:val="center"/>
            <w:textDirection w:val="lrTb"/>
            <w:noWrap w:val="false"/>
          </w:tcPr>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1.树形、树冠舒展，植株冠形较好。保留2级及以上分枝，长势良好，无明显徒长枝、病虫枝、交叉枝、重叠枝、下垂枝、扭伤枝、萌蘖枝、枯枝以及烂头等。</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2.树穴黄土不裸露。</w:t>
            </w:r>
            <w:r>
              <w:rPr>
                <w:rFonts w:hint="eastAsia" w:ascii="方正仿宋_GB2312" w:hAnsi="方正仿宋_GB2312" w:eastAsia="方正仿宋_GB2312" w:cs="方正仿宋_GB2312"/>
                <w:color w:val="000000" w:themeColor="text1"/>
                <w:szCs w:val="21"/>
                <w:highlight w:val="none"/>
              </w:rPr>
            </w:r>
            <w:r>
              <w:rPr>
                <w:color w:val="000000" w:themeColor="text1"/>
              </w:rPr>
            </w:r>
          </w:p>
        </w:tc>
      </w:tr>
      <w:tr>
        <w:trPr>
          <w:trHeight w:val="340"/>
        </w:trPr>
        <w:tc>
          <w:tcPr>
            <w:tcMar>
              <w:left w:w="57" w:type="dxa"/>
              <w:top w:w="57" w:type="dxa"/>
              <w:right w:w="57" w:type="dxa"/>
              <w:bottom w:w="57" w:type="dxa"/>
            </w:tcMar>
            <w:tcW w:w="959" w:type="dxa"/>
            <w:vAlign w:val="center"/>
            <w:vMerge w:val="continue"/>
            <w:textDirection w:val="lrTb"/>
            <w:noWrap w:val="false"/>
          </w:tcPr>
          <w:p>
            <w:pPr>
              <w:pStyle w:val="799"/>
              <w:jc w:val="center"/>
              <w:spacing w:line="2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799"/>
              <w:jc w:val="center"/>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花灌木</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073" w:type="dxa"/>
            <w:vAlign w:val="center"/>
            <w:textDirection w:val="lrTb"/>
            <w:noWrap w:val="false"/>
          </w:tcPr>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1.株形丰满，</w:t>
            </w:r>
            <w:r>
              <w:rPr>
                <w:rFonts w:hint="eastAsia" w:ascii="方正仿宋_GB2312" w:hAnsi="方正仿宋_GB2312" w:eastAsia="方正仿宋_GB2312" w:cs="方正仿宋_GB2312"/>
                <w:color w:val="000000" w:themeColor="text1"/>
                <w:sz w:val="21"/>
                <w:szCs w:val="21"/>
                <w:highlight w:val="none"/>
                <w:shd w:val="clear" w:color="auto" w:fill="ffffff"/>
                <w:lang w:eastAsia="zh-CN"/>
              </w:rPr>
              <w:t xml:space="preserve">枝叶繁盛</w:t>
            </w:r>
            <w:r>
              <w:rPr>
                <w:rStyle w:val="825"/>
                <w:rFonts w:hint="eastAsia" w:ascii="方正仿宋_GB2312" w:hAnsi="方正仿宋_GB2312" w:eastAsia="方正仿宋_GB2312" w:cs="方正仿宋_GB2312"/>
                <w:i w:val="0"/>
                <w:color w:val="000000" w:themeColor="text1"/>
                <w:sz w:val="21"/>
                <w:szCs w:val="21"/>
                <w:highlight w:val="none"/>
                <w:shd w:val="clear" w:color="auto" w:fill="ffffff"/>
                <w:lang w:eastAsia="zh-CN"/>
              </w:rPr>
              <w:t xml:space="preserve">茂密</w:t>
            </w:r>
            <w:r>
              <w:rPr>
                <w:rFonts w:hint="eastAsia" w:ascii="方正仿宋_GB2312" w:hAnsi="方正仿宋_GB2312" w:eastAsia="方正仿宋_GB2312" w:cs="方正仿宋_GB2312"/>
                <w:color w:val="000000" w:themeColor="text1"/>
                <w:sz w:val="21"/>
                <w:szCs w:val="21"/>
                <w:highlight w:val="none"/>
                <w:lang w:eastAsia="zh-CN"/>
              </w:rPr>
              <w:t xml:space="preserve">。</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2.开花适时，花后修剪及时合理。枝组比例合宜，无影响通行或休憩的外伸枝。</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tc>
        <w:tc>
          <w:tcPr>
            <w:tcMar>
              <w:left w:w="57" w:type="dxa"/>
              <w:top w:w="57" w:type="dxa"/>
              <w:right w:w="57" w:type="dxa"/>
              <w:bottom w:w="57" w:type="dxa"/>
            </w:tcMar>
            <w:tcW w:w="4664" w:type="dxa"/>
            <w:vAlign w:val="center"/>
            <w:textDirection w:val="lrTb"/>
            <w:noWrap w:val="false"/>
          </w:tcPr>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1.株形良好，枝叶茂密。</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2.开花适时，花后修剪及时合理。基本无影响通行或休憩的外伸枝。</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tc>
        <w:tc>
          <w:tcPr>
            <w:gridSpan w:val="2"/>
            <w:tcMar>
              <w:left w:w="57" w:type="dxa"/>
              <w:top w:w="57" w:type="dxa"/>
              <w:right w:w="57" w:type="dxa"/>
              <w:bottom w:w="57" w:type="dxa"/>
            </w:tcMar>
            <w:tcW w:w="4347" w:type="dxa"/>
            <w:vAlign w:val="center"/>
            <w:textDirection w:val="lrTb"/>
            <w:noWrap w:val="false"/>
          </w:tcPr>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1.株形正常，枝叶合理。</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2.花灌木开花适时，花后能够进行修剪，无明显伸出枝影响通行或休憩。</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tc>
      </w:tr>
      <w:tr>
        <w:trPr>
          <w:trHeight w:val="340"/>
        </w:trPr>
        <w:tc>
          <w:tcPr>
            <w:tcMar>
              <w:left w:w="57" w:type="dxa"/>
              <w:top w:w="57" w:type="dxa"/>
              <w:right w:w="57" w:type="dxa"/>
              <w:bottom w:w="57" w:type="dxa"/>
            </w:tcMar>
            <w:tcW w:w="959" w:type="dxa"/>
            <w:vAlign w:val="center"/>
            <w:vMerge w:val="restart"/>
            <w:textDirection w:val="lrTb"/>
            <w:noWrap w:val="false"/>
          </w:tcPr>
          <w:p>
            <w:pPr>
              <w:pStyle w:val="799"/>
              <w:jc w:val="center"/>
              <w:spacing w:line="26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一</w:t>
            </w:r>
            <w:r>
              <w:rPr>
                <w:rFonts w:hint="eastAsia" w:ascii="方正仿宋_GB2312" w:hAnsi="方正仿宋_GB2312" w:eastAsia="方正仿宋_GB2312" w:cs="方正仿宋_GB2312"/>
                <w:b/>
                <w:bCs/>
                <w:color w:val="000000" w:themeColor="text1"/>
                <w:szCs w:val="21"/>
                <w:highlight w:val="none"/>
              </w:rPr>
            </w:r>
            <w:r>
              <w:rPr>
                <w:color w:val="000000" w:themeColor="text1"/>
              </w:rPr>
            </w:r>
          </w:p>
          <w:p>
            <w:pPr>
              <w:pStyle w:val="799"/>
              <w:jc w:val="center"/>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园林植物养护</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1120" w:type="dxa"/>
            <w:vAlign w:val="center"/>
            <w:textDirection w:val="lrTb"/>
            <w:noWrap w:val="false"/>
          </w:tcPr>
          <w:p>
            <w:pPr>
              <w:pStyle w:val="799"/>
              <w:jc w:val="center"/>
              <w:spacing w:line="26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绿篱</w:t>
            </w:r>
            <w:r>
              <w:rPr>
                <w:rFonts w:hint="eastAsia" w:ascii="方正仿宋_GB2312" w:hAnsi="方正仿宋_GB2312" w:eastAsia="方正仿宋_GB2312" w:cs="方正仿宋_GB2312"/>
                <w:b/>
                <w:bCs/>
                <w:color w:val="000000" w:themeColor="text1"/>
                <w:szCs w:val="21"/>
                <w:highlight w:val="none"/>
              </w:rPr>
            </w:r>
            <w:r>
              <w:rPr>
                <w:color w:val="000000" w:themeColor="text1"/>
              </w:rPr>
            </w:r>
          </w:p>
          <w:p>
            <w:pPr>
              <w:pStyle w:val="799"/>
              <w:jc w:val="center"/>
              <w:spacing w:line="26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（模纹、色块）等</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tcMar>
              <w:left w:w="57" w:type="dxa"/>
              <w:top w:w="57" w:type="dxa"/>
              <w:right w:w="57" w:type="dxa"/>
              <w:bottom w:w="57" w:type="dxa"/>
            </w:tcMar>
            <w:tcW w:w="4073" w:type="dxa"/>
            <w:vAlign w:val="center"/>
            <w:textDirection w:val="lrTb"/>
            <w:noWrap w:val="false"/>
          </w:tcPr>
          <w:p>
            <w:pPr>
              <w:pStyle w:val="799"/>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1.生长健壮，枝繁叶茂，无枯枝、死梢，下部不光秃，无衰退迹象。</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1319"/>
              <w:ind w:firstLine="420"/>
              <w:spacing w:line="26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2.绿篱、模纹和色块等修剪及时。绿篱线条清晰，同类观赏面整齐一致；模纹和色块线条流畅、主要观赏面圆润饱满，符合设计要求。</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799"/>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3.枝叶茂密，造型优美。造型树木根据不同的生长特性及时摘心、攀扎。</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664" w:type="dxa"/>
            <w:vAlign w:val="center"/>
            <w:textDirection w:val="lrTb"/>
            <w:noWrap w:val="false"/>
          </w:tcPr>
          <w:p>
            <w:pPr>
              <w:pStyle w:val="799"/>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1.外形整齐美观，无缺株、死株；下部无明显光秃，无明显衰退迹象。</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1319"/>
              <w:ind w:firstLine="420"/>
              <w:spacing w:line="26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2.绿篱、模纹和色块等修剪较及时，枝叶茂密，造型优美。</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tc>
        <w:tc>
          <w:tcPr>
            <w:gridSpan w:val="2"/>
            <w:tcMar>
              <w:left w:w="57" w:type="dxa"/>
              <w:top w:w="57" w:type="dxa"/>
              <w:right w:w="57" w:type="dxa"/>
              <w:bottom w:w="57" w:type="dxa"/>
            </w:tcMar>
            <w:tcW w:w="4347" w:type="dxa"/>
            <w:vAlign w:val="center"/>
            <w:textDirection w:val="lrTb"/>
            <w:noWrap w:val="false"/>
          </w:tcPr>
          <w:p>
            <w:pPr>
              <w:pStyle w:val="89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1.长势较好，无显著秃斑、枯枝死梢，无严重衰退迹象。</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2.绿篱、模纹和色块等能定期修剪。</w:t>
            </w:r>
            <w:r>
              <w:rPr>
                <w:rFonts w:hint="eastAsia" w:ascii="方正仿宋_GB2312" w:hAnsi="方正仿宋_GB2312" w:eastAsia="方正仿宋_GB2312" w:cs="方正仿宋_GB2312"/>
                <w:color w:val="000000" w:themeColor="text1"/>
                <w:szCs w:val="21"/>
                <w:highlight w:val="none"/>
              </w:rPr>
            </w:r>
            <w:r>
              <w:rPr>
                <w:color w:val="000000" w:themeColor="text1"/>
              </w:rPr>
            </w:r>
          </w:p>
        </w:tc>
      </w:tr>
      <w:tr>
        <w:trPr>
          <w:trHeight w:val="340"/>
        </w:trPr>
        <w:tc>
          <w:tcPr>
            <w:tcMar>
              <w:left w:w="57" w:type="dxa"/>
              <w:top w:w="57" w:type="dxa"/>
              <w:right w:w="57" w:type="dxa"/>
              <w:bottom w:w="57" w:type="dxa"/>
            </w:tcMar>
            <w:tcW w:w="959" w:type="dxa"/>
            <w:vAlign w:val="center"/>
            <w:vMerge w:val="continue"/>
            <w:textDirection w:val="lrTb"/>
            <w:noWrap w:val="false"/>
          </w:tcPr>
          <w:p>
            <w:pPr>
              <w:pStyle w:val="799"/>
              <w:jc w:val="center"/>
              <w:spacing w:line="26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799"/>
              <w:jc w:val="center"/>
              <w:spacing w:line="26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球类或</w:t>
            </w:r>
            <w:r>
              <w:rPr>
                <w:rFonts w:hint="eastAsia" w:ascii="方正仿宋_GB2312" w:hAnsi="方正仿宋_GB2312" w:eastAsia="方正仿宋_GB2312" w:cs="方正仿宋_GB2312"/>
                <w:b/>
                <w:bCs/>
                <w:color w:val="000000" w:themeColor="text1"/>
                <w:szCs w:val="21"/>
                <w:highlight w:val="none"/>
              </w:rPr>
            </w:r>
            <w:r>
              <w:rPr>
                <w:color w:val="000000" w:themeColor="text1"/>
              </w:rPr>
            </w:r>
          </w:p>
          <w:p>
            <w:pPr>
              <w:pStyle w:val="799"/>
              <w:jc w:val="center"/>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其它单株灌木</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073" w:type="dxa"/>
            <w:vAlign w:val="center"/>
            <w:textDirection w:val="lrTb"/>
            <w:noWrap w:val="false"/>
          </w:tcPr>
          <w:p>
            <w:pPr>
              <w:pStyle w:val="799"/>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1.生长健壮。</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2.修剪成型，层次分明，线条流畅，曲线处弧度圆润丰满。</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3.无枯枝、断枝、枯叶，无脱脚现象。</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664" w:type="dxa"/>
            <w:vAlign w:val="center"/>
            <w:textDirection w:val="lrTb"/>
            <w:noWrap w:val="false"/>
          </w:tcPr>
          <w:p>
            <w:pPr>
              <w:pStyle w:val="799"/>
              <w:ind w:firstLine="420"/>
              <w:spacing w:line="260" w:lineRule="exact"/>
              <w:shd w:val="clear" w:color="auto" w:fill="ffffff"/>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shd w:val="clear" w:color="auto" w:fill="ffffff"/>
              </w:rPr>
              <w:t xml:space="preserve">1.生长良好。</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shd w:val="clear" w:color="auto" w:fill="ffffff"/>
              </w:rPr>
              <w:t xml:space="preserve">2.修剪成型，层次分明，线条流畅，</w:t>
            </w:r>
            <w:r>
              <w:rPr>
                <w:rFonts w:hint="eastAsia" w:ascii="方正仿宋_GB2312" w:hAnsi="方正仿宋_GB2312" w:eastAsia="方正仿宋_GB2312" w:cs="方正仿宋_GB2312"/>
                <w:color w:val="000000" w:themeColor="text1"/>
                <w:szCs w:val="21"/>
                <w:highlight w:val="none"/>
              </w:rPr>
              <w:t xml:space="preserve">保持冠形圆整或外形轮廓清楚。</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3.基本无枯枝、断枝，无脱脚现象。</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gridSpan w:val="2"/>
            <w:tcMar>
              <w:left w:w="57" w:type="dxa"/>
              <w:top w:w="57" w:type="dxa"/>
              <w:right w:w="57" w:type="dxa"/>
              <w:bottom w:w="57" w:type="dxa"/>
            </w:tcMar>
            <w:tcW w:w="4347" w:type="dxa"/>
            <w:vAlign w:val="center"/>
            <w:textDirection w:val="lrTb"/>
            <w:noWrap w:val="false"/>
          </w:tcPr>
          <w:p>
            <w:pPr>
              <w:pStyle w:val="799"/>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1.生长基本正常。</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2.定期修剪，</w:t>
            </w:r>
            <w:r>
              <w:rPr>
                <w:rFonts w:hint="eastAsia" w:ascii="方正仿宋_GB2312" w:hAnsi="方正仿宋_GB2312" w:eastAsia="方正仿宋_GB2312" w:cs="方正仿宋_GB2312"/>
                <w:color w:val="000000" w:themeColor="text1"/>
                <w:szCs w:val="21"/>
                <w:highlight w:val="none"/>
                <w:shd w:val="clear" w:color="auto" w:fill="ffffff"/>
              </w:rPr>
              <w:t xml:space="preserve">线条基本流畅，</w:t>
            </w:r>
            <w:r>
              <w:rPr>
                <w:rFonts w:hint="eastAsia" w:ascii="方正仿宋_GB2312" w:hAnsi="方正仿宋_GB2312" w:eastAsia="方正仿宋_GB2312" w:cs="方正仿宋_GB2312"/>
                <w:color w:val="000000" w:themeColor="text1"/>
                <w:szCs w:val="21"/>
                <w:highlight w:val="none"/>
              </w:rPr>
              <w:t xml:space="preserve">保持冠形圆整或外形轮廓清楚。</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3.无明显枯枝、断枝、枯叶，无脱脚现象。</w:t>
            </w:r>
            <w:r>
              <w:rPr>
                <w:rFonts w:hint="eastAsia" w:ascii="方正仿宋_GB2312" w:hAnsi="方正仿宋_GB2312" w:eastAsia="方正仿宋_GB2312" w:cs="方正仿宋_GB2312"/>
                <w:color w:val="000000" w:themeColor="text1"/>
                <w:szCs w:val="21"/>
                <w:highlight w:val="none"/>
              </w:rPr>
            </w:r>
            <w:r>
              <w:rPr>
                <w:color w:val="000000" w:themeColor="text1"/>
              </w:rPr>
            </w:r>
          </w:p>
        </w:tc>
      </w:tr>
      <w:tr>
        <w:trPr>
          <w:trHeight w:val="340"/>
        </w:trPr>
        <w:tc>
          <w:tcPr>
            <w:tcMar>
              <w:left w:w="57" w:type="dxa"/>
              <w:top w:w="57" w:type="dxa"/>
              <w:right w:w="57" w:type="dxa"/>
              <w:bottom w:w="57" w:type="dxa"/>
            </w:tcMar>
            <w:tcW w:w="959" w:type="dxa"/>
            <w:vAlign w:val="center"/>
            <w:vMerge w:val="continue"/>
            <w:textDirection w:val="lrTb"/>
            <w:noWrap w:val="false"/>
          </w:tcPr>
          <w:p>
            <w:pPr>
              <w:pStyle w:val="799"/>
              <w:jc w:val="center"/>
              <w:spacing w:line="26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799"/>
              <w:jc w:val="center"/>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攀援植物</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073" w:type="dxa"/>
            <w:vAlign w:val="center"/>
            <w:textDirection w:val="lrTb"/>
            <w:noWrap w:val="false"/>
          </w:tcPr>
          <w:p>
            <w:pPr>
              <w:pStyle w:val="799"/>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1.生长健壮，攀援力强，无脱落垂挂现象，枝叶分布均匀，覆盖效果好。</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1319"/>
              <w:ind w:firstLine="420"/>
              <w:spacing w:line="26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2.根据不同植物的攀缘特点，及时采取相应的技术措施，修剪、牵引、绑缚等措施及时合理，植物体和攀爬辅助设施不影响通行和休憩，不存在安全隐患。</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6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3.及时清除枯枝，疏删老弱藤蔓；开花的攀缘植物适时开花。</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805"/>
              <w:ind w:firstLine="420"/>
              <w:spacing w:line="26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rPr>
              <w:t xml:space="preserve">4.无病虫枝，无成虫活卵，无残蛹虫壳等。叶面无明显灰尘、蛛网、飘浮物等。</w:t>
            </w:r>
            <w:r>
              <w:rPr>
                <w:rFonts w:hint="eastAsia" w:ascii="方正仿宋_GB2312" w:hAnsi="方正仿宋_GB2312" w:eastAsia="方正仿宋_GB2312" w:cs="方正仿宋_GB2312"/>
                <w:color w:val="000000" w:themeColor="text1"/>
                <w:sz w:val="21"/>
                <w:szCs w:val="21"/>
                <w:highlight w:val="none"/>
              </w:rPr>
            </w:r>
            <w:r>
              <w:rPr>
                <w:color w:val="000000" w:themeColor="text1"/>
              </w:rPr>
            </w:r>
          </w:p>
        </w:tc>
        <w:tc>
          <w:tcPr>
            <w:tcMar>
              <w:left w:w="57" w:type="dxa"/>
              <w:top w:w="57" w:type="dxa"/>
              <w:right w:w="57" w:type="dxa"/>
              <w:bottom w:w="57" w:type="dxa"/>
            </w:tcMar>
            <w:tcW w:w="4664" w:type="dxa"/>
            <w:vAlign w:val="center"/>
            <w:textDirection w:val="lrTb"/>
            <w:noWrap w:val="false"/>
          </w:tcPr>
          <w:p>
            <w:pPr>
              <w:pStyle w:val="799"/>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1.生长良好，攀爬、垂挂状态良好，枝叶分布均匀，覆盖效果好。</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1319"/>
              <w:ind w:firstLine="420"/>
              <w:spacing w:line="26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2.根据不同植物的攀缘特点，能及时采取相应的技术措施，修剪、牵引、绑缚等措施及时合理，植物体和攀爬辅助设施不影响通行和休憩，不存在安全隐患。</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6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3.及时清除枯枝，疏删老弱藤蔓；开花的攀缘植物能适时开花。</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6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4.无明显病虫枝，无明显成虫活卵。叶面无明显灰尘、蛛网、飘浮物等。</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tc>
        <w:tc>
          <w:tcPr>
            <w:gridSpan w:val="2"/>
            <w:tcMar>
              <w:left w:w="57" w:type="dxa"/>
              <w:top w:w="57" w:type="dxa"/>
              <w:right w:w="57" w:type="dxa"/>
              <w:bottom w:w="57" w:type="dxa"/>
            </w:tcMar>
            <w:tcW w:w="4347" w:type="dxa"/>
            <w:vAlign w:val="center"/>
            <w:textDirection w:val="lrTb"/>
            <w:noWrap w:val="false"/>
          </w:tcPr>
          <w:p>
            <w:pPr>
              <w:pStyle w:val="799"/>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1.攀爬、垂挂状态良好，枝叶分布均匀，覆盖效果较好。</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2.修剪、牵引、绑缚等措施及时合理，植物体和攀爬辅助设施不影响通行和休憩，不存在安全隐患。开花的攀缘植物能适时开花。</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3.无严重病虫枝，无明显成虫活卵。叶面无显著灰尘、蛛网、飘浮物等。</w:t>
            </w:r>
            <w:r>
              <w:rPr>
                <w:rFonts w:hint="eastAsia" w:ascii="方正仿宋_GB2312" w:hAnsi="方正仿宋_GB2312" w:eastAsia="方正仿宋_GB2312" w:cs="方正仿宋_GB2312"/>
                <w:color w:val="000000" w:themeColor="text1"/>
                <w:szCs w:val="21"/>
                <w:highlight w:val="none"/>
              </w:rPr>
            </w:r>
            <w:r>
              <w:rPr>
                <w:color w:val="000000" w:themeColor="text1"/>
              </w:rP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799"/>
              <w:jc w:val="center"/>
              <w:spacing w:line="260"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799"/>
              <w:jc w:val="center"/>
              <w:spacing w:line="26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水生植物</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tcMar>
              <w:left w:w="57" w:type="dxa"/>
              <w:top w:w="57" w:type="dxa"/>
              <w:right w:w="57" w:type="dxa"/>
              <w:bottom w:w="57" w:type="dxa"/>
            </w:tcMar>
            <w:tcW w:w="4073" w:type="dxa"/>
            <w:vAlign w:val="center"/>
            <w:textDirection w:val="lrTb"/>
            <w:noWrap w:val="false"/>
          </w:tcPr>
          <w:p>
            <w:pPr>
              <w:pStyle w:val="1319"/>
              <w:ind w:firstLine="420"/>
              <w:spacing w:line="26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1.景观效果美观，水生植物密度适宜，花期正常、花色鲜艳美观。</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6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2.无死株，生长期及时剪除枯叶、枯枝、残花，对有冬季观赏性的植物于次年春季发芽前清除干枯植株。</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tc>
        <w:tc>
          <w:tcPr>
            <w:tcMar>
              <w:left w:w="57" w:type="dxa"/>
              <w:top w:w="57" w:type="dxa"/>
              <w:right w:w="57" w:type="dxa"/>
              <w:bottom w:w="57" w:type="dxa"/>
            </w:tcMar>
            <w:tcW w:w="4664" w:type="dxa"/>
            <w:vAlign w:val="center"/>
            <w:textDirection w:val="lrTb"/>
            <w:noWrap w:val="false"/>
          </w:tcPr>
          <w:p>
            <w:pPr>
              <w:pStyle w:val="1319"/>
              <w:ind w:firstLine="420"/>
              <w:spacing w:line="26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1.景观效果美观，水生植物密度适宜，花期、花色正常。</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6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2.无明显干枯叶、残花等。生长期及时剪除枯叶、枯枝、残花，休眠后及时清除枯败残体。</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tc>
        <w:tc>
          <w:tcPr>
            <w:tcMar>
              <w:left w:w="57" w:type="dxa"/>
              <w:top w:w="57" w:type="dxa"/>
              <w:right w:w="57" w:type="dxa"/>
              <w:bottom w:w="57" w:type="dxa"/>
            </w:tcMar>
            <w:tcW w:w="4332" w:type="dxa"/>
            <w:vAlign w:val="center"/>
            <w:textDirection w:val="lrTb"/>
            <w:noWrap w:val="false"/>
          </w:tcPr>
          <w:p>
            <w:pPr>
              <w:pStyle w:val="1319"/>
              <w:ind w:firstLine="420"/>
              <w:spacing w:line="26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1.景观效果良好，水生植物能够正常生长、开花。</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799"/>
              <w:ind w:firstLine="420"/>
              <w:spacing w:line="26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2.无明显缺株、死株、枯叶、残花，生长期及时剪除枯叶、枯枝、残花，休眠后及时清除枯败残体。</w:t>
            </w:r>
            <w:r>
              <w:rPr>
                <w:rFonts w:hint="eastAsia" w:ascii="方正仿宋_GB2312" w:hAnsi="方正仿宋_GB2312" w:eastAsia="方正仿宋_GB2312" w:cs="方正仿宋_GB2312"/>
                <w:color w:val="000000" w:themeColor="text1"/>
                <w:szCs w:val="21"/>
                <w:highlight w:val="none"/>
              </w:rPr>
            </w:r>
            <w:r>
              <w:rPr>
                <w:color w:val="000000" w:themeColor="text1"/>
              </w:rPr>
            </w:r>
          </w:p>
        </w:tc>
      </w:tr>
      <w:tr>
        <w:trPr>
          <w:gridAfter w:val="1"/>
          <w:trHeight w:val="340"/>
        </w:trPr>
        <w:tc>
          <w:tcPr>
            <w:tcMar>
              <w:left w:w="57" w:type="dxa"/>
              <w:top w:w="57" w:type="dxa"/>
              <w:right w:w="57" w:type="dxa"/>
              <w:bottom w:w="57" w:type="dxa"/>
            </w:tcMar>
            <w:tcW w:w="959" w:type="dxa"/>
            <w:vAlign w:val="center"/>
            <w:vMerge w:val="restart"/>
            <w:textDirection w:val="lrTb"/>
            <w:noWrap w:val="false"/>
          </w:tcPr>
          <w:p>
            <w:pPr>
              <w:pStyle w:val="799"/>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一</w:t>
            </w:r>
            <w:r>
              <w:rPr>
                <w:rFonts w:hint="eastAsia" w:ascii="方正仿宋_GB2312" w:hAnsi="方正仿宋_GB2312" w:eastAsia="方正仿宋_GB2312" w:cs="方正仿宋_GB2312"/>
                <w:b/>
                <w:bCs/>
                <w:color w:val="000000" w:themeColor="text1"/>
                <w:szCs w:val="21"/>
                <w:highlight w:val="none"/>
              </w:rPr>
            </w:r>
            <w:r>
              <w:rPr>
                <w:color w:val="000000" w:themeColor="text1"/>
              </w:rPr>
            </w:r>
          </w:p>
          <w:p>
            <w:pPr>
              <w:pStyle w:val="799"/>
              <w:jc w:val="center"/>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园林植物养护</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1120" w:type="dxa"/>
            <w:vAlign w:val="center"/>
            <w:textDirection w:val="lrTb"/>
            <w:noWrap w:val="false"/>
          </w:tcPr>
          <w:p>
            <w:pPr>
              <w:pStyle w:val="799"/>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竹类</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tcMar>
              <w:left w:w="57" w:type="dxa"/>
              <w:top w:w="57" w:type="dxa"/>
              <w:right w:w="57" w:type="dxa"/>
              <w:bottom w:w="57" w:type="dxa"/>
            </w:tcMar>
            <w:tcW w:w="4073" w:type="dxa"/>
            <w:vAlign w:val="center"/>
            <w:textDirection w:val="lrTb"/>
            <w:noWrap w:val="false"/>
          </w:tcPr>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1.竹林保持适宜密度，通风透光、生长健壮、叶色正常。</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2.及时清除老鞭、砍伐后的竹蔸、干枯株等。</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3.竹林、竹丛无杂树，无影响景观面貌的杂草杂藤；无垃圾杂物等。</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664" w:type="dxa"/>
            <w:vAlign w:val="center"/>
            <w:textDirection w:val="lrTb"/>
            <w:noWrap w:val="false"/>
          </w:tcPr>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1.竹林保持较适宜密度，通风透光良好、生长较健壮，叶色基本正常。</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2.能及时清除老鞭、砍伐后的竹蔸、干枯株等。</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3.无可视垃圾、杂物。</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332" w:type="dxa"/>
            <w:vAlign w:val="center"/>
            <w:textDirection w:val="lrTb"/>
            <w:noWrap w:val="false"/>
          </w:tcPr>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1.竹林生长、叶色基本正常。</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2.能定期清除老鞭、砍伐后的竹蔸、干枯株等。</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3.无明显可视垃圾、杂物。</w:t>
            </w:r>
            <w:r>
              <w:rPr>
                <w:rFonts w:hint="eastAsia" w:ascii="方正仿宋_GB2312" w:hAnsi="方正仿宋_GB2312" w:eastAsia="方正仿宋_GB2312" w:cs="方正仿宋_GB2312"/>
                <w:color w:val="000000" w:themeColor="text1"/>
                <w:szCs w:val="21"/>
                <w:highlight w:val="none"/>
              </w:rPr>
            </w:r>
            <w:r>
              <w:rPr>
                <w:color w:val="000000" w:themeColor="text1"/>
              </w:rP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799"/>
              <w:jc w:val="center"/>
              <w:spacing w:line="2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799"/>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地被植物（宿根</w:t>
            </w:r>
            <w:r>
              <w:rPr>
                <w:rFonts w:hint="eastAsia" w:ascii="方正仿宋_GB2312" w:hAnsi="方正仿宋_GB2312" w:eastAsia="方正仿宋_GB2312" w:cs="方正仿宋_GB2312"/>
                <w:b/>
                <w:bCs/>
                <w:color w:val="000000" w:themeColor="text1"/>
                <w:szCs w:val="21"/>
                <w:highlight w:val="none"/>
              </w:rPr>
            </w:r>
            <w:r>
              <w:rPr>
                <w:color w:val="000000" w:themeColor="text1"/>
              </w:rPr>
            </w:r>
          </w:p>
          <w:p>
            <w:pPr>
              <w:pStyle w:val="799"/>
              <w:jc w:val="center"/>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花卉）</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073" w:type="dxa"/>
            <w:vAlign w:val="center"/>
            <w:textDirection w:val="lrTb"/>
            <w:noWrap w:val="false"/>
          </w:tcPr>
          <w:p>
            <w:pPr>
              <w:pStyle w:val="799"/>
              <w:ind w:firstLine="420"/>
              <w:spacing w:line="280" w:lineRule="exact"/>
              <w:shd w:val="clear" w:color="auto" w:fill="ffffff"/>
              <w:rPr>
                <w:rFonts w:hint="eastAsia" w:ascii="方正仿宋_GB2312" w:hAnsi="方正仿宋_GB2312" w:eastAsia="方正仿宋_GB2312" w:cs="方正仿宋_GB2312"/>
                <w:color w:val="000000" w:themeColor="text1"/>
                <w:szCs w:val="21"/>
                <w:highlight w:val="none"/>
                <w:shd w:val="clear" w:color="auto" w:fill="ffffff"/>
              </w:rPr>
            </w:pPr>
            <w:r>
              <w:rPr>
                <w:rFonts w:hint="eastAsia" w:ascii="方正仿宋_GB2312" w:hAnsi="方正仿宋_GB2312" w:eastAsia="方正仿宋_GB2312" w:cs="方正仿宋_GB2312"/>
                <w:color w:val="000000" w:themeColor="text1"/>
                <w:szCs w:val="21"/>
                <w:highlight w:val="none"/>
                <w:shd w:val="clear" w:color="auto" w:fill="ffffff"/>
              </w:rPr>
              <w:t xml:space="preserve">1.生长茂盛，覆盖率98%以上，</w:t>
            </w:r>
            <w:r>
              <w:rPr>
                <w:rFonts w:hint="eastAsia" w:ascii="方正仿宋_GB2312" w:hAnsi="方正仿宋_GB2312" w:eastAsia="方正仿宋_GB2312" w:cs="方正仿宋_GB2312"/>
                <w:color w:val="000000" w:themeColor="text1"/>
                <w:szCs w:val="21"/>
                <w:highlight w:val="none"/>
              </w:rPr>
              <w:t xml:space="preserve">观花植物适时开花，量足色艳，观叶植物叶色纯正浓郁。</w:t>
            </w:r>
            <w:r>
              <w:rPr>
                <w:rFonts w:hint="eastAsia" w:ascii="方正仿宋_GB2312" w:hAnsi="方正仿宋_GB2312" w:eastAsia="方正仿宋_GB2312" w:cs="方正仿宋_GB2312"/>
                <w:color w:val="000000" w:themeColor="text1"/>
                <w:szCs w:val="21"/>
                <w:highlight w:val="none"/>
                <w:shd w:val="clear" w:color="auto" w:fill="ffffff"/>
              </w:rPr>
            </w:r>
            <w:r>
              <w:rPr>
                <w:color w:val="000000" w:themeColor="text1"/>
              </w:rPr>
            </w:r>
          </w:p>
          <w:p>
            <w:pPr>
              <w:pStyle w:val="799"/>
              <w:ind w:firstLine="420"/>
              <w:spacing w:line="280" w:lineRule="exact"/>
              <w:shd w:val="clear" w:color="auto" w:fill="ffffff"/>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2.修剪科学及时，无杂草。</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3.无缺株、倒伏，残花量≤10％。</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tc>
        <w:tc>
          <w:tcPr>
            <w:tcMar>
              <w:left w:w="57" w:type="dxa"/>
              <w:top w:w="57" w:type="dxa"/>
              <w:right w:w="57" w:type="dxa"/>
              <w:bottom w:w="57" w:type="dxa"/>
            </w:tcMar>
            <w:tcW w:w="4664" w:type="dxa"/>
            <w:vAlign w:val="center"/>
            <w:textDirection w:val="lrTb"/>
            <w:noWrap w:val="false"/>
          </w:tcPr>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1.生长良好，覆盖率95%以上，观花植物适时开花，花量花色正常，观叶植物叶色正常。</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tabs>
                <w:tab w:val="left" w:pos="317" w:leader="none"/>
              </w:tabs>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2.修剪得当，无杂草。</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3.无明显残缺、残花、残叶、杂草等,残花量≤15%。</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tc>
        <w:tc>
          <w:tcPr>
            <w:tcMar>
              <w:left w:w="57" w:type="dxa"/>
              <w:top w:w="57" w:type="dxa"/>
              <w:right w:w="57" w:type="dxa"/>
              <w:bottom w:w="57" w:type="dxa"/>
            </w:tcMar>
            <w:tcW w:w="4332" w:type="dxa"/>
            <w:vAlign w:val="center"/>
            <w:textDirection w:val="lrTb"/>
            <w:noWrap w:val="false"/>
          </w:tcPr>
          <w:p>
            <w:pPr>
              <w:pStyle w:val="799"/>
              <w:ind w:firstLine="420"/>
              <w:spacing w:line="280" w:lineRule="exact"/>
              <w:tabs>
                <w:tab w:val="left" w:pos="317" w:leader="none"/>
              </w:tabs>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1.生长基本正常，覆盖率90%以上，观花植物适时开花，花量花色较正常，观叶植物叶色较正常。</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2.能够定期修剪，无明显缺株、死株、枯叶、残花，基本无杂草。</w:t>
            </w:r>
            <w:r>
              <w:rPr>
                <w:rFonts w:hint="eastAsia" w:ascii="方正仿宋_GB2312" w:hAnsi="方正仿宋_GB2312" w:eastAsia="方正仿宋_GB2312" w:cs="方正仿宋_GB2312"/>
                <w:color w:val="000000" w:themeColor="text1"/>
                <w:szCs w:val="21"/>
                <w:highlight w:val="none"/>
              </w:rPr>
            </w:r>
            <w:r>
              <w:rPr>
                <w:color w:val="000000" w:themeColor="text1"/>
              </w:rP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799"/>
              <w:jc w:val="center"/>
              <w:spacing w:line="2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799"/>
              <w:jc w:val="center"/>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时令草花</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073" w:type="dxa"/>
            <w:vAlign w:val="center"/>
            <w:textDirection w:val="lrTb"/>
            <w:noWrap w:val="false"/>
          </w:tcPr>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1.覆盖率98%以上，无裸露地面，生长健壮，株形饱满，花色鲜艳，株高一致，无残花，无枯死株。</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2.轮廓和图案美观，边缘线流畅自然。</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3.无失水萎蔫现象。</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664" w:type="dxa"/>
            <w:vAlign w:val="center"/>
            <w:textDirection w:val="lrTb"/>
            <w:noWrap w:val="false"/>
          </w:tcPr>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1.覆盖率95%以上，无裸露地面，生长良好；株高、花期整齐一致，无残花，无枯死株。</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2.轮廓和图案美观，边缘线流畅自然。</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3.基本无失水萎蔫现象。</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332" w:type="dxa"/>
            <w:vAlign w:val="center"/>
            <w:textDirection w:val="lrTb"/>
            <w:noWrap w:val="false"/>
          </w:tcPr>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1.覆盖率90%以上，基本无裸露地面，生长正常，开花正常；无明显残花、枯死株；</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2.密度适宜，株高基本一致，图案清晰，边缘线较流畅自然。</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3.无明显失水萎蔫现象。</w:t>
            </w:r>
            <w:r>
              <w:rPr>
                <w:rFonts w:hint="eastAsia" w:ascii="方正仿宋_GB2312" w:hAnsi="方正仿宋_GB2312" w:eastAsia="方正仿宋_GB2312" w:cs="方正仿宋_GB2312"/>
                <w:color w:val="000000" w:themeColor="text1"/>
                <w:szCs w:val="21"/>
                <w:highlight w:val="none"/>
              </w:rPr>
            </w:r>
            <w:r>
              <w:rPr>
                <w:color w:val="000000" w:themeColor="text1"/>
              </w:rP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799"/>
              <w:jc w:val="center"/>
              <w:spacing w:line="28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799"/>
              <w:jc w:val="center"/>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草坪</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073" w:type="dxa"/>
            <w:vAlign w:val="center"/>
            <w:textDirection w:val="lrTb"/>
            <w:noWrap w:val="false"/>
          </w:tcPr>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1.外观整齐，边缘线清晰，生长茂盛，草根不裸露，无可视斑秃。</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2.播种黑麦草及时、科学合理，出芽率达到98%以上。草坪绿色期全年不低于330天。草坪内无低洼积水处，无明显裸露地。</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3.草坪高度不超过8cm，按1/3原则修剪；5-10月，不超过10天修剪一次。</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4.杂草率≤5%。</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5.开放草坪实行轮换养护管理。</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664" w:type="dxa"/>
            <w:vAlign w:val="center"/>
            <w:textDirection w:val="lrTb"/>
            <w:noWrap w:val="false"/>
          </w:tcPr>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1.外观整齐，边缘线切边整齐，生长良好，草坪覆盖率95%以上，单块斑秃面积不超过0.2m2或10m2绿地内斑秃面积不超过3块。</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2.播种黑麦草及时，出芽率达到95%以上。草坪全年绿色期不低于320天。</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3.草坪高度不超过8cm，按1/3原则修剪；5-10月，不超过10天修剪一次。</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4.杂草率≤10%。</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5.开放草坪实行轮换养护管理。</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332" w:type="dxa"/>
            <w:vAlign w:val="center"/>
            <w:textDirection w:val="lrTb"/>
            <w:noWrap w:val="false"/>
          </w:tcPr>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1.外观较整齐，边缘线基本清晰，生长季节不枯黄，覆盖率90%以上，单块斑秃面积不超过0.3㎡或10㎡内斑秃面积不超过4块。</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2.播种黑麦草及时，出芽率达到90%以上；草坪全年绿色期不低于300天。</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3.草坪高度不超过8cm，按1/3原则修剪；5-10月，不超过15天修剪一次，草坪高度不低于2.5cm。</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4.杂草率≤15%。</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5.开放草坪实行轮换养护管理。</w:t>
            </w:r>
            <w:r>
              <w:rPr>
                <w:rFonts w:hint="eastAsia" w:ascii="方正仿宋_GB2312" w:hAnsi="方正仿宋_GB2312" w:eastAsia="方正仿宋_GB2312" w:cs="方正仿宋_GB2312"/>
                <w:color w:val="000000" w:themeColor="text1"/>
                <w:szCs w:val="21"/>
                <w:highlight w:val="none"/>
              </w:rPr>
            </w:r>
            <w:r>
              <w:rPr>
                <w:color w:val="000000" w:themeColor="text1"/>
              </w:rPr>
            </w:r>
          </w:p>
        </w:tc>
      </w:tr>
      <w:tr>
        <w:trPr>
          <w:gridAfter w:val="1"/>
          <w:trHeight w:val="340"/>
        </w:trPr>
        <w:tc>
          <w:tcPr>
            <w:tcMar>
              <w:left w:w="57" w:type="dxa"/>
              <w:top w:w="57" w:type="dxa"/>
              <w:right w:w="57" w:type="dxa"/>
              <w:bottom w:w="57" w:type="dxa"/>
            </w:tcMar>
            <w:tcW w:w="959" w:type="dxa"/>
            <w:vAlign w:val="center"/>
            <w:vMerge w:val="restart"/>
            <w:textDirection w:val="lrTb"/>
            <w:noWrap w:val="false"/>
          </w:tcPr>
          <w:p>
            <w:pPr>
              <w:pStyle w:val="799"/>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二</w:t>
            </w:r>
            <w:r>
              <w:rPr>
                <w:rFonts w:hint="eastAsia" w:ascii="方正仿宋_GB2312" w:hAnsi="方正仿宋_GB2312" w:eastAsia="方正仿宋_GB2312" w:cs="方正仿宋_GB2312"/>
                <w:b/>
                <w:bCs/>
                <w:color w:val="000000" w:themeColor="text1"/>
                <w:szCs w:val="21"/>
                <w:highlight w:val="none"/>
              </w:rPr>
            </w:r>
            <w:r>
              <w:rPr>
                <w:color w:val="000000" w:themeColor="text1"/>
              </w:rPr>
            </w:r>
          </w:p>
          <w:p>
            <w:pPr>
              <w:pStyle w:val="799"/>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园林设施维护</w:t>
            </w:r>
            <w:r>
              <w:rPr>
                <w:rFonts w:hint="eastAsia" w:ascii="方正仿宋_GB2312" w:hAnsi="方正仿宋_GB2312" w:eastAsia="方正仿宋_GB2312" w:cs="方正仿宋_GB2312"/>
                <w:b/>
                <w:bCs/>
                <w:color w:val="000000" w:themeColor="text1"/>
                <w:szCs w:val="21"/>
                <w:highlight w:val="none"/>
              </w:rPr>
            </w:r>
            <w:r>
              <w:rPr>
                <w:color w:val="000000" w:themeColor="text1"/>
              </w:rPr>
            </w:r>
          </w:p>
          <w:p>
            <w:pPr>
              <w:pStyle w:val="799"/>
              <w:ind w:firstLine="1054"/>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tcMar>
              <w:left w:w="57" w:type="dxa"/>
              <w:top w:w="57" w:type="dxa"/>
              <w:right w:w="57" w:type="dxa"/>
              <w:bottom w:w="57" w:type="dxa"/>
            </w:tcMar>
            <w:tcW w:w="1120" w:type="dxa"/>
            <w:vAlign w:val="center"/>
            <w:textDirection w:val="lrTb"/>
            <w:noWrap w:val="false"/>
          </w:tcPr>
          <w:p>
            <w:pPr>
              <w:pStyle w:val="799"/>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园林建筑、构筑物</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tcMar>
              <w:left w:w="57" w:type="dxa"/>
              <w:top w:w="57" w:type="dxa"/>
              <w:right w:w="57" w:type="dxa"/>
              <w:bottom w:w="57" w:type="dxa"/>
            </w:tcMar>
            <w:tcW w:w="4073" w:type="dxa"/>
            <w:vAlign w:val="center"/>
            <w:textDirection w:val="lrTb"/>
            <w:noWrap w:val="false"/>
          </w:tcPr>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1.外观完整，外貌整洁。</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2.设施清洁、完好，设备安全运行；墙面、屋面、地面及时粉刷、清洗；无污染、无渗漏；管道无堵塞及锈蚀；及时维修，无安全隐患。</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3.防火、防风、防雨雪、防雷等保护措施落实有效。</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664" w:type="dxa"/>
            <w:vAlign w:val="center"/>
            <w:textDirection w:val="lrTb"/>
            <w:noWrap w:val="false"/>
          </w:tcPr>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1.外观完整，外貌较整洁，定期粉刷、清洗。</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2.设施清洁、完好，设备安全运行；墙面、屋面、地面及时粉刷、清洗，基本无污染、无渗漏；管道无堵塞、基本无锈蚀；定期维修，无安全隐患。</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3.防火、防风、防雨雪、防雷等保护措施落实有效。</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tc>
        <w:tc>
          <w:tcPr>
            <w:tcMar>
              <w:left w:w="57" w:type="dxa"/>
              <w:top w:w="57" w:type="dxa"/>
              <w:right w:w="57" w:type="dxa"/>
              <w:bottom w:w="57" w:type="dxa"/>
            </w:tcMar>
            <w:tcW w:w="4332" w:type="dxa"/>
            <w:vAlign w:val="center"/>
            <w:textDirection w:val="lrTb"/>
            <w:noWrap w:val="false"/>
          </w:tcPr>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1.外观完整，外貌较干净。</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2.设施干净、基本完好，设备安全运行；墙面、屋面、地面定期进行粉刷、清洗，基本无污染、无渗漏；管道无堵塞、无明显锈蚀；常规维修，无安全隐患。</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3.防火、防风、防雨雪、防雷等保护措施落实有效。</w:t>
            </w:r>
            <w:r>
              <w:rPr>
                <w:rFonts w:hint="eastAsia" w:ascii="方正仿宋_GB2312" w:hAnsi="方正仿宋_GB2312" w:eastAsia="方正仿宋_GB2312" w:cs="方正仿宋_GB2312"/>
                <w:color w:val="000000" w:themeColor="text1"/>
                <w:szCs w:val="21"/>
                <w:highlight w:val="none"/>
              </w:rPr>
            </w:r>
            <w:r>
              <w:rPr>
                <w:color w:val="000000" w:themeColor="text1"/>
              </w:rP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799"/>
              <w:ind w:firstLine="1054"/>
              <w:spacing w:line="280"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799"/>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假山</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tcMar>
              <w:left w:w="57" w:type="dxa"/>
              <w:top w:w="57" w:type="dxa"/>
              <w:right w:w="57" w:type="dxa"/>
              <w:bottom w:w="57" w:type="dxa"/>
            </w:tcMar>
            <w:tcW w:w="4073" w:type="dxa"/>
            <w:vAlign w:val="center"/>
            <w:textDirection w:val="lrTb"/>
            <w:noWrap w:val="false"/>
          </w:tcPr>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1.假山叠石完整、稳固、安全。</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2.禁止攀爬的假山有醒目标志和防护设施。</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3.假山周围10m及石缝内无影响安全和景观的杂草、杂物，种植穴不空缺。</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4.假山及孤赏石表面无乱涂乱刻痕迹。</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tc>
        <w:tc>
          <w:tcPr>
            <w:tcMar>
              <w:left w:w="57" w:type="dxa"/>
              <w:top w:w="57" w:type="dxa"/>
              <w:right w:w="57" w:type="dxa"/>
              <w:bottom w:w="57" w:type="dxa"/>
            </w:tcMar>
            <w:tcW w:w="4664" w:type="dxa"/>
            <w:vAlign w:val="center"/>
            <w:textDirection w:val="lrTb"/>
            <w:noWrap w:val="false"/>
          </w:tcPr>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1.假山叠石完整、稳固、安全。</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2.禁止攀爬的假山有醒目标志和防护设施。</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3.假山周围5m及石缝内无影响安全和景观的杂草、杂物。</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4.假山及孤赏石表面基本无乱涂乱刻痕迹。</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tc>
        <w:tc>
          <w:tcPr>
            <w:tcMar>
              <w:left w:w="57" w:type="dxa"/>
              <w:top w:w="57" w:type="dxa"/>
              <w:right w:w="57" w:type="dxa"/>
              <w:bottom w:w="57" w:type="dxa"/>
            </w:tcMar>
            <w:tcW w:w="4332" w:type="dxa"/>
            <w:vAlign w:val="center"/>
            <w:textDirection w:val="lrTb"/>
            <w:noWrap w:val="false"/>
          </w:tcPr>
          <w:p>
            <w:pPr>
              <w:pStyle w:val="1224"/>
              <w:ind w:firstLine="48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1.假山叠石完整、稳固、安全。</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1224"/>
              <w:ind w:firstLine="48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2.禁止攀爬的假山有醒目标志和防护设施。</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1224"/>
              <w:ind w:firstLine="48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3.假山周围5m及石缝内无影响安全和景观的杂草、杂物。</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1224"/>
              <w:ind w:firstLine="48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4.假山及孤赏石表面无明显的乱涂乱刻痕迹。</w:t>
            </w:r>
            <w:r>
              <w:rPr>
                <w:rFonts w:hint="eastAsia" w:ascii="方正仿宋_GB2312" w:hAnsi="方正仿宋_GB2312" w:eastAsia="方正仿宋_GB2312" w:cs="方正仿宋_GB2312"/>
                <w:color w:val="000000" w:themeColor="text1"/>
                <w:szCs w:val="21"/>
                <w:highlight w:val="none"/>
              </w:rPr>
            </w:r>
            <w:r>
              <w:rPr>
                <w:color w:val="000000" w:themeColor="text1"/>
              </w:rP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799"/>
              <w:jc w:val="center"/>
              <w:spacing w:line="280"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799"/>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园路、广场、</w:t>
            </w:r>
            <w:r>
              <w:rPr>
                <w:rFonts w:hint="eastAsia" w:ascii="方正仿宋_GB2312" w:hAnsi="方正仿宋_GB2312" w:eastAsia="方正仿宋_GB2312" w:cs="方正仿宋_GB2312"/>
                <w:b/>
                <w:bCs/>
                <w:color w:val="000000" w:themeColor="text1"/>
                <w:szCs w:val="21"/>
                <w:highlight w:val="none"/>
                <w:lang w:eastAsia="en-US"/>
              </w:rPr>
              <w:t xml:space="preserve">无障碍</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tcMar>
              <w:left w:w="57" w:type="dxa"/>
              <w:top w:w="57" w:type="dxa"/>
              <w:right w:w="57" w:type="dxa"/>
              <w:bottom w:w="57" w:type="dxa"/>
            </w:tcMar>
            <w:tcW w:w="4073" w:type="dxa"/>
            <w:vAlign w:val="center"/>
            <w:textDirection w:val="lrTb"/>
            <w:noWrap w:val="false"/>
          </w:tcPr>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1.园路、广场平整，无坑洼破损，无面层松动、沉陷、倾覆或面层脱落；伸缩缝嵌缝完好。</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2.园路、台阶、广场清洁，无垃圾及痰迹。</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3.无障碍通道及应急通道整洁畅通。</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664" w:type="dxa"/>
            <w:vAlign w:val="center"/>
            <w:textDirection w:val="lrTb"/>
            <w:noWrap w:val="false"/>
          </w:tcPr>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1.园路、广场平整，无坑洼破损，无面层松动、沉陷、倾覆或面层脱落；伸缩缝嵌缝基本完好。</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2.园路、台阶、广场基本清洁，基本无垃圾、无痰迹。</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224"/>
              <w:ind w:firstLine="48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3.无障碍通道及应急通道畅通，基本整洁。</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332" w:type="dxa"/>
            <w:vAlign w:val="center"/>
            <w:textDirection w:val="lrTb"/>
            <w:noWrap w:val="false"/>
          </w:tcPr>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1.园路、广场平整，无明显坑洼破损，无面层松动、沉陷、倾覆或面层脱落；伸缩缝嵌缝无明显漏嵌。</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2.园路、台阶、广场基本清洁，无明显垃圾和痰迹。</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224"/>
              <w:ind w:firstLine="48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3.无障碍通道及应急通道畅通，基本整洁。</w:t>
            </w:r>
            <w:r>
              <w:rPr>
                <w:rFonts w:hint="eastAsia" w:ascii="方正仿宋_GB2312" w:hAnsi="方正仿宋_GB2312" w:eastAsia="方正仿宋_GB2312" w:cs="方正仿宋_GB2312"/>
                <w:color w:val="000000" w:themeColor="text1"/>
                <w:szCs w:val="21"/>
                <w:highlight w:val="none"/>
              </w:rPr>
            </w:r>
            <w:r>
              <w:rPr>
                <w:color w:val="000000" w:themeColor="text1"/>
              </w:rP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799"/>
              <w:jc w:val="center"/>
              <w:spacing w:line="280"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799"/>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桥梁</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tcMar>
              <w:left w:w="57" w:type="dxa"/>
              <w:top w:w="57" w:type="dxa"/>
              <w:right w:w="57" w:type="dxa"/>
              <w:bottom w:w="57" w:type="dxa"/>
            </w:tcMar>
            <w:tcW w:w="4073" w:type="dxa"/>
            <w:vAlign w:val="center"/>
            <w:textDirection w:val="lrTb"/>
            <w:noWrap w:val="false"/>
          </w:tcPr>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1.桥面平整，无坑洼，排水通畅。栏杆无缺损，墩台无混凝土剥落、露筋等。</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2.桥梁限高、限载及相关交通和安全警示标志清晰齐全；雨雪冰冻季节防范措施落实有效。</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664" w:type="dxa"/>
            <w:vAlign w:val="center"/>
            <w:textDirection w:val="lrTb"/>
            <w:noWrap w:val="false"/>
          </w:tcPr>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1.桥面基本平整，无明显坑洼破损，排水基本通畅。栏杆无缺损，墩台无明显混凝土剥落、露筋等。</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2.桥梁限高、限载及相关交通和安全警示标志清晰齐全；雨雪冰冻季节防范措施落实有效。</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tc>
        <w:tc>
          <w:tcPr>
            <w:tcMar>
              <w:left w:w="57" w:type="dxa"/>
              <w:top w:w="57" w:type="dxa"/>
              <w:right w:w="57" w:type="dxa"/>
              <w:bottom w:w="57" w:type="dxa"/>
            </w:tcMar>
            <w:tcW w:w="4332" w:type="dxa"/>
            <w:vAlign w:val="center"/>
            <w:textDirection w:val="lrTb"/>
            <w:noWrap w:val="false"/>
          </w:tcPr>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1.桥面基本平整，有少量坑洼破损，排水基本通畅。栏杆无缺损，墩台有少量破损，但不影响安全和使用。</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2.桥梁限高、限载及相关交通和安全警示标志清晰齐全；雨雪冰冻季节防范措施落实有效。</w:t>
            </w:r>
            <w:r>
              <w:rPr>
                <w:rFonts w:hint="eastAsia" w:ascii="方正仿宋_GB2312" w:hAnsi="方正仿宋_GB2312" w:eastAsia="方正仿宋_GB2312" w:cs="方正仿宋_GB2312"/>
                <w:color w:val="000000" w:themeColor="text1"/>
                <w:szCs w:val="21"/>
                <w:highlight w:val="none"/>
              </w:rPr>
            </w:r>
            <w:r>
              <w:rPr>
                <w:color w:val="000000" w:themeColor="text1"/>
              </w:rPr>
            </w:r>
          </w:p>
        </w:tc>
      </w:tr>
      <w:tr>
        <w:trPr>
          <w:gridAfter w:val="1"/>
          <w:trHeight w:val="340"/>
        </w:trPr>
        <w:tc>
          <w:tcPr>
            <w:tcMar>
              <w:left w:w="57" w:type="dxa"/>
              <w:top w:w="57" w:type="dxa"/>
              <w:right w:w="57" w:type="dxa"/>
              <w:bottom w:w="57" w:type="dxa"/>
            </w:tcMar>
            <w:tcW w:w="959" w:type="dxa"/>
            <w:vAlign w:val="center"/>
            <w:vMerge w:val="restart"/>
            <w:textDirection w:val="lrTb"/>
            <w:noWrap w:val="false"/>
          </w:tcPr>
          <w:p>
            <w:pPr>
              <w:pStyle w:val="799"/>
              <w:jc w:val="center"/>
              <w:spacing w:line="25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二</w:t>
            </w:r>
            <w:r>
              <w:rPr>
                <w:rFonts w:hint="eastAsia" w:ascii="方正仿宋_GB2312" w:hAnsi="方正仿宋_GB2312" w:eastAsia="方正仿宋_GB2312" w:cs="方正仿宋_GB2312"/>
                <w:b/>
                <w:bCs/>
                <w:color w:val="000000" w:themeColor="text1"/>
                <w:szCs w:val="21"/>
                <w:highlight w:val="none"/>
              </w:rPr>
            </w:r>
            <w:r>
              <w:rPr>
                <w:color w:val="000000" w:themeColor="text1"/>
              </w:rPr>
            </w:r>
          </w:p>
          <w:p>
            <w:pPr>
              <w:pStyle w:val="799"/>
              <w:jc w:val="center"/>
              <w:spacing w:line="25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园林设施维护</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tcMar>
              <w:left w:w="57" w:type="dxa"/>
              <w:top w:w="57" w:type="dxa"/>
              <w:right w:w="57" w:type="dxa"/>
              <w:bottom w:w="57" w:type="dxa"/>
            </w:tcMar>
            <w:tcW w:w="1120" w:type="dxa"/>
            <w:vAlign w:val="center"/>
            <w:textDirection w:val="lrTb"/>
            <w:noWrap w:val="false"/>
          </w:tcPr>
          <w:p>
            <w:pPr>
              <w:pStyle w:val="799"/>
              <w:jc w:val="center"/>
              <w:spacing w:line="25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栏杆、桌凳</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tcMar>
              <w:left w:w="57" w:type="dxa"/>
              <w:top w:w="57" w:type="dxa"/>
              <w:right w:w="57" w:type="dxa"/>
              <w:bottom w:w="57" w:type="dxa"/>
            </w:tcMar>
            <w:tcW w:w="4073" w:type="dxa"/>
            <w:vAlign w:val="center"/>
            <w:textDirection w:val="lrTb"/>
            <w:noWrap w:val="false"/>
          </w:tcPr>
          <w:p>
            <w:pPr>
              <w:pStyle w:val="1319"/>
              <w:ind w:firstLine="420"/>
              <w:spacing w:line="25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1.完整、清洁、无缺损，无刻划痕迹。</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2.竹、木材质及时维护，无腐朽，金属类材质无锈蚀，无安全隐患。</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3.安全坚固，无松动，无缺损。</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664" w:type="dxa"/>
            <w:vAlign w:val="center"/>
            <w:textDirection w:val="lrTb"/>
            <w:noWrap w:val="false"/>
          </w:tcPr>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1.完整、清洁、无缺损，基本无刻划痕迹。</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2.竹、木材质定期维护，基本无腐朽，金属类材质基本无锈蚀，无安全隐患。</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3.安全坚固，无松动，基本无缺损。</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tc>
        <w:tc>
          <w:tcPr>
            <w:tcMar>
              <w:left w:w="57" w:type="dxa"/>
              <w:top w:w="57" w:type="dxa"/>
              <w:right w:w="57" w:type="dxa"/>
              <w:bottom w:w="57" w:type="dxa"/>
            </w:tcMar>
            <w:tcW w:w="4332" w:type="dxa"/>
            <w:vAlign w:val="center"/>
            <w:textDirection w:val="lrTb"/>
            <w:noWrap w:val="false"/>
          </w:tcPr>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1.完整、清洁、无缺损，无明显刻划痕迹。</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2.竹、木材质能够维护，无明显腐朽，金属类材质无明显锈蚀，无安全隐患。</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3.安全坚固，无松动，基本无缺损。</w:t>
            </w:r>
            <w:r>
              <w:rPr>
                <w:rFonts w:hint="eastAsia" w:ascii="方正仿宋_GB2312" w:hAnsi="方正仿宋_GB2312" w:eastAsia="方正仿宋_GB2312" w:cs="方正仿宋_GB2312"/>
                <w:color w:val="000000" w:themeColor="text1"/>
                <w:szCs w:val="21"/>
                <w:highlight w:val="none"/>
              </w:rPr>
            </w:r>
            <w:r>
              <w:rPr>
                <w:color w:val="000000" w:themeColor="text1"/>
              </w:rP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799"/>
              <w:jc w:val="center"/>
              <w:spacing w:line="250"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799"/>
              <w:jc w:val="center"/>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花坛、雕塑</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073" w:type="dxa"/>
            <w:vAlign w:val="center"/>
            <w:textDirection w:val="lrTb"/>
            <w:noWrap w:val="false"/>
          </w:tcPr>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1.花坛表面整洁、无破损；叠石花坛的叠石无松动。补缝颜色与石材接近，无明显色差。</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2.雕塑结构、基础安全完整。表面清洁无垢，无刻写痕迹。</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664" w:type="dxa"/>
            <w:vAlign w:val="center"/>
            <w:textDirection w:val="lrTb"/>
            <w:noWrap w:val="false"/>
          </w:tcPr>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1.花坛表面整洁、基本无破损；叠石花坛的叠石基本无松动。补缝颜色与石材基本接近。</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2.雕塑结构、基础安全完整。表面基本清洁无垢，无刻写痕迹。</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tc>
        <w:tc>
          <w:tcPr>
            <w:tcMar>
              <w:left w:w="57" w:type="dxa"/>
              <w:top w:w="57" w:type="dxa"/>
              <w:right w:w="57" w:type="dxa"/>
              <w:bottom w:w="57" w:type="dxa"/>
            </w:tcMar>
            <w:tcW w:w="4332" w:type="dxa"/>
            <w:vAlign w:val="center"/>
            <w:textDirection w:val="lrTb"/>
            <w:noWrap w:val="false"/>
          </w:tcPr>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1.花坛表面整洁、无明显破损；叠石花坛的叠石无明显松动。补缝颜色与石材基本接近。</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2.雕塑结构、基础安全完整。表面基本清洁，无明显污垢，无明显刻写痕迹。</w:t>
            </w:r>
            <w:r>
              <w:rPr>
                <w:rFonts w:hint="eastAsia" w:ascii="方正仿宋_GB2312" w:hAnsi="方正仿宋_GB2312" w:eastAsia="方正仿宋_GB2312" w:cs="方正仿宋_GB2312"/>
                <w:color w:val="000000" w:themeColor="text1"/>
                <w:szCs w:val="21"/>
                <w:highlight w:val="none"/>
              </w:rPr>
            </w:r>
            <w:r>
              <w:rPr>
                <w:color w:val="000000" w:themeColor="text1"/>
              </w:rP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799"/>
              <w:jc w:val="center"/>
              <w:spacing w:line="250"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799"/>
              <w:jc w:val="center"/>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停车场</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073" w:type="dxa"/>
            <w:vAlign w:val="center"/>
            <w:textDirection w:val="lrTb"/>
            <w:noWrap w:val="false"/>
          </w:tcPr>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1.场地平整、无坑洼，环境清洁，排水良好，车位标志清晰。</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2.乔木枝下高满足停车需要，无影响驾驶视线的植物枝叶。</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664" w:type="dxa"/>
            <w:vAlign w:val="center"/>
            <w:textDirection w:val="lrTb"/>
            <w:noWrap w:val="false"/>
          </w:tcPr>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1.场地较平整、清洁，排水基本通畅，车位标志清晰。</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2.乔木枝下高满足停车需要，无影响驾驶视线的植物枝叶。</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332" w:type="dxa"/>
            <w:vAlign w:val="center"/>
            <w:textDirection w:val="lrTb"/>
            <w:noWrap w:val="false"/>
          </w:tcPr>
          <w:p>
            <w:pPr>
              <w:pStyle w:val="1319"/>
              <w:ind w:firstLine="420"/>
              <w:spacing w:line="25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1.场地基本平整、清洁，排水较通畅，有车位标志。</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5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2.乔木枝下高满足停车需要，无影响驾驶视线的植物枝叶。</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799"/>
              <w:jc w:val="center"/>
              <w:spacing w:line="250"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799"/>
              <w:jc w:val="center"/>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健身（游乐）设施</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gridSpan w:val="3"/>
            <w:tcMar>
              <w:left w:w="57" w:type="dxa"/>
              <w:top w:w="57" w:type="dxa"/>
              <w:right w:w="57" w:type="dxa"/>
              <w:bottom w:w="57" w:type="dxa"/>
            </w:tcMar>
            <w:tcW w:w="13069" w:type="dxa"/>
            <w:vAlign w:val="center"/>
            <w:textDirection w:val="lrTb"/>
            <w:noWrap w:val="false"/>
          </w:tcPr>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1.设施明示生产单位及使用要求、操作规程。</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2.设施按照规定定期检查维护，保证设施使用安全。</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3.管理档案清晰完整。</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4.环境整洁。</w:t>
            </w:r>
            <w:r>
              <w:rPr>
                <w:rFonts w:hint="eastAsia" w:ascii="方正仿宋_GB2312" w:hAnsi="方正仿宋_GB2312" w:eastAsia="方正仿宋_GB2312" w:cs="方正仿宋_GB2312"/>
                <w:color w:val="000000" w:themeColor="text1"/>
                <w:szCs w:val="21"/>
                <w:highlight w:val="none"/>
              </w:rPr>
            </w:r>
            <w:r>
              <w:rPr>
                <w:color w:val="000000" w:themeColor="text1"/>
              </w:rP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799"/>
              <w:jc w:val="center"/>
              <w:spacing w:line="250"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799"/>
              <w:jc w:val="center"/>
              <w:spacing w:line="25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电子设备设施</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gridSpan w:val="3"/>
            <w:tcMar>
              <w:left w:w="57" w:type="dxa"/>
              <w:top w:w="57" w:type="dxa"/>
              <w:right w:w="57" w:type="dxa"/>
              <w:bottom w:w="57" w:type="dxa"/>
            </w:tcMar>
            <w:tcW w:w="13069" w:type="dxa"/>
            <w:vAlign w:val="center"/>
            <w:textDirection w:val="lrTb"/>
            <w:noWrap w:val="false"/>
          </w:tcPr>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1.外壳完整、稳固、清洁。设备完好。</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2.适时播放，白天音响小于55分贝，晚间小于45分贝。</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3.定期更新和升级电子设备的系统，加强网络安全防护措施。</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4.广播音响、电子显示屏开展的宣传教育内容积极健康，根据绿地需求随时调整。</w:t>
            </w:r>
            <w:r>
              <w:rPr>
                <w:rFonts w:hint="eastAsia" w:ascii="方正仿宋_GB2312" w:hAnsi="方正仿宋_GB2312" w:eastAsia="方正仿宋_GB2312" w:cs="方正仿宋_GB2312"/>
                <w:color w:val="000000" w:themeColor="text1"/>
                <w:szCs w:val="21"/>
                <w:highlight w:val="none"/>
              </w:rPr>
            </w:r>
            <w:r>
              <w:rPr>
                <w:color w:val="000000" w:themeColor="text1"/>
              </w:rP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799"/>
              <w:jc w:val="center"/>
              <w:spacing w:line="250"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799"/>
              <w:jc w:val="center"/>
              <w:spacing w:line="25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水体维护</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tcMar>
              <w:left w:w="57" w:type="dxa"/>
              <w:top w:w="57" w:type="dxa"/>
              <w:right w:w="57" w:type="dxa"/>
              <w:bottom w:w="57" w:type="dxa"/>
            </w:tcMar>
            <w:tcW w:w="4073" w:type="dxa"/>
            <w:vAlign w:val="center"/>
            <w:textDirection w:val="lrTb"/>
            <w:noWrap w:val="false"/>
          </w:tcPr>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1.随时清理水面垃圾、杂物、漂浮物等，水面无漂浮垃圾、水体无异味。</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2.有专门的水面保洁人员及水草处理人员，及时清除水花生、水葫芦等水生杂草。</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3.喷泉、涌泉、雾森、跌水等水景观设施使用功能正常，维修及时。</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4.安全警示标志设置规范、齐全。</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664" w:type="dxa"/>
            <w:vAlign w:val="center"/>
            <w:textDirection w:val="lrTb"/>
            <w:noWrap w:val="false"/>
          </w:tcPr>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1.及时清理水面垃圾、杂物、漂浮物等，保持水面清洁，水面基本无漂浮垃圾、水体无异味。</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2.及时清除水花生、水葫芦等水生杂草。</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3.水体内景观设施的维护修理及时，保证使用功能正常。</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4.安全警示标志设置齐全。</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332" w:type="dxa"/>
            <w:vAlign w:val="center"/>
            <w:textDirection w:val="lrTb"/>
            <w:noWrap w:val="false"/>
          </w:tcPr>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1.定期清理水面垃圾、杂物、漂浮物等，保持水面清洁，水面基本无漂浮垃圾、水体无异味。</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2.定期清理水生杂草。</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5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3.安全警示标志设置齐全。</w:t>
            </w:r>
            <w:r>
              <w:rPr>
                <w:rFonts w:hint="eastAsia" w:ascii="方正仿宋_GB2312" w:hAnsi="方正仿宋_GB2312" w:eastAsia="方正仿宋_GB2312" w:cs="方正仿宋_GB2312"/>
                <w:color w:val="000000" w:themeColor="text1"/>
                <w:szCs w:val="21"/>
                <w:highlight w:val="none"/>
              </w:rPr>
            </w:r>
            <w:r>
              <w:rPr>
                <w:color w:val="000000" w:themeColor="text1"/>
              </w:rPr>
            </w:r>
          </w:p>
        </w:tc>
      </w:tr>
      <w:tr>
        <w:trPr>
          <w:gridAfter w:val="1"/>
          <w:trHeight w:val="340"/>
        </w:trPr>
        <w:tc>
          <w:tcPr>
            <w:tcMar>
              <w:left w:w="57" w:type="dxa"/>
              <w:top w:w="57" w:type="dxa"/>
              <w:right w:w="57" w:type="dxa"/>
              <w:bottom w:w="57" w:type="dxa"/>
            </w:tcMar>
            <w:tcW w:w="959" w:type="dxa"/>
            <w:vAlign w:val="center"/>
            <w:vMerge w:val="restart"/>
            <w:textDirection w:val="lrTb"/>
            <w:noWrap w:val="false"/>
          </w:tcPr>
          <w:p>
            <w:pPr>
              <w:pStyle w:val="799"/>
              <w:jc w:val="center"/>
              <w:spacing w:line="224"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二</w:t>
            </w:r>
            <w:r>
              <w:rPr>
                <w:rFonts w:hint="eastAsia" w:ascii="方正仿宋_GB2312" w:hAnsi="方正仿宋_GB2312" w:eastAsia="方正仿宋_GB2312" w:cs="方正仿宋_GB2312"/>
                <w:b/>
                <w:bCs/>
                <w:color w:val="000000" w:themeColor="text1"/>
                <w:szCs w:val="21"/>
                <w:highlight w:val="none"/>
              </w:rPr>
            </w:r>
            <w:r>
              <w:rPr>
                <w:color w:val="000000" w:themeColor="text1"/>
              </w:rPr>
            </w:r>
          </w:p>
          <w:p>
            <w:pPr>
              <w:pStyle w:val="799"/>
              <w:jc w:val="center"/>
              <w:spacing w:line="224"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园林设施维护</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tcMar>
              <w:left w:w="57" w:type="dxa"/>
              <w:top w:w="57" w:type="dxa"/>
              <w:right w:w="57" w:type="dxa"/>
              <w:bottom w:w="57" w:type="dxa"/>
            </w:tcMar>
            <w:tcW w:w="1120" w:type="dxa"/>
            <w:vAlign w:val="center"/>
            <w:textDirection w:val="lrTb"/>
            <w:noWrap w:val="false"/>
          </w:tcPr>
          <w:p>
            <w:pPr>
              <w:pStyle w:val="799"/>
              <w:jc w:val="center"/>
              <w:spacing w:line="224"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标识系统、宣传牌</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tcMar>
              <w:left w:w="57" w:type="dxa"/>
              <w:top w:w="57" w:type="dxa"/>
              <w:right w:w="57" w:type="dxa"/>
              <w:bottom w:w="57" w:type="dxa"/>
            </w:tcMar>
            <w:tcW w:w="4073" w:type="dxa"/>
            <w:vAlign w:val="center"/>
            <w:textDirection w:val="lrTb"/>
            <w:noWrap w:val="false"/>
          </w:tcPr>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1.牌示齐全，直立端正，不歪斜，无破损、无污物。</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2.文字、图案清晰完好，无错别字。</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664" w:type="dxa"/>
            <w:vAlign w:val="center"/>
            <w:textDirection w:val="lrTb"/>
            <w:noWrap w:val="false"/>
          </w:tcPr>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1.牌示齐全，较整洁。</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2.文字、图案清晰完好，无错别字。</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332" w:type="dxa"/>
            <w:vAlign w:val="center"/>
            <w:textDirection w:val="lrTb"/>
            <w:noWrap w:val="false"/>
          </w:tcPr>
          <w:p>
            <w:pPr>
              <w:pStyle w:val="1319"/>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1.牌示基本齐全，无明显污垢</w:t>
            </w:r>
            <w:r>
              <w:rPr>
                <w:rFonts w:hint="eastAsia" w:ascii="方正仿宋_GB2312" w:hAnsi="方正仿宋_GB2312" w:eastAsia="方正仿宋_GB2312" w:cs="方正仿宋_GB2312"/>
                <w:color w:val="000000" w:themeColor="text1"/>
                <w:sz w:val="21"/>
                <w:szCs w:val="21"/>
                <w:highlight w:val="none"/>
                <w:lang w:eastAsia="zh-CN"/>
              </w:rPr>
            </w:r>
            <w:r>
              <w:rPr>
                <w:color w:val="000000" w:themeColor="text1"/>
              </w:rPr>
            </w:r>
          </w:p>
          <w:p>
            <w:pPr>
              <w:pStyle w:val="131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 w:val="21"/>
                <w:szCs w:val="21"/>
                <w:highlight w:val="none"/>
                <w:lang w:eastAsia="zh-CN"/>
              </w:rPr>
              <w:t xml:space="preserve">2.文字、图案较为清晰，无错别字。</w:t>
            </w:r>
            <w:r>
              <w:rPr>
                <w:rFonts w:hint="eastAsia" w:ascii="方正仿宋_GB2312" w:hAnsi="方正仿宋_GB2312" w:eastAsia="方正仿宋_GB2312" w:cs="方正仿宋_GB2312"/>
                <w:color w:val="000000" w:themeColor="text1"/>
                <w:szCs w:val="21"/>
                <w:highlight w:val="none"/>
              </w:rPr>
            </w:r>
            <w:r>
              <w:rPr>
                <w:color w:val="000000" w:themeColor="text1"/>
              </w:rP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799"/>
              <w:jc w:val="center"/>
              <w:spacing w:line="224"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799"/>
              <w:jc w:val="center"/>
              <w:spacing w:line="224"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给排水</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tcMar>
              <w:left w:w="57" w:type="dxa"/>
              <w:top w:w="57" w:type="dxa"/>
              <w:right w:w="57" w:type="dxa"/>
              <w:bottom w:w="57" w:type="dxa"/>
            </w:tcMar>
            <w:tcW w:w="4073" w:type="dxa"/>
            <w:vAlign w:val="center"/>
            <w:textDirection w:val="lrTb"/>
            <w:noWrap w:val="false"/>
          </w:tcPr>
          <w:p>
            <w:pPr>
              <w:pStyle w:val="1224"/>
              <w:ind w:firstLine="48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1.管道畅通，运行正常，无破损。</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1224"/>
              <w:ind w:firstLine="48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2.雨污水管网构件完整无破损，管网及排水沟不淤积，排水良好；井盖、井箅平稳，无破损、无倾覆。</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3.防汛、消防等设备完好，使用正常。</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gridSpan w:val="2"/>
            <w:tcMar>
              <w:left w:w="57" w:type="dxa"/>
              <w:top w:w="57" w:type="dxa"/>
              <w:right w:w="57" w:type="dxa"/>
              <w:bottom w:w="57" w:type="dxa"/>
            </w:tcMar>
            <w:tcW w:w="8996" w:type="dxa"/>
            <w:vAlign w:val="center"/>
            <w:textDirection w:val="lrTb"/>
            <w:noWrap w:val="false"/>
          </w:tcPr>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1.管道基本畅通。</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lang w:eastAsia="zh-CN"/>
              </w:rPr>
              <w:t xml:space="preserve">2.定期检修管道和配件；井盖、井篦安放基本平稳，无破损、无倾覆。</w:t>
            </w:r>
            <w:r>
              <w:rPr>
                <w:rFonts w:hint="eastAsia" w:ascii="方正仿宋_GB2312" w:hAnsi="方正仿宋_GB2312" w:eastAsia="方正仿宋_GB2312" w:cs="方正仿宋_GB2312"/>
                <w:color w:val="000000" w:themeColor="text1"/>
                <w:szCs w:val="21"/>
                <w:highlight w:val="none"/>
                <w:lang w:eastAsia="zh-CN"/>
              </w:rPr>
            </w:r>
            <w:r>
              <w:rPr>
                <w:color w:val="000000" w:themeColor="text1"/>
              </w:rPr>
            </w:r>
          </w:p>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3.防汛、消防等设备完好，使用正常。</w:t>
            </w:r>
            <w:r>
              <w:rPr>
                <w:rFonts w:hint="eastAsia" w:ascii="方正仿宋_GB2312" w:hAnsi="方正仿宋_GB2312" w:eastAsia="方正仿宋_GB2312" w:cs="方正仿宋_GB2312"/>
                <w:color w:val="000000" w:themeColor="text1"/>
                <w:szCs w:val="21"/>
                <w:highlight w:val="none"/>
              </w:rPr>
            </w:r>
            <w:r>
              <w:rPr>
                <w:color w:val="000000" w:themeColor="text1"/>
              </w:rP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799"/>
              <w:jc w:val="center"/>
              <w:spacing w:line="224"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799"/>
              <w:jc w:val="center"/>
              <w:spacing w:line="224"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垃圾收集设施</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tcMar>
              <w:left w:w="57" w:type="dxa"/>
              <w:top w:w="57" w:type="dxa"/>
              <w:right w:w="57" w:type="dxa"/>
              <w:bottom w:w="57" w:type="dxa"/>
            </w:tcMar>
            <w:tcW w:w="4073" w:type="dxa"/>
            <w:vAlign w:val="center"/>
            <w:textDirection w:val="lrTb"/>
            <w:noWrap w:val="false"/>
          </w:tcPr>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1.垃圾箱分类设置，外观清洁、完整，标识清晰，内壁无污垢陈渍，箱内无陈积垃圾。</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2.垃圾收集、中转外运车辆清洁，不抛洒滴漏，有规范操作要求和收集外运制度。</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664" w:type="dxa"/>
            <w:vAlign w:val="center"/>
            <w:textDirection w:val="lrTb"/>
            <w:noWrap w:val="false"/>
          </w:tcPr>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1.垃圾箱分类设置，外观清洁、完整，标识清晰，内壁无污垢陈渍，箱内基本无陈积垃圾。</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2.垃圾收集、中转外运车辆清洁，不抛洒滴漏。</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332" w:type="dxa"/>
            <w:vAlign w:val="center"/>
            <w:textDirection w:val="lrTb"/>
            <w:noWrap w:val="false"/>
          </w:tcPr>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垃圾箱分类设置，外观基本清洁、完整，箱内无陈积垃圾。</w:t>
            </w:r>
            <w:r>
              <w:rPr>
                <w:rFonts w:hint="eastAsia" w:ascii="方正仿宋_GB2312" w:hAnsi="方正仿宋_GB2312" w:eastAsia="方正仿宋_GB2312" w:cs="方正仿宋_GB2312"/>
                <w:color w:val="000000" w:themeColor="text1"/>
                <w:szCs w:val="21"/>
                <w:highlight w:val="none"/>
              </w:rPr>
            </w:r>
            <w:r>
              <w:rPr>
                <w:color w:val="000000" w:themeColor="text1"/>
              </w:rP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799"/>
              <w:jc w:val="center"/>
              <w:spacing w:line="224"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799"/>
              <w:jc w:val="center"/>
              <w:spacing w:line="224"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照明设施</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tcMar>
              <w:left w:w="57" w:type="dxa"/>
              <w:top w:w="57" w:type="dxa"/>
              <w:right w:w="57" w:type="dxa"/>
              <w:bottom w:w="57" w:type="dxa"/>
            </w:tcMar>
            <w:tcW w:w="4073" w:type="dxa"/>
            <w:vAlign w:val="center"/>
            <w:textDirection w:val="lrTb"/>
            <w:noWrap w:val="false"/>
          </w:tcPr>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1.输配电运行正常，使用安全。</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2.各类照明设施完好、清洁、安全。</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3.有规范的亮化管理及养护制度，有专业操作规范。</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664" w:type="dxa"/>
            <w:vAlign w:val="center"/>
            <w:textDirection w:val="lrTb"/>
            <w:noWrap w:val="false"/>
          </w:tcPr>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1.输配电运行正常，使用安全。</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2.各类照明设施基本完好、清洁、安全。</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3.有规范的亮化管理及养护制度，有专业操作规范。</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332" w:type="dxa"/>
            <w:vAlign w:val="center"/>
            <w:textDirection w:val="lrTb"/>
            <w:noWrap w:val="false"/>
          </w:tcPr>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1.各类照明设施基本完好，使用安全。</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2.有规范的亮化管理及养护制度，有专业操作规范。</w:t>
            </w:r>
            <w:r>
              <w:rPr>
                <w:rFonts w:hint="eastAsia" w:ascii="方正仿宋_GB2312" w:hAnsi="方正仿宋_GB2312" w:eastAsia="方正仿宋_GB2312" w:cs="方正仿宋_GB2312"/>
                <w:color w:val="000000" w:themeColor="text1"/>
                <w:szCs w:val="21"/>
                <w:highlight w:val="none"/>
              </w:rPr>
            </w:r>
            <w:r>
              <w:rPr>
                <w:color w:val="000000" w:themeColor="text1"/>
              </w:rP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799"/>
              <w:jc w:val="center"/>
              <w:spacing w:line="224"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799"/>
              <w:jc w:val="center"/>
              <w:spacing w:line="224"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减灾</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tcMar>
              <w:left w:w="57" w:type="dxa"/>
              <w:top w:w="57" w:type="dxa"/>
              <w:right w:w="57" w:type="dxa"/>
              <w:bottom w:w="57" w:type="dxa"/>
            </w:tcMar>
            <w:tcW w:w="4073" w:type="dxa"/>
            <w:vAlign w:val="center"/>
            <w:textDirection w:val="lrTb"/>
            <w:noWrap w:val="false"/>
          </w:tcPr>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1.绿地内的各类防灾避险设施定期进行检查、保养，保证设施的正常运行。</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2.建立专(兼)职消防队伍，制订应急预案，定期组织相应的消防演习。</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3.制订防灾巡视、值班制度，做好防灾宣传。</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664" w:type="dxa"/>
            <w:vAlign w:val="center"/>
            <w:textDirection w:val="lrTb"/>
            <w:noWrap w:val="false"/>
          </w:tcPr>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1.绿地内的各类防灾避险设施定期进行检查、保养，保证设施的正常运行。</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2.制订应急预案，定期组织相应的消防演习。</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3.制订防灾巡视、值班制度，做好防灾宣传。</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332" w:type="dxa"/>
            <w:vAlign w:val="center"/>
            <w:textDirection w:val="lrTb"/>
            <w:noWrap w:val="false"/>
          </w:tcPr>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1.绿地内的各类防灾避险设施正常运行。</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2.制订防灾巡视、值班制度，做好防灾宣传。</w:t>
            </w:r>
            <w:r>
              <w:rPr>
                <w:rFonts w:hint="eastAsia" w:ascii="方正仿宋_GB2312" w:hAnsi="方正仿宋_GB2312" w:eastAsia="方正仿宋_GB2312" w:cs="方正仿宋_GB2312"/>
                <w:color w:val="000000" w:themeColor="text1"/>
                <w:szCs w:val="21"/>
                <w:highlight w:val="none"/>
              </w:rPr>
            </w:r>
            <w:r>
              <w:rPr>
                <w:color w:val="000000" w:themeColor="text1"/>
              </w:rPr>
            </w:r>
          </w:p>
        </w:tc>
      </w:tr>
      <w:tr>
        <w:trPr>
          <w:gridAfter w:val="1"/>
          <w:trHeight w:val="340"/>
        </w:trPr>
        <w:tc>
          <w:tcPr>
            <w:tcMar>
              <w:left w:w="57" w:type="dxa"/>
              <w:top w:w="57" w:type="dxa"/>
              <w:right w:w="57" w:type="dxa"/>
              <w:bottom w:w="57" w:type="dxa"/>
            </w:tcMar>
            <w:tcW w:w="959" w:type="dxa"/>
            <w:vAlign w:val="center"/>
            <w:textDirection w:val="lrTb"/>
            <w:noWrap w:val="false"/>
          </w:tcPr>
          <w:p>
            <w:pPr>
              <w:pStyle w:val="799"/>
              <w:jc w:val="center"/>
              <w:spacing w:line="224"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三</w:t>
            </w:r>
            <w:r>
              <w:rPr>
                <w:rFonts w:hint="eastAsia" w:ascii="方正仿宋_GB2312" w:hAnsi="方正仿宋_GB2312" w:eastAsia="方正仿宋_GB2312" w:cs="方正仿宋_GB2312"/>
                <w:b/>
                <w:bCs/>
                <w:color w:val="000000" w:themeColor="text1"/>
                <w:szCs w:val="21"/>
                <w:highlight w:val="none"/>
              </w:rPr>
            </w:r>
            <w:r>
              <w:rPr>
                <w:color w:val="000000" w:themeColor="text1"/>
              </w:rPr>
            </w:r>
          </w:p>
          <w:p>
            <w:pPr>
              <w:pStyle w:val="799"/>
              <w:jc w:val="center"/>
              <w:spacing w:line="224"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其他管理</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tcMar>
              <w:left w:w="57" w:type="dxa"/>
              <w:top w:w="57" w:type="dxa"/>
              <w:right w:w="57" w:type="dxa"/>
              <w:bottom w:w="57" w:type="dxa"/>
            </w:tcMar>
            <w:tcW w:w="1120" w:type="dxa"/>
            <w:vAlign w:val="center"/>
            <w:textDirection w:val="lrTb"/>
            <w:noWrap w:val="false"/>
          </w:tcPr>
          <w:p>
            <w:pPr>
              <w:pStyle w:val="799"/>
              <w:jc w:val="center"/>
              <w:spacing w:line="224"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绿地清理</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tcMar>
              <w:left w:w="57" w:type="dxa"/>
              <w:top w:w="57" w:type="dxa"/>
              <w:right w:w="57" w:type="dxa"/>
              <w:bottom w:w="57" w:type="dxa"/>
            </w:tcMar>
            <w:tcW w:w="4073" w:type="dxa"/>
            <w:vAlign w:val="center"/>
            <w:textDirection w:val="lrTb"/>
            <w:noWrap w:val="false"/>
          </w:tcPr>
          <w:p>
            <w:pPr>
              <w:pStyle w:val="799"/>
              <w:numPr>
                <w:ilvl w:val="0"/>
                <w:numId w:val="0"/>
              </w:numPr>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1.绿地(含水面）整洁、干净。</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numPr>
                <w:ilvl w:val="0"/>
                <w:numId w:val="0"/>
              </w:numPr>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2.无影响景观的杂物、干枯枝叶、树挂；无乱涂乱画、乱拴乱挂、乱停乱放、乱搭乱建等。</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numPr>
                <w:ilvl w:val="0"/>
                <w:numId w:val="0"/>
              </w:numPr>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3.收集的垃圾杂物和枯枝落叶随产随清。</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4.有专人保洁，每天巡查、清扫不少于2次。</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664" w:type="dxa"/>
            <w:vAlign w:val="center"/>
            <w:textDirection w:val="lrTb"/>
            <w:noWrap w:val="false"/>
          </w:tcPr>
          <w:p>
            <w:pPr>
              <w:pStyle w:val="799"/>
              <w:numPr>
                <w:ilvl w:val="0"/>
                <w:numId w:val="0"/>
              </w:numPr>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1.绿地环境基本干净。</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numPr>
                <w:ilvl w:val="0"/>
                <w:numId w:val="0"/>
              </w:numPr>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2.及时清除影响景观的杂物、干枯枝叶、树挂、乱涂乱画、乱拴乱挂、乱停乱放、乱搭乱建等。</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numPr>
                <w:ilvl w:val="0"/>
                <w:numId w:val="0"/>
              </w:numPr>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3.收集的垃圾杂物和枯枝落叶日产日清。</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numPr>
                <w:ilvl w:val="0"/>
                <w:numId w:val="0"/>
              </w:numPr>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4.每天巡查、清扫不少于1次。</w:t>
            </w:r>
            <w:r>
              <w:rPr>
                <w:rFonts w:hint="eastAsia" w:ascii="方正仿宋_GB2312" w:hAnsi="方正仿宋_GB2312" w:eastAsia="方正仿宋_GB2312" w:cs="方正仿宋_GB2312"/>
                <w:color w:val="000000" w:themeColor="text1"/>
                <w:szCs w:val="21"/>
                <w:highlight w:val="none"/>
              </w:rPr>
            </w:r>
            <w:r>
              <w:rPr>
                <w:color w:val="000000" w:themeColor="text1"/>
              </w:rPr>
            </w:r>
          </w:p>
        </w:tc>
        <w:tc>
          <w:tcPr>
            <w:tcMar>
              <w:left w:w="57" w:type="dxa"/>
              <w:top w:w="57" w:type="dxa"/>
              <w:right w:w="57" w:type="dxa"/>
              <w:bottom w:w="57" w:type="dxa"/>
            </w:tcMar>
            <w:tcW w:w="4332" w:type="dxa"/>
            <w:vAlign w:val="center"/>
            <w:textDirection w:val="lrTb"/>
            <w:noWrap w:val="false"/>
          </w:tcPr>
          <w:p>
            <w:pPr>
              <w:pStyle w:val="799"/>
              <w:numPr>
                <w:ilvl w:val="0"/>
                <w:numId w:val="0"/>
              </w:numPr>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1.绿地环境较为干净。</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numPr>
                <w:ilvl w:val="0"/>
                <w:numId w:val="0"/>
              </w:numPr>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2.及时清除影响景观的杂物、干枯枝叶、树挂、乱涂乱画、乱拴乱挂、乱停乱放、乱搭乱建等。</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numPr>
                <w:ilvl w:val="0"/>
                <w:numId w:val="0"/>
              </w:numPr>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3.收集的垃圾杂物和枯枝落叶及时清理。</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numPr>
                <w:ilvl w:val="0"/>
                <w:numId w:val="0"/>
              </w:numPr>
              <w:ind w:firstLine="420"/>
              <w:spacing w:line="224"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4.定期巡查，每周清扫保洁不少于3次。</w:t>
            </w:r>
            <w:r>
              <w:rPr>
                <w:rFonts w:hint="eastAsia" w:ascii="方正仿宋_GB2312" w:hAnsi="方正仿宋_GB2312" w:eastAsia="方正仿宋_GB2312" w:cs="方正仿宋_GB2312"/>
                <w:color w:val="000000" w:themeColor="text1"/>
                <w:szCs w:val="21"/>
                <w:highlight w:val="none"/>
              </w:rPr>
            </w:r>
            <w:r>
              <w:rPr>
                <w:color w:val="000000" w:themeColor="text1"/>
              </w:rPr>
            </w:r>
          </w:p>
        </w:tc>
      </w:tr>
      <w:tr>
        <w:trPr>
          <w:gridAfter w:val="1"/>
          <w:trHeight w:val="340"/>
        </w:trPr>
        <w:tc>
          <w:tcPr>
            <w:tcMar>
              <w:left w:w="57" w:type="dxa"/>
              <w:top w:w="57" w:type="dxa"/>
              <w:right w:w="57" w:type="dxa"/>
              <w:bottom w:w="57" w:type="dxa"/>
            </w:tcMar>
            <w:tcW w:w="959" w:type="dxa"/>
            <w:vAlign w:val="center"/>
            <w:vMerge w:val="restart"/>
            <w:textDirection w:val="lrTb"/>
            <w:noWrap w:val="false"/>
          </w:tcPr>
          <w:p>
            <w:pPr>
              <w:pStyle w:val="799"/>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三</w:t>
            </w:r>
            <w:r>
              <w:rPr>
                <w:rFonts w:hint="eastAsia" w:ascii="方正仿宋_GB2312" w:hAnsi="方正仿宋_GB2312" w:eastAsia="方正仿宋_GB2312" w:cs="方正仿宋_GB2312"/>
                <w:b/>
                <w:bCs/>
                <w:color w:val="000000" w:themeColor="text1"/>
                <w:szCs w:val="21"/>
                <w:highlight w:val="none"/>
              </w:rPr>
            </w:r>
            <w:r>
              <w:rPr>
                <w:color w:val="000000" w:themeColor="text1"/>
              </w:rPr>
            </w:r>
          </w:p>
          <w:p>
            <w:pPr>
              <w:pStyle w:val="799"/>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其他管理</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tcMar>
              <w:left w:w="57" w:type="dxa"/>
              <w:top w:w="57" w:type="dxa"/>
              <w:right w:w="57" w:type="dxa"/>
              <w:bottom w:w="57" w:type="dxa"/>
            </w:tcMar>
            <w:tcW w:w="1120" w:type="dxa"/>
            <w:vAlign w:val="center"/>
            <w:textDirection w:val="lrTb"/>
            <w:noWrap w:val="false"/>
          </w:tcPr>
          <w:p>
            <w:pPr>
              <w:pStyle w:val="799"/>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人员、装备</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tcMar>
              <w:left w:w="57" w:type="dxa"/>
              <w:top w:w="57" w:type="dxa"/>
              <w:right w:w="57" w:type="dxa"/>
              <w:bottom w:w="57" w:type="dxa"/>
            </w:tcMar>
            <w:tcW w:w="4073" w:type="dxa"/>
            <w:vAlign w:val="center"/>
            <w:textDirection w:val="lrTb"/>
            <w:noWrap w:val="false"/>
          </w:tcPr>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1.在岗人员统一着装，衣帽整齐。</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2.修剪、浇水等必要的机械、工具齐全。</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805"/>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rPr>
              <w:t xml:space="preserve">3.作业车、巡逻车等车辆统一标识。</w:t>
            </w:r>
            <w:r>
              <w:rPr>
                <w:rFonts w:hint="eastAsia" w:ascii="方正仿宋_GB2312" w:hAnsi="方正仿宋_GB2312" w:eastAsia="方正仿宋_GB2312" w:cs="方正仿宋_GB2312"/>
                <w:color w:val="000000" w:themeColor="text1"/>
                <w:sz w:val="21"/>
                <w:szCs w:val="21"/>
                <w:highlight w:val="none"/>
              </w:rPr>
            </w:r>
            <w:r>
              <w:rPr>
                <w:color w:val="000000" w:themeColor="text1"/>
              </w:rPr>
            </w:r>
          </w:p>
        </w:tc>
        <w:tc>
          <w:tcPr>
            <w:tcMar>
              <w:left w:w="57" w:type="dxa"/>
              <w:top w:w="57" w:type="dxa"/>
              <w:right w:w="57" w:type="dxa"/>
              <w:bottom w:w="57" w:type="dxa"/>
            </w:tcMar>
            <w:tcW w:w="4664" w:type="dxa"/>
            <w:vAlign w:val="center"/>
            <w:textDirection w:val="lrTb"/>
            <w:noWrap w:val="false"/>
          </w:tcPr>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1.在岗人员能统一着装，衣帽整齐。</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2.修剪、浇水等必要的机械、工具齐全。</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805"/>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rPr>
              <w:t xml:space="preserve">3.作业车、巡逻车等车辆统一标识。</w:t>
            </w:r>
            <w:r>
              <w:rPr>
                <w:rFonts w:hint="eastAsia" w:ascii="方正仿宋_GB2312" w:hAnsi="方正仿宋_GB2312" w:eastAsia="方正仿宋_GB2312" w:cs="方正仿宋_GB2312"/>
                <w:color w:val="000000" w:themeColor="text1"/>
                <w:sz w:val="21"/>
                <w:szCs w:val="21"/>
                <w:highlight w:val="none"/>
              </w:rPr>
            </w:r>
            <w:r>
              <w:rPr>
                <w:color w:val="000000" w:themeColor="text1"/>
              </w:rPr>
            </w:r>
          </w:p>
        </w:tc>
        <w:tc>
          <w:tcPr>
            <w:tcMar>
              <w:left w:w="57" w:type="dxa"/>
              <w:top w:w="57" w:type="dxa"/>
              <w:right w:w="57" w:type="dxa"/>
              <w:bottom w:w="57" w:type="dxa"/>
            </w:tcMar>
            <w:tcW w:w="4332" w:type="dxa"/>
            <w:vAlign w:val="center"/>
            <w:textDirection w:val="lrTb"/>
            <w:noWrap w:val="false"/>
          </w:tcPr>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1.在岗人员能统一着装。</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2.配备修剪、浇水等必要的机械、工具。</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805"/>
              <w:ind w:firstLine="420"/>
              <w:spacing w:line="280" w:lineRule="exact"/>
              <w:rPr>
                <w:rFonts w:hint="eastAsia" w:ascii="方正仿宋_GB2312" w:hAnsi="方正仿宋_GB2312" w:eastAsia="方正仿宋_GB2312" w:cs="方正仿宋_GB2312"/>
                <w:color w:val="000000" w:themeColor="text1"/>
                <w:sz w:val="21"/>
                <w:szCs w:val="21"/>
                <w:highlight w:val="none"/>
              </w:rPr>
            </w:pPr>
            <w:r>
              <w:rPr>
                <w:rFonts w:hint="eastAsia" w:ascii="方正仿宋_GB2312" w:hAnsi="方正仿宋_GB2312" w:eastAsia="方正仿宋_GB2312" w:cs="方正仿宋_GB2312"/>
                <w:color w:val="000000" w:themeColor="text1"/>
                <w:sz w:val="21"/>
                <w:szCs w:val="21"/>
                <w:highlight w:val="none"/>
              </w:rPr>
              <w:t xml:space="preserve">3.作业车、巡逻车等车辆统一标识。</w:t>
            </w:r>
            <w:r>
              <w:rPr>
                <w:rFonts w:hint="eastAsia" w:ascii="方正仿宋_GB2312" w:hAnsi="方正仿宋_GB2312" w:eastAsia="方正仿宋_GB2312" w:cs="方正仿宋_GB2312"/>
                <w:color w:val="000000" w:themeColor="text1"/>
                <w:sz w:val="21"/>
                <w:szCs w:val="21"/>
                <w:highlight w:val="none"/>
              </w:rPr>
            </w:r>
            <w:r>
              <w:rPr>
                <w:color w:val="000000" w:themeColor="text1"/>
              </w:rP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799"/>
              <w:jc w:val="center"/>
              <w:spacing w:line="280"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799"/>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技术档案</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gridSpan w:val="2"/>
            <w:tcMar>
              <w:left w:w="57" w:type="dxa"/>
              <w:top w:w="57" w:type="dxa"/>
              <w:right w:w="57" w:type="dxa"/>
              <w:bottom w:w="57" w:type="dxa"/>
            </w:tcMar>
            <w:tcW w:w="8737" w:type="dxa"/>
            <w:vAlign w:val="center"/>
            <w:textDirection w:val="lrTb"/>
            <w:noWrap w:val="false"/>
          </w:tcPr>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1.档案健全、记录清晰、并有专人负责。</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2.建立完整的绿地养护管理档案，制定养护管理工作计划，定期总结。</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3.及时记录设施维修、苗木补植、草花更换等作业情况和生产管理资料。</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tcMar>
              <w:left w:w="57" w:type="dxa"/>
              <w:top w:w="57" w:type="dxa"/>
              <w:right w:w="57" w:type="dxa"/>
              <w:bottom w:w="57" w:type="dxa"/>
            </w:tcMar>
            <w:tcW w:w="4332" w:type="dxa"/>
            <w:vAlign w:val="center"/>
            <w:textDirection w:val="lrTb"/>
            <w:noWrap w:val="false"/>
          </w:tcPr>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养护管理档案、记录清晰。</w:t>
            </w:r>
            <w:r>
              <w:rPr>
                <w:rFonts w:hint="eastAsia" w:ascii="方正仿宋_GB2312" w:hAnsi="方正仿宋_GB2312" w:eastAsia="方正仿宋_GB2312" w:cs="方正仿宋_GB2312"/>
                <w:color w:val="000000" w:themeColor="text1"/>
                <w:szCs w:val="21"/>
                <w:highlight w:val="none"/>
              </w:rPr>
            </w:r>
            <w:r>
              <w:rPr>
                <w:color w:val="000000" w:themeColor="text1"/>
              </w:rPr>
            </w:r>
          </w:p>
        </w:tc>
      </w:tr>
      <w:tr>
        <w:trPr>
          <w:gridAfter w:val="1"/>
          <w:trHeight w:val="340"/>
        </w:trPr>
        <w:tc>
          <w:tcPr>
            <w:tcMar>
              <w:left w:w="57" w:type="dxa"/>
              <w:top w:w="57" w:type="dxa"/>
              <w:right w:w="57" w:type="dxa"/>
              <w:bottom w:w="57" w:type="dxa"/>
            </w:tcMar>
            <w:tcW w:w="959" w:type="dxa"/>
            <w:vAlign w:val="center"/>
            <w:vMerge w:val="continue"/>
            <w:textDirection w:val="lrTb"/>
            <w:noWrap w:val="false"/>
          </w:tcPr>
          <w:p>
            <w:pPr>
              <w:pStyle w:val="799"/>
              <w:jc w:val="center"/>
              <w:spacing w:line="280"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r>
            <w:r/>
          </w:p>
        </w:tc>
        <w:tc>
          <w:tcPr>
            <w:tcMar>
              <w:left w:w="57" w:type="dxa"/>
              <w:top w:w="57" w:type="dxa"/>
              <w:right w:w="57" w:type="dxa"/>
              <w:bottom w:w="57" w:type="dxa"/>
            </w:tcMar>
            <w:tcW w:w="1120" w:type="dxa"/>
            <w:vAlign w:val="center"/>
            <w:textDirection w:val="lrTb"/>
            <w:noWrap w:val="false"/>
          </w:tcPr>
          <w:p>
            <w:pPr>
              <w:pStyle w:val="799"/>
              <w:jc w:val="center"/>
              <w:spacing w:line="280" w:lineRule="exact"/>
              <w:rPr>
                <w:rFonts w:hint="eastAsia" w:ascii="方正仿宋_GB2312" w:hAnsi="方正仿宋_GB2312" w:eastAsia="方正仿宋_GB2312" w:cs="方正仿宋_GB2312"/>
                <w:b/>
                <w:bCs/>
                <w:color w:val="000000" w:themeColor="text1"/>
                <w:szCs w:val="21"/>
                <w:highlight w:val="none"/>
              </w:rPr>
            </w:pPr>
            <w:r>
              <w:rPr>
                <w:rFonts w:hint="eastAsia" w:ascii="方正仿宋_GB2312" w:hAnsi="方正仿宋_GB2312" w:eastAsia="方正仿宋_GB2312" w:cs="方正仿宋_GB2312"/>
                <w:b/>
                <w:bCs/>
                <w:color w:val="000000" w:themeColor="text1"/>
                <w:szCs w:val="21"/>
                <w:highlight w:val="none"/>
              </w:rPr>
              <w:t xml:space="preserve">安全文明</w:t>
            </w:r>
            <w:r>
              <w:rPr>
                <w:rFonts w:hint="eastAsia" w:ascii="方正仿宋_GB2312" w:hAnsi="方正仿宋_GB2312" w:eastAsia="方正仿宋_GB2312" w:cs="方正仿宋_GB2312"/>
                <w:b/>
                <w:bCs/>
                <w:color w:val="000000" w:themeColor="text1"/>
                <w:szCs w:val="21"/>
                <w:highlight w:val="none"/>
              </w:rPr>
            </w:r>
            <w:r>
              <w:rPr>
                <w:color w:val="000000" w:themeColor="text1"/>
              </w:rPr>
            </w:r>
          </w:p>
        </w:tc>
        <w:tc>
          <w:tcPr>
            <w:gridSpan w:val="3"/>
            <w:tcMar>
              <w:left w:w="57" w:type="dxa"/>
              <w:top w:w="57" w:type="dxa"/>
              <w:right w:w="57" w:type="dxa"/>
              <w:bottom w:w="57" w:type="dxa"/>
            </w:tcMar>
            <w:tcW w:w="13069" w:type="dxa"/>
            <w:vAlign w:val="center"/>
            <w:textDirection w:val="lrTb"/>
            <w:noWrap w:val="false"/>
          </w:tcPr>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1.建立健全安全生产责任制，做好隐患排查治理，提高安全管理水平。</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2.定期检查，及时维修、更换存在安全隐患设施设备，及时修剪过密树冠，避免恶劣天气枝干断落、大树倾倒等安全隐患。</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3.加强安全巡查，及时发现并排除绿地内铁丝、裸露电线、坑洞、木桩等安全隐患。</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4.履行绿地消防安全责任，配备必要的灭火设施，对火灾安全隐患及时发现并排除。</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5.从事大树修剪等登高作业活动的人员规范佩戴安全帽、安全带。</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6.养护作业现场规范有序，防护措施到位，在明显位置设有安全警示标识；浇水、喷药等活动减少对市民正常生活的影响。</w:t>
            </w: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20"/>
              <w:spacing w:line="280" w:lineRule="exact"/>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t xml:space="preserve">7.绿地内禁止存放化肥、农药、汽油等物品。</w:t>
            </w:r>
            <w:r>
              <w:rPr>
                <w:rFonts w:hint="eastAsia" w:ascii="方正仿宋_GB2312" w:hAnsi="方正仿宋_GB2312" w:eastAsia="方正仿宋_GB2312" w:cs="方正仿宋_GB2312"/>
                <w:color w:val="000000" w:themeColor="text1"/>
                <w:szCs w:val="21"/>
                <w:highlight w:val="none"/>
              </w:rPr>
            </w:r>
            <w:r>
              <w:rPr>
                <w:color w:val="000000" w:themeColor="text1"/>
              </w:rPr>
            </w:r>
          </w:p>
        </w:tc>
      </w:tr>
    </w:tbl>
    <w:p>
      <w:pPr>
        <w:pStyle w:val="799"/>
        <w:spacing w:line="276" w:lineRule="auto"/>
        <w:rPr>
          <w:rFonts w:hint="eastAsia" w:ascii="方正仿宋_GB2312" w:hAnsi="方正仿宋_GB2312" w:eastAsia="方正仿宋_GB2312" w:cs="方正仿宋_GB2312"/>
          <w:bCs/>
          <w:color w:val="000000" w:themeColor="text1"/>
          <w:sz w:val="24"/>
          <w:szCs w:val="24"/>
          <w:highlight w:val="none"/>
        </w:rPr>
        <w:sectPr>
          <w:headerReference w:type="default" r:id="rId10"/>
          <w:footerReference w:type="default" r:id="rId14"/>
          <w:footnotePr/>
          <w:endnotePr/>
          <w:type w:val="continuous"/>
          <w:pgSz w:w="16838" w:h="11906" w:orient="landscape"/>
          <w:pgMar w:top="1803" w:right="1440" w:bottom="1803" w:left="1440" w:header="851" w:footer="992" w:gutter="0"/>
          <w:cols w:num="1" w:sep="0" w:space="1701" w:equalWidth="1"/>
          <w:docGrid w:linePitch="360"/>
        </w:sectPr>
      </w:pPr>
      <w:r>
        <w:rPr>
          <w:rFonts w:hint="eastAsia" w:ascii="方正仿宋_GB2312" w:hAnsi="方正仿宋_GB2312" w:eastAsia="方正仿宋_GB2312" w:cs="方正仿宋_GB2312"/>
          <w:bCs/>
          <w:color w:val="000000" w:themeColor="text1"/>
          <w:sz w:val="24"/>
          <w:szCs w:val="24"/>
          <w:highlight w:val="none"/>
          <w:lang w:val="en-US" w:eastAsia="zh-CN"/>
        </w:rPr>
        <w:br w:type="page" w:clear="all"/>
      </w:r>
      <w:r>
        <w:rPr>
          <w:color w:val="000000" w:themeColor="text1"/>
        </w:rPr>
      </w:r>
    </w:p>
    <w:p>
      <w:pPr>
        <w:pStyle w:val="799"/>
        <w:spacing w:line="276" w:lineRule="auto"/>
        <w:rPr>
          <w:rFonts w:hint="eastAsia" w:ascii="方正仿宋_GB2312" w:hAnsi="方正仿宋_GB2312" w:eastAsia="方正仿宋_GB2312" w:cs="方正仿宋_GB2312"/>
          <w:b/>
          <w:bCs w:val="0"/>
          <w:color w:val="000000" w:themeColor="text1"/>
          <w:sz w:val="28"/>
          <w:szCs w:val="28"/>
          <w:highlight w:val="none"/>
        </w:rPr>
      </w:pPr>
      <w:r>
        <w:rPr>
          <w:rFonts w:hint="eastAsia" w:ascii="方正仿宋_GB2312" w:hAnsi="方正仿宋_GB2312" w:eastAsia="方正仿宋_GB2312" w:cs="方正仿宋_GB2312"/>
          <w:b/>
          <w:bCs w:val="0"/>
          <w:color w:val="000000" w:themeColor="text1"/>
          <w:sz w:val="28"/>
          <w:szCs w:val="28"/>
          <w:highlight w:val="none"/>
          <w:lang w:val="en-US" w:eastAsia="zh-CN"/>
        </w:rPr>
        <w:t xml:space="preserve">附件三：</w:t>
      </w:r>
      <w:r>
        <w:rPr>
          <w:rFonts w:hint="eastAsia" w:ascii="方正仿宋_GB2312" w:hAnsi="方正仿宋_GB2312" w:eastAsia="方正仿宋_GB2312" w:cs="方正仿宋_GB2312"/>
          <w:b/>
          <w:bCs w:val="0"/>
          <w:color w:val="000000" w:themeColor="text1"/>
          <w:sz w:val="28"/>
          <w:szCs w:val="28"/>
          <w:highlight w:val="none"/>
          <w:lang w:val="en-US" w:eastAsia="zh-CN"/>
        </w:rPr>
      </w:r>
      <w:r>
        <w:rPr>
          <w:color w:val="000000" w:themeColor="text1"/>
        </w:rPr>
      </w:r>
    </w:p>
    <w:p>
      <w:pPr>
        <w:pStyle w:val="799"/>
        <w:jc w:val="center"/>
        <w:spacing w:line="440" w:lineRule="exact"/>
        <w:rPr>
          <w:rFonts w:hint="eastAsia" w:ascii="方正仿宋_GB2312" w:hAnsi="方正仿宋_GB2312" w:eastAsia="方正仿宋_GB2312" w:cs="方正仿宋_GB2312"/>
          <w:b/>
          <w:bCs w:val="0"/>
          <w:color w:val="000000" w:themeColor="text1"/>
          <w:sz w:val="24"/>
          <w:szCs w:val="24"/>
          <w:highlight w:val="none"/>
        </w:rPr>
      </w:pPr>
      <w:r>
        <w:rPr>
          <w:rFonts w:hint="eastAsia" w:ascii="方正仿宋_GB2312" w:hAnsi="方正仿宋_GB2312" w:eastAsia="方正仿宋_GB2312" w:cs="方正仿宋_GB2312"/>
          <w:b/>
          <w:bCs w:val="0"/>
          <w:color w:val="000000" w:themeColor="text1"/>
          <w:sz w:val="24"/>
          <w:szCs w:val="24"/>
          <w:highlight w:val="none"/>
        </w:rPr>
        <w:t xml:space="preserve">绿化养护机械配置样式</w:t>
      </w:r>
      <w:r>
        <w:rPr>
          <w:rFonts w:hint="eastAsia" w:ascii="方正仿宋_GB2312" w:hAnsi="方正仿宋_GB2312" w:eastAsia="方正仿宋_GB2312" w:cs="方正仿宋_GB2312"/>
          <w:b/>
          <w:bCs w:val="0"/>
          <w:color w:val="000000" w:themeColor="text1"/>
          <w:sz w:val="24"/>
          <w:szCs w:val="24"/>
          <w:highlight w:val="none"/>
          <w:lang w:eastAsia="zh-CN"/>
        </w:rPr>
        <w:t xml:space="preserve">（</w:t>
      </w:r>
      <w:r>
        <w:rPr>
          <w:rFonts w:hint="eastAsia" w:ascii="方正仿宋_GB2312" w:hAnsi="方正仿宋_GB2312" w:eastAsia="方正仿宋_GB2312" w:cs="方正仿宋_GB2312"/>
          <w:b/>
          <w:bCs w:val="0"/>
          <w:color w:val="000000" w:themeColor="text1"/>
          <w:sz w:val="24"/>
          <w:szCs w:val="24"/>
          <w:highlight w:val="none"/>
          <w:lang w:val="en-US" w:eastAsia="zh-CN"/>
        </w:rPr>
        <w:t xml:space="preserve">参考图</w:t>
      </w:r>
      <w:r>
        <w:rPr>
          <w:rFonts w:hint="eastAsia" w:ascii="方正仿宋_GB2312" w:hAnsi="方正仿宋_GB2312" w:eastAsia="方正仿宋_GB2312" w:cs="方正仿宋_GB2312"/>
          <w:b/>
          <w:bCs w:val="0"/>
          <w:color w:val="000000" w:themeColor="text1"/>
          <w:sz w:val="24"/>
          <w:szCs w:val="24"/>
          <w:highlight w:val="none"/>
          <w:lang w:eastAsia="zh-CN"/>
        </w:rPr>
        <w:t xml:space="preserve">）</w:t>
      </w:r>
      <w:r>
        <w:rPr>
          <w:rFonts w:hint="eastAsia" w:ascii="方正仿宋_GB2312" w:hAnsi="方正仿宋_GB2312" w:eastAsia="方正仿宋_GB2312" w:cs="方正仿宋_GB2312"/>
          <w:b/>
          <w:bCs w:val="0"/>
          <w:color w:val="000000" w:themeColor="text1"/>
          <w:sz w:val="24"/>
          <w:szCs w:val="24"/>
          <w:highlight w:val="none"/>
          <w:lang w:eastAsia="zh-CN"/>
        </w:rPr>
      </w:r>
      <w:r>
        <w:rPr>
          <w:color w:val="000000" w:themeColor="text1"/>
        </w:rPr>
      </w:r>
    </w:p>
    <w:p>
      <w:pPr>
        <w:pStyle w:val="799"/>
        <w:ind w:firstLine="132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洒水车</w:t>
      </w:r>
      <w:r>
        <w:rPr>
          <w:rFonts w:hint="eastAsia" w:ascii="方正仿宋_GB2312" w:hAnsi="方正仿宋_GB2312" w:eastAsia="方正仿宋_GB2312" w:cs="方正仿宋_GB2312"/>
          <w:color w:val="000000" w:themeColor="text1"/>
          <w:sz w:val="24"/>
          <w:szCs w:val="24"/>
          <w:highlight w:val="none"/>
        </w:rPr>
        <w:t xml:space="preserve">                                 </w:t>
      </w:r>
      <w:r>
        <w:rPr>
          <w:rFonts w:hint="eastAsia" w:ascii="方正仿宋_GB2312" w:hAnsi="方正仿宋_GB2312" w:eastAsia="方正仿宋_GB2312" w:cs="方正仿宋_GB2312"/>
          <w:b/>
          <w:bCs/>
          <w:color w:val="000000" w:themeColor="text1"/>
          <w:sz w:val="24"/>
          <w:szCs w:val="24"/>
          <w:highlight w:val="none"/>
        </w:rPr>
        <w:t xml:space="preserve">皮卡车</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spacing w:line="276" w:lineRule="auto"/>
        <w:rPr>
          <w:rFonts w:ascii="仿宋" w:hAnsi="仿宋" w:eastAsia="仿宋"/>
          <w:color w:val="000000" w:themeColor="text1"/>
          <w:sz w:val="24"/>
          <w:szCs w:val="24"/>
          <w:highlight w:val="none"/>
        </w:rPr>
      </w:pPr>
      <w:r>
        <w:rPr>
          <w:rFonts w:ascii="仿宋" w:hAnsi="仿宋" w:eastAsia="仿宋"/>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3135630</wp:posOffset>
                </wp:positionH>
                <wp:positionV relativeFrom="paragraph">
                  <wp:posOffset>43815</wp:posOffset>
                </wp:positionV>
                <wp:extent cx="2400300" cy="194246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400300" cy="1942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246.9pt;mso-position-horizontal:absolute;mso-position-vertical-relative:text;margin-top:3.4pt;mso-position-vertical:absolute;width:189.0pt;height:152.9pt;mso-wrap-distance-left:9.0pt;mso-wrap-distance-top:0.0pt;mso-wrap-distance-right:9.0pt;mso-wrap-distance-bottom:0.0pt;" stroked="f">
                <v:path textboxrect="0,0,0,0"/>
                <v:imagedata r:id="rId15" o:title=""/>
              </v:shape>
            </w:pict>
          </mc:Fallback>
        </mc:AlternateContent>
      </w:r>
      <w:r>
        <w:rPr>
          <w:rFonts w:ascii="仿宋" w:hAnsi="仿宋" w:eastAsia="仿宋"/>
          <w:color w:val="000000" w:themeColor="text1"/>
          <w:sz w:val="24"/>
          <w:szCs w:val="24"/>
          <w:highlight w:val="none"/>
        </w:rPr>
        <mc:AlternateContent>
          <mc:Choice Requires="wpg">
            <w:drawing>
              <wp:inline xmlns:wp="http://schemas.openxmlformats.org/drawingml/2006/wordprocessingDrawing" distT="0" distB="0" distL="0" distR="0">
                <wp:extent cx="3001810" cy="196532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001810" cy="196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36.4pt;height:154.8pt;mso-wrap-distance-left:0.0pt;mso-wrap-distance-top:0.0pt;mso-wrap-distance-right:0.0pt;mso-wrap-distance-bottom:0.0pt;" stroked="f">
                <v:path textboxrect="0,0,0,0"/>
                <v:imagedata r:id="rId16" o:title=""/>
              </v:shape>
            </w:pict>
          </mc:Fallback>
        </mc:AlternateContent>
      </w:r>
      <w:r>
        <w:rPr>
          <w:rFonts w:ascii="仿宋" w:hAnsi="仿宋" w:eastAsia="仿宋"/>
          <w:color w:val="000000" w:themeColor="text1"/>
          <w:sz w:val="24"/>
          <w:szCs w:val="24"/>
          <w:highlight w:val="none"/>
        </w:rPr>
      </w:r>
      <w:r>
        <w:rPr>
          <w:color w:val="000000" w:themeColor="text1"/>
        </w:rPr>
      </w:r>
    </w:p>
    <w:p>
      <w:pPr>
        <w:pStyle w:val="799"/>
        <w:spacing w:line="276"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注：</w:t>
      </w:r>
      <w:r>
        <w:rPr>
          <w:rFonts w:hint="eastAsia" w:ascii="方正仿宋_GB2312" w:hAnsi="方正仿宋_GB2312" w:eastAsia="方正仿宋_GB2312" w:cs="方正仿宋_GB2312"/>
          <w:b/>
          <w:bCs/>
          <w:color w:val="000000" w:themeColor="text1"/>
          <w:sz w:val="24"/>
          <w:szCs w:val="24"/>
          <w:highlight w:val="none"/>
        </w:rPr>
        <w:t xml:space="preserve">不得使用改装农用车等非整车出厂车辆</w:t>
      </w:r>
      <w:r>
        <w:rPr>
          <w:rFonts w:hint="eastAsia" w:ascii="方正仿宋_GB2312" w:hAnsi="方正仿宋_GB2312" w:eastAsia="方正仿宋_GB2312" w:cs="方正仿宋_GB2312"/>
          <w:b/>
          <w:bCs/>
          <w:color w:val="000000" w:themeColor="text1"/>
          <w:sz w:val="24"/>
          <w:szCs w:val="24"/>
          <w:highlight w:val="none"/>
          <w:lang w:eastAsia="zh-CN"/>
        </w:rPr>
        <w:t xml:space="preserve">。</w:t>
      </w:r>
      <w:r>
        <w:rPr>
          <w:rFonts w:hint="eastAsia" w:ascii="方正仿宋_GB2312" w:hAnsi="方正仿宋_GB2312" w:eastAsia="方正仿宋_GB2312" w:cs="方正仿宋_GB2312"/>
          <w:b/>
          <w:bCs/>
          <w:color w:val="000000" w:themeColor="text1"/>
          <w:sz w:val="24"/>
          <w:szCs w:val="24"/>
          <w:highlight w:val="none"/>
        </w:rPr>
        <w:t xml:space="preserve">）</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p>
      <w:pPr>
        <w:pStyle w:val="799"/>
        <w:ind w:firstLine="1446"/>
        <w:spacing w:line="276" w:lineRule="auto"/>
        <w:rPr>
          <w:rFonts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草坪打孔机                       </w:t>
      </w:r>
      <w:r>
        <w:rPr>
          <w:rFonts w:hint="eastAsia" w:ascii="方正仿宋_GB2312" w:hAnsi="方正仿宋_GB2312" w:eastAsia="方正仿宋_GB2312" w:cs="方正仿宋_GB2312"/>
          <w:b/>
          <w:bCs/>
          <w:color w:val="000000" w:themeColor="text1"/>
          <w:sz w:val="24"/>
          <w:szCs w:val="24"/>
          <w:highlight w:val="none"/>
        </w:rPr>
        <w:t xml:space="preserve">座骑式草坪修剪机</w:t>
      </w:r>
      <w:r>
        <w:rPr>
          <w:rFonts w:ascii="方正仿宋_GB2312" w:hAnsi="方正仿宋_GB2312" w:eastAsia="方正仿宋_GB2312" w:cs="方正仿宋_GB2312"/>
          <w:b/>
          <w:bCs/>
          <w:color w:val="000000" w:themeColor="text1"/>
          <w:sz w:val="24"/>
          <w:szCs w:val="24"/>
          <w:highlight w:val="none"/>
          <w:lang w:val="en-US" w:eastAsia="zh-CN"/>
        </w:rPr>
      </w:r>
      <w:r>
        <w:rPr>
          <w:color w:val="000000" w:themeColor="text1"/>
        </w:rPr>
      </w:r>
    </w:p>
    <w:tbl>
      <w:tblPr>
        <w:tblStyle w:val="821"/>
        <w:tblW w:w="8893" w:type="dxa"/>
        <w:tblInd w:w="-23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889"/>
        <w:gridCol w:w="4671"/>
      </w:tblGrid>
      <w:tr>
        <w:trPr>
          <w:trHeight w:val="4225"/>
        </w:trPr>
        <w:tc>
          <w:tcPr>
            <w:tcW w:w="4392" w:type="dxa"/>
            <w:vAlign w:val="top"/>
            <w:textDirection w:val="lrTb"/>
            <w:noWrap w:val="false"/>
          </w:tcPr>
          <w:p>
            <w:pPr>
              <w:pStyle w:val="799"/>
              <w:spacing w:line="276" w:lineRule="auto"/>
              <w:rPr>
                <w:rFonts w:hint="eastAsia" w:ascii="仿宋" w:hAnsi="仿宋" w:eastAsia="仿宋" w:cs="宋体"/>
                <w:b/>
                <w:bCs/>
                <w:color w:val="000000" w:themeColor="text1"/>
                <w:sz w:val="24"/>
                <w:szCs w:val="24"/>
                <w:highlight w:val="none"/>
                <w:vertAlign w:val="baseline"/>
              </w:rPr>
            </w:pPr>
            <w:r>
              <w:rPr>
                <w:rFonts w:hint="eastAsia" w:ascii="仿宋" w:hAnsi="仿宋" w:eastAsia="仿宋" w:cs="宋体"/>
                <w:b/>
                <w:bCs/>
                <w:color w:val="000000" w:themeColor="text1"/>
                <w:sz w:val="24"/>
                <w:szCs w:val="24"/>
                <w:highlight w:val="none"/>
                <w:vertAlign w:val="baseline"/>
                <w:lang w:val="en-US" w:eastAsia="zh-CN"/>
              </w:rPr>
              <mc:AlternateContent>
                <mc:Choice Requires="wpg">
                  <w:drawing>
                    <wp:inline xmlns:wp="http://schemas.openxmlformats.org/drawingml/2006/wordprocessingDrawing" distT="0" distB="0" distL="0" distR="0">
                      <wp:extent cx="2967647" cy="2574989"/>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967647" cy="25749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33.7pt;height:202.8pt;mso-wrap-distance-left:0.0pt;mso-wrap-distance-top:0.0pt;mso-wrap-distance-right:0.0pt;mso-wrap-distance-bottom:0.0pt;" stroked="f">
                      <v:path textboxrect="0,0,0,0"/>
                      <v:imagedata r:id="rId17" o:title=""/>
                    </v:shape>
                  </w:pict>
                </mc:Fallback>
              </mc:AlternateContent>
            </w:r>
            <w:r>
              <w:rPr>
                <w:rFonts w:hint="eastAsia" w:ascii="仿宋" w:hAnsi="仿宋" w:eastAsia="仿宋" w:cs="宋体"/>
                <w:b/>
                <w:bCs/>
                <w:color w:val="000000" w:themeColor="text1"/>
                <w:sz w:val="24"/>
                <w:szCs w:val="24"/>
                <w:highlight w:val="none"/>
                <w:vertAlign w:val="baseline"/>
                <w:lang w:val="en-US" w:eastAsia="zh-CN"/>
              </w:rPr>
            </w:r>
            <w:r>
              <w:rPr>
                <w:color w:val="000000" w:themeColor="text1"/>
              </w:rPr>
            </w:r>
          </w:p>
        </w:tc>
        <w:tc>
          <w:tcPr>
            <w:tcW w:w="4501" w:type="dxa"/>
            <w:vAlign w:val="top"/>
            <w:textDirection w:val="lrTb"/>
            <w:noWrap w:val="false"/>
          </w:tcPr>
          <w:p>
            <w:pPr>
              <w:pStyle w:val="799"/>
              <w:ind w:firstLine="240"/>
              <w:spacing w:line="276" w:lineRule="auto"/>
              <w:rPr>
                <w:rFonts w:hint="eastAsia" w:ascii="仿宋" w:hAnsi="仿宋" w:eastAsia="仿宋" w:cs="宋体"/>
                <w:b/>
                <w:bCs/>
                <w:color w:val="000000" w:themeColor="text1"/>
                <w:sz w:val="24"/>
                <w:szCs w:val="24"/>
                <w:highlight w:val="none"/>
                <w:vertAlign w:val="baseline"/>
              </w:rPr>
            </w:pPr>
            <w:r>
              <w:rPr>
                <w:rFonts w:hint="eastAsia" w:ascii="仿宋" w:hAnsi="仿宋" w:eastAsia="仿宋"/>
                <w:color w:val="000000" w:themeColor="text1"/>
                <w:sz w:val="24"/>
                <w:szCs w:val="24"/>
                <w:highlight w:val="none"/>
                <w:vertAlign w:val="baseline"/>
                <w:lang w:eastAsia="zh-CN"/>
              </w:rPr>
              <mc:AlternateContent>
                <mc:Choice Requires="wpg">
                  <w:drawing>
                    <wp:inline xmlns:wp="http://schemas.openxmlformats.org/drawingml/2006/wordprocessingDrawing" distT="0" distB="0" distL="0" distR="0">
                      <wp:extent cx="2695575" cy="223647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695575" cy="2236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12.2pt;height:176.1pt;mso-wrap-distance-left:0.0pt;mso-wrap-distance-top:0.0pt;mso-wrap-distance-right:0.0pt;mso-wrap-distance-bottom:0.0pt;" stroked="f">
                      <v:path textboxrect="0,0,0,0"/>
                      <v:imagedata r:id="rId18" o:title=""/>
                    </v:shape>
                  </w:pict>
                </mc:Fallback>
              </mc:AlternateContent>
            </w:r>
            <w:r>
              <w:rPr>
                <w:rFonts w:hint="eastAsia" w:ascii="仿宋" w:hAnsi="仿宋" w:eastAsia="仿宋" w:cs="宋体"/>
                <w:b/>
                <w:bCs/>
                <w:color w:val="000000" w:themeColor="text1"/>
                <w:sz w:val="24"/>
                <w:szCs w:val="24"/>
                <w:highlight w:val="none"/>
                <w:vertAlign w:val="baseline"/>
                <w:lang w:val="en-US" w:eastAsia="zh-CN"/>
              </w:rPr>
            </w:r>
            <w:r>
              <w:rPr>
                <w:color w:val="000000" w:themeColor="text1"/>
              </w:rPr>
            </w:r>
          </w:p>
        </w:tc>
      </w:tr>
    </w:tbl>
    <w:p>
      <w:pPr>
        <w:pStyle w:val="799"/>
        <w:spacing w:line="276" w:lineRule="auto"/>
        <w:rPr>
          <w:rFonts w:hint="eastAsia"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lang w:val="en-US" w:eastAsia="zh-CN"/>
        </w:rPr>
        <w:t xml:space="preserve">                              </w:t>
      </w:r>
      <w:r>
        <w:rPr>
          <w:rFonts w:hint="eastAsia" w:ascii="仿宋" w:hAnsi="仿宋" w:eastAsia="仿宋" w:cs="宋体"/>
          <w:color w:val="000000" w:themeColor="text1"/>
          <w:sz w:val="24"/>
          <w:szCs w:val="24"/>
          <w:highlight w:val="none"/>
          <w:lang w:val="en-US" w:eastAsia="zh-CN"/>
        </w:rPr>
      </w:r>
      <w:r>
        <w:rPr>
          <w:color w:val="000000" w:themeColor="text1"/>
        </w:rPr>
      </w:r>
    </w:p>
    <w:p>
      <w:pPr>
        <w:pStyle w:val="799"/>
        <w:jc w:val="center"/>
        <w:spacing w:line="276" w:lineRule="auto"/>
        <w:rPr>
          <w:rFonts w:ascii="仿宋" w:hAnsi="仿宋" w:eastAsia="仿宋"/>
          <w:b/>
          <w:bCs/>
          <w:color w:val="000000" w:themeColor="text1"/>
          <w:sz w:val="24"/>
          <w:szCs w:val="24"/>
          <w:highlight w:val="none"/>
        </w:rPr>
      </w:pPr>
      <w:r>
        <w:rPr>
          <w:rFonts w:hint="eastAsia" w:ascii="仿宋" w:hAnsi="仿宋" w:eastAsia="仿宋" w:cs="宋体"/>
          <w:color w:val="000000" w:themeColor="text1"/>
          <w:sz w:val="24"/>
          <w:szCs w:val="24"/>
          <w:highlight w:val="none"/>
          <w:lang w:val="en-US" w:eastAsia="zh-CN"/>
        </w:rPr>
        <w:br w:type="page" w:clear="all"/>
      </w:r>
      <w:r>
        <w:rPr>
          <w:rFonts w:ascii="仿宋" w:hAnsi="仿宋" w:eastAsia="仿宋"/>
          <w:b/>
          <w:bCs/>
          <w:color w:val="000000" w:themeColor="text1"/>
          <w:sz w:val="24"/>
          <w:szCs w:val="24"/>
          <w:highlight w:val="none"/>
          <w:lang w:val="en-US" w:eastAsia="zh-CN"/>
        </w:rPr>
      </w:r>
      <w:r>
        <w:rPr>
          <w:color w:val="000000" w:themeColor="text1"/>
        </w:rPr>
      </w:r>
    </w:p>
    <w:p>
      <w:pPr>
        <w:pStyle w:val="799"/>
        <w:jc w:val="center"/>
        <w:spacing w:line="276" w:lineRule="auto"/>
        <w:tabs>
          <w:tab w:val="right" w:pos="8312" w:leader="none"/>
        </w:tabs>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手推式</w:t>
      </w:r>
      <w:r>
        <w:rPr>
          <w:rFonts w:hint="eastAsia" w:ascii="方正仿宋_GB2312" w:hAnsi="方正仿宋_GB2312" w:eastAsia="方正仿宋_GB2312" w:cs="方正仿宋_GB2312"/>
          <w:b/>
          <w:bCs/>
          <w:color w:val="000000" w:themeColor="text1"/>
          <w:sz w:val="24"/>
          <w:szCs w:val="24"/>
          <w:highlight w:val="none"/>
        </w:rPr>
        <w:t xml:space="preserve">草坪修剪机</w:t>
      </w:r>
      <w:r>
        <w:rPr>
          <w:rFonts w:hint="eastAsia" w:ascii="方正仿宋_GB2312" w:hAnsi="方正仿宋_GB2312" w:eastAsia="方正仿宋_GB2312" w:cs="方正仿宋_GB2312"/>
          <w:color w:val="000000" w:themeColor="text1"/>
          <w:sz w:val="24"/>
          <w:szCs w:val="24"/>
          <w:highlight w:val="none"/>
        </w:rPr>
        <w:fldChar w:fldCharType="begin"/>
      </w:r>
      <w:r>
        <w:rPr>
          <w:rFonts w:hint="eastAsia" w:ascii="方正仿宋_GB2312" w:hAnsi="方正仿宋_GB2312" w:eastAsia="方正仿宋_GB2312" w:cs="方正仿宋_GB2312"/>
          <w:color w:val="000000" w:themeColor="text1"/>
          <w:sz w:val="24"/>
          <w:szCs w:val="24"/>
          <w:highlight w:val="none"/>
        </w:rPr>
        <w:instrText xml:space="preserve">INCLUDEPICTURE \d "https://gimg2.baidu</w:instrText>
      </w:r>
      <w:r>
        <w:rPr>
          <w:rFonts w:hint="eastAsia" w:ascii="方正仿宋_GB2312" w:hAnsi="方正仿宋_GB2312" w:eastAsia="方正仿宋_GB2312" w:cs="方正仿宋_GB2312"/>
          <w:color w:val="000000" w:themeColor="text1"/>
          <w:sz w:val="24"/>
          <w:szCs w:val="24"/>
          <w:highlight w:val="none"/>
        </w:rPr>
        <w:instrText xml:space="preserve">.com/image_search/src=http://img.alicdn.com/bao/uploaded/i3/59642743/O1CN01a797e91W8KzD1xsL4_!!59642743.jpg&amp;refer=http://img.alicdn.com&amp;app=2002&amp;size=f9999,10000&amp;q=a80&amp;n=0&amp;g=0n&amp;fmt=auto?sec=1692860241&amp;t=906df0bc82eeca94a9f4b9108e3ade14" \* MERGEFORMATINET </w:instrText>
      </w:r>
      <w:r>
        <w:rPr>
          <w:rFonts w:hint="eastAsia" w:ascii="方正仿宋_GB2312" w:hAnsi="方正仿宋_GB2312" w:eastAsia="方正仿宋_GB2312" w:cs="方正仿宋_GB2312"/>
          <w:color w:val="000000" w:themeColor="text1"/>
          <w:sz w:val="24"/>
          <w:szCs w:val="24"/>
          <w:highlight w:val="none"/>
        </w:rPr>
        <w:fldChar w:fldCharType="end"/>
      </w:r>
      <w:r>
        <w:rPr>
          <w:rFonts w:hint="eastAsia" w:ascii="方正仿宋_GB2312" w:hAnsi="方正仿宋_GB2312" w:eastAsia="方正仿宋_GB2312" w:cs="方正仿宋_GB2312"/>
          <w:color w:val="000000" w:themeColor="text1"/>
          <w:sz w:val="24"/>
          <w:szCs w:val="24"/>
          <w:highlight w:val="none"/>
        </w:rPr>
        <w:t xml:space="preserve">         </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b/>
          <w:bCs/>
          <w:color w:val="000000" w:themeColor="text1"/>
          <w:sz w:val="24"/>
          <w:szCs w:val="24"/>
          <w:highlight w:val="none"/>
        </w:rPr>
        <w:t xml:space="preserve">吹扫机</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240"/>
        <w:spacing w:line="276" w:lineRule="auto"/>
        <w:tabs>
          <w:tab w:val="right" w:pos="8312" w:leader="none"/>
        </w:tabs>
        <w:rPr>
          <w:rFonts w:ascii="仿宋" w:hAnsi="仿宋" w:eastAsia="仿宋" w:cs="宋体"/>
          <w:color w:val="000000" w:themeColor="text1"/>
          <w:sz w:val="24"/>
          <w:szCs w:val="24"/>
          <w:highlight w:val="none"/>
        </w:rPr>
      </w:pPr>
      <w:r>
        <w:rPr>
          <w:rFonts w:ascii="仿宋" w:hAnsi="仿宋" w:eastAsia="仿宋"/>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3147060</wp:posOffset>
                </wp:positionH>
                <wp:positionV relativeFrom="paragraph">
                  <wp:posOffset>81915</wp:posOffset>
                </wp:positionV>
                <wp:extent cx="2613660" cy="223329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613660" cy="2233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0609663;o:allowoverlap:true;o:allowincell:true;mso-position-horizontal-relative:text;margin-left:247.8pt;mso-position-horizontal:absolute;mso-position-vertical-relative:text;margin-top:6.4pt;mso-position-vertical:absolute;width:205.8pt;height:175.8pt;mso-wrap-distance-left:9.0pt;mso-wrap-distance-top:0.0pt;mso-wrap-distance-right:9.0pt;mso-wrap-distance-bottom:0.0pt;" stroked="f">
                <v:path textboxrect="0,0,0,0"/>
                <v:imagedata r:id="rId19" o:title=""/>
              </v:shape>
            </w:pict>
          </mc:Fallback>
        </mc:AlternateContent>
      </w:r>
      <w:r>
        <w:rPr>
          <w:rFonts w:ascii="仿宋" w:hAnsi="仿宋" w:eastAsia="仿宋" w:cs="宋体"/>
          <w:color w:val="000000" w:themeColor="text1"/>
          <w:sz w:val="24"/>
          <w:szCs w:val="24"/>
          <w:highlight w:val="none"/>
        </w:rPr>
        <w:fldChar w:fldCharType="begin"/>
      </w:r>
      <w:r>
        <w:rPr>
          <w:rFonts w:ascii="仿宋" w:hAnsi="仿宋" w:eastAsia="仿宋" w:cs="宋体"/>
          <w:color w:val="000000" w:themeColor="text1"/>
          <w:sz w:val="24"/>
          <w:szCs w:val="24"/>
          <w:highlight w:val="none"/>
        </w:rPr>
        <w:instrText xml:space="preserve">INCLUDEPICTURE \d "https://img2.fr-trading.com/0/5_748_1603788_800_800.jpg.webp" \* MERGEFORMATINET </w:instrText>
      </w:r>
      <w:r>
        <w:rPr>
          <w:rFonts w:ascii="仿宋" w:hAnsi="仿宋" w:eastAsia="仿宋" w:cs="宋体"/>
          <w:color w:val="000000" w:themeColor="text1"/>
          <w:sz w:val="24"/>
          <w:szCs w:val="24"/>
          <w:highlight w:val="none"/>
        </w:rPr>
        <w:fldChar w:fldCharType="separate"/>
      </w:r>
      <w:r>
        <w:rPr>
          <w:rFonts w:ascii="仿宋" w:hAnsi="仿宋" w:eastAsia="仿宋" w:cs="宋体"/>
          <w:color w:val="000000" w:themeColor="text1"/>
          <w:sz w:val="24"/>
          <w:szCs w:val="24"/>
          <w:highlight w:val="none"/>
        </w:rPr>
        <mc:AlternateContent>
          <mc:Choice Requires="wpg">
            <w:drawing>
              <wp:inline xmlns:wp="http://schemas.openxmlformats.org/drawingml/2006/wordprocessingDrawing" distT="0" distB="0" distL="0" distR="0">
                <wp:extent cx="2802890" cy="2279383"/>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802890" cy="22793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20.7pt;height:179.5pt;mso-wrap-distance-left:0.0pt;mso-wrap-distance-top:0.0pt;mso-wrap-distance-right:0.0pt;mso-wrap-distance-bottom:0.0pt;" stroked="f">
                <v:path textboxrect="0,0,0,0"/>
                <v:imagedata r:id="rId20" o:title=""/>
              </v:shape>
            </w:pict>
          </mc:Fallback>
        </mc:AlternateContent>
      </w:r>
      <w:r>
        <w:rPr>
          <w:rFonts w:ascii="仿宋" w:hAnsi="仿宋" w:eastAsia="仿宋" w:cs="宋体"/>
          <w:color w:val="000000" w:themeColor="text1"/>
          <w:sz w:val="24"/>
          <w:szCs w:val="24"/>
          <w:highlight w:val="none"/>
        </w:rPr>
        <w:fldChar w:fldCharType="end"/>
      </w:r>
      <w:r>
        <w:rPr>
          <w:rFonts w:ascii="仿宋" w:hAnsi="仿宋" w:eastAsia="仿宋" w:cs="宋体"/>
          <w:color w:val="000000" w:themeColor="text1"/>
          <w:sz w:val="24"/>
          <w:szCs w:val="24"/>
          <w:highlight w:val="none"/>
        </w:rPr>
      </w:r>
      <w:r>
        <w:rPr>
          <w:color w:val="000000" w:themeColor="text1"/>
        </w:rPr>
      </w:r>
    </w:p>
    <w:p>
      <w:pPr>
        <w:pStyle w:val="799"/>
        <w:ind w:firstLine="1560"/>
        <w:spacing w:line="276"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运载货车</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b/>
          <w:bCs/>
          <w:color w:val="000000" w:themeColor="text1"/>
          <w:sz w:val="24"/>
          <w:szCs w:val="24"/>
          <w:highlight w:val="none"/>
        </w:rPr>
        <w:t xml:space="preserve">手推机动喷雾器</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tbl>
      <w:tblPr>
        <w:tblStyle w:val="821"/>
        <w:tblW w:w="9109"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076"/>
        <w:gridCol w:w="4033"/>
      </w:tblGrid>
      <w:tr>
        <w:trPr>
          <w:trHeight w:val="4182"/>
        </w:trPr>
        <w:tc>
          <w:tcPr>
            <w:tcW w:w="5076" w:type="dxa"/>
            <w:vAlign w:val="top"/>
            <w:textDirection w:val="lrTb"/>
            <w:noWrap w:val="false"/>
          </w:tcPr>
          <w:p>
            <w:pPr>
              <w:pStyle w:val="799"/>
              <w:spacing w:line="276" w:lineRule="auto"/>
              <w:rPr>
                <w:rFonts w:hint="eastAsia" w:ascii="仿宋" w:hAnsi="仿宋" w:eastAsia="仿宋" w:cs="宋体"/>
                <w:color w:val="000000" w:themeColor="text1"/>
                <w:sz w:val="24"/>
                <w:szCs w:val="24"/>
                <w:highlight w:val="none"/>
                <w:vertAlign w:val="baseline"/>
              </w:rPr>
            </w:pPr>
            <w:r>
              <w:rPr>
                <w:rFonts w:ascii="仿宋" w:hAnsi="仿宋" w:eastAsia="仿宋"/>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3202305</wp:posOffset>
                      </wp:positionH>
                      <wp:positionV relativeFrom="paragraph">
                        <wp:posOffset>22860</wp:posOffset>
                      </wp:positionV>
                      <wp:extent cx="2512060" cy="255333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512060" cy="2553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2;o:allowoverlap:true;o:allowincell:true;mso-position-horizontal-relative:text;margin-left:252.1pt;mso-position-horizontal:absolute;mso-position-vertical-relative:text;margin-top:1.8pt;mso-position-vertical:absolute;width:197.8pt;height:201.0pt;mso-wrap-distance-left:9.0pt;mso-wrap-distance-top:0.0pt;mso-wrap-distance-right:9.0pt;mso-wrap-distance-bottom:0.0pt;" stroked="f">
                      <v:path textboxrect="0,0,0,0"/>
                      <v:imagedata r:id="rId21" o:title=""/>
                    </v:shape>
                  </w:pict>
                </mc:Fallback>
              </mc:AlternateContent>
            </w:r>
            <w:r>
              <w:rPr>
                <w:rFonts w:hint="eastAsia" w:ascii="仿宋" w:hAnsi="仿宋" w:eastAsia="仿宋" w:cs="宋体"/>
                <w:color w:val="000000" w:themeColor="text1"/>
                <w:sz w:val="24"/>
                <w:szCs w:val="24"/>
                <w:highlight w:val="none"/>
                <w:vertAlign w:val="baseline"/>
                <w:lang w:eastAsia="zh-CN"/>
              </w:rPr>
              <mc:AlternateContent>
                <mc:Choice Requires="wpg">
                  <w:drawing>
                    <wp:inline xmlns:wp="http://schemas.openxmlformats.org/drawingml/2006/wordprocessingDrawing" distT="0" distB="0" distL="0" distR="0">
                      <wp:extent cx="3060014" cy="2510028"/>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3060014" cy="25100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40.9pt;height:197.6pt;mso-wrap-distance-left:0.0pt;mso-wrap-distance-top:0.0pt;mso-wrap-distance-right:0.0pt;mso-wrap-distance-bottom:0.0pt;" stroked="f">
                      <v:path textboxrect="0,0,0,0"/>
                      <v:imagedata r:id="rId22" o:title=""/>
                    </v:shape>
                  </w:pict>
                </mc:Fallback>
              </mc:AlternateContent>
            </w:r>
            <w:r>
              <w:rPr>
                <w:rFonts w:hint="eastAsia" w:ascii="仿宋" w:hAnsi="仿宋" w:eastAsia="仿宋" w:cs="宋体"/>
                <w:color w:val="000000" w:themeColor="text1"/>
                <w:sz w:val="24"/>
                <w:szCs w:val="24"/>
                <w:highlight w:val="none"/>
                <w:vertAlign w:val="baseline"/>
                <w:lang w:eastAsia="zh-CN"/>
              </w:rPr>
            </w:r>
            <w:r>
              <w:rPr>
                <w:color w:val="000000" w:themeColor="text1"/>
              </w:rPr>
            </w:r>
          </w:p>
        </w:tc>
        <w:tc>
          <w:tcPr>
            <w:tcW w:w="4033" w:type="dxa"/>
            <w:vAlign w:val="top"/>
            <w:textDirection w:val="lrTb"/>
            <w:noWrap w:val="false"/>
          </w:tcPr>
          <w:p>
            <w:pPr>
              <w:pStyle w:val="799"/>
              <w:spacing w:line="276" w:lineRule="auto"/>
              <w:rPr>
                <w:rFonts w:ascii="仿宋" w:hAnsi="仿宋" w:eastAsia="仿宋" w:cs="宋体"/>
                <w:color w:val="000000" w:themeColor="text1"/>
                <w:sz w:val="24"/>
                <w:szCs w:val="24"/>
                <w:highlight w:val="none"/>
                <w:vertAlign w:val="baseline"/>
              </w:rPr>
            </w:pPr>
            <w:r>
              <w:rPr>
                <w:rFonts w:ascii="仿宋" w:hAnsi="仿宋" w:eastAsia="仿宋" w:cs="宋体"/>
                <w:color w:val="000000" w:themeColor="text1"/>
                <w:sz w:val="24"/>
                <w:szCs w:val="24"/>
                <w:highlight w:val="none"/>
                <w:vertAlign w:val="baseline"/>
              </w:rPr>
            </w:r>
            <w:r>
              <w:rPr>
                <w:color w:val="000000" w:themeColor="text1"/>
              </w:rPr>
            </w:r>
          </w:p>
        </w:tc>
      </w:tr>
    </w:tbl>
    <w:p>
      <w:pPr>
        <w:pStyle w:val="799"/>
        <w:spacing w:line="276" w:lineRule="auto"/>
        <w:rPr>
          <w:rFonts w:ascii="方正仿宋_GB2312" w:hAnsi="方正仿宋_GB2312" w:eastAsia="方正仿宋_GB2312" w:cs="方正仿宋_GB2312"/>
          <w:bCs/>
          <w:color w:val="000000" w:themeColor="text1"/>
          <w:sz w:val="24"/>
          <w:szCs w:val="24"/>
          <w:highlight w:val="none"/>
        </w:rPr>
        <w:sectPr>
          <w:footnotePr/>
          <w:endnotePr/>
          <w:type w:val="continuous"/>
          <w:pgSz w:w="11906" w:h="16838" w:orient="portrait"/>
          <w:pgMar w:top="1440" w:right="1803" w:bottom="1440" w:left="1803" w:header="851" w:footer="992" w:gutter="0"/>
          <w:cols w:num="1" w:sep="0" w:space="1701" w:equalWidth="1"/>
          <w:docGrid w:linePitch="360"/>
        </w:sectPr>
      </w:pPr>
      <w:r>
        <w:rPr>
          <w:rFonts w:ascii="方正仿宋_GB2312" w:hAnsi="方正仿宋_GB2312" w:eastAsia="方正仿宋_GB2312" w:cs="方正仿宋_GB2312"/>
          <w:bCs/>
          <w:color w:val="000000" w:themeColor="text1"/>
          <w:sz w:val="24"/>
          <w:szCs w:val="24"/>
          <w:highlight w:val="none"/>
          <w:lang w:val="en-US" w:eastAsia="zh-CN"/>
        </w:rPr>
        <w:br w:type="page" w:clear="all"/>
      </w:r>
      <w:r>
        <w:rPr>
          <w:color w:val="000000" w:themeColor="text1"/>
        </w:rPr>
      </w:r>
    </w:p>
    <w:tbl>
      <w:tblPr>
        <w:tblW w:w="13770" w:type="dxa"/>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0"/>
        <w:gridCol w:w="1003"/>
        <w:gridCol w:w="10709"/>
        <w:gridCol w:w="1048"/>
      </w:tblGrid>
      <w:tr>
        <w:trPr>
          <w:trHeight w:val="480"/>
        </w:trPr>
        <w:tc>
          <w:tcPr>
            <w:gridSpan w:val="4"/>
            <w:tcW w:w="13770" w:type="dxa"/>
            <w:vAlign w:val="center"/>
            <w:textDirection w:val="lrTb"/>
            <w:noWrap/>
          </w:tcPr>
          <w:p>
            <w:pPr>
              <w:pStyle w:val="799"/>
              <w:jc w:val="both"/>
              <w:keepLines w:val="0"/>
              <w:keepNext w:val="0"/>
              <w:widowControl/>
              <w:rPr>
                <w:rFonts w:hint="eastAsia" w:ascii="方正仿宋_GB2312" w:hAnsi="方正仿宋_GB2312" w:eastAsia="方正仿宋_GB2312" w:cs="方正仿宋_GB2312"/>
                <w:i w:val="0"/>
                <w:iCs w:val="0"/>
                <w:color w:val="000000" w:themeColor="text1"/>
                <w:sz w:val="32"/>
                <w:szCs w:val="32"/>
                <w:highlight w:val="none"/>
                <w:u w:val="none"/>
              </w:rPr>
              <w:suppressLineNumbers w:val="0"/>
            </w:pPr>
            <w:r>
              <w:rPr>
                <w:rFonts w:hint="eastAsia" w:ascii="方正仿宋_GB2312" w:hAnsi="方正仿宋_GB2312" w:eastAsia="方正仿宋_GB2312" w:cs="方正仿宋_GB2312"/>
                <w:b/>
                <w:bCs/>
                <w:i w:val="0"/>
                <w:iCs w:val="0"/>
                <w:color w:val="000000" w:themeColor="text1"/>
                <w:sz w:val="28"/>
                <w:szCs w:val="28"/>
                <w:highlight w:val="none"/>
                <w:u w:val="none"/>
                <w:lang w:val="en-US" w:eastAsia="zh-CN" w:bidi="ar"/>
              </w:rPr>
              <w:t xml:space="preserve">附件四：</w:t>
            </w:r>
            <w:r>
              <w:rPr>
                <w:rFonts w:hint="eastAsia" w:ascii="方正仿宋_GB2312" w:hAnsi="方正仿宋_GB2312" w:eastAsia="方正仿宋_GB2312" w:cs="方正仿宋_GB2312"/>
                <w:i w:val="0"/>
                <w:iCs w:val="0"/>
                <w:color w:val="000000" w:themeColor="text1"/>
                <w:sz w:val="32"/>
                <w:szCs w:val="32"/>
                <w:highlight w:val="none"/>
                <w:u w:val="none"/>
                <w:lang w:val="en-US" w:eastAsia="zh-CN" w:bidi="ar"/>
              </w:rPr>
            </w:r>
            <w:r>
              <w:rPr>
                <w:color w:val="000000" w:themeColor="text1"/>
              </w:rPr>
            </w:r>
          </w:p>
          <w:p>
            <w:pPr>
              <w:pStyle w:val="799"/>
              <w:ind w:firstLine="3855"/>
              <w:jc w:val="both"/>
              <w:keepLines w:val="0"/>
              <w:keepNext w:val="0"/>
              <w:widowControl/>
              <w:rPr>
                <w:rFonts w:hint="eastAsia" w:ascii="方正仿宋_GB2312" w:hAnsi="方正仿宋_GB2312" w:eastAsia="方正仿宋_GB2312" w:cs="方正仿宋_GB2312"/>
                <w:i w:val="0"/>
                <w:iCs w:val="0"/>
                <w:color w:val="000000" w:themeColor="text1"/>
                <w:sz w:val="32"/>
                <w:szCs w:val="32"/>
                <w:highlight w:val="none"/>
                <w:u w:val="none"/>
              </w:rPr>
              <w:suppressLineNumbers w:val="0"/>
            </w:pPr>
            <w:r>
              <w:rPr>
                <w:rFonts w:hint="eastAsia" w:ascii="方正仿宋_GB2312" w:hAnsi="方正仿宋_GB2312" w:eastAsia="方正仿宋_GB2312" w:cs="方正仿宋_GB2312"/>
                <w:b/>
                <w:bCs/>
                <w:i w:val="0"/>
                <w:iCs w:val="0"/>
                <w:color w:val="000000" w:themeColor="text1"/>
                <w:sz w:val="32"/>
                <w:szCs w:val="32"/>
                <w:highlight w:val="none"/>
                <w:u w:val="none"/>
                <w:lang w:val="en-US" w:eastAsia="zh-CN" w:bidi="ar"/>
              </w:rPr>
              <w:t xml:space="preserve">苏州宿迁工业园区公共绿化养护管理考核评分细则</w:t>
            </w:r>
            <w:r>
              <w:rPr>
                <w:rFonts w:hint="eastAsia" w:ascii="方正仿宋_GB2312" w:hAnsi="方正仿宋_GB2312" w:eastAsia="方正仿宋_GB2312" w:cs="方正仿宋_GB2312"/>
                <w:i w:val="0"/>
                <w:iCs w:val="0"/>
                <w:color w:val="000000" w:themeColor="text1"/>
                <w:sz w:val="32"/>
                <w:szCs w:val="32"/>
                <w:highlight w:val="none"/>
                <w:u w:val="none"/>
              </w:rPr>
            </w:r>
            <w:r>
              <w:rPr>
                <w:color w:val="000000" w:themeColor="text1"/>
              </w:rPr>
            </w:r>
          </w:p>
        </w:tc>
      </w:tr>
      <w:tr>
        <w:trPr>
          <w:trHeight w:val="405"/>
        </w:trPr>
        <w:tc>
          <w:tcPr>
            <w:gridSpan w:val="4"/>
            <w:tcW w:w="13770" w:type="dxa"/>
            <w:vAlign w:val="center"/>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Style w:val="1325"/>
                <w:rFonts w:hint="eastAsia" w:ascii="方正仿宋_GB2312" w:hAnsi="方正仿宋_GB2312" w:eastAsia="方正仿宋_GB2312" w:cs="方正仿宋_GB2312"/>
                <w:color w:val="000000" w:themeColor="text1"/>
                <w:sz w:val="24"/>
                <w:szCs w:val="24"/>
                <w:highlight w:val="none"/>
                <w:lang w:val="en-US" w:eastAsia="zh-CN" w:bidi="ar"/>
              </w:rPr>
              <w:t xml:space="preserve">承包单位：</w:t>
            </w:r>
            <w:r>
              <w:rPr>
                <w:rStyle w:val="1326"/>
                <w:rFonts w:hint="eastAsia" w:ascii="方正仿宋_GB2312" w:hAnsi="方正仿宋_GB2312" w:eastAsia="方正仿宋_GB2312" w:cs="方正仿宋_GB2312"/>
                <w:color w:val="000000" w:themeColor="text1"/>
                <w:sz w:val="24"/>
                <w:szCs w:val="24"/>
                <w:highlight w:val="none"/>
                <w:lang w:val="en-US" w:eastAsia="zh-CN" w:bidi="ar"/>
              </w:rPr>
              <w:t xml:space="preserve">                    </w:t>
            </w:r>
            <w:r>
              <w:rPr>
                <w:rStyle w:val="1325"/>
                <w:rFonts w:hint="eastAsia" w:ascii="方正仿宋_GB2312" w:hAnsi="方正仿宋_GB2312" w:eastAsia="方正仿宋_GB2312" w:cs="方正仿宋_GB2312"/>
                <w:color w:val="000000" w:themeColor="text1"/>
                <w:sz w:val="24"/>
                <w:szCs w:val="24"/>
                <w:highlight w:val="none"/>
                <w:lang w:val="en-US" w:eastAsia="zh-CN" w:bidi="ar"/>
              </w:rPr>
              <w:t xml:space="preserve">                                     日期：</w:t>
            </w:r>
            <w:r>
              <w:rPr>
                <w:rStyle w:val="1326"/>
                <w:rFonts w:hint="eastAsia" w:ascii="方正仿宋_GB2312" w:hAnsi="方正仿宋_GB2312" w:eastAsia="方正仿宋_GB2312" w:cs="方正仿宋_GB2312"/>
                <w:color w:val="000000" w:themeColor="text1"/>
                <w:sz w:val="24"/>
                <w:szCs w:val="24"/>
                <w:highlight w:val="none"/>
                <w:lang w:val="en-US" w:eastAsia="zh-CN" w:bidi="ar"/>
              </w:rPr>
              <w:t xml:space="preserve">      </w:t>
            </w:r>
            <w:r>
              <w:rPr>
                <w:rStyle w:val="1325"/>
                <w:rFonts w:hint="eastAsia" w:ascii="方正仿宋_GB2312" w:hAnsi="方正仿宋_GB2312" w:eastAsia="方正仿宋_GB2312" w:cs="方正仿宋_GB2312"/>
                <w:color w:val="000000" w:themeColor="text1"/>
                <w:sz w:val="24"/>
                <w:szCs w:val="24"/>
                <w:highlight w:val="none"/>
                <w:lang w:val="en-US" w:eastAsia="zh-CN" w:bidi="ar"/>
              </w:rPr>
              <w:t xml:space="preserve">年</w:t>
            </w:r>
            <w:r>
              <w:rPr>
                <w:rStyle w:val="1326"/>
                <w:rFonts w:hint="eastAsia" w:ascii="方正仿宋_GB2312" w:hAnsi="方正仿宋_GB2312" w:eastAsia="方正仿宋_GB2312" w:cs="方正仿宋_GB2312"/>
                <w:color w:val="000000" w:themeColor="text1"/>
                <w:sz w:val="24"/>
                <w:szCs w:val="24"/>
                <w:highlight w:val="none"/>
                <w:lang w:val="en-US" w:eastAsia="zh-CN" w:bidi="ar"/>
              </w:rPr>
              <w:t xml:space="preserve">     </w:t>
            </w:r>
            <w:r>
              <w:rPr>
                <w:rStyle w:val="1325"/>
                <w:rFonts w:hint="eastAsia" w:ascii="方正仿宋_GB2312" w:hAnsi="方正仿宋_GB2312" w:eastAsia="方正仿宋_GB2312" w:cs="方正仿宋_GB2312"/>
                <w:color w:val="000000" w:themeColor="text1"/>
                <w:sz w:val="24"/>
                <w:szCs w:val="24"/>
                <w:highlight w:val="none"/>
                <w:lang w:val="en-US" w:eastAsia="zh-CN" w:bidi="ar"/>
              </w:rPr>
              <w:t xml:space="preserve">月</w:t>
            </w:r>
            <w:r>
              <w:rPr>
                <w:rStyle w:val="1326"/>
                <w:rFonts w:hint="eastAsia" w:ascii="方正仿宋_GB2312" w:hAnsi="方正仿宋_GB2312" w:eastAsia="方正仿宋_GB2312" w:cs="方正仿宋_GB2312"/>
                <w:color w:val="000000" w:themeColor="text1"/>
                <w:sz w:val="24"/>
                <w:szCs w:val="24"/>
                <w:highlight w:val="none"/>
                <w:lang w:val="en-US" w:eastAsia="zh-CN" w:bidi="ar"/>
              </w:rPr>
              <w:t xml:space="preserve">      </w:t>
            </w:r>
            <w:r>
              <w:rPr>
                <w:rStyle w:val="1325"/>
                <w:rFonts w:hint="eastAsia" w:ascii="方正仿宋_GB2312" w:hAnsi="方正仿宋_GB2312" w:eastAsia="方正仿宋_GB2312" w:cs="方正仿宋_GB2312"/>
                <w:color w:val="000000" w:themeColor="text1"/>
                <w:sz w:val="24"/>
                <w:szCs w:val="24"/>
                <w:highlight w:val="none"/>
                <w:lang w:val="en-US" w:eastAsia="zh-CN" w:bidi="ar"/>
              </w:rPr>
              <w:t xml:space="preserve">日             </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698"/>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序号</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项目</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709" w:type="dxa"/>
            <w:vAlign w:val="center"/>
            <w:textDirection w:val="lrTb"/>
            <w:noWrap/>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考核内容</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扣分</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48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1</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restart"/>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人员设备</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709"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项目经理或技术负责人未经批准擅自离岗，扣10分/次</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48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2</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巡查人数少于合同及招标文件要求，少一人扣1分</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48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3</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作业人员未按要求统一着装、佩戴安全防护措施，扣1分/人·次</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48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4</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合同要求配备的水车、登高车等设备擅自离开园区，扣5分/次</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40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5</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restart"/>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日常巡查</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709"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巡视人员未按规定进行巡视或巡视不到位，视情节轻重扣1-5分</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42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6</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巡查中未能及时发现树木倒伏、断枝、苗木偷盗现象，扣2分/处</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44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7</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巡视记录不全或未记录，扣1分/次</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48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8</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巡视中未能及时发现和处理树木倒伏、断枝等涉及行车或行走安全事宜，扣2分/处</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48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9</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巡视中未能及时发现无证开挖等破坏绿化苗木行为，扣1分/次</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48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10</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巡视中未能及时发现、报告涉及人身安全的重大隐患，扣5分/次</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63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11</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restart"/>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管养质量</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709" w:type="dxa"/>
            <w:vAlign w:val="center"/>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不及时进行修剪，形成萌芽、弱枝、病枝、交叉枝、折损枝等较多的；修剪后枝条清理不干净，修剪时存在违规操作的，扣1分/处</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675"/>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12</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生长季节未对藤本植物进行翻蔓，清除枯枝，疏除老弱藤蔓，固定盘扎的，扣1分/处</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63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13</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未按要求修剪，新梢生长超过 10cm 时未及时修剪；修剪时绿篱、色块互相衔接不整齐、平顺、圆润和过度修剪，且影响美观的，扣1分/处</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615"/>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14</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草坪生长高度超过规定要求，修剪不及时，不平整，有草根裸露斑秃现象，且影响景观效果；冬季暖季型草坪枯黄期，未进行冷季型草籽复播，扣2分/处</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78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15</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杂草清除不及时，草坪上明显有杂草、杂物，绿化带杂草高出地被、绿篱、色块内5cm；绿化带5㎡内有明显杂草，影响景观效果的，扣1分/处</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72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16</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每年未定期对乔木根部松土，对埋土过深，根系裸露的及时扒土、填土、树穴修复的，扣1分/处</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48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17</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未按要求定期对草坪、地被进行切边，切边不符合标准的，扣1分/处</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60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18</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施肥季节施肥次数、数量未按要求实施；未保留施肥记录及影像资料；肥料出、入库未登记的，扣2分/处</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60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19</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浇水季节未按要求定期浇水；养护期间造成2株以上乔灌木大面积死亡；绿篱、地被、色块造成1㎡以上大面积死亡，扣3分/处</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60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20</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干旱季节不及时抗旱保苗，造成苗木严重缺水，叶片枯萎、死苗的每株1分，扣1分/株</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60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21</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浇水造成路面严重污染未及时清理，浇水时间、浇水方式未按导则要求操作的，扣1分/处</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60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22</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发生药害事故，草坪、地被、色块整片累计1㎡以上发生病虫害，扣3分/处。</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60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23</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食叶害虫、蛀杆害虫危害植物明显，存在可见被害植株，视情节扣1-5分/株</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60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24</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冬季未对树干进行涂白，上端口不整齐，树根部周围被涂白剂污染，且质量不达标的；未对树木进行防寒、包裹，防寒措施不符合要求的，扣1分/处</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60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25</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未及时清除树体上钉钉子、绕铁丝、拴挂杂物；支撑损坏未及时拆除、修复，视情节扣1-5分/处</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63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26</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仿宋" w:hAnsi="仿宋" w:eastAsia="仿宋" w:cs="仿宋"/>
                <w:color w:val="000000" w:themeColor="text1"/>
                <w:sz w:val="24"/>
                <w:szCs w:val="24"/>
                <w:highlight w:val="none"/>
                <w:lang w:bidi="ar"/>
              </w:rPr>
              <w:t xml:space="preserve">发现枯枝、死枝必须48小时内处理完毕，</w:t>
            </w: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死亡苗木未清除，清除时根部未一起挖除，树坑未及时填平的；适宜季节未实施补植，补植规格超出容许范围内的，扣1分/处</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915"/>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27</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未按要求做好日常巡查，发现问题未及时处理；苗木破坏未及时发现造成损失的；刮风倒伏树木未及时扶正，培土、浇水和搭支架；绿化开口移植苗木未能及时发现、上报，做好日常记录，视情节扣1-5分/次</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48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28</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绿地内有落叶、农作物及其它垃圾堆积未及时处理的扣1分/处</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60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29</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养护作业时拔除的杂草、修剪后的枯枝未及时清理；绿化垃圾随意乱倒发现一处。范围内垃圾未及时清理的，视情节扣1-5分/处</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555"/>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30</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restart"/>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安全文明施工</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709" w:type="dxa"/>
            <w:vAlign w:val="center"/>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承包人未按要求建立项目安全生产管理、应急预案及应急演练、培训教育等制度，扣2-10分</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555"/>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31</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承包人未按规定开展培训教育、应急演练等，或者记录不全的，扣2分/次</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555"/>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32</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养护过程中未采取文明施工、环保措施或采取措施不到位。如现场布置、路面污染、降尘降噪等，视情节轻重扣1-5分</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555"/>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33</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施工现场未设置安全警示标识，扣5分/次</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555"/>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34</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绿化养护工人喷施农药未做好安全防护，作业过程中未做好安全措施，导致人身伤害和财产损失，扣5分/次</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48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35</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施工区域指示、警示、施工安全标志不健全、不规范，视情节扣1-10分/次</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44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36</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施工现场布置不合理；材料、设备堆放不整齐，扣1分/次</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40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37</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施工造成市政道路污染，扣1分/处，并清理干净</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42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38</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tcW w:w="10709"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施工结束后未及时清理残枝、垃圾等，扣2分/处</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48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39</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ffffff"/>
            <w:tcW w:w="10709"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车辆设备未按规定保养或保养记录不全，扣2分</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630"/>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40</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03" w:type="dxa"/>
            <w:vAlign w:val="center"/>
            <w:vMerge w:val="continue"/>
            <w:textDirection w:val="lrTb"/>
            <w:noWrap w:val="false"/>
          </w:tcPr>
          <w:p>
            <w:pPr>
              <w:pStyle w:val="799"/>
              <w:jc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sz w:val="24"/>
                <w:szCs w:val="24"/>
                <w:highlight w:val="none"/>
                <w:u w:val="none"/>
              </w:rPr>
            </w:r>
            <w:r/>
          </w:p>
        </w:tc>
        <w:tc>
          <w:tcPr>
            <w:shd w:val="clear" w:color="auto" w:fill="ffffff"/>
            <w:tcW w:w="10709" w:type="dxa"/>
            <w:vAlign w:val="center"/>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车辆未按要求张贴或喷涂标识或者标识脱落、破损未及时更新的；作业车辆未按要求张贴警示标贴或警示标贴脱落、破损未及时更新的，扣1分/辆</w:t>
            </w: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c>
          <w:tcPr>
            <w:tcW w:w="1048" w:type="dxa"/>
            <w:vAlign w:val="center"/>
            <w:textDirection w:val="lrTb"/>
            <w:noWrap/>
          </w:tcPr>
          <w:p>
            <w:pPr>
              <w:pStyle w:val="799"/>
              <w:jc w:val="center"/>
              <w:rPr>
                <w:rFonts w:hint="eastAsia" w:ascii="方正仿宋_GB2312" w:hAnsi="方正仿宋_GB2312" w:eastAsia="方正仿宋_GB2312" w:cs="方正仿宋_GB2312"/>
                <w:i w:val="0"/>
                <w:iCs w:val="0"/>
                <w:color w:val="000000" w:themeColor="text1"/>
                <w:sz w:val="24"/>
                <w:szCs w:val="24"/>
                <w:highlight w:val="none"/>
                <w:u w:val="none"/>
              </w:rPr>
            </w:pPr>
            <w:r>
              <w:rPr>
                <w:rFonts w:hint="eastAsia" w:ascii="方正仿宋_GB2312" w:hAnsi="方正仿宋_GB2312" w:eastAsia="方正仿宋_GB2312" w:cs="方正仿宋_GB2312"/>
                <w:i w:val="0"/>
                <w:iCs w:val="0"/>
                <w:color w:val="000000" w:themeColor="text1"/>
                <w:sz w:val="24"/>
                <w:szCs w:val="24"/>
                <w:highlight w:val="none"/>
                <w:u w:val="none"/>
              </w:rPr>
            </w:r>
            <w:r>
              <w:rPr>
                <w:color w:val="000000" w:themeColor="text1"/>
              </w:rPr>
            </w:r>
          </w:p>
        </w:tc>
      </w:tr>
      <w:tr>
        <w:trPr>
          <w:trHeight w:val="465"/>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41</w:t>
            </w: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c>
          <w:tcPr>
            <w:tcW w:w="1003" w:type="dxa"/>
            <w:vAlign w:val="center"/>
            <w:vMerge w:val="continue"/>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c>
          <w:tcPr>
            <w:tcW w:w="10709"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养护过程中发现重大安全隐患应及时书面上报，未上报的扣5分/次</w:t>
            </w: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c>
          <w:tcPr>
            <w:tcW w:w="1048"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r>
      <w:tr>
        <w:trPr>
          <w:trHeight w:val="465"/>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42</w:t>
            </w: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c>
          <w:tcPr>
            <w:tcW w:w="1003" w:type="dxa"/>
            <w:vAlign w:val="center"/>
            <w:vMerge w:val="restart"/>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其他</w:t>
            </w: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c>
          <w:tcPr>
            <w:tcW w:w="10709"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管养单位对养护任务响应不及时，扣2分/次</w:t>
            </w: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c>
          <w:tcPr>
            <w:tcW w:w="1048"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r>
      <w:tr>
        <w:trPr>
          <w:trHeight w:val="465"/>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43</w:t>
            </w: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c>
          <w:tcPr>
            <w:tcW w:w="1003" w:type="dxa"/>
            <w:vAlign w:val="center"/>
            <w:vMerge w:val="continue"/>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c>
          <w:tcPr>
            <w:tcW w:w="10709"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无正当原因导致管养工期延误并无书面汇报，扣1分/天</w:t>
            </w: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c>
          <w:tcPr>
            <w:tcW w:w="1048"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r>
      <w:tr>
        <w:trPr>
          <w:trHeight w:val="465"/>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44</w:t>
            </w: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c>
          <w:tcPr>
            <w:tcW w:w="1003" w:type="dxa"/>
            <w:vAlign w:val="center"/>
            <w:vMerge w:val="continue"/>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c>
          <w:tcPr>
            <w:tcW w:w="10709"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未按要求报送计划、总结等材料或材料不符合要求，扣2分/次</w:t>
            </w: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c>
          <w:tcPr>
            <w:tcW w:w="1048"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r>
      <w:tr>
        <w:trPr>
          <w:trHeight w:val="465"/>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45</w:t>
            </w: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c>
          <w:tcPr>
            <w:tcW w:w="1003" w:type="dxa"/>
            <w:vAlign w:val="center"/>
            <w:vMerge w:val="continue"/>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c>
          <w:tcPr>
            <w:tcW w:w="10709"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对上月通报问题未及时整改且无书面汇报，扣5分/次</w:t>
            </w: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c>
          <w:tcPr>
            <w:tcW w:w="1048"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r>
      <w:tr>
        <w:trPr>
          <w:trHeight w:val="465"/>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46</w:t>
            </w: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c>
          <w:tcPr>
            <w:tcW w:w="1003" w:type="dxa"/>
            <w:vAlign w:val="center"/>
            <w:vMerge w:val="continue"/>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c>
          <w:tcPr>
            <w:tcW w:w="10709"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绿化苗木补植过程中存在偷工减料行为，扣5分/次</w:t>
            </w: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c>
          <w:tcPr>
            <w:tcW w:w="1048"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r>
      <w:tr>
        <w:trPr>
          <w:trHeight w:val="465"/>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47</w:t>
            </w: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c>
          <w:tcPr>
            <w:tcW w:w="1003" w:type="dxa"/>
            <w:vAlign w:val="center"/>
            <w:vMerge w:val="continue"/>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c>
          <w:tcPr>
            <w:tcW w:w="10709"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对雨雪灾害等恶劣天气、重大活动保障、应急处置事件保障不力，扣5分/次</w:t>
            </w: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c>
          <w:tcPr>
            <w:tcW w:w="1048"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r>
      <w:tr>
        <w:trPr>
          <w:trHeight w:val="465"/>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48</w:t>
            </w: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c>
          <w:tcPr>
            <w:tcW w:w="1003" w:type="dxa"/>
            <w:vAlign w:val="center"/>
            <w:vMerge w:val="continue"/>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c>
          <w:tcPr>
            <w:tcW w:w="10709"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因承包人原因发生有责投诉或遭新闻媒体曝光，扣5分/次</w:t>
            </w: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c>
          <w:tcPr>
            <w:tcW w:w="1048"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r>
      <w:tr>
        <w:trPr>
          <w:trHeight w:val="465"/>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49</w:t>
            </w: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c>
          <w:tcPr>
            <w:tcW w:w="1003" w:type="dxa"/>
            <w:vAlign w:val="center"/>
            <w:vMerge w:val="continue"/>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c>
          <w:tcPr>
            <w:tcW w:w="10709"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其他不符合相应养护标准行为及未对交办工作高质量完成的行为</w:t>
            </w: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c>
          <w:tcPr>
            <w:tcW w:w="1048"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r>
      <w:tr>
        <w:trPr>
          <w:trHeight w:val="465"/>
        </w:trPr>
        <w:tc>
          <w:tcPr>
            <w:tcW w:w="1010" w:type="dxa"/>
            <w:vAlign w:val="center"/>
            <w:textDirection w:val="lrTb"/>
            <w:noWrap w:val="false"/>
          </w:tcPr>
          <w:p>
            <w:pPr>
              <w:pStyle w:val="799"/>
              <w:jc w:val="center"/>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50</w:t>
            </w: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c>
          <w:tcPr>
            <w:tcW w:w="1003" w:type="dxa"/>
            <w:vAlign w:val="center"/>
            <w:vMerge w:val="continue"/>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c>
          <w:tcPr>
            <w:tcW w:w="10709"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同一地点连续两次发现同一问题，未整改或整改不到位，加倍扣分</w:t>
            </w: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c>
          <w:tcPr>
            <w:tcW w:w="1048" w:type="dxa"/>
            <w:vAlign w:val="center"/>
            <w:textDirection w:val="lrTb"/>
            <w:noWrap/>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r>
      <w:tr>
        <w:trPr>
          <w:trHeight w:val="375"/>
        </w:trPr>
        <w:tc>
          <w:tcPr>
            <w:gridSpan w:val="4"/>
            <w:tcW w:w="13770" w:type="dxa"/>
            <w:vAlign w:val="center"/>
            <w:textDirection w:val="lrTb"/>
            <w:noWrap w:val="false"/>
          </w:tcPr>
          <w:p>
            <w:pPr>
              <w:pStyle w:val="799"/>
              <w:jc w:val="left"/>
              <w:keepLines w:val="0"/>
              <w:keepNext w:val="0"/>
              <w:widowControl/>
              <w:rPr>
                <w:rFonts w:hint="eastAsia" w:ascii="方正仿宋_GB2312" w:hAnsi="方正仿宋_GB2312" w:eastAsia="方正仿宋_GB2312" w:cs="方正仿宋_GB2312"/>
                <w:i w:val="0"/>
                <w:iCs w:val="0"/>
                <w:color w:val="000000" w:themeColor="text1"/>
                <w:sz w:val="24"/>
                <w:szCs w:val="24"/>
                <w:highlight w:val="none"/>
                <w:u w:val="none"/>
              </w:rPr>
              <w:suppressLineNumbers w:val="0"/>
            </w:pP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t xml:space="preserve">    考核人：                                  项目负责人：             </w:t>
            </w:r>
            <w:r>
              <w:rPr>
                <w:rFonts w:hint="eastAsia" w:ascii="方正仿宋_GB2312" w:hAnsi="方正仿宋_GB2312" w:eastAsia="方正仿宋_GB2312" w:cs="方正仿宋_GB2312"/>
                <w:i w:val="0"/>
                <w:iCs w:val="0"/>
                <w:color w:val="000000" w:themeColor="text1"/>
                <w:sz w:val="24"/>
                <w:szCs w:val="24"/>
                <w:highlight w:val="none"/>
                <w:u w:val="none"/>
                <w:lang w:val="en-US" w:eastAsia="zh-CN" w:bidi="ar"/>
              </w:rPr>
            </w:r>
            <w:r>
              <w:rPr>
                <w:color w:val="000000" w:themeColor="text1"/>
              </w:rPr>
            </w:r>
          </w:p>
        </w:tc>
      </w:tr>
    </w:tbl>
    <w:p>
      <w:pPr>
        <w:pStyle w:val="799"/>
        <w:spacing w:line="276" w:lineRule="auto"/>
        <w:rPr>
          <w:rFonts w:hint="eastAsia" w:ascii="方正仿宋_GB2312" w:hAnsi="方正仿宋_GB2312" w:eastAsia="方正仿宋_GB2312" w:cs="方正仿宋_GB2312"/>
          <w:bCs/>
          <w:color w:val="000000" w:themeColor="text1"/>
          <w:sz w:val="24"/>
          <w:szCs w:val="24"/>
          <w:highlight w:val="none"/>
        </w:rPr>
        <w:sectPr>
          <w:footnotePr/>
          <w:endnotePr/>
          <w:type w:val="continuous"/>
          <w:pgSz w:w="16838" w:h="11906" w:orient="landscape"/>
          <w:pgMar w:top="1803" w:right="1440" w:bottom="1803" w:left="1440" w:header="851" w:footer="992" w:gutter="0"/>
          <w:cols w:num="1" w:sep="0" w:space="1701" w:equalWidth="1"/>
          <w:docGrid w:linePitch="360"/>
        </w:sectPr>
      </w:pPr>
      <w:r>
        <w:rPr>
          <w:rFonts w:hint="eastAsia" w:ascii="方正仿宋_GB2312" w:hAnsi="方正仿宋_GB2312" w:eastAsia="方正仿宋_GB2312" w:cs="方正仿宋_GB2312"/>
          <w:bCs/>
          <w:color w:val="000000" w:themeColor="text1"/>
          <w:sz w:val="24"/>
          <w:szCs w:val="24"/>
          <w:highlight w:val="none"/>
          <w:lang w:val="en-US" w:eastAsia="zh-CN"/>
        </w:rPr>
        <w:br w:type="page" w:clear="all"/>
      </w:r>
      <w:r>
        <w:rPr>
          <w:color w:val="000000" w:themeColor="text1"/>
        </w:rPr>
      </w:r>
    </w:p>
    <w:p>
      <w:pPr>
        <w:pStyle w:val="848"/>
        <w:jc w:val="center"/>
        <w:rPr>
          <w:rFonts w:hint="eastAsia" w:ascii="方正仿宋_GB2312" w:hAnsi="方正仿宋_GB2312" w:eastAsia="方正仿宋_GB2312" w:cs="方正仿宋_GB2312"/>
          <w:b w:val="0"/>
          <w:color w:val="000000" w:themeColor="text1"/>
          <w:sz w:val="44"/>
          <w:szCs w:val="22"/>
          <w:highlight w:val="none"/>
        </w:rPr>
      </w:pPr>
      <w:r>
        <w:rPr>
          <w:color w:val="000000" w:themeColor="text1"/>
        </w:rPr>
      </w:r>
      <w:bookmarkStart w:id="132" w:name="_Toc29672"/>
      <w:r>
        <w:rPr>
          <w:rFonts w:hint="eastAsia" w:ascii="方正仿宋_GB2312" w:hAnsi="方正仿宋_GB2312" w:eastAsia="方正仿宋_GB2312" w:cs="方正仿宋_GB2312"/>
          <w:b w:val="0"/>
          <w:color w:val="000000" w:themeColor="text1"/>
          <w:sz w:val="44"/>
          <w:szCs w:val="22"/>
          <w:highlight w:val="none"/>
        </w:rPr>
        <w:t xml:space="preserve">第五章  合同文本</w:t>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Start w:id="133" w:name="_Toc20823315"/>
      <w:r>
        <w:rPr>
          <w:color w:val="000000" w:themeColor="text1"/>
        </w:rPr>
      </w:r>
      <w:bookmarkEnd w:id="133"/>
      <w:r>
        <w:rPr>
          <w:color w:val="000000" w:themeColor="text1"/>
        </w:rPr>
      </w:r>
      <w:bookmarkStart w:id="134" w:name="_Toc16938559"/>
      <w:r>
        <w:rPr>
          <w:color w:val="000000" w:themeColor="text1"/>
        </w:rPr>
      </w:r>
      <w:bookmarkEnd w:id="134"/>
      <w:r>
        <w:rPr>
          <w:color w:val="000000" w:themeColor="text1"/>
        </w:rPr>
      </w:r>
      <w:bookmarkStart w:id="135" w:name="_Toc513029243"/>
      <w:r>
        <w:rPr>
          <w:color w:val="000000" w:themeColor="text1"/>
        </w:rPr>
      </w:r>
      <w:bookmarkEnd w:id="135"/>
      <w:r>
        <w:rPr>
          <w:rFonts w:hint="eastAsia" w:ascii="方正仿宋_GB2312" w:hAnsi="方正仿宋_GB2312" w:eastAsia="方正仿宋_GB2312" w:cs="方正仿宋_GB2312"/>
          <w:b w:val="0"/>
          <w:color w:val="000000" w:themeColor="text1"/>
          <w:sz w:val="44"/>
          <w:szCs w:val="22"/>
          <w:highlight w:val="none"/>
        </w:rPr>
      </w:r>
      <w:r>
        <w:rPr>
          <w:color w:val="000000" w:themeColor="text1"/>
        </w:rPr>
      </w:r>
    </w:p>
    <w:p>
      <w:pPr>
        <w:pStyle w:val="799"/>
        <w:jc w:val="center"/>
        <w:spacing w:line="276" w:lineRule="auto"/>
        <w:rPr>
          <w:rFonts w:hint="eastAsia" w:ascii="方正仿宋_GB2312" w:hAnsi="方正仿宋_GB2312" w:eastAsia="方正仿宋_GB2312" w:cs="方正仿宋_GB2312"/>
          <w:b/>
          <w:color w:val="000000" w:themeColor="text1"/>
          <w:sz w:val="28"/>
          <w:szCs w:val="28"/>
          <w:highlight w:val="none"/>
          <w:u w:val="none"/>
        </w:rPr>
      </w:pPr>
      <w:r>
        <w:rPr>
          <w:rFonts w:hint="eastAsia" w:ascii="方正仿宋_GB2312" w:hAnsi="方正仿宋_GB2312" w:eastAsia="方正仿宋_GB2312" w:cs="方正仿宋_GB2312"/>
          <w:b/>
          <w:color w:val="000000" w:themeColor="text1"/>
          <w:sz w:val="28"/>
          <w:szCs w:val="28"/>
          <w:highlight w:val="none"/>
          <w:u w:val="none"/>
          <w:lang w:eastAsia="zh-CN"/>
        </w:rPr>
        <w:t xml:space="preserve">苏州宿迁工业园区2026-2028年公共绿化养护项目</w:t>
      </w:r>
      <w:r>
        <w:rPr>
          <w:rFonts w:hint="eastAsia" w:ascii="方正仿宋_GB2312" w:hAnsi="方正仿宋_GB2312" w:eastAsia="方正仿宋_GB2312" w:cs="方正仿宋_GB2312"/>
          <w:b/>
          <w:color w:val="000000" w:themeColor="text1"/>
          <w:sz w:val="28"/>
          <w:szCs w:val="28"/>
          <w:highlight w:val="none"/>
          <w:u w:val="none"/>
        </w:rPr>
        <w:t xml:space="preserve">（</w:t>
      </w:r>
      <w:r>
        <w:rPr>
          <w:rFonts w:hint="eastAsia" w:ascii="方正仿宋_GB2312" w:hAnsi="方正仿宋_GB2312" w:eastAsia="方正仿宋_GB2312" w:cs="方正仿宋_GB2312"/>
          <w:b/>
          <w:color w:val="000000" w:themeColor="text1"/>
          <w:sz w:val="28"/>
          <w:szCs w:val="28"/>
          <w:highlight w:val="none"/>
          <w:u w:val="none"/>
          <w:lang w:val="en-US" w:eastAsia="zh-CN"/>
        </w:rPr>
        <w:t xml:space="preserve">采购包</w:t>
      </w:r>
      <w:r>
        <w:rPr>
          <w:rFonts w:hint="eastAsia" w:ascii="方正仿宋_GB2312" w:hAnsi="方正仿宋_GB2312" w:eastAsia="方正仿宋_GB2312" w:cs="方正仿宋_GB2312"/>
          <w:b/>
          <w:color w:val="000000" w:themeColor="text1"/>
          <w:sz w:val="28"/>
          <w:szCs w:val="28"/>
          <w:highlight w:val="none"/>
          <w:u w:val="single"/>
          <w:lang w:val="en-US" w:eastAsia="zh-CN"/>
        </w:rPr>
        <w:t xml:space="preserve">   </w:t>
      </w:r>
      <w:r>
        <w:rPr>
          <w:rFonts w:hint="eastAsia" w:ascii="方正仿宋_GB2312" w:hAnsi="方正仿宋_GB2312" w:eastAsia="方正仿宋_GB2312" w:cs="方正仿宋_GB2312"/>
          <w:b/>
          <w:color w:val="000000" w:themeColor="text1"/>
          <w:sz w:val="28"/>
          <w:szCs w:val="28"/>
          <w:highlight w:val="none"/>
          <w:u w:val="none"/>
        </w:rPr>
        <w:t xml:space="preserve">）</w:t>
      </w:r>
      <w:r>
        <w:rPr>
          <w:rFonts w:hint="eastAsia" w:ascii="方正仿宋_GB2312" w:hAnsi="方正仿宋_GB2312" w:eastAsia="方正仿宋_GB2312" w:cs="方正仿宋_GB2312"/>
          <w:b/>
          <w:color w:val="000000" w:themeColor="text1"/>
          <w:sz w:val="28"/>
          <w:szCs w:val="28"/>
          <w:highlight w:val="none"/>
          <w:u w:val="none"/>
        </w:rPr>
      </w:r>
      <w:r>
        <w:rPr>
          <w:color w:val="000000" w:themeColor="text1"/>
        </w:rPr>
      </w:r>
    </w:p>
    <w:p>
      <w:pPr>
        <w:pStyle w:val="799"/>
        <w:jc w:val="center"/>
        <w:spacing w:line="276" w:lineRule="auto"/>
        <w:rPr>
          <w:rFonts w:hint="eastAsia" w:ascii="方正仿宋_GB2312" w:hAnsi="方正仿宋_GB2312" w:eastAsia="方正仿宋_GB2312" w:cs="方正仿宋_GB2312"/>
          <w:b/>
          <w:color w:val="000000" w:themeColor="text1"/>
          <w:sz w:val="28"/>
          <w:szCs w:val="28"/>
          <w:highlight w:val="none"/>
        </w:rPr>
      </w:pPr>
      <w:r>
        <w:rPr>
          <w:rFonts w:hint="eastAsia" w:ascii="方正仿宋_GB2312" w:hAnsi="方正仿宋_GB2312" w:eastAsia="方正仿宋_GB2312" w:cs="方正仿宋_GB2312"/>
          <w:b/>
          <w:color w:val="000000" w:themeColor="text1"/>
          <w:sz w:val="28"/>
          <w:szCs w:val="28"/>
          <w:highlight w:val="none"/>
        </w:rPr>
        <w:t xml:space="preserve">承包合同</w:t>
      </w:r>
      <w:r>
        <w:rPr>
          <w:rFonts w:hint="eastAsia" w:ascii="方正仿宋_GB2312" w:hAnsi="方正仿宋_GB2312" w:eastAsia="方正仿宋_GB2312" w:cs="方正仿宋_GB2312"/>
          <w:b/>
          <w:color w:val="000000" w:themeColor="text1"/>
          <w:sz w:val="28"/>
          <w:szCs w:val="28"/>
          <w:highlight w:val="none"/>
        </w:rPr>
      </w:r>
      <w:r>
        <w:rPr>
          <w:color w:val="000000" w:themeColor="text1"/>
        </w:rPr>
      </w:r>
    </w:p>
    <w:p>
      <w:pPr>
        <w:pStyle w:val="799"/>
        <w:ind w:firstLine="482"/>
        <w:spacing w:line="276" w:lineRule="auto"/>
        <w:rPr>
          <w:rFonts w:hint="eastAsia" w:ascii="方正仿宋_GB2312" w:hAnsi="方正仿宋_GB2312" w:eastAsia="方正仿宋_GB2312" w:cs="方正仿宋_GB2312"/>
          <w:b/>
          <w:color w:val="000000" w:themeColor="text1"/>
          <w:spacing w:val="2"/>
          <w:sz w:val="24"/>
          <w:szCs w:val="24"/>
          <w:highlight w:val="none"/>
          <w:u w:val="single"/>
        </w:rPr>
      </w:pPr>
      <w:r>
        <w:rPr>
          <w:rFonts w:hint="eastAsia" w:ascii="方正仿宋_GB2312" w:hAnsi="方正仿宋_GB2312" w:eastAsia="方正仿宋_GB2312" w:cs="方正仿宋_GB2312"/>
          <w:b/>
          <w:color w:val="000000" w:themeColor="text1"/>
          <w:sz w:val="24"/>
          <w:szCs w:val="24"/>
          <w:highlight w:val="none"/>
          <w:lang w:val="en-US" w:eastAsia="zh-CN"/>
        </w:rPr>
        <w:t xml:space="preserve">项目</w:t>
      </w:r>
      <w:r>
        <w:rPr>
          <w:rFonts w:hint="eastAsia" w:ascii="方正仿宋_GB2312" w:hAnsi="方正仿宋_GB2312" w:eastAsia="方正仿宋_GB2312" w:cs="方正仿宋_GB2312"/>
          <w:b/>
          <w:color w:val="000000" w:themeColor="text1"/>
          <w:sz w:val="24"/>
          <w:szCs w:val="24"/>
          <w:highlight w:val="none"/>
        </w:rPr>
        <w:t xml:space="preserve">编号：</w:t>
      </w:r>
      <w:r>
        <w:rPr>
          <w:rFonts w:hint="eastAsia" w:ascii="方正仿宋_GB2312" w:hAnsi="方正仿宋_GB2312" w:eastAsia="方正仿宋_GB2312" w:cs="方正仿宋_GB2312"/>
          <w:b w:val="0"/>
          <w:bCs/>
          <w:color w:val="000000" w:themeColor="text1"/>
          <w:sz w:val="24"/>
          <w:szCs w:val="24"/>
          <w:highlight w:val="none"/>
          <w:u w:val="single"/>
          <w:lang w:eastAsia="zh-CN"/>
        </w:rPr>
        <w:t xml:space="preserve">JSZC-321395-HZJS-G2026-0006</w:t>
      </w:r>
      <w:r>
        <w:rPr>
          <w:rFonts w:hint="eastAsia" w:ascii="方正仿宋_GB2312" w:hAnsi="方正仿宋_GB2312" w:eastAsia="方正仿宋_GB2312" w:cs="方正仿宋_GB2312"/>
          <w:b/>
          <w:color w:val="000000" w:themeColor="text1"/>
          <w:spacing w:val="2"/>
          <w:sz w:val="24"/>
          <w:szCs w:val="24"/>
          <w:highlight w:val="none"/>
          <w:u w:val="single"/>
        </w:rPr>
      </w:r>
      <w:r>
        <w:rPr>
          <w:color w:val="000000" w:themeColor="text1"/>
        </w:rPr>
      </w:r>
    </w:p>
    <w:p>
      <w:pPr>
        <w:pStyle w:val="799"/>
        <w:ind w:firstLine="490"/>
        <w:spacing w:line="276" w:lineRule="auto"/>
        <w:rPr>
          <w:rFonts w:hint="eastAsia" w:ascii="方正仿宋_GB2312" w:hAnsi="方正仿宋_GB2312" w:eastAsia="方正仿宋_GB2312" w:cs="方正仿宋_GB2312"/>
          <w:b/>
          <w:color w:val="000000" w:themeColor="text1"/>
          <w:spacing w:val="2"/>
          <w:sz w:val="24"/>
          <w:szCs w:val="24"/>
          <w:highlight w:val="none"/>
        </w:rPr>
      </w:pPr>
      <w:r>
        <w:rPr>
          <w:rFonts w:hint="eastAsia" w:ascii="方正仿宋_GB2312" w:hAnsi="方正仿宋_GB2312" w:eastAsia="方正仿宋_GB2312" w:cs="方正仿宋_GB2312"/>
          <w:b/>
          <w:color w:val="000000" w:themeColor="text1"/>
          <w:spacing w:val="2"/>
          <w:sz w:val="24"/>
          <w:szCs w:val="24"/>
          <w:highlight w:val="none"/>
        </w:rPr>
        <w:t xml:space="preserve">甲方：</w:t>
      </w:r>
      <w:r>
        <w:rPr>
          <w:rFonts w:hint="eastAsia" w:ascii="方正仿宋_GB2312" w:hAnsi="方正仿宋_GB2312" w:eastAsia="方正仿宋_GB2312" w:cs="方正仿宋_GB2312"/>
          <w:b w:val="0"/>
          <w:bCs/>
          <w:color w:val="000000" w:themeColor="text1"/>
          <w:spacing w:val="2"/>
          <w:sz w:val="24"/>
          <w:szCs w:val="24"/>
          <w:highlight w:val="none"/>
          <w:u w:val="single"/>
          <w:lang w:val="en-US" w:eastAsia="zh-CN"/>
        </w:rPr>
        <w:t xml:space="preserve">苏州宿迁工业园区规划建设与城市管理局</w:t>
      </w:r>
      <w:r>
        <w:rPr>
          <w:rFonts w:hint="eastAsia" w:ascii="方正仿宋_GB2312" w:hAnsi="方正仿宋_GB2312" w:eastAsia="方正仿宋_GB2312" w:cs="方正仿宋_GB2312"/>
          <w:b/>
          <w:color w:val="000000" w:themeColor="text1"/>
          <w:spacing w:val="2"/>
          <w:sz w:val="24"/>
          <w:szCs w:val="24"/>
          <w:highlight w:val="none"/>
        </w:rPr>
      </w:r>
      <w:r>
        <w:rPr>
          <w:color w:val="000000" w:themeColor="text1"/>
        </w:rPr>
      </w:r>
    </w:p>
    <w:p>
      <w:pPr>
        <w:pStyle w:val="799"/>
        <w:ind w:firstLine="490"/>
        <w:spacing w:line="276" w:lineRule="auto"/>
        <w:rPr>
          <w:rFonts w:hint="eastAsia" w:ascii="方正仿宋_GB2312" w:hAnsi="方正仿宋_GB2312" w:eastAsia="方正仿宋_GB2312" w:cs="方正仿宋_GB2312"/>
          <w:b/>
          <w:color w:val="000000" w:themeColor="text1"/>
          <w:spacing w:val="2"/>
          <w:sz w:val="24"/>
          <w:szCs w:val="24"/>
          <w:highlight w:val="none"/>
          <w:u w:val="single"/>
        </w:rPr>
      </w:pPr>
      <w:r>
        <w:rPr>
          <w:rFonts w:hint="eastAsia" w:ascii="方正仿宋_GB2312" w:hAnsi="方正仿宋_GB2312" w:eastAsia="方正仿宋_GB2312" w:cs="方正仿宋_GB2312"/>
          <w:b/>
          <w:color w:val="000000" w:themeColor="text1"/>
          <w:spacing w:val="2"/>
          <w:sz w:val="24"/>
          <w:szCs w:val="24"/>
          <w:highlight w:val="none"/>
        </w:rPr>
        <w:t xml:space="preserve">乙方：</w:t>
      </w:r>
      <w:r>
        <w:rPr>
          <w:rFonts w:hint="eastAsia" w:ascii="方正仿宋_GB2312" w:hAnsi="方正仿宋_GB2312" w:eastAsia="方正仿宋_GB2312" w:cs="方正仿宋_GB2312"/>
          <w:b/>
          <w:color w:val="000000" w:themeColor="text1"/>
          <w:spacing w:val="2"/>
          <w:sz w:val="24"/>
          <w:szCs w:val="24"/>
          <w:highlight w:val="none"/>
          <w:u w:val="single"/>
        </w:rPr>
        <w:t xml:space="preserve">                          </w:t>
      </w:r>
      <w:r>
        <w:rPr>
          <w:rFonts w:hint="eastAsia" w:ascii="方正仿宋_GB2312" w:hAnsi="方正仿宋_GB2312" w:eastAsia="方正仿宋_GB2312" w:cs="方正仿宋_GB2312"/>
          <w:b/>
          <w:color w:val="000000" w:themeColor="text1"/>
          <w:spacing w:val="2"/>
          <w:sz w:val="24"/>
          <w:szCs w:val="24"/>
          <w:highlight w:val="none"/>
          <w:u w:val="singl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根据中标通知书，甲方将</w:t>
      </w:r>
      <w:r>
        <w:rPr>
          <w:rFonts w:hint="eastAsia" w:ascii="方正仿宋_GB2312" w:hAnsi="方正仿宋_GB2312" w:eastAsia="方正仿宋_GB2312" w:cs="方正仿宋_GB2312"/>
          <w:b/>
          <w:bCs/>
          <w:color w:val="000000" w:themeColor="text1"/>
          <w:sz w:val="24"/>
          <w:szCs w:val="24"/>
          <w:highlight w:val="none"/>
          <w:u w:val="single"/>
          <w:lang w:eastAsia="zh-CN"/>
        </w:rPr>
        <w:t xml:space="preserve">苏州宿迁工业园区2026-2028年公共绿化养护项目（</w:t>
      </w:r>
      <w:r>
        <w:rPr>
          <w:rFonts w:hint="eastAsia" w:ascii="方正仿宋_GB2312" w:hAnsi="方正仿宋_GB2312" w:eastAsia="方正仿宋_GB2312" w:cs="方正仿宋_GB2312"/>
          <w:b/>
          <w:bCs/>
          <w:color w:val="000000" w:themeColor="text1"/>
          <w:sz w:val="24"/>
          <w:szCs w:val="24"/>
          <w:highlight w:val="none"/>
          <w:u w:val="single"/>
          <w:lang w:val="en-US" w:eastAsia="zh-CN"/>
        </w:rPr>
        <w:t xml:space="preserve">采购包   </w:t>
      </w:r>
      <w:r>
        <w:rPr>
          <w:rFonts w:hint="eastAsia" w:ascii="方正仿宋_GB2312" w:hAnsi="方正仿宋_GB2312" w:eastAsia="方正仿宋_GB2312" w:cs="方正仿宋_GB2312"/>
          <w:b/>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发包给乙方，为了明确甲乙双方权利和义务，履行各自的职责，根据《中华人民共和国民法典》和相关法律、法规的有关规定，经甲、乙双方在平等、自愿、协商一致基础上，签订本养护合同。</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90"/>
        <w:spacing w:line="276" w:lineRule="auto"/>
        <w:rPr>
          <w:rFonts w:hint="eastAsia" w:ascii="方正仿宋_GB2312" w:hAnsi="方正仿宋_GB2312" w:eastAsia="方正仿宋_GB2312" w:cs="方正仿宋_GB2312"/>
          <w:b/>
          <w:color w:val="000000" w:themeColor="text1"/>
          <w:spacing w:val="2"/>
          <w:sz w:val="24"/>
          <w:szCs w:val="24"/>
          <w:highlight w:val="none"/>
        </w:rPr>
      </w:pPr>
      <w:r>
        <w:rPr>
          <w:rFonts w:hint="eastAsia" w:ascii="方正仿宋_GB2312" w:hAnsi="方正仿宋_GB2312" w:eastAsia="方正仿宋_GB2312" w:cs="方正仿宋_GB2312"/>
          <w:b/>
          <w:color w:val="000000" w:themeColor="text1"/>
          <w:spacing w:val="2"/>
          <w:sz w:val="24"/>
          <w:szCs w:val="24"/>
          <w:highlight w:val="none"/>
        </w:rPr>
        <w:t xml:space="preserve">第一条  合同期限与服务费。</w:t>
      </w:r>
      <w:r>
        <w:rPr>
          <w:rFonts w:hint="eastAsia" w:ascii="方正仿宋_GB2312" w:hAnsi="方正仿宋_GB2312" w:eastAsia="方正仿宋_GB2312" w:cs="方正仿宋_GB2312"/>
          <w:b/>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b/>
          <w:bCs w:val="0"/>
          <w:color w:val="000000" w:themeColor="text1"/>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w:t>
      </w:r>
      <w:r>
        <w:rPr>
          <w:rFonts w:hint="eastAsia" w:ascii="方正仿宋_GB2312" w:hAnsi="方正仿宋_GB2312" w:eastAsia="方正仿宋_GB2312" w:cs="方正仿宋_GB2312"/>
          <w:color w:val="000000" w:themeColor="text1"/>
          <w:spacing w:val="2"/>
          <w:sz w:val="24"/>
          <w:szCs w:val="24"/>
          <w:highlight w:val="none"/>
        </w:rPr>
        <w:t xml:space="preserve">合同</w:t>
      </w:r>
      <w:r>
        <w:rPr>
          <w:rFonts w:hint="eastAsia" w:ascii="方正仿宋_GB2312" w:hAnsi="方正仿宋_GB2312" w:eastAsia="方正仿宋_GB2312" w:cs="方正仿宋_GB2312"/>
          <w:color w:val="000000" w:themeColor="text1"/>
          <w:spacing w:val="2"/>
          <w:sz w:val="24"/>
          <w:szCs w:val="24"/>
          <w:highlight w:val="none"/>
          <w:lang w:val="en-US" w:eastAsia="zh-CN"/>
        </w:rPr>
        <w:t xml:space="preserve">履行</w:t>
      </w:r>
      <w:r>
        <w:rPr>
          <w:rFonts w:hint="eastAsia" w:ascii="方正仿宋_GB2312" w:hAnsi="方正仿宋_GB2312" w:eastAsia="方正仿宋_GB2312" w:cs="方正仿宋_GB2312"/>
          <w:color w:val="000000" w:themeColor="text1"/>
          <w:spacing w:val="2"/>
          <w:sz w:val="24"/>
          <w:szCs w:val="24"/>
          <w:highlight w:val="none"/>
        </w:rPr>
        <w:t xml:space="preserve">期限为：</w:t>
      </w:r>
      <w:r>
        <w:rPr>
          <w:rFonts w:hint="eastAsia" w:ascii="方正仿宋_GB2312" w:hAnsi="方正仿宋_GB2312" w:eastAsia="方正仿宋_GB2312" w:cs="方正仿宋_GB2312"/>
          <w:color w:val="000000" w:themeColor="text1"/>
          <w:spacing w:val="2"/>
          <w:sz w:val="24"/>
          <w:szCs w:val="24"/>
          <w:highlight w:val="none"/>
          <w:lang w:val="en-US" w:eastAsia="zh-CN"/>
        </w:rPr>
        <w:t xml:space="preserve">养护期：</w:t>
      </w:r>
      <w:r>
        <w:rPr>
          <w:rFonts w:hint="eastAsia" w:ascii="方正仿宋_GB2312" w:hAnsi="方正仿宋_GB2312" w:eastAsia="方正仿宋_GB2312" w:cs="方正仿宋_GB2312"/>
          <w:bCs/>
          <w:color w:val="000000" w:themeColor="text1"/>
          <w:sz w:val="24"/>
          <w:szCs w:val="24"/>
          <w:highlight w:val="none"/>
        </w:rPr>
        <w:t xml:space="preserve">36个月（实际进场日期以发包方通知时间为准）。</w:t>
      </w:r>
      <w:r>
        <w:rPr>
          <w:rFonts w:hint="eastAsia" w:ascii="方正仿宋_GB2312" w:hAnsi="方正仿宋_GB2312" w:eastAsia="方正仿宋_GB2312" w:cs="方正仿宋_GB2312"/>
          <w:b/>
          <w:bCs w:val="0"/>
          <w:color w:val="000000" w:themeColor="text1"/>
          <w:sz w:val="24"/>
          <w:szCs w:val="24"/>
          <w:highlight w:val="none"/>
          <w:lang w:val="en-US" w:eastAsia="zh-CN"/>
        </w:rPr>
        <w:t xml:space="preserve">【本合同采取“一年一签”模式。每期合同期满前，采购人有权对成交供应商在当期合同期内的履约情况进行考核。若供应商在任一合同年度内，累计有3个月（含）以上的月度考核得分低于85分（含85分），则采购人有权决定不再续签下一年度合同，本合同自当期期满之日起自动终止，双方无需另行签订终止协议。】</w:t>
      </w:r>
      <w:r>
        <w:rPr>
          <w:rFonts w:hint="eastAsia" w:ascii="方正仿宋_GB2312" w:hAnsi="方正仿宋_GB2312" w:eastAsia="方正仿宋_GB2312" w:cs="方正仿宋_GB2312"/>
          <w:b/>
          <w:bCs w:val="0"/>
          <w:color w:val="000000" w:themeColor="text1"/>
          <w:sz w:val="24"/>
          <w:szCs w:val="24"/>
          <w:highlight w:val="none"/>
          <w:lang w:val="en-US" w:eastAsia="zh-CN"/>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2.</w:t>
      </w:r>
      <w:r>
        <w:rPr>
          <w:rFonts w:hint="eastAsia" w:ascii="方正仿宋_GB2312" w:hAnsi="方正仿宋_GB2312" w:eastAsia="方正仿宋_GB2312" w:cs="方正仿宋_GB2312"/>
          <w:color w:val="000000" w:themeColor="text1"/>
          <w:spacing w:val="2"/>
          <w:sz w:val="24"/>
          <w:szCs w:val="24"/>
          <w:highlight w:val="none"/>
        </w:rPr>
        <w:t xml:space="preserve">养护费用为人民币大写：</w:t>
      </w:r>
      <w:r>
        <w:rPr>
          <w:rFonts w:hint="eastAsia" w:ascii="方正仿宋_GB2312" w:hAnsi="方正仿宋_GB2312" w:eastAsia="方正仿宋_GB2312" w:cs="方正仿宋_GB2312"/>
          <w:color w:val="000000" w:themeColor="text1"/>
          <w:spacing w:val="2"/>
          <w:sz w:val="24"/>
          <w:szCs w:val="24"/>
          <w:highlight w:val="none"/>
          <w:u w:val="single"/>
        </w:rPr>
        <w:t xml:space="preserve">       </w:t>
      </w:r>
      <w:r>
        <w:rPr>
          <w:rFonts w:hint="eastAsia" w:ascii="方正仿宋_GB2312" w:hAnsi="方正仿宋_GB2312" w:eastAsia="方正仿宋_GB2312" w:cs="方正仿宋_GB2312"/>
          <w:color w:val="000000" w:themeColor="text1"/>
          <w:spacing w:val="2"/>
          <w:sz w:val="24"/>
          <w:szCs w:val="24"/>
          <w:highlight w:val="none"/>
        </w:rPr>
        <w:t xml:space="preserve">元；小写</w:t>
      </w:r>
      <w:r>
        <w:rPr>
          <w:rFonts w:hint="eastAsia" w:ascii="方正仿宋_GB2312" w:hAnsi="方正仿宋_GB2312" w:eastAsia="方正仿宋_GB2312" w:cs="方正仿宋_GB2312"/>
          <w:color w:val="000000" w:themeColor="text1"/>
          <w:spacing w:val="2"/>
          <w:sz w:val="24"/>
          <w:szCs w:val="24"/>
          <w:highlight w:val="none"/>
          <w:u w:val="single"/>
        </w:rPr>
        <w:t xml:space="preserve">       </w:t>
      </w:r>
      <w:r>
        <w:rPr>
          <w:rFonts w:hint="eastAsia" w:ascii="方正仿宋_GB2312" w:hAnsi="方正仿宋_GB2312" w:eastAsia="方正仿宋_GB2312" w:cs="方正仿宋_GB2312"/>
          <w:color w:val="000000" w:themeColor="text1"/>
          <w:spacing w:val="2"/>
          <w:sz w:val="24"/>
          <w:szCs w:val="24"/>
          <w:highlight w:val="none"/>
        </w:rPr>
        <w:t xml:space="preserve">元，包含</w:t>
      </w:r>
      <w:r>
        <w:rPr>
          <w:rFonts w:hint="eastAsia" w:ascii="方正仿宋_GB2312" w:hAnsi="方正仿宋_GB2312" w:eastAsia="方正仿宋_GB2312" w:cs="方正仿宋_GB2312"/>
          <w:color w:val="000000" w:themeColor="text1"/>
          <w:sz w:val="24"/>
          <w:szCs w:val="24"/>
          <w:highlight w:val="none"/>
        </w:rPr>
        <w:t xml:space="preserve">完成该</w:t>
      </w:r>
      <w:r>
        <w:rPr>
          <w:rFonts w:hint="eastAsia" w:ascii="方正仿宋_GB2312" w:hAnsi="方正仿宋_GB2312" w:eastAsia="方正仿宋_GB2312" w:cs="方正仿宋_GB2312"/>
          <w:color w:val="000000" w:themeColor="text1"/>
          <w:sz w:val="24"/>
          <w:szCs w:val="24"/>
          <w:highlight w:val="none"/>
          <w:lang w:val="en-US" w:eastAsia="zh-CN"/>
        </w:rPr>
        <w:t xml:space="preserve">采购包</w:t>
      </w:r>
      <w:r>
        <w:rPr>
          <w:rFonts w:hint="eastAsia" w:ascii="方正仿宋_GB2312" w:hAnsi="方正仿宋_GB2312" w:eastAsia="方正仿宋_GB2312" w:cs="方正仿宋_GB2312"/>
          <w:color w:val="000000" w:themeColor="text1"/>
          <w:sz w:val="24"/>
          <w:szCs w:val="24"/>
          <w:highlight w:val="none"/>
        </w:rPr>
        <w:t xml:space="preserve">所有服务管理内容所需的人工、机械设备、工具器具、垃圾清运、耗材、通讯、服装、胸卡、办公设备、保险、劳保、防疫、春节慰问金、高温费、防暑降温物品费用、维护、</w:t>
      </w:r>
      <w:r>
        <w:rPr>
          <w:rFonts w:hint="eastAsia" w:ascii="方正仿宋_GB2312" w:hAnsi="方正仿宋_GB2312" w:eastAsia="方正仿宋_GB2312" w:cs="方正仿宋_GB2312"/>
          <w:bCs/>
          <w:color w:val="000000" w:themeColor="text1"/>
          <w:sz w:val="24"/>
          <w:szCs w:val="24"/>
          <w:highlight w:val="none"/>
        </w:rPr>
        <w:t xml:space="preserve">草花、草坪复播、苗木补植、清单报价</w:t>
      </w:r>
      <w:r>
        <w:rPr>
          <w:rFonts w:hint="eastAsia" w:ascii="方正仿宋_GB2312" w:hAnsi="方正仿宋_GB2312" w:eastAsia="方正仿宋_GB2312" w:cs="方正仿宋_GB2312"/>
          <w:color w:val="000000" w:themeColor="text1"/>
          <w:sz w:val="24"/>
          <w:szCs w:val="24"/>
          <w:highlight w:val="none"/>
        </w:rPr>
        <w:t xml:space="preserve">等全部费用以及</w:t>
      </w:r>
      <w:r>
        <w:rPr>
          <w:rFonts w:hint="eastAsia" w:ascii="方正仿宋_GB2312" w:hAnsi="方正仿宋_GB2312" w:eastAsia="方正仿宋_GB2312" w:cs="方正仿宋_GB2312"/>
          <w:color w:val="000000" w:themeColor="text1"/>
          <w:sz w:val="24"/>
          <w:szCs w:val="24"/>
          <w:highlight w:val="none"/>
          <w:lang w:eastAsia="zh-CN"/>
        </w:rPr>
        <w:t xml:space="preserve">乙方</w:t>
      </w:r>
      <w:r>
        <w:rPr>
          <w:rFonts w:hint="eastAsia" w:ascii="方正仿宋_GB2312" w:hAnsi="方正仿宋_GB2312" w:eastAsia="方正仿宋_GB2312" w:cs="方正仿宋_GB2312"/>
          <w:color w:val="000000" w:themeColor="text1"/>
          <w:sz w:val="24"/>
          <w:szCs w:val="24"/>
          <w:highlight w:val="none"/>
        </w:rPr>
        <w:t xml:space="preserve">企业管理费、利润、各种税金和政策性文件规定及合同包含的所有风险、责任等各项应有费用。投标报价为最终报价，除非因特殊原因并经买卖双方协商同意，</w:t>
      </w:r>
      <w:r>
        <w:rPr>
          <w:rFonts w:hint="eastAsia" w:ascii="方正仿宋_GB2312" w:hAnsi="方正仿宋_GB2312" w:eastAsia="方正仿宋_GB2312" w:cs="方正仿宋_GB2312"/>
          <w:color w:val="000000" w:themeColor="text1"/>
          <w:sz w:val="24"/>
          <w:szCs w:val="24"/>
          <w:highlight w:val="none"/>
          <w:lang w:eastAsia="zh-CN"/>
        </w:rPr>
        <w:t xml:space="preserve">乙方</w:t>
      </w:r>
      <w:r>
        <w:rPr>
          <w:rFonts w:hint="eastAsia" w:ascii="方正仿宋_GB2312" w:hAnsi="方正仿宋_GB2312" w:eastAsia="方正仿宋_GB2312" w:cs="方正仿宋_GB2312"/>
          <w:color w:val="000000" w:themeColor="text1"/>
          <w:sz w:val="24"/>
          <w:szCs w:val="24"/>
          <w:highlight w:val="none"/>
        </w:rPr>
        <w:t xml:space="preserve">不得再要求追加任何费用同时，除非合同条款中另有规定，否则，</w:t>
      </w:r>
      <w:r>
        <w:rPr>
          <w:rFonts w:hint="eastAsia" w:ascii="方正仿宋_GB2312" w:hAnsi="方正仿宋_GB2312" w:eastAsia="方正仿宋_GB2312" w:cs="方正仿宋_GB2312"/>
          <w:color w:val="000000" w:themeColor="text1"/>
          <w:sz w:val="24"/>
          <w:szCs w:val="24"/>
          <w:highlight w:val="none"/>
          <w:lang w:eastAsia="zh-CN"/>
        </w:rPr>
        <w:t xml:space="preserve">乙方</w:t>
      </w:r>
      <w:r>
        <w:rPr>
          <w:rFonts w:hint="eastAsia" w:ascii="方正仿宋_GB2312" w:hAnsi="方正仿宋_GB2312" w:eastAsia="方正仿宋_GB2312" w:cs="方正仿宋_GB2312"/>
          <w:color w:val="000000" w:themeColor="text1"/>
          <w:sz w:val="24"/>
          <w:szCs w:val="24"/>
          <w:highlight w:val="none"/>
        </w:rPr>
        <w:t xml:space="preserve">所报价格在合同实施期间不因市场变化因素而变动。</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90"/>
        <w:spacing w:line="276"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color w:val="000000" w:themeColor="text1"/>
          <w:spacing w:val="2"/>
          <w:sz w:val="24"/>
          <w:szCs w:val="24"/>
          <w:highlight w:val="none"/>
        </w:rPr>
        <w:t xml:space="preserve">第二条  </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项目</w:t>
      </w:r>
      <w:r>
        <w:rPr>
          <w:rFonts w:hint="eastAsia" w:ascii="方正仿宋_GB2312" w:hAnsi="方正仿宋_GB2312" w:eastAsia="方正仿宋_GB2312" w:cs="方正仿宋_GB2312"/>
          <w:b/>
          <w:bCs/>
          <w:color w:val="000000" w:themeColor="text1"/>
          <w:sz w:val="24"/>
          <w:szCs w:val="24"/>
          <w:highlight w:val="none"/>
        </w:rPr>
        <w:t xml:space="preserve">范围及</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服务标准</w:t>
      </w:r>
      <w:r>
        <w:rPr>
          <w:rFonts w:hint="eastAsia" w:ascii="方正仿宋_GB2312" w:hAnsi="方正仿宋_GB2312" w:eastAsia="方正仿宋_GB2312" w:cs="方正仿宋_GB2312"/>
          <w:b/>
          <w:color w:val="000000" w:themeColor="text1"/>
          <w:sz w:val="24"/>
          <w:szCs w:val="24"/>
          <w:highlight w:val="none"/>
        </w:rPr>
        <w:t xml:space="preserve">：详见招标文件“第四部分 采购需求”。</w:t>
      </w:r>
      <w:r>
        <w:rPr>
          <w:rFonts w:hint="eastAsia" w:ascii="方正仿宋_GB2312" w:hAnsi="方正仿宋_GB2312" w:eastAsia="方正仿宋_GB2312" w:cs="方正仿宋_GB2312"/>
          <w:b/>
          <w:color w:val="000000" w:themeColor="text1"/>
          <w:sz w:val="24"/>
          <w:szCs w:val="24"/>
          <w:highlight w:val="none"/>
        </w:rPr>
      </w:r>
      <w:r>
        <w:rPr>
          <w:color w:val="000000" w:themeColor="text1"/>
        </w:rPr>
      </w:r>
    </w:p>
    <w:p>
      <w:pPr>
        <w:pStyle w:val="799"/>
        <w:ind w:firstLine="490"/>
        <w:jc w:val="left"/>
        <w:spacing w:line="276"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rPr>
        <w:t xml:space="preserve">第</w:t>
      </w:r>
      <w:r>
        <w:rPr>
          <w:rFonts w:hint="eastAsia" w:ascii="方正仿宋_GB2312" w:hAnsi="方正仿宋_GB2312" w:eastAsia="方正仿宋_GB2312" w:cs="方正仿宋_GB2312"/>
          <w:b/>
          <w:bCs/>
          <w:color w:val="000000" w:themeColor="text1"/>
          <w:spacing w:val="2"/>
          <w:sz w:val="24"/>
          <w:szCs w:val="24"/>
          <w:highlight w:val="none"/>
          <w:lang w:val="en-US" w:eastAsia="zh-CN"/>
        </w:rPr>
        <w:t xml:space="preserve">三</w:t>
      </w:r>
      <w:r>
        <w:rPr>
          <w:rFonts w:hint="eastAsia" w:ascii="方正仿宋_GB2312" w:hAnsi="方正仿宋_GB2312" w:eastAsia="方正仿宋_GB2312" w:cs="方正仿宋_GB2312"/>
          <w:b/>
          <w:bCs/>
          <w:color w:val="000000" w:themeColor="text1"/>
          <w:spacing w:val="2"/>
          <w:sz w:val="24"/>
          <w:szCs w:val="24"/>
          <w:highlight w:val="none"/>
        </w:rPr>
        <w:t xml:space="preserve">条  人员及配备要求</w:t>
      </w:r>
      <w:r>
        <w:rPr>
          <w:rFonts w:hint="eastAsia" w:ascii="方正仿宋_GB2312" w:hAnsi="方正仿宋_GB2312" w:eastAsia="方正仿宋_GB2312" w:cs="方正仿宋_GB2312"/>
          <w:b/>
          <w:color w:val="000000" w:themeColor="text1"/>
          <w:sz w:val="24"/>
          <w:szCs w:val="24"/>
          <w:highlight w:val="none"/>
        </w:rPr>
        <w:t xml:space="preserve">：详见招标文件“第四部分 采购需求”。</w:t>
      </w:r>
      <w:r>
        <w:rPr>
          <w:rFonts w:hint="eastAsia" w:ascii="方正仿宋_GB2312" w:hAnsi="方正仿宋_GB2312" w:eastAsia="方正仿宋_GB2312" w:cs="方正仿宋_GB2312"/>
          <w:b/>
          <w:color w:val="000000" w:themeColor="text1"/>
          <w:sz w:val="24"/>
          <w:szCs w:val="24"/>
          <w:highlight w:val="none"/>
        </w:rPr>
      </w:r>
      <w:r>
        <w:rPr>
          <w:color w:val="000000" w:themeColor="text1"/>
        </w:rPr>
      </w:r>
    </w:p>
    <w:p>
      <w:pPr>
        <w:pStyle w:val="799"/>
        <w:ind w:firstLine="490"/>
        <w:jc w:val="left"/>
        <w:spacing w:line="276" w:lineRule="auto"/>
        <w:rPr>
          <w:rFonts w:hint="eastAsia" w:ascii="方正仿宋_GB2312" w:hAnsi="方正仿宋_GB2312" w:eastAsia="方正仿宋_GB2312" w:cs="方正仿宋_GB2312"/>
          <w:b w:val="0"/>
          <w:bCs/>
          <w:color w:val="000000" w:themeColor="text1"/>
          <w:sz w:val="24"/>
          <w:szCs w:val="24"/>
          <w:highlight w:val="none"/>
        </w:rPr>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1.甲方代表：</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联系电话：</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，甲方代表负责本项目协调管理等方面工作。</w:t>
      </w:r>
      <w:r>
        <w:rPr>
          <w:rFonts w:hint="eastAsia" w:ascii="方正仿宋_GB2312" w:hAnsi="方正仿宋_GB2312" w:eastAsia="方正仿宋_GB2312" w:cs="方正仿宋_GB2312"/>
          <w:b w:val="0"/>
          <w:bCs/>
          <w:color w:val="000000" w:themeColor="text1"/>
          <w:sz w:val="24"/>
          <w:szCs w:val="24"/>
          <w:highlight w:val="none"/>
          <w:lang w:val="en-US" w:eastAsia="zh-CN"/>
        </w:rPr>
      </w:r>
      <w:r>
        <w:rPr>
          <w:color w:val="000000" w:themeColor="text1"/>
        </w:rPr>
      </w:r>
    </w:p>
    <w:p>
      <w:pPr>
        <w:pStyle w:val="799"/>
        <w:ind w:firstLine="490"/>
        <w:jc w:val="left"/>
        <w:spacing w:line="276" w:lineRule="auto"/>
        <w:rPr>
          <w:rFonts w:ascii="方正仿宋_GB2312" w:hAnsi="方正仿宋_GB2312" w:eastAsia="方正仿宋_GB2312" w:cs="方正仿宋_GB2312"/>
          <w:b w:val="0"/>
          <w:bCs/>
          <w:color w:val="000000" w:themeColor="text1"/>
          <w:sz w:val="24"/>
          <w:szCs w:val="24"/>
          <w:highlight w:val="none"/>
        </w:rPr>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2.乙方项目负责人：</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证书编号：</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w:t>
      </w:r>
      <w:r>
        <w:rPr>
          <w:rFonts w:ascii="方正仿宋_GB2312" w:hAnsi="方正仿宋_GB2312" w:eastAsia="方正仿宋_GB2312" w:cs="方正仿宋_GB2312"/>
          <w:b w:val="0"/>
          <w:bCs/>
          <w:color w:val="000000" w:themeColor="text1"/>
          <w:sz w:val="24"/>
          <w:szCs w:val="24"/>
          <w:highlight w:val="none"/>
          <w:lang w:val="en-US" w:eastAsia="zh-CN"/>
        </w:rPr>
      </w:r>
      <w:r>
        <w:rPr>
          <w:color w:val="000000" w:themeColor="text1"/>
        </w:rPr>
      </w:r>
    </w:p>
    <w:p>
      <w:pPr>
        <w:pStyle w:val="799"/>
        <w:ind w:firstLine="490"/>
        <w:jc w:val="left"/>
        <w:spacing w:line="276"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rPr>
        <w:t xml:space="preserve">第</w:t>
      </w:r>
      <w:r>
        <w:rPr>
          <w:rFonts w:hint="eastAsia" w:ascii="方正仿宋_GB2312" w:hAnsi="方正仿宋_GB2312" w:eastAsia="方正仿宋_GB2312" w:cs="方正仿宋_GB2312"/>
          <w:b/>
          <w:bCs/>
          <w:color w:val="000000" w:themeColor="text1"/>
          <w:spacing w:val="2"/>
          <w:sz w:val="24"/>
          <w:szCs w:val="24"/>
          <w:highlight w:val="none"/>
          <w:lang w:val="en-US" w:eastAsia="zh-CN"/>
        </w:rPr>
        <w:t xml:space="preserve">四</w:t>
      </w:r>
      <w:r>
        <w:rPr>
          <w:rFonts w:hint="eastAsia" w:ascii="方正仿宋_GB2312" w:hAnsi="方正仿宋_GB2312" w:eastAsia="方正仿宋_GB2312" w:cs="方正仿宋_GB2312"/>
          <w:b/>
          <w:bCs/>
          <w:color w:val="000000" w:themeColor="text1"/>
          <w:spacing w:val="2"/>
          <w:sz w:val="24"/>
          <w:szCs w:val="24"/>
          <w:highlight w:val="none"/>
        </w:rPr>
        <w:t xml:space="preserve">条  </w:t>
      </w:r>
      <w:r>
        <w:rPr>
          <w:rFonts w:hint="eastAsia" w:ascii="方正仿宋_GB2312" w:hAnsi="方正仿宋_GB2312" w:eastAsia="方正仿宋_GB2312" w:cs="方正仿宋_GB2312"/>
          <w:b/>
          <w:color w:val="000000" w:themeColor="text1"/>
          <w:sz w:val="24"/>
          <w:szCs w:val="24"/>
          <w:highlight w:val="none"/>
        </w:rPr>
        <w:t xml:space="preserve">考核办法：详见招标文件“第四部分 采购需求”。</w:t>
      </w:r>
      <w:r>
        <w:rPr>
          <w:rFonts w:hint="eastAsia" w:ascii="方正仿宋_GB2312" w:hAnsi="方正仿宋_GB2312" w:eastAsia="方正仿宋_GB2312" w:cs="方正仿宋_GB2312"/>
          <w:b/>
          <w:color w:val="000000" w:themeColor="text1"/>
          <w:sz w:val="24"/>
          <w:szCs w:val="24"/>
          <w:highlight w:val="none"/>
        </w:rPr>
      </w:r>
      <w:r>
        <w:rPr>
          <w:color w:val="000000" w:themeColor="text1"/>
        </w:rPr>
      </w:r>
    </w:p>
    <w:p>
      <w:pPr>
        <w:pStyle w:val="799"/>
        <w:ind w:firstLine="490"/>
        <w:spacing w:line="276"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color w:val="000000" w:themeColor="text1"/>
          <w:spacing w:val="2"/>
          <w:sz w:val="24"/>
          <w:szCs w:val="24"/>
          <w:highlight w:val="none"/>
        </w:rPr>
        <w:t xml:space="preserve">第</w:t>
      </w:r>
      <w:r>
        <w:rPr>
          <w:rFonts w:hint="eastAsia" w:ascii="方正仿宋_GB2312" w:hAnsi="方正仿宋_GB2312" w:eastAsia="方正仿宋_GB2312" w:cs="方正仿宋_GB2312"/>
          <w:b/>
          <w:color w:val="000000" w:themeColor="text1"/>
          <w:spacing w:val="2"/>
          <w:sz w:val="24"/>
          <w:szCs w:val="24"/>
          <w:highlight w:val="none"/>
          <w:lang w:val="en-US" w:eastAsia="zh-CN"/>
        </w:rPr>
        <w:t xml:space="preserve">五</w:t>
      </w:r>
      <w:r>
        <w:rPr>
          <w:rFonts w:hint="eastAsia" w:ascii="方正仿宋_GB2312" w:hAnsi="方正仿宋_GB2312" w:eastAsia="方正仿宋_GB2312" w:cs="方正仿宋_GB2312"/>
          <w:b/>
          <w:color w:val="000000" w:themeColor="text1"/>
          <w:spacing w:val="2"/>
          <w:sz w:val="24"/>
          <w:szCs w:val="24"/>
          <w:highlight w:val="none"/>
        </w:rPr>
        <w:t xml:space="preserve">条  </w:t>
      </w:r>
      <w:r>
        <w:rPr>
          <w:rFonts w:hint="eastAsia" w:ascii="方正仿宋_GB2312" w:hAnsi="方正仿宋_GB2312" w:eastAsia="方正仿宋_GB2312" w:cs="方正仿宋_GB2312"/>
          <w:b/>
          <w:color w:val="000000" w:themeColor="text1"/>
          <w:spacing w:val="2"/>
          <w:sz w:val="24"/>
          <w:szCs w:val="24"/>
          <w:highlight w:val="none"/>
          <w:lang w:val="en-US" w:eastAsia="zh-CN"/>
        </w:rPr>
        <w:t xml:space="preserve">付款方式</w:t>
      </w:r>
      <w:r>
        <w:rPr>
          <w:rFonts w:hint="eastAsia" w:ascii="方正仿宋_GB2312" w:hAnsi="方正仿宋_GB2312" w:eastAsia="方正仿宋_GB2312" w:cs="方正仿宋_GB2312"/>
          <w:b/>
          <w:color w:val="000000" w:themeColor="text1"/>
          <w:sz w:val="24"/>
          <w:szCs w:val="24"/>
          <w:highlight w:val="none"/>
        </w:rPr>
        <w:t xml:space="preserve">：</w:t>
      </w:r>
      <w:r>
        <w:rPr>
          <w:rFonts w:hint="eastAsia" w:ascii="方正仿宋_GB2312" w:hAnsi="方正仿宋_GB2312" w:eastAsia="方正仿宋_GB2312" w:cs="方正仿宋_GB2312"/>
          <w:b/>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预付款：合同金额的10%，合同签订后按规定支付；</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进度款：甲方依据约定的考核办法进行每月考核后，根据考核情况核定月度养护费用，于过月拨付核定的月度养护费用的90%，余款在本项目结算审计后3个月内付清。乙方须根据甲方要求完成相关资料报送，乙方同意并认可由甲方委托任意一家第三方审计机构进行审计，结算价以最终审计为准。每次付款前，乙方需提供合法有效的发票。</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对于满足合同约定支付条件的，自收到发票后10个工作日内将资金支付到合同约定的乙方账户或乙方数字人民币账户。</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2"/>
        <w:spacing w:line="276" w:lineRule="auto"/>
        <w:rPr>
          <w:rFonts w:hint="eastAsia" w:ascii="方正仿宋_GB2312" w:hAnsi="方正仿宋_GB2312" w:eastAsia="方正仿宋_GB2312" w:cs="方正仿宋_GB2312"/>
          <w:b/>
          <w:color w:val="000000" w:themeColor="text1"/>
          <w:sz w:val="24"/>
          <w:szCs w:val="24"/>
          <w:highlight w:val="none"/>
          <w:u w:val="none"/>
        </w:rPr>
      </w:pPr>
      <w:r>
        <w:rPr>
          <w:rFonts w:hint="eastAsia" w:ascii="方正仿宋_GB2312" w:hAnsi="方正仿宋_GB2312" w:eastAsia="方正仿宋_GB2312" w:cs="方正仿宋_GB2312"/>
          <w:b/>
          <w:color w:val="000000" w:themeColor="text1"/>
          <w:sz w:val="24"/>
          <w:szCs w:val="24"/>
          <w:highlight w:val="none"/>
          <w:u w:val="none"/>
        </w:rPr>
        <w:t xml:space="preserve">注：在签订合同时，</w:t>
      </w:r>
      <w:r>
        <w:rPr>
          <w:rFonts w:hint="eastAsia" w:ascii="方正仿宋_GB2312" w:hAnsi="方正仿宋_GB2312" w:eastAsia="方正仿宋_GB2312" w:cs="方正仿宋_GB2312"/>
          <w:b/>
          <w:color w:val="000000" w:themeColor="text1"/>
          <w:sz w:val="24"/>
          <w:szCs w:val="24"/>
          <w:highlight w:val="none"/>
          <w:u w:val="none"/>
          <w:lang w:val="en-US" w:eastAsia="zh-CN"/>
        </w:rPr>
        <w:t xml:space="preserve">乙方</w:t>
      </w:r>
      <w:r>
        <w:rPr>
          <w:rFonts w:hint="eastAsia" w:ascii="方正仿宋_GB2312" w:hAnsi="方正仿宋_GB2312" w:eastAsia="方正仿宋_GB2312" w:cs="方正仿宋_GB2312"/>
          <w:b/>
          <w:color w:val="000000" w:themeColor="text1"/>
          <w:sz w:val="24"/>
          <w:szCs w:val="24"/>
          <w:highlight w:val="none"/>
          <w:u w:val="none"/>
        </w:rPr>
        <w:t xml:space="preserve">明确表示无需预付款或者主动要求降低预付款比例的金额，</w:t>
      </w:r>
      <w:r>
        <w:rPr>
          <w:rFonts w:hint="eastAsia" w:ascii="方正仿宋_GB2312" w:hAnsi="方正仿宋_GB2312" w:eastAsia="方正仿宋_GB2312" w:cs="方正仿宋_GB2312"/>
          <w:b/>
          <w:color w:val="000000" w:themeColor="text1"/>
          <w:sz w:val="24"/>
          <w:szCs w:val="24"/>
          <w:highlight w:val="none"/>
          <w:u w:val="none"/>
          <w:lang w:val="en-US" w:eastAsia="zh-CN"/>
        </w:rPr>
        <w:t xml:space="preserve">甲方</w:t>
      </w:r>
      <w:r>
        <w:rPr>
          <w:rFonts w:hint="eastAsia" w:ascii="方正仿宋_GB2312" w:hAnsi="方正仿宋_GB2312" w:eastAsia="方正仿宋_GB2312" w:cs="方正仿宋_GB2312"/>
          <w:b/>
          <w:color w:val="000000" w:themeColor="text1"/>
          <w:sz w:val="24"/>
          <w:szCs w:val="24"/>
          <w:highlight w:val="none"/>
          <w:u w:val="none"/>
        </w:rPr>
        <w:t xml:space="preserve">可不适用前述规定。</w:t>
      </w:r>
      <w:r>
        <w:rPr>
          <w:rFonts w:hint="eastAsia" w:ascii="方正仿宋_GB2312" w:hAnsi="方正仿宋_GB2312" w:eastAsia="方正仿宋_GB2312" w:cs="方正仿宋_GB2312"/>
          <w:b/>
          <w:color w:val="000000" w:themeColor="text1"/>
          <w:sz w:val="24"/>
          <w:szCs w:val="24"/>
          <w:highlight w:val="none"/>
          <w:u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乙方指定的户主名称、开户银行、</w:t>
      </w:r>
      <w:r>
        <w:rPr>
          <w:rFonts w:hint="eastAsia" w:ascii="方正仿宋_GB2312" w:hAnsi="方正仿宋_GB2312" w:eastAsia="方正仿宋_GB2312" w:cs="方正仿宋_GB2312"/>
          <w:color w:val="000000" w:themeColor="text1"/>
          <w:spacing w:val="2"/>
          <w:sz w:val="24"/>
          <w:szCs w:val="24"/>
          <w:highlight w:val="none"/>
          <w:lang w:eastAsia="zh-CN"/>
        </w:rPr>
        <w:t xml:space="preserve">银行账号</w:t>
      </w:r>
      <w:r>
        <w:rPr>
          <w:rFonts w:hint="eastAsia" w:ascii="方正仿宋_GB2312" w:hAnsi="方正仿宋_GB2312" w:eastAsia="方正仿宋_GB2312" w:cs="方正仿宋_GB2312"/>
          <w:color w:val="000000" w:themeColor="text1"/>
          <w:spacing w:val="2"/>
          <w:sz w:val="24"/>
          <w:szCs w:val="24"/>
          <w:highlight w:val="none"/>
        </w:rPr>
        <w:t xml:space="preserve">如下：</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u w:val="single"/>
        </w:rPr>
      </w:pPr>
      <w:r>
        <w:rPr>
          <w:rFonts w:hint="eastAsia" w:ascii="方正仿宋_GB2312" w:hAnsi="方正仿宋_GB2312" w:eastAsia="方正仿宋_GB2312" w:cs="方正仿宋_GB2312"/>
          <w:color w:val="000000" w:themeColor="text1"/>
          <w:spacing w:val="2"/>
          <w:sz w:val="24"/>
          <w:szCs w:val="24"/>
          <w:highlight w:val="none"/>
        </w:rPr>
        <w:t xml:space="preserve">户主名称：</w:t>
      </w:r>
      <w:r>
        <w:rPr>
          <w:rFonts w:hint="eastAsia" w:ascii="方正仿宋_GB2312" w:hAnsi="方正仿宋_GB2312" w:eastAsia="方正仿宋_GB2312" w:cs="方正仿宋_GB2312"/>
          <w:color w:val="000000" w:themeColor="text1"/>
          <w:spacing w:val="2"/>
          <w:sz w:val="24"/>
          <w:szCs w:val="24"/>
          <w:highlight w:val="none"/>
          <w:u w:val="singl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u w:val="single"/>
        </w:rPr>
      </w:pPr>
      <w:r>
        <w:rPr>
          <w:rFonts w:hint="eastAsia" w:ascii="方正仿宋_GB2312" w:hAnsi="方正仿宋_GB2312" w:eastAsia="方正仿宋_GB2312" w:cs="方正仿宋_GB2312"/>
          <w:color w:val="000000" w:themeColor="text1"/>
          <w:spacing w:val="2"/>
          <w:sz w:val="24"/>
          <w:szCs w:val="24"/>
          <w:highlight w:val="none"/>
        </w:rPr>
        <w:t xml:space="preserve">开户银行：</w:t>
      </w:r>
      <w:r>
        <w:rPr>
          <w:rFonts w:hint="eastAsia" w:ascii="方正仿宋_GB2312" w:hAnsi="方正仿宋_GB2312" w:eastAsia="方正仿宋_GB2312" w:cs="方正仿宋_GB2312"/>
          <w:color w:val="000000" w:themeColor="text1"/>
          <w:spacing w:val="2"/>
          <w:sz w:val="24"/>
          <w:szCs w:val="24"/>
          <w:highlight w:val="none"/>
          <w:u w:val="singl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银行账号</w:t>
      </w:r>
      <w:r>
        <w:rPr>
          <w:rFonts w:hint="eastAsia" w:ascii="方正仿宋_GB2312" w:hAnsi="方正仿宋_GB2312" w:eastAsia="方正仿宋_GB2312" w:cs="方正仿宋_GB2312"/>
          <w:color w:val="000000" w:themeColor="text1"/>
          <w:spacing w:val="2"/>
          <w:sz w:val="24"/>
          <w:szCs w:val="24"/>
          <w:highlight w:val="none"/>
        </w:rPr>
        <w:t xml:space="preserve">：</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90"/>
        <w:spacing w:line="276" w:lineRule="auto"/>
        <w:rPr>
          <w:rFonts w:hint="eastAsia" w:ascii="方正仿宋_GB2312" w:hAnsi="方正仿宋_GB2312" w:eastAsia="方正仿宋_GB2312" w:cs="方正仿宋_GB2312"/>
          <w:b/>
          <w:color w:val="000000" w:themeColor="text1"/>
          <w:spacing w:val="2"/>
          <w:sz w:val="24"/>
          <w:szCs w:val="24"/>
          <w:highlight w:val="none"/>
        </w:rPr>
      </w:pPr>
      <w:r>
        <w:rPr>
          <w:rFonts w:hint="eastAsia" w:ascii="方正仿宋_GB2312" w:hAnsi="方正仿宋_GB2312" w:eastAsia="方正仿宋_GB2312" w:cs="方正仿宋_GB2312"/>
          <w:b/>
          <w:color w:val="000000" w:themeColor="text1"/>
          <w:spacing w:val="2"/>
          <w:sz w:val="24"/>
          <w:szCs w:val="24"/>
          <w:highlight w:val="none"/>
        </w:rPr>
        <w:t xml:space="preserve">第</w:t>
      </w:r>
      <w:r>
        <w:rPr>
          <w:rFonts w:hint="eastAsia" w:ascii="方正仿宋_GB2312" w:hAnsi="方正仿宋_GB2312" w:eastAsia="方正仿宋_GB2312" w:cs="方正仿宋_GB2312"/>
          <w:b/>
          <w:color w:val="000000" w:themeColor="text1"/>
          <w:spacing w:val="2"/>
          <w:sz w:val="24"/>
          <w:szCs w:val="24"/>
          <w:highlight w:val="none"/>
          <w:lang w:val="en-US" w:eastAsia="zh-CN"/>
        </w:rPr>
        <w:t xml:space="preserve">六</w:t>
      </w:r>
      <w:r>
        <w:rPr>
          <w:rFonts w:hint="eastAsia" w:ascii="方正仿宋_GB2312" w:hAnsi="方正仿宋_GB2312" w:eastAsia="方正仿宋_GB2312" w:cs="方正仿宋_GB2312"/>
          <w:b/>
          <w:color w:val="000000" w:themeColor="text1"/>
          <w:spacing w:val="2"/>
          <w:sz w:val="24"/>
          <w:szCs w:val="24"/>
          <w:highlight w:val="none"/>
        </w:rPr>
        <w:t xml:space="preserve">条  甲方有以下权利和义务。</w:t>
      </w:r>
      <w:r>
        <w:rPr>
          <w:rFonts w:hint="eastAsia" w:ascii="方正仿宋_GB2312" w:hAnsi="方正仿宋_GB2312" w:eastAsia="方正仿宋_GB2312" w:cs="方正仿宋_GB2312"/>
          <w:b/>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w:t>
      </w:r>
      <w:r>
        <w:rPr>
          <w:rFonts w:hint="eastAsia" w:ascii="方正仿宋_GB2312" w:hAnsi="方正仿宋_GB2312" w:eastAsia="方正仿宋_GB2312" w:cs="方正仿宋_GB2312"/>
          <w:color w:val="000000" w:themeColor="text1"/>
          <w:spacing w:val="2"/>
          <w:sz w:val="24"/>
          <w:szCs w:val="24"/>
          <w:highlight w:val="none"/>
        </w:rPr>
        <w:t xml:space="preserve">拥有对乙方的养护行为进行监督指导、要求乙方提高养护标准、制止乙方</w:t>
      </w:r>
      <w:r>
        <w:rPr>
          <w:rFonts w:hint="eastAsia" w:ascii="方正仿宋_GB2312" w:hAnsi="方正仿宋_GB2312" w:eastAsia="方正仿宋_GB2312" w:cs="方正仿宋_GB2312"/>
          <w:color w:val="000000" w:themeColor="text1"/>
          <w:spacing w:val="2"/>
          <w:sz w:val="24"/>
          <w:szCs w:val="24"/>
          <w:highlight w:val="none"/>
          <w:lang w:eastAsia="zh-CN"/>
        </w:rPr>
        <w:t xml:space="preserve">危害</w:t>
      </w:r>
      <w:r>
        <w:rPr>
          <w:rFonts w:hint="eastAsia" w:ascii="方正仿宋_GB2312" w:hAnsi="方正仿宋_GB2312" w:eastAsia="方正仿宋_GB2312" w:cs="方正仿宋_GB2312"/>
          <w:color w:val="000000" w:themeColor="text1"/>
          <w:spacing w:val="2"/>
          <w:sz w:val="24"/>
          <w:szCs w:val="24"/>
          <w:highlight w:val="none"/>
        </w:rPr>
        <w:t xml:space="preserve">行为、审定乙方重大养护作业措施等权利。</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2.</w:t>
      </w:r>
      <w:r>
        <w:rPr>
          <w:rFonts w:hint="eastAsia" w:ascii="方正仿宋_GB2312" w:hAnsi="方正仿宋_GB2312" w:eastAsia="方正仿宋_GB2312" w:cs="方正仿宋_GB2312"/>
          <w:color w:val="000000" w:themeColor="text1"/>
          <w:spacing w:val="2"/>
          <w:sz w:val="24"/>
          <w:szCs w:val="24"/>
          <w:highlight w:val="none"/>
        </w:rPr>
        <w:t xml:space="preserve">甲方有权对乙方养护情况进行检查。如发现有不符合标准之处，有权要求乙方</w:t>
      </w:r>
      <w:r>
        <w:rPr>
          <w:rFonts w:hint="eastAsia" w:ascii="方正仿宋_GB2312" w:hAnsi="方正仿宋_GB2312" w:eastAsia="方正仿宋_GB2312" w:cs="方正仿宋_GB2312"/>
          <w:color w:val="000000" w:themeColor="text1"/>
          <w:spacing w:val="2"/>
          <w:sz w:val="24"/>
          <w:szCs w:val="24"/>
          <w:highlight w:val="none"/>
          <w:lang w:eastAsia="zh-CN"/>
        </w:rPr>
        <w:t xml:space="preserve">及时</w:t>
      </w:r>
      <w:r>
        <w:rPr>
          <w:rFonts w:hint="eastAsia" w:ascii="方正仿宋_GB2312" w:hAnsi="方正仿宋_GB2312" w:eastAsia="方正仿宋_GB2312" w:cs="方正仿宋_GB2312"/>
          <w:color w:val="000000" w:themeColor="text1"/>
          <w:spacing w:val="2"/>
          <w:sz w:val="24"/>
          <w:szCs w:val="24"/>
          <w:highlight w:val="none"/>
        </w:rPr>
        <w:t xml:space="preserve">进行整改。乙方未按要求及时进行整改的，甲方有权委托第三方进行养护，因此产生</w:t>
      </w:r>
      <w:r>
        <w:rPr>
          <w:rFonts w:hint="eastAsia" w:ascii="方正仿宋_GB2312" w:hAnsi="方正仿宋_GB2312" w:eastAsia="方正仿宋_GB2312" w:cs="方正仿宋_GB2312"/>
          <w:color w:val="000000" w:themeColor="text1"/>
          <w:spacing w:val="2"/>
          <w:sz w:val="24"/>
          <w:szCs w:val="24"/>
          <w:highlight w:val="none"/>
          <w:lang w:eastAsia="zh-CN"/>
        </w:rPr>
        <w:t xml:space="preserve">的</w:t>
      </w:r>
      <w:r>
        <w:rPr>
          <w:rFonts w:hint="eastAsia" w:ascii="方正仿宋_GB2312" w:hAnsi="方正仿宋_GB2312" w:eastAsia="方正仿宋_GB2312" w:cs="方正仿宋_GB2312"/>
          <w:color w:val="000000" w:themeColor="text1"/>
          <w:spacing w:val="2"/>
          <w:sz w:val="24"/>
          <w:szCs w:val="24"/>
          <w:highlight w:val="none"/>
        </w:rPr>
        <w:t xml:space="preserve">费用由乙方承担。</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3.</w:t>
      </w:r>
      <w:r>
        <w:rPr>
          <w:rFonts w:hint="eastAsia" w:ascii="方正仿宋_GB2312" w:hAnsi="方正仿宋_GB2312" w:eastAsia="方正仿宋_GB2312" w:cs="方正仿宋_GB2312"/>
          <w:color w:val="000000" w:themeColor="text1"/>
          <w:spacing w:val="2"/>
          <w:sz w:val="24"/>
          <w:szCs w:val="24"/>
          <w:highlight w:val="none"/>
        </w:rPr>
        <w:t xml:space="preserve">根据本合同规定的养护服务费用标准，按时支付乙方费用。如因特殊情况承包费未能按时拨付到位，乙方不得以此为由而不履行本合同规定义务，否则，</w:t>
      </w:r>
      <w:r>
        <w:rPr>
          <w:rFonts w:hint="eastAsia" w:ascii="方正仿宋_GB2312" w:hAnsi="方正仿宋_GB2312" w:eastAsia="方正仿宋_GB2312" w:cs="方正仿宋_GB2312"/>
          <w:color w:val="000000" w:themeColor="text1"/>
          <w:spacing w:val="2"/>
          <w:sz w:val="24"/>
          <w:szCs w:val="24"/>
        </w:rPr>
        <w:t xml:space="preserve">甲方</w:t>
      </w:r>
      <w:r>
        <w:rPr>
          <w:rFonts w:hint="eastAsia" w:ascii="方正仿宋_GB2312" w:hAnsi="方正仿宋_GB2312" w:eastAsia="方正仿宋_GB2312" w:cs="方正仿宋_GB2312"/>
          <w:color w:val="000000" w:themeColor="text1"/>
          <w:spacing w:val="2"/>
          <w:sz w:val="24"/>
          <w:szCs w:val="24"/>
          <w:lang w:eastAsia="zh-CN"/>
        </w:rPr>
        <w:t xml:space="preserve">有权追究乙方的违约责任。</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90"/>
        <w:spacing w:line="276" w:lineRule="auto"/>
        <w:rPr>
          <w:rFonts w:hint="eastAsia" w:ascii="方正仿宋_GB2312" w:hAnsi="方正仿宋_GB2312" w:eastAsia="方正仿宋_GB2312" w:cs="方正仿宋_GB2312"/>
          <w:b/>
          <w:color w:val="000000" w:themeColor="text1"/>
          <w:spacing w:val="2"/>
          <w:sz w:val="24"/>
          <w:szCs w:val="24"/>
          <w:highlight w:val="none"/>
        </w:rPr>
      </w:pPr>
      <w:r>
        <w:rPr>
          <w:rFonts w:hint="eastAsia" w:ascii="方正仿宋_GB2312" w:hAnsi="方正仿宋_GB2312" w:eastAsia="方正仿宋_GB2312" w:cs="方正仿宋_GB2312"/>
          <w:b/>
          <w:color w:val="000000" w:themeColor="text1"/>
          <w:spacing w:val="2"/>
          <w:sz w:val="24"/>
          <w:szCs w:val="24"/>
          <w:highlight w:val="none"/>
        </w:rPr>
        <w:t xml:space="preserve">第</w:t>
      </w:r>
      <w:r>
        <w:rPr>
          <w:rFonts w:hint="eastAsia" w:ascii="方正仿宋_GB2312" w:hAnsi="方正仿宋_GB2312" w:eastAsia="方正仿宋_GB2312" w:cs="方正仿宋_GB2312"/>
          <w:b/>
          <w:color w:val="000000" w:themeColor="text1"/>
          <w:spacing w:val="2"/>
          <w:sz w:val="24"/>
          <w:szCs w:val="24"/>
          <w:highlight w:val="none"/>
          <w:lang w:val="en-US" w:eastAsia="zh-CN"/>
        </w:rPr>
        <w:t xml:space="preserve">七</w:t>
      </w:r>
      <w:r>
        <w:rPr>
          <w:rFonts w:hint="eastAsia" w:ascii="方正仿宋_GB2312" w:hAnsi="方正仿宋_GB2312" w:eastAsia="方正仿宋_GB2312" w:cs="方正仿宋_GB2312"/>
          <w:b/>
          <w:color w:val="000000" w:themeColor="text1"/>
          <w:spacing w:val="2"/>
          <w:sz w:val="24"/>
          <w:szCs w:val="24"/>
          <w:highlight w:val="none"/>
        </w:rPr>
        <w:t xml:space="preserve">条  乙方的权利和义务。</w:t>
      </w:r>
      <w:r>
        <w:rPr>
          <w:rFonts w:hint="eastAsia" w:ascii="方正仿宋_GB2312" w:hAnsi="方正仿宋_GB2312" w:eastAsia="方正仿宋_GB2312" w:cs="方正仿宋_GB2312"/>
          <w:b/>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w:t>
      </w:r>
      <w:r>
        <w:rPr>
          <w:rFonts w:hint="eastAsia" w:ascii="方正仿宋_GB2312" w:hAnsi="方正仿宋_GB2312" w:eastAsia="方正仿宋_GB2312" w:cs="方正仿宋_GB2312"/>
          <w:color w:val="000000" w:themeColor="text1"/>
          <w:spacing w:val="2"/>
          <w:sz w:val="24"/>
          <w:szCs w:val="24"/>
          <w:highlight w:val="none"/>
        </w:rPr>
        <w:t xml:space="preserve">乙方拥有依法取得报酬，就养护工作向甲方提出建议和意见等权利。对甲方管理检查人员不按标准检查，</w:t>
      </w:r>
      <w:r>
        <w:rPr>
          <w:rFonts w:hint="eastAsia" w:ascii="方正仿宋_GB2312" w:hAnsi="方正仿宋_GB2312" w:eastAsia="方正仿宋_GB2312" w:cs="方正仿宋_GB2312"/>
          <w:color w:val="000000" w:themeColor="text1"/>
          <w:spacing w:val="2"/>
          <w:sz w:val="24"/>
          <w:szCs w:val="24"/>
          <w:highlight w:val="none"/>
          <w:lang w:eastAsia="zh-CN"/>
        </w:rPr>
        <w:t xml:space="preserve">假公营私</w:t>
      </w:r>
      <w:r>
        <w:rPr>
          <w:rFonts w:hint="eastAsia" w:ascii="方正仿宋_GB2312" w:hAnsi="方正仿宋_GB2312" w:eastAsia="方正仿宋_GB2312" w:cs="方正仿宋_GB2312"/>
          <w:color w:val="000000" w:themeColor="text1"/>
          <w:spacing w:val="2"/>
          <w:sz w:val="24"/>
          <w:szCs w:val="24"/>
          <w:highlight w:val="none"/>
        </w:rPr>
        <w:t xml:space="preserve">的可越级反映，对合同业务内工作争议进行正常途径申诉；</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2.</w:t>
      </w:r>
      <w:r>
        <w:rPr>
          <w:rFonts w:hint="eastAsia" w:ascii="方正仿宋_GB2312" w:hAnsi="方正仿宋_GB2312" w:eastAsia="方正仿宋_GB2312" w:cs="方正仿宋_GB2312"/>
          <w:color w:val="000000" w:themeColor="text1"/>
          <w:spacing w:val="2"/>
          <w:sz w:val="24"/>
          <w:szCs w:val="24"/>
          <w:highlight w:val="none"/>
        </w:rPr>
        <w:t xml:space="preserve">教育员工文明服务，礼貌待客，并严格遵守甲方各项规章制度，如因乙方员工原因给甲方造成经济或名誉上的损失，乙方应负责赔偿甲方因此造成的损失。</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3.</w:t>
      </w:r>
      <w:r>
        <w:rPr>
          <w:rFonts w:hint="eastAsia" w:ascii="方正仿宋_GB2312" w:hAnsi="方正仿宋_GB2312" w:eastAsia="方正仿宋_GB2312" w:cs="方正仿宋_GB2312"/>
          <w:color w:val="000000" w:themeColor="text1"/>
          <w:spacing w:val="2"/>
          <w:sz w:val="24"/>
          <w:szCs w:val="24"/>
          <w:highlight w:val="none"/>
        </w:rPr>
        <w:t xml:space="preserve">中标后须迅速做好准备工作，确保能按公司合同要求进场养护，中标后要在一个月内对现场苗木清点，与清单不符的要以书面形式上报，否则一律按清单执行。</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4.</w:t>
      </w:r>
      <w:r>
        <w:rPr>
          <w:rFonts w:hint="eastAsia" w:ascii="方正仿宋_GB2312" w:hAnsi="方正仿宋_GB2312" w:eastAsia="方正仿宋_GB2312" w:cs="方正仿宋_GB2312"/>
          <w:color w:val="000000" w:themeColor="text1"/>
          <w:spacing w:val="2"/>
          <w:sz w:val="24"/>
          <w:szCs w:val="24"/>
          <w:highlight w:val="none"/>
        </w:rPr>
        <w:t xml:space="preserve">乙方与工人签订劳动合同并按照劳动法规定缴纳相应的社保，所有工人劳动合同和相关证明（如社保等）必须报甲方备案，如不能及时提供合法用工的相关证明，甲方有权与乙方终止合同。</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5.</w:t>
      </w:r>
      <w:r>
        <w:rPr>
          <w:rFonts w:hint="eastAsia" w:ascii="方正仿宋_GB2312" w:hAnsi="方正仿宋_GB2312" w:eastAsia="方正仿宋_GB2312" w:cs="方正仿宋_GB2312"/>
          <w:color w:val="000000" w:themeColor="text1"/>
          <w:spacing w:val="2"/>
          <w:sz w:val="24"/>
          <w:szCs w:val="24"/>
          <w:highlight w:val="none"/>
        </w:rPr>
        <w:t xml:space="preserve">乙方雇佣员工应具备应变突发事件的能力，并提供花名册由甲方备案。</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6.</w:t>
      </w:r>
      <w:r>
        <w:rPr>
          <w:rFonts w:hint="eastAsia" w:ascii="方正仿宋_GB2312" w:hAnsi="方正仿宋_GB2312" w:eastAsia="方正仿宋_GB2312" w:cs="方正仿宋_GB2312"/>
          <w:color w:val="000000" w:themeColor="text1"/>
          <w:spacing w:val="2"/>
          <w:sz w:val="24"/>
          <w:szCs w:val="24"/>
          <w:highlight w:val="none"/>
        </w:rPr>
        <w:t xml:space="preserve">养护作业人员务必穿着统一工作制服并持证上岗，甲方有权视工作需要要求乙方临时性增加养护人员，若养护人员长期不到位导致养护工作不能有效开展，造成苗木缺损、景观被破坏等严重事故，甲方有权终止其养护合同，所造成的损失由养护单位承担。</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7.</w:t>
      </w:r>
      <w:r>
        <w:rPr>
          <w:rFonts w:hint="eastAsia" w:ascii="方正仿宋_GB2312" w:hAnsi="方正仿宋_GB2312" w:eastAsia="方正仿宋_GB2312" w:cs="方正仿宋_GB2312"/>
          <w:color w:val="000000" w:themeColor="text1"/>
          <w:spacing w:val="2"/>
          <w:sz w:val="24"/>
          <w:szCs w:val="24"/>
          <w:highlight w:val="none"/>
        </w:rPr>
        <w:t xml:space="preserve">在日常养护中，养护人员工作时须穿戴印有明显公司标识的统一服装，</w:t>
      </w:r>
      <w:r>
        <w:rPr>
          <w:rFonts w:hint="eastAsia" w:ascii="方正仿宋_GB2312" w:hAnsi="方正仿宋_GB2312" w:eastAsia="方正仿宋_GB2312" w:cs="方正仿宋_GB2312"/>
          <w:color w:val="000000" w:themeColor="text1"/>
          <w:spacing w:val="2"/>
          <w:sz w:val="24"/>
          <w:szCs w:val="24"/>
          <w:highlight w:val="none"/>
          <w:lang w:eastAsia="zh-CN"/>
        </w:rPr>
        <w:t xml:space="preserve">涉及</w:t>
      </w:r>
      <w:r>
        <w:rPr>
          <w:rFonts w:hint="eastAsia" w:ascii="方正仿宋_GB2312" w:hAnsi="方正仿宋_GB2312" w:eastAsia="方正仿宋_GB2312" w:cs="方正仿宋_GB2312"/>
          <w:color w:val="000000" w:themeColor="text1"/>
          <w:spacing w:val="2"/>
          <w:sz w:val="24"/>
          <w:szCs w:val="24"/>
          <w:highlight w:val="none"/>
        </w:rPr>
        <w:t xml:space="preserve">道路绿地养护的人员须穿反光背心，不按要求设置警示标志，存在一定安全</w:t>
      </w:r>
      <w:r>
        <w:rPr>
          <w:rFonts w:hint="eastAsia" w:ascii="方正仿宋_GB2312" w:hAnsi="方正仿宋_GB2312" w:eastAsia="方正仿宋_GB2312" w:cs="方正仿宋_GB2312"/>
          <w:color w:val="000000" w:themeColor="text1"/>
          <w:spacing w:val="2"/>
          <w:sz w:val="24"/>
          <w:szCs w:val="24"/>
          <w:highlight w:val="none"/>
          <w:lang w:eastAsia="zh-CN"/>
        </w:rPr>
        <w:t xml:space="preserve">隐患</w:t>
      </w:r>
      <w:r>
        <w:rPr>
          <w:rFonts w:hint="eastAsia" w:ascii="方正仿宋_GB2312" w:hAnsi="方正仿宋_GB2312" w:eastAsia="方正仿宋_GB2312" w:cs="方正仿宋_GB2312"/>
          <w:color w:val="000000" w:themeColor="text1"/>
          <w:spacing w:val="2"/>
          <w:sz w:val="24"/>
          <w:szCs w:val="24"/>
          <w:highlight w:val="none"/>
        </w:rPr>
        <w:t xml:space="preserve">的，纳入日常考核。因中标单</w:t>
      </w:r>
      <w:r>
        <w:rPr>
          <w:rFonts w:hint="eastAsia" w:ascii="方正仿宋_GB2312" w:hAnsi="方正仿宋_GB2312" w:eastAsia="方正仿宋_GB2312" w:cs="方正仿宋_GB2312"/>
          <w:color w:val="000000" w:themeColor="text1"/>
          <w:spacing w:val="2"/>
          <w:sz w:val="24"/>
          <w:szCs w:val="24"/>
          <w:highlight w:val="none"/>
          <w:lang w:eastAsia="zh-CN"/>
        </w:rPr>
        <w:t xml:space="preserve">位在</w:t>
      </w:r>
      <w:r>
        <w:rPr>
          <w:rFonts w:hint="eastAsia" w:ascii="方正仿宋_GB2312" w:hAnsi="方正仿宋_GB2312" w:eastAsia="方正仿宋_GB2312" w:cs="方正仿宋_GB2312"/>
          <w:color w:val="000000" w:themeColor="text1"/>
          <w:spacing w:val="2"/>
          <w:sz w:val="24"/>
          <w:szCs w:val="24"/>
          <w:highlight w:val="none"/>
        </w:rPr>
        <w:t xml:space="preserve">养护作业中未做</w:t>
      </w:r>
      <w:r>
        <w:rPr>
          <w:rFonts w:hint="eastAsia" w:ascii="方正仿宋_GB2312" w:hAnsi="方正仿宋_GB2312" w:eastAsia="方正仿宋_GB2312" w:cs="方正仿宋_GB2312"/>
          <w:color w:val="000000" w:themeColor="text1"/>
          <w:spacing w:val="2"/>
          <w:sz w:val="24"/>
          <w:szCs w:val="24"/>
          <w:highlight w:val="none"/>
          <w:lang w:eastAsia="zh-CN"/>
        </w:rPr>
        <w:t xml:space="preserve">安全</w:t>
      </w:r>
      <w:r>
        <w:rPr>
          <w:rFonts w:hint="eastAsia" w:ascii="方正仿宋_GB2312" w:hAnsi="方正仿宋_GB2312" w:eastAsia="方正仿宋_GB2312" w:cs="方正仿宋_GB2312"/>
          <w:color w:val="000000" w:themeColor="text1"/>
          <w:spacing w:val="2"/>
          <w:sz w:val="24"/>
          <w:szCs w:val="24"/>
          <w:highlight w:val="none"/>
        </w:rPr>
        <w:t xml:space="preserve">措施，导致人身伤害财产损失的，一律由中标单位自行承担，并纳入考核</w:t>
      </w:r>
      <w:r>
        <w:rPr>
          <w:rFonts w:hint="eastAsia" w:ascii="方正仿宋_GB2312" w:hAnsi="方正仿宋_GB2312" w:eastAsia="方正仿宋_GB2312" w:cs="方正仿宋_GB2312"/>
          <w:color w:val="000000" w:themeColor="text1"/>
          <w:spacing w:val="2"/>
          <w:sz w:val="24"/>
          <w:szCs w:val="24"/>
          <w:lang w:eastAsia="zh-CN"/>
        </w:rPr>
        <w:t xml:space="preserve">；若因此导致甲方垫付费用或承担连带责任的，甲方有权向乙方全额追偿</w:t>
      </w:r>
      <w:r>
        <w:rPr>
          <w:rFonts w:hint="eastAsia" w:ascii="方正仿宋_GB2312" w:hAnsi="方正仿宋_GB2312" w:eastAsia="方正仿宋_GB2312" w:cs="方正仿宋_GB2312"/>
          <w:color w:val="000000" w:themeColor="text1"/>
          <w:spacing w:val="2"/>
          <w:sz w:val="24"/>
          <w:szCs w:val="24"/>
        </w:rPr>
        <w:t xml:space="preserve">（乙方须每年给养护人员购买意外伤害保险并提供有效证明）</w:t>
      </w:r>
      <w:r>
        <w:rPr>
          <w:rFonts w:hint="eastAsia" w:ascii="方正仿宋_GB2312" w:hAnsi="方正仿宋_GB2312" w:eastAsia="方正仿宋_GB2312" w:cs="方正仿宋_GB2312"/>
          <w:color w:val="000000" w:themeColor="text1"/>
          <w:spacing w:val="2"/>
          <w:sz w:val="24"/>
          <w:szCs w:val="24"/>
          <w:lang w:eastAsia="zh-CN"/>
        </w:rPr>
        <w:t xml:space="preserve">。</w:t>
      </w:r>
      <w:r>
        <w:rPr>
          <w:rFonts w:hint="eastAsia" w:ascii="方正仿宋_GB2312" w:hAnsi="方正仿宋_GB2312" w:eastAsia="方正仿宋_GB2312" w:cs="方正仿宋_GB2312"/>
          <w:color w:val="000000" w:themeColor="text1"/>
          <w:spacing w:val="2"/>
          <w:sz w:val="24"/>
          <w:szCs w:val="24"/>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8.</w:t>
      </w:r>
      <w:r>
        <w:rPr>
          <w:rFonts w:hint="eastAsia" w:ascii="方正仿宋_GB2312" w:hAnsi="方正仿宋_GB2312" w:eastAsia="方正仿宋_GB2312" w:cs="方正仿宋_GB2312"/>
          <w:color w:val="000000" w:themeColor="text1"/>
          <w:spacing w:val="2"/>
          <w:sz w:val="24"/>
          <w:szCs w:val="24"/>
          <w:highlight w:val="none"/>
        </w:rPr>
        <w:t xml:space="preserve">承包单位应在苏宿工业园区内按甲方要求具有固定的办公场所。</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9.</w:t>
      </w:r>
      <w:r>
        <w:rPr>
          <w:rFonts w:hint="eastAsia" w:ascii="方正仿宋_GB2312" w:hAnsi="方正仿宋_GB2312" w:eastAsia="方正仿宋_GB2312" w:cs="方正仿宋_GB2312"/>
          <w:color w:val="000000" w:themeColor="text1"/>
          <w:spacing w:val="2"/>
          <w:sz w:val="24"/>
          <w:szCs w:val="24"/>
          <w:highlight w:val="none"/>
        </w:rPr>
        <w:t xml:space="preserve">负责对绿化管养人员进行教育、培训、考核和管理，组织做好绿地植物及绿化管养设备的安全防范工作，如因人员工作上疏忽或失职直接造成绿化植物及绿地管养设施设备被盗、毁坏、火灾、水电等重大安全事故，投标单位承担一切赔偿责任。履约期间，如若发生工作人员工伤或遇工作人员人身伤亡事故，均由乙方负责，与甲方无关。加强安全意识防范，中标单位工作人员发生安全事故、人身伤亡、疾病意外等，由乙方承担一切经济和法律责任</w:t>
      </w:r>
      <w:r>
        <w:rPr>
          <w:rFonts w:hint="eastAsia" w:ascii="方正仿宋_GB2312" w:hAnsi="方正仿宋_GB2312" w:eastAsia="方正仿宋_GB2312" w:cs="方正仿宋_GB2312"/>
          <w:color w:val="000000" w:themeColor="text1"/>
          <w:spacing w:val="2"/>
          <w:sz w:val="24"/>
          <w:szCs w:val="24"/>
          <w:lang w:eastAsia="zh-CN"/>
        </w:rPr>
        <w:t xml:space="preserve">；若因此导致甲方遭受损失或承担责任的，甲方有权向乙方全额追偿</w:t>
      </w:r>
      <w:r>
        <w:rPr>
          <w:rFonts w:hint="eastAsia" w:ascii="方正仿宋_GB2312" w:hAnsi="方正仿宋_GB2312" w:eastAsia="方正仿宋_GB2312" w:cs="方正仿宋_GB2312"/>
          <w:color w:val="000000" w:themeColor="text1"/>
          <w:spacing w:val="2"/>
          <w:sz w:val="24"/>
          <w:szCs w:val="24"/>
        </w:rPr>
        <w:t xml:space="preserve">。</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10.</w:t>
      </w:r>
      <w:r>
        <w:rPr>
          <w:rFonts w:hint="eastAsia" w:ascii="方正仿宋_GB2312" w:hAnsi="方正仿宋_GB2312" w:eastAsia="方正仿宋_GB2312" w:cs="方正仿宋_GB2312"/>
          <w:color w:val="000000" w:themeColor="text1"/>
          <w:spacing w:val="2"/>
          <w:sz w:val="24"/>
          <w:szCs w:val="24"/>
          <w:highlight w:val="none"/>
        </w:rPr>
        <w:t xml:space="preserve">制定和建立绿化管理相关制度（需甲方认可）</w:t>
      </w:r>
      <w:r>
        <w:rPr>
          <w:rFonts w:hint="eastAsia" w:ascii="方正仿宋_GB2312" w:hAnsi="方正仿宋_GB2312" w:eastAsia="方正仿宋_GB2312" w:cs="方正仿宋_GB2312"/>
          <w:color w:val="000000" w:themeColor="text1"/>
          <w:spacing w:val="2"/>
          <w:sz w:val="24"/>
          <w:szCs w:val="24"/>
          <w:highlight w:val="none"/>
          <w:lang w:eastAsia="zh-CN"/>
        </w:rPr>
        <w:t xml:space="preserve">和台账</w:t>
      </w:r>
      <w:r>
        <w:rPr>
          <w:rFonts w:hint="eastAsia" w:ascii="方正仿宋_GB2312" w:hAnsi="方正仿宋_GB2312" w:eastAsia="方正仿宋_GB2312" w:cs="方正仿宋_GB2312"/>
          <w:color w:val="000000" w:themeColor="text1"/>
          <w:spacing w:val="2"/>
          <w:sz w:val="24"/>
          <w:szCs w:val="24"/>
          <w:highlight w:val="none"/>
        </w:rPr>
        <w:t xml:space="preserve">，建立每月自查制度，如实填写自查报表，自查与</w:t>
      </w:r>
      <w:r>
        <w:rPr>
          <w:rFonts w:hint="eastAsia" w:ascii="方正仿宋_GB2312" w:hAnsi="方正仿宋_GB2312" w:eastAsia="方正仿宋_GB2312" w:cs="方正仿宋_GB2312"/>
          <w:color w:val="000000" w:themeColor="text1"/>
          <w:spacing w:val="2"/>
          <w:sz w:val="24"/>
          <w:szCs w:val="24"/>
          <w:highlight w:val="none"/>
          <w:lang w:eastAsia="zh-CN"/>
        </w:rPr>
        <w:t xml:space="preserve">台账</w:t>
      </w:r>
      <w:r>
        <w:rPr>
          <w:rFonts w:hint="eastAsia" w:ascii="方正仿宋_GB2312" w:hAnsi="方正仿宋_GB2312" w:eastAsia="方正仿宋_GB2312" w:cs="方正仿宋_GB2312"/>
          <w:color w:val="000000" w:themeColor="text1"/>
          <w:spacing w:val="2"/>
          <w:sz w:val="24"/>
          <w:szCs w:val="24"/>
          <w:highlight w:val="none"/>
        </w:rPr>
        <w:t xml:space="preserve">按时报甲方。</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11.</w:t>
      </w:r>
      <w:r>
        <w:rPr>
          <w:rFonts w:hint="eastAsia" w:ascii="方正仿宋_GB2312" w:hAnsi="方正仿宋_GB2312" w:eastAsia="方正仿宋_GB2312" w:cs="方正仿宋_GB2312"/>
          <w:color w:val="000000" w:themeColor="text1"/>
          <w:spacing w:val="2"/>
          <w:sz w:val="24"/>
          <w:szCs w:val="24"/>
          <w:highlight w:val="none"/>
        </w:rPr>
        <w:t xml:space="preserve">养护范围之外的突发性工作，乙方必须配合甲方协调安排，不得以各种理拖延，如乙方拖延或未执行甲方指令的，甲方将按规定扣除一定养护费用。</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12.</w:t>
      </w:r>
      <w:r>
        <w:rPr>
          <w:rFonts w:hint="eastAsia" w:ascii="方正仿宋_GB2312" w:hAnsi="方正仿宋_GB2312" w:eastAsia="方正仿宋_GB2312" w:cs="方正仿宋_GB2312"/>
          <w:color w:val="000000" w:themeColor="text1"/>
          <w:spacing w:val="2"/>
          <w:sz w:val="24"/>
          <w:szCs w:val="24"/>
          <w:highlight w:val="none"/>
        </w:rPr>
        <w:t xml:space="preserve">乙方应详细做好每月的养护台账，建立养护档案，按照甲方要求做好每月阶段性苗木清点、绿化日常养护资料汇总、影像资料收集等工作，未在甲方规定时间内完成纳入日常考核。</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13.</w:t>
      </w:r>
      <w:r>
        <w:rPr>
          <w:rFonts w:hint="eastAsia" w:ascii="方正仿宋_GB2312" w:hAnsi="方正仿宋_GB2312" w:eastAsia="方正仿宋_GB2312" w:cs="方正仿宋_GB2312"/>
          <w:color w:val="000000" w:themeColor="text1"/>
          <w:spacing w:val="2"/>
          <w:sz w:val="24"/>
          <w:szCs w:val="24"/>
          <w:highlight w:val="none"/>
        </w:rPr>
        <w:t xml:space="preserve">承包单位在履行合同期间，需积极参加省、市各类工程争先创优工作（相关费用纳入报价）。</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14.</w:t>
      </w:r>
      <w:r>
        <w:rPr>
          <w:rFonts w:hint="eastAsia" w:ascii="方正仿宋_GB2312" w:hAnsi="方正仿宋_GB2312" w:eastAsia="方正仿宋_GB2312" w:cs="方正仿宋_GB2312"/>
          <w:color w:val="000000" w:themeColor="text1"/>
          <w:spacing w:val="2"/>
          <w:sz w:val="24"/>
          <w:szCs w:val="24"/>
          <w:highlight w:val="none"/>
        </w:rPr>
        <w:t xml:space="preserve">肥料管理：按招标需求执行。</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15.</w:t>
      </w:r>
      <w:r>
        <w:rPr>
          <w:rFonts w:hint="eastAsia" w:ascii="方正仿宋_GB2312" w:hAnsi="方正仿宋_GB2312" w:eastAsia="方正仿宋_GB2312" w:cs="方正仿宋_GB2312"/>
          <w:color w:val="000000" w:themeColor="text1"/>
          <w:spacing w:val="2"/>
          <w:sz w:val="24"/>
          <w:szCs w:val="24"/>
          <w:highlight w:val="none"/>
        </w:rPr>
        <w:t xml:space="preserve">防汛、防风、抗旱 、防寒等抗灾抢险应急保障工作要求：</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（1）前期准备工作：中标人要建立完善园林绿化抗灾抢险应急预案机制，成立抗灾抢险应急专项工作小组，通过微信、QQ 建立通讯工作网络，落实抢险队伍，添置</w:t>
      </w:r>
      <w:r>
        <w:rPr>
          <w:rFonts w:hint="eastAsia" w:ascii="方正仿宋_GB2312" w:hAnsi="方正仿宋_GB2312" w:eastAsia="方正仿宋_GB2312" w:cs="方正仿宋_GB2312"/>
          <w:color w:val="000000" w:themeColor="text1"/>
          <w:spacing w:val="2"/>
          <w:sz w:val="24"/>
          <w:szCs w:val="24"/>
          <w:highlight w:val="none"/>
          <w:lang w:eastAsia="zh-CN"/>
        </w:rPr>
        <w:t xml:space="preserve">必需的</w:t>
      </w:r>
      <w:r>
        <w:rPr>
          <w:rFonts w:hint="eastAsia" w:ascii="方正仿宋_GB2312" w:hAnsi="方正仿宋_GB2312" w:eastAsia="方正仿宋_GB2312" w:cs="方正仿宋_GB2312"/>
          <w:color w:val="000000" w:themeColor="text1"/>
          <w:spacing w:val="2"/>
          <w:sz w:val="24"/>
          <w:szCs w:val="24"/>
          <w:highlight w:val="none"/>
        </w:rPr>
        <w:t xml:space="preserve">抗灾抢险机械设备、材料工具等，做到</w:t>
      </w:r>
      <w:r>
        <w:rPr>
          <w:rFonts w:hint="eastAsia" w:ascii="方正仿宋_GB2312" w:hAnsi="方正仿宋_GB2312" w:eastAsia="方正仿宋_GB2312" w:cs="方正仿宋_GB2312"/>
          <w:color w:val="000000" w:themeColor="text1"/>
          <w:spacing w:val="2"/>
          <w:sz w:val="24"/>
          <w:szCs w:val="24"/>
          <w:highlight w:val="none"/>
          <w:lang w:eastAsia="zh-CN"/>
        </w:rPr>
        <w:t xml:space="preserve">召之即来</w:t>
      </w:r>
      <w:r>
        <w:rPr>
          <w:rFonts w:hint="eastAsia" w:ascii="方正仿宋_GB2312" w:hAnsi="方正仿宋_GB2312" w:eastAsia="方正仿宋_GB2312" w:cs="方正仿宋_GB2312"/>
          <w:color w:val="000000" w:themeColor="text1"/>
          <w:spacing w:val="2"/>
          <w:sz w:val="24"/>
          <w:szCs w:val="24"/>
          <w:highlight w:val="none"/>
        </w:rPr>
        <w:t xml:space="preserve">，全面做好抗灾抢险各项应急保障工作。</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2）抗灾抢险工作：中标人要安排人员密切关注气象部门气象报告，灾情发生时组织人员外出巡查，全面掌握园林绿化受灾发生情况及发展趋势，并随时向采购人汇报反馈抗灾抢险相关情况。中标人要按照应急预案要求，及时采取有效措施减少损失，消除安全隐患，保障人民生命和财产安全。紧急情况要随时安排处理解决，一般情况要在灾后 24 小时内处理完毕。除不可抗力因素外，因中标人抢险不力造成的一切后果和法律责任均由中标人承担。</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16.</w:t>
      </w:r>
      <w:r>
        <w:rPr>
          <w:rFonts w:hint="eastAsia" w:ascii="方正仿宋_GB2312" w:hAnsi="方正仿宋_GB2312" w:eastAsia="方正仿宋_GB2312" w:cs="方正仿宋_GB2312"/>
          <w:color w:val="000000" w:themeColor="text1"/>
          <w:spacing w:val="2"/>
          <w:sz w:val="24"/>
          <w:szCs w:val="24"/>
          <w:highlight w:val="none"/>
        </w:rPr>
        <w:t xml:space="preserve">承包单位在缺陷责任期结束后，需做好绿化养护工程各类结算、竣工验收及审计相关资料。</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17.</w:t>
      </w:r>
      <w:r>
        <w:rPr>
          <w:rFonts w:hint="eastAsia" w:ascii="方正仿宋_GB2312" w:hAnsi="方正仿宋_GB2312" w:eastAsia="方正仿宋_GB2312" w:cs="方正仿宋_GB2312"/>
          <w:color w:val="000000" w:themeColor="text1"/>
          <w:spacing w:val="2"/>
          <w:sz w:val="24"/>
          <w:szCs w:val="24"/>
          <w:highlight w:val="none"/>
        </w:rPr>
        <w:t xml:space="preserve">乙方应在每月28日之前向甲方提交下月工作计划。</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18.</w:t>
      </w:r>
      <w:r>
        <w:rPr>
          <w:rFonts w:hint="eastAsia" w:ascii="方正仿宋_GB2312" w:hAnsi="方正仿宋_GB2312" w:eastAsia="方正仿宋_GB2312" w:cs="方正仿宋_GB2312"/>
          <w:color w:val="000000" w:themeColor="text1"/>
          <w:spacing w:val="2"/>
          <w:sz w:val="24"/>
          <w:szCs w:val="24"/>
          <w:highlight w:val="none"/>
        </w:rPr>
        <w:t xml:space="preserve">专用条款要求：</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（1）</w:t>
      </w:r>
      <w:r>
        <w:rPr>
          <w:rFonts w:hint="eastAsia" w:ascii="方正仿宋_GB2312" w:hAnsi="方正仿宋_GB2312" w:eastAsia="方正仿宋_GB2312" w:cs="方正仿宋_GB2312"/>
          <w:color w:val="000000" w:themeColor="text1"/>
          <w:spacing w:val="2"/>
          <w:sz w:val="24"/>
          <w:szCs w:val="24"/>
          <w:highlight w:val="none"/>
          <w:lang w:eastAsia="zh-CN"/>
        </w:rPr>
        <w:t xml:space="preserve">乙方</w:t>
      </w:r>
      <w:r>
        <w:rPr>
          <w:rFonts w:hint="eastAsia" w:ascii="方正仿宋_GB2312" w:hAnsi="方正仿宋_GB2312" w:eastAsia="方正仿宋_GB2312" w:cs="方正仿宋_GB2312"/>
          <w:color w:val="000000" w:themeColor="text1"/>
          <w:spacing w:val="2"/>
          <w:sz w:val="24"/>
          <w:szCs w:val="24"/>
          <w:highlight w:val="none"/>
        </w:rPr>
        <w:t xml:space="preserve">报价要充分考虑管养面积以及宿迁市最低工资标准、各项社会保险及意外伤害强制保险、管养设备、工具材料等必要的劳动生产资料、税收及合理利润等均含在报价里。</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（2）乙方必须坚决避免相关人员单独和集体上访，若一年内连续出现两次，甲方有权解除合同，并根据情节轻重有权给予经济和行政处罚。</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（3）保证本项目员工工资标准不低于宿迁市最低工资标准，保证不克扣和拖欠工资，工资支付最长周期小于30天；若本项目出现拖欠农民工工资现象，无须征得</w:t>
      </w:r>
      <w:r>
        <w:rPr>
          <w:rFonts w:hint="eastAsia" w:ascii="方正仿宋_GB2312" w:hAnsi="方正仿宋_GB2312" w:eastAsia="方正仿宋_GB2312" w:cs="方正仿宋_GB2312"/>
          <w:color w:val="000000" w:themeColor="text1"/>
          <w:spacing w:val="2"/>
          <w:sz w:val="24"/>
          <w:szCs w:val="24"/>
          <w:highlight w:val="none"/>
          <w:lang w:eastAsia="zh-CN"/>
        </w:rPr>
        <w:t xml:space="preserve">乙方</w:t>
      </w:r>
      <w:r>
        <w:rPr>
          <w:rFonts w:hint="eastAsia" w:ascii="方正仿宋_GB2312" w:hAnsi="方正仿宋_GB2312" w:eastAsia="方正仿宋_GB2312" w:cs="方正仿宋_GB2312"/>
          <w:color w:val="000000" w:themeColor="text1"/>
          <w:spacing w:val="2"/>
          <w:sz w:val="24"/>
          <w:szCs w:val="24"/>
          <w:highlight w:val="none"/>
        </w:rPr>
        <w:t xml:space="preserve">同意，直接从农民工工资保证金中代为支付。</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（4）按照新《</w:t>
      </w:r>
      <w:r>
        <w:rPr>
          <w:rFonts w:hint="eastAsia" w:ascii="方正仿宋_GB2312" w:hAnsi="方正仿宋_GB2312" w:eastAsia="方正仿宋_GB2312" w:cs="方正仿宋_GB2312"/>
          <w:color w:val="000000" w:themeColor="text1"/>
          <w:spacing w:val="2"/>
          <w:sz w:val="24"/>
          <w:szCs w:val="24"/>
          <w:highlight w:val="none"/>
          <w:lang w:eastAsia="zh-CN"/>
        </w:rPr>
        <w:t xml:space="preserve">中华人民共和国劳动合同法</w:t>
      </w:r>
      <w:r>
        <w:rPr>
          <w:rFonts w:hint="eastAsia" w:ascii="方正仿宋_GB2312" w:hAnsi="方正仿宋_GB2312" w:eastAsia="方正仿宋_GB2312" w:cs="方正仿宋_GB2312"/>
          <w:color w:val="000000" w:themeColor="text1"/>
          <w:spacing w:val="2"/>
          <w:sz w:val="24"/>
          <w:szCs w:val="24"/>
          <w:highlight w:val="none"/>
        </w:rPr>
        <w:t xml:space="preserve">》要求，为所有雇员缴纳各项社会保险及其他强制保险，做到应保尽保。</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（5）养护作业人员务必穿着统一工作制服并持证上岗，按照规范规定，进行安全施工，若发生安全责任事故，所有责任均由承包人承担。</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90"/>
        <w:jc w:val="left"/>
        <w:spacing w:line="276"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color w:val="000000" w:themeColor="text1"/>
          <w:spacing w:val="2"/>
          <w:sz w:val="24"/>
          <w:szCs w:val="24"/>
          <w:highlight w:val="none"/>
        </w:rPr>
        <w:t xml:space="preserve">第</w:t>
      </w:r>
      <w:r>
        <w:rPr>
          <w:rFonts w:hint="eastAsia" w:ascii="方正仿宋_GB2312" w:hAnsi="方正仿宋_GB2312" w:eastAsia="方正仿宋_GB2312" w:cs="方正仿宋_GB2312"/>
          <w:b/>
          <w:color w:val="000000" w:themeColor="text1"/>
          <w:spacing w:val="2"/>
          <w:sz w:val="24"/>
          <w:szCs w:val="24"/>
          <w:highlight w:val="none"/>
          <w:lang w:val="en-US" w:eastAsia="zh-CN"/>
        </w:rPr>
        <w:t xml:space="preserve">八</w:t>
      </w:r>
      <w:r>
        <w:rPr>
          <w:rFonts w:hint="eastAsia" w:ascii="方正仿宋_GB2312" w:hAnsi="方正仿宋_GB2312" w:eastAsia="方正仿宋_GB2312" w:cs="方正仿宋_GB2312"/>
          <w:b/>
          <w:color w:val="000000" w:themeColor="text1"/>
          <w:spacing w:val="2"/>
          <w:sz w:val="24"/>
          <w:szCs w:val="24"/>
          <w:highlight w:val="none"/>
        </w:rPr>
        <w:t xml:space="preserve">条</w:t>
      </w:r>
      <w:r>
        <w:rPr>
          <w:rFonts w:hint="eastAsia" w:ascii="方正仿宋_GB2312" w:hAnsi="方正仿宋_GB2312" w:eastAsia="方正仿宋_GB2312" w:cs="方正仿宋_GB2312"/>
          <w:b/>
          <w:bCs/>
          <w:color w:val="000000" w:themeColor="text1"/>
          <w:sz w:val="24"/>
          <w:szCs w:val="24"/>
          <w:highlight w:val="none"/>
        </w:rPr>
        <w:t xml:space="preserve">  </w:t>
      </w:r>
      <w:r>
        <w:rPr>
          <w:rFonts w:hint="eastAsia" w:ascii="方正仿宋_GB2312" w:hAnsi="方正仿宋_GB2312" w:eastAsia="方正仿宋_GB2312" w:cs="方正仿宋_GB2312"/>
          <w:b/>
          <w:color w:val="000000" w:themeColor="text1"/>
          <w:spacing w:val="2"/>
          <w:sz w:val="24"/>
          <w:szCs w:val="24"/>
          <w:highlight w:val="none"/>
        </w:rPr>
        <w:t xml:space="preserve">企业信用管理</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p>
      <w:pPr>
        <w:pStyle w:val="799"/>
        <w:ind w:firstLine="488"/>
        <w:jc w:val="left"/>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对乙方的信用管理，按照《宿迁市建设市场信用管理办法》（宿建发〔2017〕153 号）的规定，纳入宿迁市建设市场统一管理。除相关文件规定以外，乙方有以下情形之一的，记入一般失信行为：</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jc w:val="left"/>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w:t>
      </w:r>
      <w:r>
        <w:rPr>
          <w:rFonts w:hint="eastAsia" w:ascii="方正仿宋_GB2312" w:hAnsi="方正仿宋_GB2312" w:eastAsia="方正仿宋_GB2312" w:cs="方正仿宋_GB2312"/>
          <w:color w:val="000000" w:themeColor="text1"/>
          <w:spacing w:val="2"/>
          <w:sz w:val="24"/>
          <w:szCs w:val="24"/>
          <w:highlight w:val="none"/>
        </w:rPr>
        <w:t xml:space="preserve">乙方不能按时对甲方指出的管养问题进行整改到位，一个月内出现三次。</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jc w:val="left"/>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2.</w:t>
      </w:r>
      <w:r>
        <w:rPr>
          <w:rFonts w:hint="eastAsia" w:ascii="方正仿宋_GB2312" w:hAnsi="方正仿宋_GB2312" w:eastAsia="方正仿宋_GB2312" w:cs="方正仿宋_GB2312"/>
          <w:color w:val="000000" w:themeColor="text1"/>
          <w:spacing w:val="2"/>
          <w:sz w:val="24"/>
          <w:szCs w:val="24"/>
          <w:highlight w:val="none"/>
        </w:rPr>
        <w:t xml:space="preserve">一个月度考核周期内，人员到岗率超过三次低于 90%，超过三次发现人员未统一服装。</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jc w:val="left"/>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3.</w:t>
      </w:r>
      <w:r>
        <w:rPr>
          <w:rFonts w:hint="eastAsia" w:ascii="方正仿宋_GB2312" w:hAnsi="方正仿宋_GB2312" w:eastAsia="方正仿宋_GB2312" w:cs="方正仿宋_GB2312"/>
          <w:color w:val="000000" w:themeColor="text1"/>
          <w:spacing w:val="2"/>
          <w:sz w:val="24"/>
          <w:szCs w:val="24"/>
          <w:highlight w:val="none"/>
        </w:rPr>
        <w:t xml:space="preserve">甲方召开的管养会议，项目经理或技术负责人未履行请假手续，半年内迟到三次或缺席两次。</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jc w:val="left"/>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4.</w:t>
      </w:r>
      <w:r>
        <w:rPr>
          <w:rFonts w:hint="eastAsia" w:ascii="方正仿宋_GB2312" w:hAnsi="方正仿宋_GB2312" w:eastAsia="方正仿宋_GB2312" w:cs="方正仿宋_GB2312"/>
          <w:color w:val="000000" w:themeColor="text1"/>
          <w:spacing w:val="2"/>
          <w:sz w:val="24"/>
          <w:szCs w:val="24"/>
          <w:highlight w:val="none"/>
        </w:rPr>
        <w:t xml:space="preserve">甲方3个小时以内无法通过电话与乙方指派的项目经理或技术负责人取得联系。</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jc w:val="left"/>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5.</w:t>
      </w:r>
      <w:r>
        <w:rPr>
          <w:rFonts w:hint="eastAsia" w:ascii="方正仿宋_GB2312" w:hAnsi="方正仿宋_GB2312" w:eastAsia="方正仿宋_GB2312" w:cs="方正仿宋_GB2312"/>
          <w:color w:val="000000" w:themeColor="text1"/>
          <w:spacing w:val="2"/>
          <w:sz w:val="24"/>
          <w:szCs w:val="24"/>
          <w:highlight w:val="none"/>
        </w:rPr>
        <w:t xml:space="preserve">发生违反规定拖欠或克扣农民工工资行为</w:t>
      </w:r>
      <w:r>
        <w:rPr>
          <w:rFonts w:hint="eastAsia" w:ascii="方正仿宋_GB2312" w:hAnsi="方正仿宋_GB2312" w:eastAsia="方正仿宋_GB2312" w:cs="方正仿宋_GB2312"/>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color w:val="000000" w:themeColor="text1"/>
          <w:spacing w:val="2"/>
          <w:sz w:val="24"/>
          <w:szCs w:val="24"/>
          <w:highlight w:val="none"/>
        </w:rPr>
        <w:t xml:space="preserve">造成农民工上访。</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jc w:val="left"/>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6.</w:t>
      </w:r>
      <w:r>
        <w:rPr>
          <w:rFonts w:hint="eastAsia" w:ascii="方正仿宋_GB2312" w:hAnsi="方正仿宋_GB2312" w:eastAsia="方正仿宋_GB2312" w:cs="方正仿宋_GB2312"/>
          <w:color w:val="000000" w:themeColor="text1"/>
          <w:spacing w:val="2"/>
          <w:sz w:val="24"/>
          <w:szCs w:val="24"/>
          <w:highlight w:val="none"/>
        </w:rPr>
        <w:t xml:space="preserve">乙方未按要求为聘用工人缴纳意外伤害保险的，发生安全事故造成不良社会影响。</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jc w:val="left"/>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7.</w:t>
      </w:r>
      <w:r>
        <w:rPr>
          <w:rFonts w:hint="eastAsia" w:ascii="方正仿宋_GB2312" w:hAnsi="方正仿宋_GB2312" w:eastAsia="方正仿宋_GB2312" w:cs="方正仿宋_GB2312"/>
          <w:color w:val="000000" w:themeColor="text1"/>
          <w:spacing w:val="2"/>
          <w:sz w:val="24"/>
          <w:szCs w:val="24"/>
          <w:highlight w:val="none"/>
        </w:rPr>
        <w:t xml:space="preserve">半年内超过三次不积极响应甲方相关工作要求。</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90"/>
        <w:spacing w:line="276"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color w:val="000000" w:themeColor="text1"/>
          <w:spacing w:val="2"/>
          <w:sz w:val="24"/>
          <w:szCs w:val="24"/>
          <w:highlight w:val="none"/>
        </w:rPr>
        <w:t xml:space="preserve">第</w:t>
      </w:r>
      <w:r>
        <w:rPr>
          <w:rFonts w:hint="eastAsia" w:ascii="方正仿宋_GB2312" w:hAnsi="方正仿宋_GB2312" w:eastAsia="方正仿宋_GB2312" w:cs="方正仿宋_GB2312"/>
          <w:b/>
          <w:color w:val="000000" w:themeColor="text1"/>
          <w:spacing w:val="2"/>
          <w:sz w:val="24"/>
          <w:szCs w:val="24"/>
          <w:highlight w:val="none"/>
          <w:lang w:val="en-US" w:eastAsia="zh-CN"/>
        </w:rPr>
        <w:t xml:space="preserve">九</w:t>
      </w:r>
      <w:r>
        <w:rPr>
          <w:rFonts w:hint="eastAsia" w:ascii="方正仿宋_GB2312" w:hAnsi="方正仿宋_GB2312" w:eastAsia="方正仿宋_GB2312" w:cs="方正仿宋_GB2312"/>
          <w:b/>
          <w:color w:val="000000" w:themeColor="text1"/>
          <w:spacing w:val="2"/>
          <w:sz w:val="24"/>
          <w:szCs w:val="24"/>
          <w:highlight w:val="none"/>
        </w:rPr>
        <w:t xml:space="preserve">条  </w:t>
      </w:r>
      <w:r>
        <w:rPr>
          <w:rFonts w:hint="eastAsia" w:ascii="方正仿宋_GB2312" w:hAnsi="方正仿宋_GB2312" w:eastAsia="方正仿宋_GB2312" w:cs="方正仿宋_GB2312"/>
          <w:b/>
          <w:color w:val="000000" w:themeColor="text1"/>
          <w:sz w:val="24"/>
          <w:szCs w:val="24"/>
          <w:highlight w:val="none"/>
        </w:rPr>
        <w:t xml:space="preserve">农民工工资</w:t>
      </w:r>
      <w:r>
        <w:rPr>
          <w:rFonts w:hint="eastAsia" w:ascii="方正仿宋_GB2312" w:hAnsi="方正仿宋_GB2312" w:eastAsia="方正仿宋_GB2312" w:cs="方正仿宋_GB2312"/>
          <w:b/>
          <w:color w:val="000000" w:themeColor="text1"/>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w:t>
      </w:r>
      <w:r>
        <w:rPr>
          <w:rFonts w:hint="eastAsia" w:ascii="方正仿宋_GB2312" w:hAnsi="方正仿宋_GB2312" w:eastAsia="方正仿宋_GB2312" w:cs="方正仿宋_GB2312"/>
          <w:color w:val="000000" w:themeColor="text1"/>
          <w:spacing w:val="2"/>
          <w:sz w:val="24"/>
          <w:szCs w:val="24"/>
          <w:highlight w:val="none"/>
        </w:rPr>
        <w:t xml:space="preserve">乙方在签订合同时，须同时签订一份保证按时支付农民工工资的承诺函，并须提供一定数额的担保金：</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具体金额标准：按苏宿园管办[2014]10号文件执行；</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以上保证金须由施工单位汇入园区管委会指定的财政专户。保证金的缴纳、退付等具体要求执行苏宿园管办[2014]10号文件相关规定。</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工资专用账户设立：按苏宿园管办[2014]10号文件执行。</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工资支付管理办法及其他未尽事宜：按苏宿园管办[2014]10号文件执行。</w:t>
      </w:r>
      <w:r>
        <w:rPr>
          <w:rFonts w:hint="eastAsia" w:ascii="方正仿宋_GB2312" w:hAnsi="方正仿宋_GB2312" w:eastAsia="方正仿宋_GB2312" w:cs="方正仿宋_GB2312"/>
          <w:color w:val="000000" w:themeColor="text1"/>
          <w:spacing w:val="2"/>
          <w:sz w:val="24"/>
          <w:szCs w:val="24"/>
          <w:highlight w:val="none"/>
          <w:lang w:val="en-GB"/>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2</w:t>
      </w:r>
      <w:r>
        <w:rPr>
          <w:rFonts w:hint="eastAsia" w:ascii="方正仿宋_GB2312" w:hAnsi="方正仿宋_GB2312" w:eastAsia="方正仿宋_GB2312" w:cs="方正仿宋_GB2312"/>
          <w:color w:val="000000" w:themeColor="text1"/>
          <w:spacing w:val="2"/>
          <w:sz w:val="24"/>
          <w:szCs w:val="24"/>
          <w:highlight w:val="none"/>
          <w:lang w:val="en-US" w:eastAsia="zh-CN"/>
        </w:rPr>
        <w:t xml:space="preserve">.</w:t>
      </w:r>
      <w:r>
        <w:rPr>
          <w:rFonts w:hint="eastAsia" w:ascii="方正仿宋_GB2312" w:hAnsi="方正仿宋_GB2312" w:eastAsia="方正仿宋_GB2312" w:cs="方正仿宋_GB2312"/>
          <w:color w:val="000000" w:themeColor="text1"/>
          <w:spacing w:val="2"/>
          <w:sz w:val="24"/>
          <w:szCs w:val="24"/>
          <w:highlight w:val="none"/>
        </w:rPr>
        <w:t xml:space="preserve">乙方在签订合同时，须同时签订一份《安全生产责任状》，作为合同附件加以保存。</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3.</w:t>
      </w:r>
      <w:r>
        <w:rPr>
          <w:rFonts w:hint="eastAsia" w:ascii="方正仿宋_GB2312" w:hAnsi="方正仿宋_GB2312" w:eastAsia="方正仿宋_GB2312" w:cs="方正仿宋_GB2312"/>
          <w:color w:val="000000" w:themeColor="text1"/>
          <w:spacing w:val="2"/>
          <w:sz w:val="24"/>
          <w:szCs w:val="24"/>
          <w:highlight w:val="none"/>
        </w:rPr>
        <w:t xml:space="preserve">乙方在合同中须明确购买建筑工程一切险和第三者责任险，并将此条款写入合同专用条款中。同时，要求将保险材料列入审计材料中，如没有相关保险材料，甲方有权不付该部分费用。</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4.</w:t>
      </w:r>
      <w:r>
        <w:rPr>
          <w:rFonts w:hint="eastAsia" w:ascii="方正仿宋_GB2312" w:hAnsi="方正仿宋_GB2312" w:eastAsia="方正仿宋_GB2312" w:cs="方正仿宋_GB2312"/>
          <w:color w:val="000000" w:themeColor="text1"/>
          <w:spacing w:val="2"/>
          <w:sz w:val="24"/>
          <w:szCs w:val="24"/>
          <w:highlight w:val="none"/>
        </w:rPr>
        <w:t xml:space="preserve">乙方在签订合同时，须同时签订《文明施工及市政设施、园林绿化设施保护责任状</w:t>
      </w:r>
      <w:r>
        <w:rPr>
          <w:rFonts w:hint="eastAsia" w:ascii="方正仿宋_GB2312" w:hAnsi="方正仿宋_GB2312" w:eastAsia="方正仿宋_GB2312" w:cs="方正仿宋_GB2312"/>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color w:val="000000" w:themeColor="text1"/>
          <w:spacing w:val="2"/>
          <w:sz w:val="24"/>
          <w:szCs w:val="24"/>
          <w:highlight w:val="none"/>
        </w:rPr>
        <w:t xml:space="preserve">建设工程廉政协议</w:t>
      </w:r>
      <w:r>
        <w:rPr>
          <w:rFonts w:hint="eastAsia" w:ascii="方正仿宋_GB2312" w:hAnsi="方正仿宋_GB2312" w:eastAsia="方正仿宋_GB2312" w:cs="方正仿宋_GB2312"/>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color w:val="000000" w:themeColor="text1"/>
          <w:spacing w:val="2"/>
          <w:sz w:val="24"/>
          <w:szCs w:val="24"/>
          <w:highlight w:val="none"/>
        </w:rPr>
        <w:t xml:space="preserve">授权委托书》，并作为合同附件加以保存。</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90"/>
        <w:spacing w:line="276" w:lineRule="auto"/>
        <w:rPr>
          <w:rFonts w:hint="eastAsia" w:ascii="方正仿宋_GB2312" w:hAnsi="方正仿宋_GB2312" w:eastAsia="方正仿宋_GB2312" w:cs="方正仿宋_GB2312"/>
          <w:b/>
          <w:color w:val="000000" w:themeColor="text1"/>
          <w:spacing w:val="2"/>
          <w:sz w:val="24"/>
          <w:szCs w:val="24"/>
          <w:highlight w:val="none"/>
        </w:rPr>
      </w:pPr>
      <w:r>
        <w:rPr>
          <w:rFonts w:hint="eastAsia" w:ascii="方正仿宋_GB2312" w:hAnsi="方正仿宋_GB2312" w:eastAsia="方正仿宋_GB2312" w:cs="方正仿宋_GB2312"/>
          <w:b/>
          <w:color w:val="000000" w:themeColor="text1"/>
          <w:spacing w:val="2"/>
          <w:sz w:val="24"/>
          <w:szCs w:val="24"/>
          <w:highlight w:val="none"/>
        </w:rPr>
        <w:t xml:space="preserve">第十条  履约保证金</w:t>
      </w:r>
      <w:r>
        <w:rPr>
          <w:rFonts w:hint="eastAsia" w:ascii="方正仿宋_GB2312" w:hAnsi="方正仿宋_GB2312" w:eastAsia="方正仿宋_GB2312" w:cs="方正仿宋_GB2312"/>
          <w:b/>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l.</w:t>
      </w:r>
      <w:r>
        <w:rPr>
          <w:rFonts w:hint="eastAsia" w:ascii="方正仿宋_GB2312" w:hAnsi="方正仿宋_GB2312" w:eastAsia="方正仿宋_GB2312" w:cs="方正仿宋_GB2312"/>
          <w:color w:val="000000" w:themeColor="text1"/>
          <w:spacing w:val="2"/>
          <w:sz w:val="24"/>
          <w:szCs w:val="24"/>
          <w:highlight w:val="none"/>
        </w:rPr>
        <w:t xml:space="preserve">签订合同前，乙方必须向甲方交纳中标价的5％作为合同履约保证金，保证金不计息。</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2.</w:t>
      </w:r>
      <w:r>
        <w:rPr>
          <w:rFonts w:hint="eastAsia" w:ascii="方正仿宋_GB2312" w:hAnsi="方正仿宋_GB2312" w:eastAsia="方正仿宋_GB2312" w:cs="方正仿宋_GB2312"/>
          <w:color w:val="000000" w:themeColor="text1"/>
          <w:spacing w:val="2"/>
          <w:sz w:val="24"/>
          <w:szCs w:val="24"/>
          <w:highlight w:val="none"/>
        </w:rPr>
        <w:t xml:space="preserve">承包期满后，甲方对乙方在承包期内履约无异议情况下5个工作日内无息退还履约保证金。</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3.</w:t>
      </w:r>
      <w:r>
        <w:rPr>
          <w:rFonts w:hint="eastAsia" w:ascii="方正仿宋_GB2312" w:hAnsi="方正仿宋_GB2312" w:eastAsia="方正仿宋_GB2312" w:cs="方正仿宋_GB2312"/>
          <w:color w:val="000000" w:themeColor="text1"/>
          <w:spacing w:val="2"/>
          <w:sz w:val="24"/>
          <w:szCs w:val="24"/>
          <w:highlight w:val="none"/>
        </w:rPr>
        <w:t xml:space="preserve">乙方不能按期保质保量完成绿化养护业务或单方</w:t>
      </w:r>
      <w:r>
        <w:rPr>
          <w:rFonts w:hint="eastAsia" w:ascii="方正仿宋_GB2312" w:hAnsi="方正仿宋_GB2312" w:eastAsia="方正仿宋_GB2312" w:cs="方正仿宋_GB2312"/>
          <w:color w:val="000000" w:themeColor="text1"/>
          <w:spacing w:val="2"/>
          <w:sz w:val="24"/>
          <w:szCs w:val="24"/>
          <w:highlight w:val="none"/>
          <w:lang w:eastAsia="zh-CN"/>
        </w:rPr>
        <w:t xml:space="preserve">终止合同</w:t>
      </w:r>
      <w:r>
        <w:rPr>
          <w:rFonts w:hint="eastAsia" w:ascii="方正仿宋_GB2312" w:hAnsi="方正仿宋_GB2312" w:eastAsia="方正仿宋_GB2312" w:cs="方正仿宋_GB2312"/>
          <w:color w:val="000000" w:themeColor="text1"/>
          <w:spacing w:val="2"/>
          <w:sz w:val="24"/>
          <w:szCs w:val="24"/>
          <w:highlight w:val="none"/>
        </w:rPr>
        <w:t xml:space="preserve">，除承担相关责任外，甲方有权没收合同履约保证金。</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4.</w:t>
      </w:r>
      <w:r>
        <w:rPr>
          <w:rFonts w:hint="eastAsia" w:ascii="方正仿宋_GB2312" w:hAnsi="方正仿宋_GB2312" w:eastAsia="方正仿宋_GB2312" w:cs="方正仿宋_GB2312"/>
          <w:color w:val="000000" w:themeColor="text1"/>
          <w:spacing w:val="2"/>
          <w:sz w:val="24"/>
          <w:szCs w:val="24"/>
          <w:highlight w:val="none"/>
        </w:rPr>
        <w:t xml:space="preserve">乙方同意甲方有权直接将履约保证金用于下列情况之一：</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（1）因乙方雇员过错，造成苗木损坏、丢失等损失赔偿。</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（2）因乙方雇工发生工伤，或乙方雇工造成甲方职工、外来人员身体伤害，乙方未能及时承担责任，导致甲方支付、赔偿、垫付的医疗费用。</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（3）因乙方不履行本合同义务，或履行本合同义务不符合约定，导致甲方委托第三人履行养护工作而产生的所有费用。</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5.</w:t>
      </w:r>
      <w:r>
        <w:rPr>
          <w:rFonts w:hint="eastAsia" w:ascii="方正仿宋_GB2312" w:hAnsi="方正仿宋_GB2312" w:eastAsia="方正仿宋_GB2312" w:cs="方正仿宋_GB2312"/>
          <w:color w:val="000000" w:themeColor="text1"/>
          <w:spacing w:val="2"/>
          <w:sz w:val="24"/>
          <w:szCs w:val="24"/>
          <w:highlight w:val="none"/>
        </w:rPr>
        <w:t xml:space="preserve">保证金不足以甲方替乙方支付、赔偿、垫付费用时，乙方应当自行支付、赔偿、垫付费用的不足部分。</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6.</w:t>
      </w:r>
      <w:r>
        <w:rPr>
          <w:rFonts w:hint="eastAsia" w:ascii="方正仿宋_GB2312" w:hAnsi="方正仿宋_GB2312" w:eastAsia="方正仿宋_GB2312" w:cs="方正仿宋_GB2312"/>
          <w:color w:val="000000" w:themeColor="text1"/>
          <w:spacing w:val="2"/>
          <w:sz w:val="24"/>
          <w:szCs w:val="24"/>
          <w:highlight w:val="none"/>
          <w:lang w:eastAsia="zh-CN"/>
        </w:rPr>
        <w:t xml:space="preserve">除因乙方违约导致本合同解除、终止的情形外，</w:t>
      </w:r>
      <w:r>
        <w:rPr>
          <w:rFonts w:hint="eastAsia" w:ascii="方正仿宋_GB2312" w:hAnsi="方正仿宋_GB2312" w:eastAsia="方正仿宋_GB2312" w:cs="方正仿宋_GB2312"/>
          <w:color w:val="000000" w:themeColor="text1"/>
          <w:spacing w:val="2"/>
          <w:sz w:val="24"/>
          <w:szCs w:val="24"/>
          <w:highlight w:val="none"/>
        </w:rPr>
        <w:t xml:space="preserve">如果双方履行本合同至期限届满，或经双方协商一致，或出现法定事由，必须提前解除、终止本合同时，在本合同被解除、终止后十五日内由甲方一次性将剩余保证金退还给乙方。</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90"/>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b/>
          <w:color w:val="000000" w:themeColor="text1"/>
          <w:spacing w:val="2"/>
          <w:sz w:val="24"/>
          <w:szCs w:val="24"/>
          <w:highlight w:val="none"/>
        </w:rPr>
        <w:t xml:space="preserve">第十</w:t>
      </w:r>
      <w:r>
        <w:rPr>
          <w:rFonts w:hint="eastAsia" w:ascii="方正仿宋_GB2312" w:hAnsi="方正仿宋_GB2312" w:eastAsia="方正仿宋_GB2312" w:cs="方正仿宋_GB2312"/>
          <w:b/>
          <w:color w:val="000000" w:themeColor="text1"/>
          <w:spacing w:val="2"/>
          <w:sz w:val="24"/>
          <w:szCs w:val="24"/>
          <w:highlight w:val="none"/>
          <w:lang w:val="en-US" w:eastAsia="zh-CN"/>
        </w:rPr>
        <w:t xml:space="preserve">一</w:t>
      </w:r>
      <w:r>
        <w:rPr>
          <w:rFonts w:hint="eastAsia" w:ascii="方正仿宋_GB2312" w:hAnsi="方正仿宋_GB2312" w:eastAsia="方正仿宋_GB2312" w:cs="方正仿宋_GB2312"/>
          <w:b/>
          <w:color w:val="000000" w:themeColor="text1"/>
          <w:spacing w:val="2"/>
          <w:sz w:val="24"/>
          <w:szCs w:val="24"/>
          <w:highlight w:val="none"/>
        </w:rPr>
        <w:t xml:space="preserve">条  违约责任</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w:t>
      </w:r>
      <w:r>
        <w:rPr>
          <w:rFonts w:hint="eastAsia" w:ascii="方正仿宋_GB2312" w:hAnsi="方正仿宋_GB2312" w:eastAsia="方正仿宋_GB2312" w:cs="方正仿宋_GB2312"/>
          <w:color w:val="000000" w:themeColor="text1"/>
          <w:spacing w:val="2"/>
          <w:sz w:val="24"/>
          <w:szCs w:val="24"/>
          <w:highlight w:val="none"/>
        </w:rPr>
        <w:t xml:space="preserve">甲乙双方无正当理由不得无故终止和解除合同，否则视为违约，违约方应向对方支付每日未付养护费的百分之二的违约金。</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2.</w:t>
      </w:r>
      <w:r>
        <w:rPr>
          <w:rFonts w:hint="eastAsia" w:ascii="方正仿宋_GB2312" w:hAnsi="方正仿宋_GB2312" w:eastAsia="方正仿宋_GB2312" w:cs="方正仿宋_GB2312"/>
          <w:color w:val="000000" w:themeColor="text1"/>
          <w:spacing w:val="2"/>
          <w:sz w:val="24"/>
          <w:szCs w:val="24"/>
          <w:highlight w:val="none"/>
        </w:rPr>
        <w:t xml:space="preserve">乙方养护质量达不到规定养护标准，被上级领导检查提出批评的，每月达到2次、每季度累计超过5次，甲方有权终止合同。</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3.</w:t>
      </w:r>
      <w:r>
        <w:rPr>
          <w:rFonts w:hint="eastAsia" w:ascii="方正仿宋_GB2312" w:hAnsi="方正仿宋_GB2312" w:eastAsia="方正仿宋_GB2312" w:cs="方正仿宋_GB2312"/>
          <w:color w:val="000000" w:themeColor="text1"/>
          <w:spacing w:val="2"/>
          <w:sz w:val="24"/>
          <w:szCs w:val="24"/>
          <w:highlight w:val="none"/>
        </w:rPr>
        <w:t xml:space="preserve">综合考评乙方连续2月考核得分低于70分的</w:t>
      </w:r>
      <w:r>
        <w:rPr>
          <w:rFonts w:hint="eastAsia" w:ascii="方正仿宋_GB2312" w:hAnsi="方正仿宋_GB2312" w:eastAsia="方正仿宋_GB2312" w:cs="方正仿宋_GB2312"/>
          <w:color w:val="000000" w:themeColor="text1"/>
          <w:spacing w:val="2"/>
          <w:sz w:val="24"/>
          <w:szCs w:val="24"/>
          <w:highlight w:val="none"/>
        </w:rPr>
        <w:t xml:space="preserve">，</w:t>
      </w:r>
      <w:r>
        <w:rPr>
          <w:rFonts w:hint="eastAsia" w:ascii="方正仿宋_GB2312" w:hAnsi="方正仿宋_GB2312" w:eastAsia="方正仿宋_GB2312" w:cs="方正仿宋_GB2312"/>
          <w:color w:val="000000" w:themeColor="text1"/>
          <w:spacing w:val="2"/>
          <w:sz w:val="24"/>
          <w:szCs w:val="24"/>
          <w:highlight w:val="none"/>
          <w:lang w:eastAsia="zh-CN"/>
        </w:rPr>
        <w:t xml:space="preserve">甲方有权解除</w:t>
      </w:r>
      <w:r>
        <w:rPr>
          <w:rFonts w:hint="eastAsia" w:ascii="方正仿宋_GB2312" w:hAnsi="方正仿宋_GB2312" w:eastAsia="方正仿宋_GB2312" w:cs="方正仿宋_GB2312"/>
          <w:color w:val="000000" w:themeColor="text1"/>
          <w:spacing w:val="2"/>
          <w:sz w:val="24"/>
          <w:szCs w:val="24"/>
          <w:highlight w:val="none"/>
        </w:rPr>
        <w:t xml:space="preserve">合</w:t>
      </w:r>
      <w:r>
        <w:rPr>
          <w:rFonts w:hint="eastAsia" w:ascii="方正仿宋_GB2312" w:hAnsi="方正仿宋_GB2312" w:eastAsia="方正仿宋_GB2312" w:cs="方正仿宋_GB2312"/>
          <w:color w:val="000000" w:themeColor="text1"/>
          <w:spacing w:val="2"/>
          <w:sz w:val="24"/>
          <w:szCs w:val="24"/>
        </w:rPr>
        <w:t xml:space="preserve">同</w:t>
      </w:r>
      <w:r>
        <w:rPr>
          <w:rFonts w:hint="eastAsia" w:ascii="方正仿宋_GB2312" w:hAnsi="方正仿宋_GB2312" w:eastAsia="方正仿宋_GB2312" w:cs="方正仿宋_GB2312"/>
          <w:color w:val="000000" w:themeColor="text1"/>
          <w:spacing w:val="2"/>
          <w:sz w:val="24"/>
          <w:szCs w:val="24"/>
          <w:lang w:eastAsia="zh-CN"/>
        </w:rPr>
        <w:t xml:space="preserve">，全额扣</w:t>
      </w:r>
      <w:r>
        <w:rPr>
          <w:rFonts w:hint="eastAsia" w:ascii="方正仿宋_GB2312" w:hAnsi="方正仿宋_GB2312" w:eastAsia="方正仿宋_GB2312" w:cs="方正仿宋_GB2312"/>
          <w:color w:val="000000" w:themeColor="text1"/>
          <w:spacing w:val="2"/>
          <w:sz w:val="24"/>
          <w:szCs w:val="24"/>
        </w:rPr>
        <w:t xml:space="preserve">除履约保证金</w:t>
      </w:r>
      <w:r>
        <w:rPr>
          <w:rFonts w:hint="eastAsia" w:ascii="方正仿宋_GB2312" w:hAnsi="方正仿宋_GB2312" w:eastAsia="方正仿宋_GB2312" w:cs="方正仿宋_GB2312"/>
          <w:color w:val="000000" w:themeColor="text1"/>
          <w:spacing w:val="2"/>
          <w:sz w:val="24"/>
          <w:szCs w:val="24"/>
          <w:lang w:eastAsia="zh-CN"/>
        </w:rPr>
        <w:t xml:space="preserve">，</w:t>
      </w:r>
      <w:r>
        <w:rPr>
          <w:rFonts w:hint="eastAsia" w:ascii="方正仿宋_GB2312" w:hAnsi="方正仿宋_GB2312" w:eastAsia="方正仿宋_GB2312" w:cs="方正仿宋_GB2312"/>
          <w:color w:val="000000" w:themeColor="text1"/>
          <w:spacing w:val="2"/>
          <w:sz w:val="24"/>
          <w:szCs w:val="24"/>
        </w:rPr>
        <w:t xml:space="preserve">并视为乙方违约。</w:t>
      </w:r>
      <w:r>
        <w:rPr>
          <w:rFonts w:hint="eastAsia" w:ascii="方正仿宋_GB2312" w:hAnsi="方正仿宋_GB2312" w:eastAsia="方正仿宋_GB2312" w:cs="方正仿宋_GB2312"/>
          <w:color w:val="000000" w:themeColor="text1"/>
          <w:spacing w:val="2"/>
          <w:sz w:val="24"/>
          <w:szCs w:val="24"/>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4.</w:t>
      </w:r>
      <w:r>
        <w:rPr>
          <w:rFonts w:hint="eastAsia" w:ascii="方正仿宋_GB2312" w:hAnsi="方正仿宋_GB2312" w:eastAsia="方正仿宋_GB2312" w:cs="方正仿宋_GB2312"/>
          <w:color w:val="000000" w:themeColor="text1"/>
          <w:spacing w:val="2"/>
          <w:sz w:val="24"/>
          <w:szCs w:val="24"/>
          <w:highlight w:val="none"/>
        </w:rPr>
        <w:t xml:space="preserve">项目经理不得擅自变更，特殊情况确实</w:t>
      </w:r>
      <w:r>
        <w:rPr>
          <w:rFonts w:hint="eastAsia" w:ascii="方正仿宋_GB2312" w:hAnsi="方正仿宋_GB2312" w:eastAsia="方正仿宋_GB2312" w:cs="方正仿宋_GB2312"/>
          <w:color w:val="000000" w:themeColor="text1"/>
          <w:spacing w:val="2"/>
          <w:sz w:val="24"/>
          <w:szCs w:val="24"/>
          <w:highlight w:val="none"/>
          <w:lang w:eastAsia="zh-CN"/>
        </w:rPr>
        <w:t xml:space="preserve">需</w:t>
      </w:r>
      <w:r>
        <w:rPr>
          <w:rFonts w:hint="eastAsia" w:ascii="方正仿宋_GB2312" w:hAnsi="方正仿宋_GB2312" w:eastAsia="方正仿宋_GB2312" w:cs="方正仿宋_GB2312"/>
          <w:color w:val="000000" w:themeColor="text1"/>
          <w:spacing w:val="2"/>
          <w:sz w:val="24"/>
          <w:szCs w:val="24"/>
          <w:highlight w:val="none"/>
        </w:rPr>
        <w:t xml:space="preserve">变更项目经理（即项目负责人），应至少提前5天以书面形式通知甲方，须征得甲方同意且不低于原项目经理标准，并经过甲方考核合格后方可变更，且养护合同期内更换项目经理或技术负责人仅限一次（甲方要求更换的除外）。如后期再次更换项目经理或技术负责人承担违约金20000元/次，更换达三次以上，甲方有权立即终止本项目承包合同，清退出场，不予退还其履约保证金，由此产生的一切法律责任和经济损失均由乙方承担，甲方有权要求更换其不称职的项目经理及技术负责人，项目经理和技术负责人试用期为3个月，3个月后视其履职情况决定去留。</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5.</w:t>
      </w:r>
      <w:r>
        <w:rPr>
          <w:rFonts w:hint="eastAsia" w:ascii="方正仿宋_GB2312" w:hAnsi="方正仿宋_GB2312" w:eastAsia="方正仿宋_GB2312" w:cs="方正仿宋_GB2312"/>
          <w:color w:val="000000" w:themeColor="text1"/>
          <w:spacing w:val="2"/>
          <w:sz w:val="24"/>
          <w:szCs w:val="24"/>
          <w:highlight w:val="none"/>
        </w:rPr>
        <w:t xml:space="preserve">在承包范围内按标准和周期完成各项任务，不以任何形式转包</w:t>
      </w:r>
      <w:r>
        <w:rPr>
          <w:rFonts w:hint="eastAsia" w:ascii="方正仿宋_GB2312" w:hAnsi="方正仿宋_GB2312" w:eastAsia="方正仿宋_GB2312" w:cs="方正仿宋_GB2312"/>
          <w:color w:val="000000" w:themeColor="text1"/>
          <w:spacing w:val="2"/>
          <w:sz w:val="24"/>
          <w:szCs w:val="24"/>
          <w:highlight w:val="none"/>
          <w:lang w:eastAsia="zh-CN"/>
        </w:rPr>
        <w:t xml:space="preserve">给其他</w:t>
      </w:r>
      <w:r>
        <w:rPr>
          <w:rFonts w:hint="eastAsia" w:ascii="方正仿宋_GB2312" w:hAnsi="方正仿宋_GB2312" w:eastAsia="方正仿宋_GB2312" w:cs="方正仿宋_GB2312"/>
          <w:color w:val="000000" w:themeColor="text1"/>
          <w:spacing w:val="2"/>
          <w:sz w:val="24"/>
          <w:szCs w:val="24"/>
          <w:highlight w:val="none"/>
        </w:rPr>
        <w:t xml:space="preserve">单位和个人，否则，乙方应承担违约责任，甲方有权终止合同。</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6.</w:t>
      </w:r>
      <w:r>
        <w:rPr>
          <w:rFonts w:hint="eastAsia" w:ascii="方正仿宋_GB2312" w:hAnsi="方正仿宋_GB2312" w:eastAsia="方正仿宋_GB2312" w:cs="方正仿宋_GB2312"/>
          <w:color w:val="000000" w:themeColor="text1"/>
          <w:spacing w:val="2"/>
          <w:sz w:val="24"/>
          <w:szCs w:val="24"/>
          <w:highlight w:val="none"/>
        </w:rPr>
        <w:t xml:space="preserve">乙方与工人签订劳动合同并按照劳动法规定缴纳相应的社保，所有工人劳动合同和相关证明必须报甲方备案，如不能及时提供合法用工的相关证明，甲方有权与乙方终止合同。</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7.</w:t>
      </w:r>
      <w:r>
        <w:rPr>
          <w:rFonts w:hint="eastAsia" w:ascii="方正仿宋_GB2312" w:hAnsi="方正仿宋_GB2312" w:eastAsia="方正仿宋_GB2312" w:cs="方正仿宋_GB2312"/>
          <w:color w:val="000000" w:themeColor="text1"/>
          <w:spacing w:val="2"/>
          <w:sz w:val="24"/>
          <w:szCs w:val="24"/>
          <w:highlight w:val="none"/>
        </w:rPr>
        <w:t xml:space="preserve">养护作业人员务必穿着统一工作制服并持证上岗，甲方有权视工作需要要求乙方临时性增加养护人员，若养护人员长期不到位导致养护工作不能有效开展，造成苗木缺损、景观被破坏等严重事故，甲方将终止其养护合同，所造成的损失由养护单位承担。</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90"/>
        <w:spacing w:line="276" w:lineRule="auto"/>
        <w:rPr>
          <w:rFonts w:hint="eastAsia" w:ascii="方正仿宋_GB2312" w:hAnsi="方正仿宋_GB2312" w:eastAsia="方正仿宋_GB2312" w:cs="方正仿宋_GB2312"/>
          <w:b/>
          <w:color w:val="000000" w:themeColor="text1"/>
          <w:spacing w:val="2"/>
          <w:sz w:val="24"/>
          <w:szCs w:val="24"/>
          <w:highlight w:val="none"/>
        </w:rPr>
      </w:pPr>
      <w:r>
        <w:rPr>
          <w:rFonts w:hint="eastAsia" w:ascii="方正仿宋_GB2312" w:hAnsi="方正仿宋_GB2312" w:eastAsia="方正仿宋_GB2312" w:cs="方正仿宋_GB2312"/>
          <w:b/>
          <w:color w:val="000000" w:themeColor="text1"/>
          <w:spacing w:val="2"/>
          <w:sz w:val="24"/>
          <w:szCs w:val="24"/>
          <w:highlight w:val="none"/>
        </w:rPr>
        <w:t xml:space="preserve">第十</w:t>
      </w:r>
      <w:r>
        <w:rPr>
          <w:rFonts w:hint="eastAsia" w:ascii="方正仿宋_GB2312" w:hAnsi="方正仿宋_GB2312" w:eastAsia="方正仿宋_GB2312" w:cs="方正仿宋_GB2312"/>
          <w:b/>
          <w:color w:val="000000" w:themeColor="text1"/>
          <w:spacing w:val="2"/>
          <w:sz w:val="24"/>
          <w:szCs w:val="24"/>
          <w:highlight w:val="none"/>
          <w:lang w:val="en-US" w:eastAsia="zh-CN"/>
        </w:rPr>
        <w:t xml:space="preserve">二</w:t>
      </w:r>
      <w:r>
        <w:rPr>
          <w:rFonts w:hint="eastAsia" w:ascii="方正仿宋_GB2312" w:hAnsi="方正仿宋_GB2312" w:eastAsia="方正仿宋_GB2312" w:cs="方正仿宋_GB2312"/>
          <w:b/>
          <w:color w:val="000000" w:themeColor="text1"/>
          <w:spacing w:val="2"/>
          <w:sz w:val="24"/>
          <w:szCs w:val="24"/>
          <w:highlight w:val="none"/>
        </w:rPr>
        <w:t xml:space="preserve">条  合同生效、终止、变更。</w:t>
      </w:r>
      <w:r>
        <w:rPr>
          <w:rFonts w:hint="eastAsia" w:ascii="方正仿宋_GB2312" w:hAnsi="方正仿宋_GB2312" w:eastAsia="方正仿宋_GB2312" w:cs="方正仿宋_GB2312"/>
          <w:b/>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w:t>
      </w:r>
      <w:r>
        <w:rPr>
          <w:rFonts w:hint="eastAsia" w:ascii="方正仿宋_GB2312" w:hAnsi="方正仿宋_GB2312" w:eastAsia="方正仿宋_GB2312" w:cs="方正仿宋_GB2312"/>
          <w:color w:val="000000" w:themeColor="text1"/>
          <w:spacing w:val="2"/>
          <w:sz w:val="24"/>
          <w:szCs w:val="24"/>
          <w:highlight w:val="none"/>
        </w:rPr>
        <w:t xml:space="preserve">合同生效</w:t>
      </w:r>
      <w:r>
        <w:rPr>
          <w:rFonts w:hint="eastAsia" w:ascii="方正仿宋_GB2312" w:hAnsi="方正仿宋_GB2312" w:eastAsia="方正仿宋_GB2312" w:cs="方正仿宋_GB2312"/>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color w:val="000000" w:themeColor="text1"/>
          <w:spacing w:val="2"/>
          <w:sz w:val="24"/>
          <w:szCs w:val="24"/>
          <w:highlight w:val="none"/>
        </w:rPr>
        <w:t xml:space="preserve">本合同自甲、乙双方签字盖章之日起生效。</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2.</w:t>
      </w:r>
      <w:r>
        <w:rPr>
          <w:rFonts w:hint="eastAsia" w:ascii="方正仿宋_GB2312" w:hAnsi="方正仿宋_GB2312" w:eastAsia="方正仿宋_GB2312" w:cs="方正仿宋_GB2312"/>
          <w:color w:val="000000" w:themeColor="text1"/>
          <w:spacing w:val="2"/>
          <w:sz w:val="24"/>
          <w:szCs w:val="24"/>
          <w:highlight w:val="none"/>
        </w:rPr>
        <w:t xml:space="preserve">合同终止：出现下列情况之一，甲方可单方终止合同。</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（1）合同</w:t>
      </w:r>
      <w:r>
        <w:rPr>
          <w:rFonts w:hint="eastAsia" w:ascii="方正仿宋_GB2312" w:hAnsi="方正仿宋_GB2312" w:eastAsia="方正仿宋_GB2312" w:cs="方正仿宋_GB2312"/>
          <w:color w:val="000000" w:themeColor="text1"/>
          <w:spacing w:val="2"/>
          <w:sz w:val="24"/>
          <w:szCs w:val="24"/>
          <w:highlight w:val="none"/>
          <w:lang w:eastAsia="zh-CN"/>
        </w:rPr>
        <w:t xml:space="preserve">期限</w:t>
      </w:r>
      <w:r>
        <w:rPr>
          <w:rFonts w:hint="eastAsia" w:ascii="方正仿宋_GB2312" w:hAnsi="方正仿宋_GB2312" w:eastAsia="方正仿宋_GB2312" w:cs="方正仿宋_GB2312"/>
          <w:color w:val="000000" w:themeColor="text1"/>
          <w:spacing w:val="2"/>
          <w:sz w:val="24"/>
          <w:szCs w:val="24"/>
          <w:highlight w:val="none"/>
        </w:rPr>
        <w:t xml:space="preserve">届满时自行终止；</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（2）擅自将承包业务转包、分包给第三者；</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（3）违反法律法规造成恶劣影响；</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（4）严重违反《江苏省城市园林绿化植物养护管理规范》；</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（5）连续2月考核得分低于70分的；</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（6）发生多次投诉，情况属实、影响恶劣的事件；</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（7）出现一年内相关人员单独和集体上访累计达两次的；</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（8）出现合同中列出的终止事由；</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（9）因政府行为、政策变动可终止合同</w:t>
      </w:r>
      <w:r>
        <w:rPr>
          <w:rFonts w:hint="eastAsia" w:ascii="方正仿宋_GB2312" w:hAnsi="方正仿宋_GB2312" w:eastAsia="方正仿宋_GB2312" w:cs="方正仿宋_GB2312"/>
          <w:color w:val="000000" w:themeColor="text1"/>
          <w:spacing w:val="2"/>
          <w:sz w:val="24"/>
          <w:szCs w:val="24"/>
          <w:lang w:eastAsia="zh-CN"/>
        </w:rPr>
        <w:t xml:space="preserve">，且甲方不承担任何违约或赔偿责任</w:t>
      </w:r>
      <w:r>
        <w:rPr>
          <w:rFonts w:hint="eastAsia" w:ascii="方正仿宋_GB2312" w:hAnsi="方正仿宋_GB2312" w:eastAsia="方正仿宋_GB2312" w:cs="方正仿宋_GB2312"/>
          <w:color w:val="000000" w:themeColor="text1"/>
          <w:spacing w:val="2"/>
          <w:sz w:val="24"/>
          <w:szCs w:val="24"/>
        </w:rPr>
        <w:t xml:space="preserve">。</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3.</w:t>
      </w:r>
      <w:r>
        <w:rPr>
          <w:rFonts w:hint="eastAsia" w:ascii="方正仿宋_GB2312" w:hAnsi="方正仿宋_GB2312" w:eastAsia="方正仿宋_GB2312" w:cs="方正仿宋_GB2312"/>
          <w:color w:val="000000" w:themeColor="text1"/>
          <w:spacing w:val="2"/>
          <w:sz w:val="24"/>
          <w:szCs w:val="24"/>
          <w:highlight w:val="none"/>
        </w:rPr>
        <w:t xml:space="preserve">变更本合同内容或有</w:t>
      </w:r>
      <w:r>
        <w:rPr>
          <w:rFonts w:hint="eastAsia" w:ascii="方正仿宋_GB2312" w:hAnsi="方正仿宋_GB2312" w:eastAsia="方正仿宋_GB2312" w:cs="方正仿宋_GB2312"/>
          <w:color w:val="000000" w:themeColor="text1"/>
          <w:spacing w:val="2"/>
          <w:sz w:val="24"/>
          <w:szCs w:val="24"/>
          <w:highlight w:val="none"/>
          <w:lang w:eastAsia="zh-CN"/>
        </w:rPr>
        <w:t xml:space="preserve">未尽事宜</w:t>
      </w:r>
      <w:r>
        <w:rPr>
          <w:rFonts w:hint="eastAsia" w:ascii="方正仿宋_GB2312" w:hAnsi="方正仿宋_GB2312" w:eastAsia="方正仿宋_GB2312" w:cs="方正仿宋_GB2312"/>
          <w:color w:val="000000" w:themeColor="text1"/>
          <w:spacing w:val="2"/>
          <w:sz w:val="24"/>
          <w:szCs w:val="24"/>
          <w:highlight w:val="none"/>
        </w:rPr>
        <w:t xml:space="preserve">，由双方协商解决或签订补充协议。补充协议与本合同具有同等效力。</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90"/>
        <w:spacing w:line="276" w:lineRule="auto"/>
        <w:rPr>
          <w:rFonts w:hint="eastAsia" w:ascii="方正仿宋_GB2312" w:hAnsi="方正仿宋_GB2312" w:eastAsia="方正仿宋_GB2312" w:cs="方正仿宋_GB2312"/>
          <w:b/>
          <w:color w:val="000000" w:themeColor="text1"/>
          <w:spacing w:val="2"/>
          <w:sz w:val="24"/>
          <w:szCs w:val="24"/>
          <w:highlight w:val="none"/>
        </w:rPr>
      </w:pPr>
      <w:r>
        <w:rPr>
          <w:rFonts w:hint="eastAsia" w:ascii="方正仿宋_GB2312" w:hAnsi="方正仿宋_GB2312" w:eastAsia="方正仿宋_GB2312" w:cs="方正仿宋_GB2312"/>
          <w:b/>
          <w:color w:val="000000" w:themeColor="text1"/>
          <w:spacing w:val="2"/>
          <w:sz w:val="24"/>
          <w:szCs w:val="24"/>
          <w:highlight w:val="none"/>
        </w:rPr>
        <w:t xml:space="preserve">第十</w:t>
      </w:r>
      <w:r>
        <w:rPr>
          <w:rFonts w:hint="eastAsia" w:ascii="方正仿宋_GB2312" w:hAnsi="方正仿宋_GB2312" w:eastAsia="方正仿宋_GB2312" w:cs="方正仿宋_GB2312"/>
          <w:b/>
          <w:color w:val="000000" w:themeColor="text1"/>
          <w:spacing w:val="2"/>
          <w:sz w:val="24"/>
          <w:szCs w:val="24"/>
          <w:highlight w:val="none"/>
          <w:lang w:val="en-US" w:eastAsia="zh-CN"/>
        </w:rPr>
        <w:t xml:space="preserve">三</w:t>
      </w:r>
      <w:r>
        <w:rPr>
          <w:rFonts w:hint="eastAsia" w:ascii="方正仿宋_GB2312" w:hAnsi="方正仿宋_GB2312" w:eastAsia="方正仿宋_GB2312" w:cs="方正仿宋_GB2312"/>
          <w:b/>
          <w:color w:val="000000" w:themeColor="text1"/>
          <w:spacing w:val="2"/>
          <w:sz w:val="24"/>
          <w:szCs w:val="24"/>
          <w:highlight w:val="none"/>
        </w:rPr>
        <w:t xml:space="preserve">条  合同组成附件及效力。</w:t>
      </w:r>
      <w:r>
        <w:rPr>
          <w:rFonts w:hint="eastAsia" w:ascii="方正仿宋_GB2312" w:hAnsi="方正仿宋_GB2312" w:eastAsia="方正仿宋_GB2312" w:cs="方正仿宋_GB2312"/>
          <w:b/>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1.</w:t>
      </w:r>
      <w:r>
        <w:rPr>
          <w:rFonts w:hint="eastAsia" w:ascii="方正仿宋_GB2312" w:hAnsi="方正仿宋_GB2312" w:eastAsia="方正仿宋_GB2312" w:cs="方正仿宋_GB2312"/>
          <w:color w:val="000000" w:themeColor="text1"/>
          <w:spacing w:val="2"/>
          <w:sz w:val="24"/>
          <w:szCs w:val="24"/>
          <w:highlight w:val="none"/>
        </w:rPr>
        <w:t xml:space="preserve">甲乙双方签订承包合同；</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2.</w:t>
      </w:r>
      <w:r>
        <w:rPr>
          <w:rFonts w:hint="eastAsia" w:ascii="方正仿宋_GB2312" w:hAnsi="方正仿宋_GB2312" w:eastAsia="方正仿宋_GB2312" w:cs="方正仿宋_GB2312"/>
          <w:color w:val="000000" w:themeColor="text1"/>
          <w:spacing w:val="2"/>
          <w:sz w:val="24"/>
          <w:szCs w:val="24"/>
          <w:highlight w:val="none"/>
        </w:rPr>
        <w:t xml:space="preserve">投标文件；</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lang w:eastAsia="zh-CN"/>
        </w:rPr>
        <w:t xml:space="preserve">3.</w:t>
      </w:r>
      <w:r>
        <w:rPr>
          <w:rFonts w:hint="eastAsia" w:ascii="方正仿宋_GB2312" w:hAnsi="方正仿宋_GB2312" w:eastAsia="方正仿宋_GB2312" w:cs="方正仿宋_GB2312"/>
          <w:color w:val="000000" w:themeColor="text1"/>
          <w:spacing w:val="2"/>
          <w:sz w:val="24"/>
          <w:szCs w:val="24"/>
          <w:highlight w:val="none"/>
        </w:rPr>
        <w:t xml:space="preserve">招标文件及补充资料；</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本合同一式捌份，其中正本贰份，副本陆份。甲、乙双方各执正本壹份，副本甲方执伍份，乙方执壹份。当正本与副本内容不一致时，以正本为准。</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rPr>
      </w:pPr>
      <w:r>
        <w:rPr>
          <w:rFonts w:hint="eastAsia" w:ascii="方正仿宋_GB2312" w:hAnsi="方正仿宋_GB2312" w:eastAsia="方正仿宋_GB2312" w:cs="方正仿宋_GB2312"/>
          <w:color w:val="000000" w:themeColor="text1"/>
          <w:spacing w:val="2"/>
          <w:sz w:val="24"/>
          <w:szCs w:val="24"/>
          <w:lang w:eastAsia="zh-CN"/>
        </w:rPr>
        <w:t xml:space="preserve">争议解决。甲乙双方在履行本合同过程中发生争议的，应首先通过友好协商解决；协商不成的，任何一方均有权向甲方所在地有管辖权的人民法院提起诉讼。 </w:t>
      </w:r>
      <w:bookmarkStart w:id="136" w:name="auto_fouce_15"/>
      <w:r>
        <w:rPr>
          <w:rFonts w:hint="eastAsia" w:ascii="方正仿宋_GB2312" w:hAnsi="方正仿宋_GB2312" w:eastAsia="方正仿宋_GB2312" w:cs="方正仿宋_GB2312"/>
          <w:color w:val="000000" w:themeColor="text1"/>
          <w:spacing w:val="2"/>
          <w:sz w:val="24"/>
          <w:szCs w:val="24"/>
          <w:lang w:eastAsia="zh-CN"/>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rPr>
      </w:pPr>
      <w:r>
        <w:rPr>
          <w:rFonts w:hint="eastAsia" w:ascii="方正仿宋_GB2312" w:hAnsi="方正仿宋_GB2312" w:eastAsia="方正仿宋_GB2312" w:cs="方正仿宋_GB2312"/>
          <w:color w:val="000000" w:themeColor="text1"/>
          <w:spacing w:val="2"/>
          <w:sz w:val="24"/>
          <w:szCs w:val="24"/>
          <w:lang w:eastAsia="zh-CN"/>
        </w:rPr>
        <w:t xml:space="preserve">通知与送达。双方因履行本合同发出的各类通知、协议等文件，均应发送至本合同首部载明的地址。任何一方变更地址的，应提前三日书面通知对方，否则自行承担送达不能的不利后果。</w:t>
      </w:r>
      <w:bookmarkEnd w:id="136"/>
      <w:r>
        <w:rPr>
          <w:rFonts w:hint="eastAsia" w:ascii="方正仿宋_GB2312" w:hAnsi="方正仿宋_GB2312" w:eastAsia="方正仿宋_GB2312" w:cs="方正仿宋_GB2312"/>
          <w:color w:val="000000" w:themeColor="text1"/>
          <w:spacing w:val="2"/>
          <w:sz w:val="24"/>
          <w:szCs w:val="24"/>
          <w:lang w:eastAsia="zh-CN"/>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90"/>
        <w:spacing w:line="276" w:lineRule="auto"/>
        <w:rPr>
          <w:rFonts w:hint="eastAsia" w:ascii="方正仿宋_GB2312" w:hAnsi="方正仿宋_GB2312" w:eastAsia="方正仿宋_GB2312" w:cs="方正仿宋_GB2312"/>
          <w:b/>
          <w:bCs/>
          <w:color w:val="000000" w:themeColor="text1"/>
          <w:spacing w:val="2"/>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rPr>
      </w:r>
      <w:r>
        <w:rPr>
          <w:color w:val="000000" w:themeColor="text1"/>
        </w:rPr>
      </w:r>
    </w:p>
    <w:p>
      <w:pPr>
        <w:pStyle w:val="799"/>
        <w:ind w:firstLine="490"/>
        <w:spacing w:line="276" w:lineRule="auto"/>
        <w:rPr>
          <w:rFonts w:hint="eastAsia" w:ascii="方正仿宋_GB2312" w:hAnsi="方正仿宋_GB2312" w:eastAsia="方正仿宋_GB2312" w:cs="方正仿宋_GB2312"/>
          <w:b/>
          <w:bCs/>
          <w:color w:val="000000" w:themeColor="text1"/>
          <w:spacing w:val="2"/>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rPr>
        <w:t xml:space="preserve">甲方</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                           乙方</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r>
      <w:r>
        <w:rPr>
          <w:color w:val="000000" w:themeColor="text1"/>
        </w:rPr>
      </w:r>
    </w:p>
    <w:p>
      <w:pPr>
        <w:pStyle w:val="799"/>
        <w:ind w:firstLine="490"/>
        <w:spacing w:line="276" w:lineRule="auto"/>
        <w:rPr>
          <w:rFonts w:hint="eastAsia" w:ascii="方正仿宋_GB2312" w:hAnsi="方正仿宋_GB2312" w:eastAsia="方正仿宋_GB2312" w:cs="方正仿宋_GB2312"/>
          <w:b/>
          <w:bCs/>
          <w:color w:val="000000" w:themeColor="text1"/>
          <w:spacing w:val="2"/>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rPr>
        <w:t xml:space="preserve">法定代表人或其委托代理人               法定代表人或其委托代理人</w:t>
      </w:r>
      <w:r>
        <w:rPr>
          <w:rFonts w:hint="eastAsia" w:ascii="方正仿宋_GB2312" w:hAnsi="方正仿宋_GB2312" w:eastAsia="方正仿宋_GB2312" w:cs="方正仿宋_GB2312"/>
          <w:b/>
          <w:bCs/>
          <w:color w:val="000000" w:themeColor="text1"/>
          <w:spacing w:val="2"/>
          <w:sz w:val="24"/>
          <w:szCs w:val="24"/>
          <w:highlight w:val="none"/>
        </w:rPr>
      </w:r>
      <w:r>
        <w:rPr>
          <w:color w:val="000000" w:themeColor="text1"/>
        </w:rPr>
      </w:r>
    </w:p>
    <w:p>
      <w:pPr>
        <w:pStyle w:val="799"/>
        <w:ind w:firstLine="490"/>
        <w:spacing w:line="276" w:lineRule="auto"/>
        <w:rPr>
          <w:rFonts w:hint="eastAsia" w:ascii="方正仿宋_GB2312" w:hAnsi="方正仿宋_GB2312" w:eastAsia="方正仿宋_GB2312" w:cs="方正仿宋_GB2312"/>
          <w:b/>
          <w:bCs/>
          <w:color w:val="000000" w:themeColor="text1"/>
          <w:spacing w:val="2"/>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签字或盖章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                         </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签字或盖章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w:t>
      </w:r>
      <w:r>
        <w:rPr>
          <w:rFonts w:hint="eastAsia" w:ascii="方正仿宋_GB2312" w:hAnsi="方正仿宋_GB2312" w:eastAsia="方正仿宋_GB2312" w:cs="方正仿宋_GB2312"/>
          <w:b/>
          <w:bCs/>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合同签订时间：</w:t>
      </w:r>
      <w:r>
        <w:rPr>
          <w:rFonts w:hint="eastAsia" w:ascii="方正仿宋_GB2312" w:hAnsi="方正仿宋_GB2312" w:eastAsia="方正仿宋_GB2312" w:cs="方正仿宋_GB2312"/>
          <w:color w:val="000000" w:themeColor="text1"/>
          <w:spacing w:val="2"/>
          <w:sz w:val="24"/>
          <w:szCs w:val="24"/>
          <w:highlight w:val="none"/>
          <w:lang w:val="en-US" w:eastAsia="zh-CN"/>
        </w:rPr>
        <w:t xml:space="preserve">2026</w:t>
      </w:r>
      <w:r>
        <w:rPr>
          <w:rFonts w:hint="eastAsia" w:ascii="方正仿宋_GB2312" w:hAnsi="方正仿宋_GB2312" w:eastAsia="方正仿宋_GB2312" w:cs="方正仿宋_GB2312"/>
          <w:color w:val="000000" w:themeColor="text1"/>
          <w:spacing w:val="2"/>
          <w:sz w:val="24"/>
          <w:szCs w:val="24"/>
          <w:highlight w:val="none"/>
        </w:rPr>
        <w:t xml:space="preserve">年   月   日</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ind w:firstLine="488"/>
        <w:spacing w:line="276" w:lineRule="auto"/>
        <w:rPr>
          <w:rFonts w:hint="eastAsia" w:ascii="方正仿宋_GB2312" w:hAnsi="方正仿宋_GB2312" w:eastAsia="方正仿宋_GB2312" w:cs="方正仿宋_GB2312"/>
          <w:color w:val="000000" w:themeColor="text1"/>
          <w:spacing w:val="2"/>
          <w:sz w:val="24"/>
          <w:szCs w:val="24"/>
          <w:highlight w:val="none"/>
        </w:rPr>
      </w:pPr>
      <w:r>
        <w:rPr>
          <w:rFonts w:hint="eastAsia" w:ascii="方正仿宋_GB2312" w:hAnsi="方正仿宋_GB2312" w:eastAsia="方正仿宋_GB2312" w:cs="方正仿宋_GB2312"/>
          <w:color w:val="000000" w:themeColor="text1"/>
          <w:spacing w:val="2"/>
          <w:sz w:val="24"/>
          <w:szCs w:val="24"/>
          <w:highlight w:val="none"/>
        </w:rPr>
        <w:t xml:space="preserve">合同签订地点：苏宿工业园区</w:t>
      </w:r>
      <w:r>
        <w:rPr>
          <w:rFonts w:hint="eastAsia" w:ascii="方正仿宋_GB2312" w:hAnsi="方正仿宋_GB2312" w:eastAsia="方正仿宋_GB2312" w:cs="方正仿宋_GB2312"/>
          <w:color w:val="000000" w:themeColor="text1"/>
          <w:spacing w:val="2"/>
          <w:sz w:val="24"/>
          <w:szCs w:val="24"/>
          <w:highlight w:val="none"/>
        </w:rPr>
      </w:r>
      <w:r>
        <w:rPr>
          <w:color w:val="000000" w:themeColor="text1"/>
        </w:rPr>
      </w:r>
    </w:p>
    <w:p>
      <w:pPr>
        <w:pStyle w:val="799"/>
        <w:jc w:val="center"/>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br w:type="page" w:clear="all"/>
      </w:r>
      <w:r>
        <w:rPr>
          <w:rFonts w:hint="eastAsia" w:ascii="方正仿宋_GB2312" w:hAnsi="方正仿宋_GB2312" w:eastAsia="方正仿宋_GB2312" w:cs="方正仿宋_GB2312"/>
          <w:color w:val="000000" w:themeColor="text1"/>
          <w:sz w:val="24"/>
          <w:szCs w:val="24"/>
          <w:highlight w:val="none"/>
        </w:rPr>
        <w:t xml:space="preserve">《安全生产责任状》</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项目名称：</w:t>
      </w:r>
      <w:r>
        <w:rPr>
          <w:rFonts w:hint="eastAsia" w:ascii="方正仿宋_GB2312" w:hAnsi="方正仿宋_GB2312" w:eastAsia="方正仿宋_GB2312" w:cs="方正仿宋_GB2312"/>
          <w:b/>
          <w:bCs/>
          <w:color w:val="000000" w:themeColor="text1"/>
          <w:sz w:val="24"/>
          <w:szCs w:val="24"/>
          <w:highlight w:val="none"/>
          <w:lang w:eastAsia="zh-CN"/>
        </w:rPr>
        <w:t xml:space="preserve">苏州宿迁工业园区2026-2028年公共绿化养护项目</w:t>
      </w:r>
      <w:r>
        <w:rPr>
          <w:rFonts w:hint="eastAsia" w:ascii="方正仿宋_GB2312" w:hAnsi="方正仿宋_GB2312" w:eastAsia="方正仿宋_GB2312" w:cs="方正仿宋_GB2312"/>
          <w:b/>
          <w:bCs/>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为了贯彻“安全第一、预防为主”的安全生产方针，确保本工程无重大安全事故的安全目标，保证工程建设的顺利进行，保障现场作业</w:t>
      </w:r>
      <w:r>
        <w:rPr>
          <w:rFonts w:hint="eastAsia" w:ascii="方正仿宋_GB2312" w:hAnsi="方正仿宋_GB2312" w:eastAsia="方正仿宋_GB2312" w:cs="方正仿宋_GB2312"/>
          <w:color w:val="000000" w:themeColor="text1"/>
          <w:sz w:val="24"/>
          <w:szCs w:val="24"/>
          <w:highlight w:val="none"/>
          <w:lang w:eastAsia="zh-CN"/>
        </w:rPr>
        <w:t xml:space="preserve">人员</w:t>
      </w:r>
      <w:r>
        <w:rPr>
          <w:rFonts w:hint="eastAsia" w:ascii="方正仿宋_GB2312" w:hAnsi="方正仿宋_GB2312" w:eastAsia="方正仿宋_GB2312" w:cs="方正仿宋_GB2312"/>
          <w:color w:val="000000" w:themeColor="text1"/>
          <w:sz w:val="24"/>
          <w:szCs w:val="24"/>
          <w:highlight w:val="none"/>
        </w:rPr>
        <w:t xml:space="preserve">的人身安全及国家财产的安全，</w:t>
      </w:r>
      <w:r>
        <w:rPr>
          <w:rFonts w:hint="eastAsia" w:ascii="方正仿宋_GB2312" w:hAnsi="方正仿宋_GB2312" w:eastAsia="方正仿宋_GB2312" w:cs="方正仿宋_GB2312"/>
          <w:color w:val="000000" w:themeColor="text1"/>
          <w:sz w:val="24"/>
          <w:szCs w:val="24"/>
          <w:highlight w:val="none"/>
          <w:lang w:eastAsia="zh-CN"/>
        </w:rPr>
        <w:t xml:space="preserve">特制定本</w:t>
      </w:r>
      <w:r>
        <w:rPr>
          <w:rFonts w:hint="eastAsia" w:ascii="方正仿宋_GB2312" w:hAnsi="方正仿宋_GB2312" w:eastAsia="方正仿宋_GB2312" w:cs="方正仿宋_GB2312"/>
          <w:color w:val="000000" w:themeColor="text1"/>
          <w:sz w:val="24"/>
          <w:szCs w:val="24"/>
          <w:highlight w:val="none"/>
        </w:rPr>
        <w:t xml:space="preserve">项目施工安全生产责任状。</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1.</w:t>
      </w:r>
      <w:r>
        <w:rPr>
          <w:rFonts w:hint="eastAsia" w:ascii="方正仿宋_GB2312" w:hAnsi="方正仿宋_GB2312" w:eastAsia="方正仿宋_GB2312" w:cs="方正仿宋_GB2312"/>
          <w:color w:val="000000" w:themeColor="text1"/>
          <w:sz w:val="24"/>
          <w:szCs w:val="24"/>
          <w:highlight w:val="none"/>
        </w:rPr>
        <w:t xml:space="preserve">施工项目负责人是本施工项目安全生产及相关业务活动的第一安全责任人。</w:t>
      </w:r>
      <w:r>
        <w:rPr>
          <w:rFonts w:hint="eastAsia" w:ascii="方正仿宋_GB2312" w:hAnsi="方正仿宋_GB2312" w:eastAsia="方正仿宋_GB2312" w:cs="方正仿宋_GB2312"/>
          <w:color w:val="000000" w:themeColor="text1"/>
          <w:sz w:val="24"/>
          <w:szCs w:val="24"/>
          <w:highlight w:val="none"/>
          <w:lang w:eastAsia="zh-CN"/>
        </w:rPr>
        <w:t xml:space="preserve">签订</w:t>
      </w:r>
      <w:r>
        <w:rPr>
          <w:rFonts w:hint="eastAsia" w:ascii="方正仿宋_GB2312" w:hAnsi="方正仿宋_GB2312" w:eastAsia="方正仿宋_GB2312" w:cs="方正仿宋_GB2312"/>
          <w:color w:val="000000" w:themeColor="text1"/>
          <w:sz w:val="24"/>
          <w:szCs w:val="24"/>
          <w:highlight w:val="none"/>
        </w:rPr>
        <w:t xml:space="preserve">本施工安全目标责任书时，项目负责人、专职（或兼职）安全员必须向建设单位提供安全资格执业证书复印件进行安全资质备案，做到持证上岗。项目负责人，专职（或兼职）安全员，施工期间不得擅离职守。</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2.</w:t>
      </w:r>
      <w:r>
        <w:rPr>
          <w:rFonts w:hint="eastAsia" w:ascii="方正仿宋_GB2312" w:hAnsi="方正仿宋_GB2312" w:eastAsia="方正仿宋_GB2312" w:cs="方正仿宋_GB2312"/>
          <w:color w:val="000000" w:themeColor="text1"/>
          <w:sz w:val="24"/>
          <w:szCs w:val="24"/>
          <w:highlight w:val="none"/>
        </w:rPr>
        <w:t xml:space="preserve">施工单位必须严格执行《宿迁市建筑施工安全监督管理办法》相关规定，项目开工前须到苏宿园区安检站备案，接受其检查，施工单位必须落实以企业安全生产责任制为主体的安全生产管理措施。建立健全安全生产、安全管理组织和安全管理网络，成立安全领导小组，由项目负责人任组长。</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3.</w:t>
      </w:r>
      <w:r>
        <w:rPr>
          <w:rFonts w:hint="eastAsia" w:ascii="方正仿宋_GB2312" w:hAnsi="方正仿宋_GB2312" w:eastAsia="方正仿宋_GB2312" w:cs="方正仿宋_GB2312"/>
          <w:color w:val="000000" w:themeColor="text1"/>
          <w:sz w:val="24"/>
          <w:szCs w:val="24"/>
          <w:highlight w:val="none"/>
        </w:rPr>
        <w:t xml:space="preserve">施工单位在进行施工准备的同时，必须向监理公司提供全体施工管理人员、施工作业人员清单（包括姓名、性别、身份证）复印件，并提供以上人员意外伤害保险投保合同清单复印件（注明人员姓名）。</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4.</w:t>
      </w:r>
      <w:r>
        <w:rPr>
          <w:rFonts w:hint="eastAsia" w:ascii="方正仿宋_GB2312" w:hAnsi="方正仿宋_GB2312" w:eastAsia="方正仿宋_GB2312" w:cs="方正仿宋_GB2312"/>
          <w:color w:val="000000" w:themeColor="text1"/>
          <w:sz w:val="24"/>
          <w:szCs w:val="24"/>
          <w:highlight w:val="none"/>
        </w:rPr>
        <w:t xml:space="preserve">明确安全生产目标，按安全管理网络进行层层分解，责任目标要落实到每个作业人员头上，每个分解目标必须明确负责人和责任人，并制定具体的保证措施，确保目标实现。</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5.</w:t>
      </w:r>
      <w:r>
        <w:rPr>
          <w:rFonts w:hint="eastAsia" w:ascii="方正仿宋_GB2312" w:hAnsi="方正仿宋_GB2312" w:eastAsia="方正仿宋_GB2312" w:cs="方正仿宋_GB2312"/>
          <w:color w:val="000000" w:themeColor="text1"/>
          <w:sz w:val="24"/>
          <w:szCs w:val="24"/>
          <w:highlight w:val="none"/>
        </w:rPr>
        <w:t xml:space="preserve">安全管理网络及安全工作的目标分解及保证措施必须报监理确认后，报建设单位备案。</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6.</w:t>
      </w:r>
      <w:r>
        <w:rPr>
          <w:rFonts w:hint="eastAsia" w:ascii="方正仿宋_GB2312" w:hAnsi="方正仿宋_GB2312" w:eastAsia="方正仿宋_GB2312" w:cs="方正仿宋_GB2312"/>
          <w:color w:val="000000" w:themeColor="text1"/>
          <w:sz w:val="24"/>
          <w:szCs w:val="24"/>
          <w:highlight w:val="none"/>
        </w:rPr>
        <w:t xml:space="preserve">建立和完善以岗位安全生产责任制为核心的安全生产</w:t>
      </w:r>
      <w:r>
        <w:rPr>
          <w:rFonts w:hint="eastAsia" w:ascii="方正仿宋_GB2312" w:hAnsi="方正仿宋_GB2312" w:eastAsia="方正仿宋_GB2312" w:cs="方正仿宋_GB2312"/>
          <w:color w:val="000000" w:themeColor="text1"/>
          <w:sz w:val="24"/>
          <w:szCs w:val="24"/>
          <w:highlight w:val="none"/>
          <w:lang w:eastAsia="zh-CN"/>
        </w:rPr>
        <w:t xml:space="preserve">制度</w:t>
      </w:r>
      <w:r>
        <w:rPr>
          <w:rFonts w:hint="eastAsia" w:ascii="方正仿宋_GB2312" w:hAnsi="方正仿宋_GB2312" w:eastAsia="方正仿宋_GB2312" w:cs="方正仿宋_GB2312"/>
          <w:color w:val="000000" w:themeColor="text1"/>
          <w:sz w:val="24"/>
          <w:szCs w:val="24"/>
          <w:highlight w:val="none"/>
        </w:rPr>
        <w:t xml:space="preserve">，监理人员必须检查安全生产制度是否完善，并提出整改意见。</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7.</w:t>
      </w:r>
      <w:r>
        <w:rPr>
          <w:rFonts w:hint="eastAsia" w:ascii="方正仿宋_GB2312" w:hAnsi="方正仿宋_GB2312" w:eastAsia="方正仿宋_GB2312" w:cs="方正仿宋_GB2312"/>
          <w:color w:val="000000" w:themeColor="text1"/>
          <w:sz w:val="24"/>
          <w:szCs w:val="24"/>
          <w:highlight w:val="none"/>
        </w:rPr>
        <w:t xml:space="preserve">施工单位切实执行安全生产教育制度，定期对施工人员进行安全教育培训，安全教育必须教育到工地每</w:t>
      </w:r>
      <w:r>
        <w:rPr>
          <w:rFonts w:hint="eastAsia" w:ascii="方正仿宋_GB2312" w:hAnsi="方正仿宋_GB2312" w:eastAsia="方正仿宋_GB2312" w:cs="方正仿宋_GB2312"/>
          <w:color w:val="000000" w:themeColor="text1"/>
          <w:sz w:val="24"/>
          <w:szCs w:val="24"/>
          <w:highlight w:val="none"/>
          <w:lang w:eastAsia="zh-CN"/>
        </w:rPr>
        <w:t xml:space="preserve">一个</w:t>
      </w:r>
      <w:r>
        <w:rPr>
          <w:rFonts w:hint="eastAsia" w:ascii="方正仿宋_GB2312" w:hAnsi="方正仿宋_GB2312" w:eastAsia="方正仿宋_GB2312" w:cs="方正仿宋_GB2312"/>
          <w:color w:val="000000" w:themeColor="text1"/>
          <w:sz w:val="24"/>
          <w:szCs w:val="24"/>
          <w:highlight w:val="none"/>
        </w:rPr>
        <w:t xml:space="preserve">人。培训记录必须有被培训对象签字，记录备案等查。</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8.</w:t>
      </w:r>
      <w:r>
        <w:rPr>
          <w:rFonts w:hint="eastAsia" w:ascii="方正仿宋_GB2312" w:hAnsi="方正仿宋_GB2312" w:eastAsia="方正仿宋_GB2312" w:cs="方正仿宋_GB2312"/>
          <w:color w:val="000000" w:themeColor="text1"/>
          <w:sz w:val="24"/>
          <w:szCs w:val="24"/>
          <w:highlight w:val="none"/>
        </w:rPr>
        <w:t xml:space="preserve">项目例会要把安全生产作为一项重点内容，杜绝重大事故的发生，减少一般事故的发生。</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9.</w:t>
      </w:r>
      <w:r>
        <w:rPr>
          <w:rFonts w:hint="eastAsia" w:ascii="方正仿宋_GB2312" w:hAnsi="方正仿宋_GB2312" w:eastAsia="方正仿宋_GB2312" w:cs="方正仿宋_GB2312"/>
          <w:color w:val="000000" w:themeColor="text1"/>
          <w:sz w:val="24"/>
          <w:szCs w:val="24"/>
          <w:highlight w:val="none"/>
        </w:rPr>
        <w:t xml:space="preserve">切实做好“安全三上岗”制度，上岗前由班长进行安全技术交底，上岗时班组安全员进行上岗巡回检查并做好上岗记录，每周进行一次总结讲评工作。</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10.</w:t>
      </w:r>
      <w:r>
        <w:rPr>
          <w:rFonts w:hint="eastAsia" w:ascii="方正仿宋_GB2312" w:hAnsi="方正仿宋_GB2312" w:eastAsia="方正仿宋_GB2312" w:cs="方正仿宋_GB2312"/>
          <w:color w:val="000000" w:themeColor="text1"/>
          <w:sz w:val="24"/>
          <w:szCs w:val="24"/>
          <w:highlight w:val="none"/>
        </w:rPr>
        <w:t xml:space="preserve">施工单位项目部每月应至少组织一次安全检查，同时根据季节环境和施工情况随时组织有针对性</w:t>
      </w:r>
      <w:r>
        <w:rPr>
          <w:rFonts w:hint="eastAsia" w:ascii="方正仿宋_GB2312" w:hAnsi="方正仿宋_GB2312" w:eastAsia="方正仿宋_GB2312" w:cs="方正仿宋_GB2312"/>
          <w:color w:val="000000" w:themeColor="text1"/>
          <w:sz w:val="24"/>
          <w:szCs w:val="24"/>
          <w:highlight w:val="none"/>
          <w:lang w:eastAsia="zh-CN"/>
        </w:rPr>
        <w:t xml:space="preserve">地</w:t>
      </w:r>
      <w:r>
        <w:rPr>
          <w:rFonts w:hint="eastAsia" w:ascii="方正仿宋_GB2312" w:hAnsi="方正仿宋_GB2312" w:eastAsia="方正仿宋_GB2312" w:cs="方正仿宋_GB2312"/>
          <w:color w:val="000000" w:themeColor="text1"/>
          <w:sz w:val="24"/>
          <w:szCs w:val="24"/>
          <w:highlight w:val="none"/>
        </w:rPr>
        <w:t xml:space="preserve">检查，消除施工中存在的安全隐患，所查问题必须明确整改措施、整改时间及负责人，并以书面的形式报监理审查。</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11.</w:t>
      </w:r>
      <w:r>
        <w:rPr>
          <w:rFonts w:hint="eastAsia" w:ascii="方正仿宋_GB2312" w:hAnsi="方正仿宋_GB2312" w:eastAsia="方正仿宋_GB2312" w:cs="方正仿宋_GB2312"/>
          <w:color w:val="000000" w:themeColor="text1"/>
          <w:sz w:val="24"/>
          <w:szCs w:val="24"/>
          <w:highlight w:val="none"/>
        </w:rPr>
        <w:t xml:space="preserve">坚持持证上岗制度，特殊工种作业人员（包括：电工、电焊工、起重操作人员、挖机机械手、驾驶员等）必须提供国家、行业主管部门颁发的有效资格证明，具备上岗操作的技能和安全知识，方可上岗操作。以上特种作业施工人员必须向建设单位提供特种作业有效证件复印件。对在施工中出现问题的操作人员应立即停止其上岗操作。</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12.</w:t>
      </w:r>
      <w:r>
        <w:rPr>
          <w:rFonts w:hint="eastAsia" w:ascii="方正仿宋_GB2312" w:hAnsi="方正仿宋_GB2312" w:eastAsia="方正仿宋_GB2312" w:cs="方正仿宋_GB2312"/>
          <w:color w:val="000000" w:themeColor="text1"/>
          <w:sz w:val="24"/>
          <w:szCs w:val="24"/>
          <w:highlight w:val="none"/>
        </w:rPr>
        <w:t xml:space="preserve">认真执行“安全生产技术交底制度”，施工前由工程技术人员向施工人员进行安全技术交底，对施工中的重点、难点部位及特殊的施工环境、工艺、危险性较大的工序要重点交底，交底后由施工作业人员在交底表上签字确认。该交底表应与安全教育培训记录统一保存，备案待查。</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13.</w:t>
      </w:r>
      <w:r>
        <w:rPr>
          <w:rFonts w:hint="eastAsia" w:ascii="方正仿宋_GB2312" w:hAnsi="方正仿宋_GB2312" w:eastAsia="方正仿宋_GB2312" w:cs="方正仿宋_GB2312"/>
          <w:color w:val="000000" w:themeColor="text1"/>
          <w:sz w:val="24"/>
          <w:szCs w:val="24"/>
          <w:highlight w:val="none"/>
        </w:rPr>
        <w:t xml:space="preserve">施工前，所有的施工设备、工器具必须向监理单位申请报验进场，监理单位应严格按国家的有关规定进行检查验收，不符合要求的机具设备不得进场施工，</w:t>
      </w:r>
      <w:r>
        <w:rPr>
          <w:rFonts w:hint="eastAsia" w:ascii="方正仿宋_GB2312" w:hAnsi="方正仿宋_GB2312" w:eastAsia="方正仿宋_GB2312" w:cs="方正仿宋_GB2312"/>
          <w:color w:val="000000" w:themeColor="text1"/>
          <w:sz w:val="24"/>
          <w:szCs w:val="24"/>
          <w:highlight w:val="none"/>
          <w:lang w:eastAsia="zh-CN"/>
        </w:rPr>
        <w:t xml:space="preserve">须报</w:t>
      </w:r>
      <w:r>
        <w:rPr>
          <w:rFonts w:hint="eastAsia" w:ascii="方正仿宋_GB2312" w:hAnsi="方正仿宋_GB2312" w:eastAsia="方正仿宋_GB2312" w:cs="方正仿宋_GB2312"/>
          <w:color w:val="000000" w:themeColor="text1"/>
          <w:sz w:val="24"/>
          <w:szCs w:val="24"/>
          <w:highlight w:val="none"/>
        </w:rPr>
        <w:t xml:space="preserve">检测设备，经监理及国家相关检测部门检测合格后，方可投入使用。</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14.</w:t>
      </w:r>
      <w:r>
        <w:rPr>
          <w:rFonts w:hint="eastAsia" w:ascii="方正仿宋_GB2312" w:hAnsi="方正仿宋_GB2312" w:eastAsia="方正仿宋_GB2312" w:cs="方正仿宋_GB2312"/>
          <w:color w:val="000000" w:themeColor="text1"/>
          <w:sz w:val="24"/>
          <w:szCs w:val="24"/>
          <w:highlight w:val="none"/>
        </w:rPr>
        <w:t xml:space="preserve">进场机具的使用必须有符合要求的操作规程，操作人员应持证操作，禁止违规操作使用。监理单位应进行现场的检查监督，对违规行为及人员处以1000－2000元处罚，对屡教屡犯人员勒令撤离现场，对施工单位警告或处罚款直至勒令停工、清场，严格保障施工安全。</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15.</w:t>
      </w:r>
      <w:r>
        <w:rPr>
          <w:rFonts w:hint="eastAsia" w:ascii="方正仿宋_GB2312" w:hAnsi="方正仿宋_GB2312" w:eastAsia="方正仿宋_GB2312" w:cs="方正仿宋_GB2312"/>
          <w:color w:val="000000" w:themeColor="text1"/>
          <w:sz w:val="24"/>
          <w:szCs w:val="24"/>
          <w:highlight w:val="none"/>
        </w:rPr>
        <w:t xml:space="preserve">施工现场布置必须做到干净、整洁，临时用电的操作人员必须持证操作，禁止乱搭、乱架电线，施工照明灯具的金属外壳必须可靠接地接零，施工用电中的动力和照明分别设置，接地、接零、漏电保护器做保护，</w:t>
      </w:r>
      <w:r>
        <w:rPr>
          <w:rFonts w:hint="eastAsia" w:ascii="方正仿宋_GB2312" w:hAnsi="方正仿宋_GB2312" w:eastAsia="方正仿宋_GB2312" w:cs="方正仿宋_GB2312"/>
          <w:color w:val="000000" w:themeColor="text1"/>
          <w:sz w:val="24"/>
          <w:szCs w:val="24"/>
          <w:highlight w:val="none"/>
          <w:lang w:eastAsia="zh-CN"/>
        </w:rPr>
        <w:t xml:space="preserve">做到</w:t>
      </w:r>
      <w:r>
        <w:rPr>
          <w:rFonts w:hint="eastAsia" w:ascii="方正仿宋_GB2312" w:hAnsi="方正仿宋_GB2312" w:eastAsia="方正仿宋_GB2312" w:cs="方正仿宋_GB2312"/>
          <w:color w:val="000000" w:themeColor="text1"/>
          <w:sz w:val="24"/>
          <w:szCs w:val="24"/>
          <w:highlight w:val="none"/>
        </w:rPr>
        <w:t xml:space="preserve">一机一闸，施工用电配电系统</w:t>
      </w:r>
      <w:r>
        <w:rPr>
          <w:rFonts w:hint="eastAsia" w:ascii="方正仿宋_GB2312" w:hAnsi="方正仿宋_GB2312" w:eastAsia="方正仿宋_GB2312" w:cs="方正仿宋_GB2312"/>
          <w:color w:val="000000" w:themeColor="text1"/>
          <w:sz w:val="24"/>
          <w:szCs w:val="24"/>
          <w:highlight w:val="none"/>
          <w:lang w:eastAsia="zh-CN"/>
        </w:rPr>
        <w:t xml:space="preserve">做好</w:t>
      </w:r>
      <w:r>
        <w:rPr>
          <w:rFonts w:hint="eastAsia" w:ascii="方正仿宋_GB2312" w:hAnsi="方正仿宋_GB2312" w:eastAsia="方正仿宋_GB2312" w:cs="方正仿宋_GB2312"/>
          <w:color w:val="000000" w:themeColor="text1"/>
          <w:sz w:val="24"/>
          <w:szCs w:val="24"/>
          <w:highlight w:val="none"/>
        </w:rPr>
        <w:t xml:space="preserve">三级配电，两级保护，施工临时用电设备、设施完好率100%，且必须有安全防护措施和安全使用制度。</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16.</w:t>
      </w:r>
      <w:r>
        <w:rPr>
          <w:rFonts w:hint="eastAsia" w:ascii="方正仿宋_GB2312" w:hAnsi="方正仿宋_GB2312" w:eastAsia="方正仿宋_GB2312" w:cs="方正仿宋_GB2312"/>
          <w:color w:val="000000" w:themeColor="text1"/>
          <w:sz w:val="24"/>
          <w:szCs w:val="24"/>
          <w:highlight w:val="none"/>
        </w:rPr>
        <w:t xml:space="preserve">施工临时设施（包括临时工棚、临时办公、食堂等设施）的搭建必须符合相关规定要求建造，所用材料必须满足防火、防台风的相关要求。临时设施必须按规范配备消防器材，并保持完好。临时设施内用电、接线应规范整齐，工棚内严禁私接电水壶、电饭锅、热得快等大功率电器设备，严禁私接乱拉电线，防止火灾发生。</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17.</w:t>
      </w:r>
      <w:r>
        <w:rPr>
          <w:rFonts w:hint="eastAsia" w:ascii="方正仿宋_GB2312" w:hAnsi="方正仿宋_GB2312" w:eastAsia="方正仿宋_GB2312" w:cs="方正仿宋_GB2312"/>
          <w:color w:val="000000" w:themeColor="text1"/>
          <w:sz w:val="24"/>
          <w:szCs w:val="24"/>
          <w:highlight w:val="none"/>
        </w:rPr>
        <w:t xml:space="preserve">建筑材料、设备运输、使用及存放的安全，必须符合国家的有关安全规定，并应制定符合要求的安全使用制度。</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18.</w:t>
      </w:r>
      <w:r>
        <w:rPr>
          <w:rFonts w:hint="eastAsia" w:ascii="方正仿宋_GB2312" w:hAnsi="方正仿宋_GB2312" w:eastAsia="方正仿宋_GB2312" w:cs="方正仿宋_GB2312"/>
          <w:color w:val="000000" w:themeColor="text1"/>
          <w:sz w:val="24"/>
          <w:szCs w:val="24"/>
          <w:highlight w:val="none"/>
        </w:rPr>
        <w:t xml:space="preserve">施工中危险作业区应设有安全防护措施，并要有围护或隔离措施，登高作业人员系好完好的安全带设施，夜间、野外作业设有明显的安全标志牌和夜间红灯示警。脚手架搭设须符合以下几点要求：搭设或拆除脚手架必须根据专项施工方案，操作人员必须</w:t>
      </w:r>
      <w:r>
        <w:rPr>
          <w:rFonts w:hint="eastAsia" w:ascii="方正仿宋_GB2312" w:hAnsi="方正仿宋_GB2312" w:eastAsia="方正仿宋_GB2312" w:cs="方正仿宋_GB2312"/>
          <w:color w:val="000000" w:themeColor="text1"/>
          <w:sz w:val="24"/>
          <w:szCs w:val="24"/>
          <w:highlight w:val="none"/>
          <w:lang w:eastAsia="zh-CN"/>
        </w:rPr>
        <w:t xml:space="preserve">经过</w:t>
      </w:r>
      <w:r>
        <w:rPr>
          <w:rFonts w:hint="eastAsia" w:ascii="方正仿宋_GB2312" w:hAnsi="方正仿宋_GB2312" w:eastAsia="方正仿宋_GB2312" w:cs="方正仿宋_GB2312"/>
          <w:color w:val="000000" w:themeColor="text1"/>
          <w:sz w:val="24"/>
          <w:szCs w:val="24"/>
          <w:highlight w:val="none"/>
        </w:rPr>
        <w:t xml:space="preserve">专业训练，考核合格后发给操作证，持证上岗操作。</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钢管有严重锈蚀、弯曲、压扁或裂纹的不得使用，扣件有脆裂、变形、滑丝的禁止使用。木脚手板应用厚度不小于5厘米的杉木或松木板，宽度以20－30厘米为宜，凡是腐朽、扭曲、斜纹、破裂和大横透节的不得使用。板的两端8厘米处应用镀锌铁丝箍绕2－3圈或用铁皮钉牢。 钢管脚手架的立杆应垂直稳放在金属底座或垫木上。立杆间距不得大于15米，架子宽度不得大于12米，大横杆应设四根，步高不大于1．8米。钢管的立杆、大横杆接头应错开，用扣件连接，拧紧螺栓，不准用铁丝绑扎。</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19.</w:t>
      </w:r>
      <w:r>
        <w:rPr>
          <w:rFonts w:hint="eastAsia" w:ascii="方正仿宋_GB2312" w:hAnsi="方正仿宋_GB2312" w:eastAsia="方正仿宋_GB2312" w:cs="方正仿宋_GB2312"/>
          <w:color w:val="000000" w:themeColor="text1"/>
          <w:sz w:val="24"/>
          <w:szCs w:val="24"/>
          <w:highlight w:val="none"/>
        </w:rPr>
        <w:t xml:space="preserve">脚手架按规定必须进行计算或进行荷载实验的，必须在验算或实验之后进行搭设。人员上下脚手架必须走有安全防护的出入通（梯）道，严禁攀爬脚手架上下。脚手架应根据确保整体稳定和抗侧力作用的要求，按规定设置剪刀撑或其它有相应作用的整体拉结杆件。作业层实际施工荷载不得超过规定值及施工设计值。拆除作业必须按确定的程序进行。连墙件应在位于其上的全部可拆杆件都拆完之后才能拆除。在拆除过程中，凡已松开连接的杆配件应及时运走，避免误扶和误靠。拆下的杆配件应以安全的方式运出或吊下，严禁抛掷。在拆除过程中，应</w:t>
      </w:r>
      <w:r>
        <w:rPr>
          <w:rFonts w:hint="eastAsia" w:ascii="方正仿宋_GB2312" w:hAnsi="方正仿宋_GB2312" w:eastAsia="方正仿宋_GB2312" w:cs="方正仿宋_GB2312"/>
          <w:color w:val="000000" w:themeColor="text1"/>
          <w:sz w:val="24"/>
          <w:szCs w:val="24"/>
          <w:highlight w:val="none"/>
          <w:lang w:eastAsia="zh-CN"/>
        </w:rPr>
        <w:t xml:space="preserve">做好</w:t>
      </w:r>
      <w:r>
        <w:rPr>
          <w:rFonts w:hint="eastAsia" w:ascii="方正仿宋_GB2312" w:hAnsi="方正仿宋_GB2312" w:eastAsia="方正仿宋_GB2312" w:cs="方正仿宋_GB2312"/>
          <w:color w:val="000000" w:themeColor="text1"/>
          <w:sz w:val="24"/>
          <w:szCs w:val="24"/>
          <w:highlight w:val="none"/>
        </w:rPr>
        <w:t xml:space="preserve">配合，协调动作，禁止单人进行拆除较重杆件等危险性的作业。</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20.</w:t>
      </w:r>
      <w:r>
        <w:rPr>
          <w:rFonts w:hint="eastAsia" w:ascii="方正仿宋_GB2312" w:hAnsi="方正仿宋_GB2312" w:eastAsia="方正仿宋_GB2312" w:cs="方正仿宋_GB2312"/>
          <w:color w:val="000000" w:themeColor="text1"/>
          <w:sz w:val="24"/>
          <w:szCs w:val="24"/>
          <w:highlight w:val="none"/>
        </w:rPr>
        <w:t xml:space="preserve">具体的施工任务应严格执行国家和地方的有关施工方面的技术和安全规范，在承建单位向监理提交的施工方案中必须包括详细的安全技术措施。监理应严格审查，合格后批准实施，对批准的施工方案，任何人无权修改和改变，必须严格执行，若要修改必须向监理书面汇报，说明修改原因及修改后的措施，经审查合格后批准实施。</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21.</w:t>
      </w:r>
      <w:r>
        <w:rPr>
          <w:rFonts w:hint="eastAsia" w:ascii="方正仿宋_GB2312" w:hAnsi="方正仿宋_GB2312" w:eastAsia="方正仿宋_GB2312" w:cs="方正仿宋_GB2312"/>
          <w:color w:val="000000" w:themeColor="text1"/>
          <w:sz w:val="24"/>
          <w:szCs w:val="24"/>
          <w:highlight w:val="none"/>
        </w:rPr>
        <w:t xml:space="preserve">对工程中有特殊工艺施工方案的如顶管、沉管、沉井等，施工单位必须报专项安全施工方案，对于深基坑开挖施工方案必须组织通过专家论证、认可，并得到监理和业主认可后方能实施。</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22.</w:t>
      </w:r>
      <w:r>
        <w:rPr>
          <w:rFonts w:hint="eastAsia" w:ascii="方正仿宋_GB2312" w:hAnsi="方正仿宋_GB2312" w:eastAsia="方正仿宋_GB2312" w:cs="方正仿宋_GB2312"/>
          <w:color w:val="000000" w:themeColor="text1"/>
          <w:sz w:val="24"/>
          <w:szCs w:val="24"/>
          <w:highlight w:val="none"/>
        </w:rPr>
        <w:t xml:space="preserve">本建设施工项目必须接受苏州宿迁工业园区安全技术监督站的安监管理，规范安全施工操作。</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23.</w:t>
      </w:r>
      <w:r>
        <w:rPr>
          <w:rFonts w:hint="eastAsia" w:ascii="方正仿宋_GB2312" w:hAnsi="方正仿宋_GB2312" w:eastAsia="方正仿宋_GB2312" w:cs="方正仿宋_GB2312"/>
          <w:color w:val="000000" w:themeColor="text1"/>
          <w:sz w:val="24"/>
          <w:szCs w:val="24"/>
          <w:highlight w:val="none"/>
        </w:rPr>
        <w:t xml:space="preserve">凡本责任书在其他方面未涉及之处，均按照国家有关法律法规执行。</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2"/>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rPr>
        <w:t xml:space="preserve">考核及处罚办法：</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Ⅰ</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lang w:eastAsia="zh-CN"/>
        </w:rPr>
        <w:t xml:space="preserve">每月监理及施工单位项目部要总结本月安全工作，下月安全工作计划，并以书面形式上报建设单位备案，监理做好会议纪要及采取书面的防范措施。</w:t>
      </w:r>
      <w:r>
        <w:rPr>
          <w:rFonts w:hint="eastAsia" w:ascii="方正仿宋_GB2312" w:hAnsi="方正仿宋_GB2312" w:eastAsia="方正仿宋_GB2312" w:cs="方正仿宋_GB2312"/>
          <w:color w:val="000000" w:themeColor="text1"/>
          <w:sz w:val="24"/>
          <w:szCs w:val="24"/>
          <w:highlight w:val="none"/>
          <w:lang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Ⅱ</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建设单位</w:t>
      </w:r>
      <w:r>
        <w:rPr>
          <w:rFonts w:hint="eastAsia" w:ascii="方正仿宋_GB2312" w:hAnsi="方正仿宋_GB2312" w:eastAsia="方正仿宋_GB2312" w:cs="方正仿宋_GB2312"/>
          <w:color w:val="000000" w:themeColor="text1"/>
          <w:sz w:val="24"/>
          <w:szCs w:val="24"/>
          <w:highlight w:val="none"/>
          <w:lang w:val="en-US" w:eastAsia="zh-CN"/>
        </w:rPr>
        <w:t xml:space="preserve">在</w:t>
      </w:r>
      <w:r>
        <w:rPr>
          <w:rFonts w:hint="eastAsia" w:ascii="方正仿宋_GB2312" w:hAnsi="方正仿宋_GB2312" w:eastAsia="方正仿宋_GB2312" w:cs="方正仿宋_GB2312"/>
          <w:color w:val="000000" w:themeColor="text1"/>
          <w:sz w:val="24"/>
          <w:szCs w:val="24"/>
          <w:highlight w:val="none"/>
        </w:rPr>
        <w:t xml:space="preserve">每月的工程例会上对安全工作进行讲评，对各方本月的安全管理工作做小结，对存在突出或普遍的问题要求认真整改，并以会议纪要的形式传</w:t>
      </w:r>
      <w:r>
        <w:rPr>
          <w:rFonts w:hint="eastAsia" w:ascii="方正仿宋_GB2312" w:hAnsi="方正仿宋_GB2312" w:eastAsia="方正仿宋_GB2312" w:cs="方正仿宋_GB2312"/>
          <w:color w:val="000000" w:themeColor="text1"/>
          <w:sz w:val="24"/>
          <w:szCs w:val="24"/>
          <w:highlight w:val="none"/>
          <w:lang w:eastAsia="zh-CN"/>
        </w:rPr>
        <w:t xml:space="preserve">达</w:t>
      </w:r>
      <w:r>
        <w:rPr>
          <w:rFonts w:hint="eastAsia" w:ascii="方正仿宋_GB2312" w:hAnsi="方正仿宋_GB2312" w:eastAsia="方正仿宋_GB2312" w:cs="方正仿宋_GB2312"/>
          <w:color w:val="000000" w:themeColor="text1"/>
          <w:sz w:val="24"/>
          <w:szCs w:val="24"/>
          <w:highlight w:val="none"/>
        </w:rPr>
        <w:t xml:space="preserve">各方。</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Ⅲ</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对发生重大安全事故的承建单位按照园区的管理办法进行处罚，并将其清退出场，监理单位有责任的也必须接受处罚。</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Ⅳ</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施工中发生安全事故不管大小施工</w:t>
      </w:r>
      <w:r>
        <w:rPr>
          <w:rFonts w:hint="eastAsia" w:ascii="方正仿宋_GB2312" w:hAnsi="方正仿宋_GB2312" w:eastAsia="方正仿宋_GB2312" w:cs="方正仿宋_GB2312"/>
          <w:color w:val="000000" w:themeColor="text1"/>
          <w:sz w:val="24"/>
          <w:szCs w:val="24"/>
          <w:highlight w:val="none"/>
          <w:lang w:eastAsia="zh-CN"/>
        </w:rPr>
        <w:t xml:space="preserve">单位</w:t>
      </w:r>
      <w:r>
        <w:rPr>
          <w:rFonts w:hint="eastAsia" w:ascii="方正仿宋_GB2312" w:hAnsi="方正仿宋_GB2312" w:eastAsia="方正仿宋_GB2312" w:cs="方正仿宋_GB2312"/>
          <w:color w:val="000000" w:themeColor="text1"/>
          <w:sz w:val="24"/>
          <w:szCs w:val="24"/>
          <w:highlight w:val="none"/>
        </w:rPr>
        <w:t xml:space="preserve">均不得隐瞒不报，必须及时向监理和建设单位以书面的形式进行汇报。</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Ⅴ</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施工单位项目负责人在工程施工中发生重大工程质量及安全事故的，项目负责人按照国家规定和合同条款负相应责任。</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Ⅵ</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监理单位的总监及专职安全监理不得擅离职守，凡因监理人员过错、失职造成工程质量、安全事故的，监理单位总监及相关人员根据国家法律规定和合同要求负相应责任。</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Ⅶ</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对违反第1、2、3、7、8、11、16条款要求的，建设单位将上报园区有关部门对施工单位进行相应处罚。承包人出现违反本责任状的行为一经业主和监理发现，每次处以1000元人民币的罚款，并要求承包人立即整改，对不及时整改的，监理工程师将以工程师通知单的书面形式要求承包人整改并处2000元人民币的罚款。</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Ⅷ</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凡有代业主（代甲方）的工程，代业主单位在安全管理上的权利和责任等同建设单位。</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Ⅸ</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如工程施工中出现人员伤亡，建设单位有权动用适当比例（视事故大小）工程款项作为事故处理费用，该费用由承包商承担，在工程结算中扣除。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Ⅹ</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建设单位有权根据施工单位的安全工作表现，对施工单位进行评分，对于年度安全不合格的施工单位，建设单位将上报园区有关部门，停止其在本公司投标权利。</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本责任状自</w:t>
      </w:r>
      <w:r>
        <w:rPr>
          <w:rFonts w:hint="eastAsia" w:ascii="方正仿宋_GB2312" w:hAnsi="方正仿宋_GB2312" w:eastAsia="方正仿宋_GB2312" w:cs="方正仿宋_GB2312"/>
          <w:color w:val="000000" w:themeColor="text1"/>
          <w:sz w:val="24"/>
          <w:szCs w:val="24"/>
          <w:highlight w:val="none"/>
          <w:lang w:eastAsia="zh-CN"/>
        </w:rPr>
        <w:t xml:space="preserve">签订</w:t>
      </w:r>
      <w:r>
        <w:rPr>
          <w:rFonts w:hint="eastAsia" w:ascii="方正仿宋_GB2312" w:hAnsi="方正仿宋_GB2312" w:eastAsia="方正仿宋_GB2312" w:cs="方正仿宋_GB2312"/>
          <w:color w:val="000000" w:themeColor="text1"/>
          <w:sz w:val="24"/>
          <w:szCs w:val="24"/>
          <w:highlight w:val="none"/>
        </w:rPr>
        <w:t xml:space="preserve">之日起执行。</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90"/>
        <w:spacing w:line="276" w:lineRule="auto"/>
        <w:rPr>
          <w:rFonts w:hint="eastAsia" w:ascii="方正仿宋_GB2312" w:hAnsi="方正仿宋_GB2312" w:eastAsia="方正仿宋_GB2312" w:cs="方正仿宋_GB2312"/>
          <w:b/>
          <w:bCs/>
          <w:color w:val="000000" w:themeColor="text1"/>
          <w:spacing w:val="2"/>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rPr>
      </w:r>
      <w:r>
        <w:rPr>
          <w:color w:val="000000" w:themeColor="text1"/>
        </w:rPr>
      </w:r>
    </w:p>
    <w:p>
      <w:pPr>
        <w:pStyle w:val="799"/>
        <w:ind w:firstLine="490"/>
        <w:spacing w:line="276" w:lineRule="auto"/>
        <w:rPr>
          <w:rFonts w:hint="eastAsia" w:ascii="方正仿宋_GB2312" w:hAnsi="方正仿宋_GB2312" w:eastAsia="方正仿宋_GB2312" w:cs="方正仿宋_GB2312"/>
          <w:b/>
          <w:bCs/>
          <w:color w:val="000000" w:themeColor="text1"/>
          <w:spacing w:val="2"/>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rPr>
        <w:t xml:space="preserve">甲方</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                         乙方</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r>
      <w:r>
        <w:rPr>
          <w:color w:val="000000" w:themeColor="text1"/>
        </w:rPr>
      </w:r>
    </w:p>
    <w:p>
      <w:pPr>
        <w:pStyle w:val="799"/>
        <w:ind w:firstLine="490"/>
        <w:spacing w:line="276" w:lineRule="auto"/>
        <w:rPr>
          <w:rFonts w:hint="eastAsia" w:ascii="方正仿宋_GB2312" w:hAnsi="方正仿宋_GB2312" w:eastAsia="方正仿宋_GB2312" w:cs="方正仿宋_GB2312"/>
          <w:b/>
          <w:bCs/>
          <w:color w:val="000000" w:themeColor="text1"/>
          <w:spacing w:val="2"/>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rPr>
        <w:t xml:space="preserve">法定代表人或其委托代理人               法定代表人或其委托代理人</w:t>
      </w:r>
      <w:r>
        <w:rPr>
          <w:rFonts w:hint="eastAsia" w:ascii="方正仿宋_GB2312" w:hAnsi="方正仿宋_GB2312" w:eastAsia="方正仿宋_GB2312" w:cs="方正仿宋_GB2312"/>
          <w:b/>
          <w:bCs/>
          <w:color w:val="000000" w:themeColor="text1"/>
          <w:spacing w:val="2"/>
          <w:sz w:val="24"/>
          <w:szCs w:val="24"/>
          <w:highlight w:val="none"/>
        </w:rPr>
      </w:r>
      <w:r>
        <w:rPr>
          <w:color w:val="000000" w:themeColor="text1"/>
        </w:rPr>
      </w:r>
    </w:p>
    <w:p>
      <w:pPr>
        <w:pStyle w:val="799"/>
        <w:ind w:firstLine="490"/>
        <w:jc w:val="left"/>
        <w:spacing w:before="120" w:after="120"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签字或盖章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                       </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签字或盖章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jc w:val="center"/>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br w:type="page" w:clear="all"/>
      </w:r>
      <w:r>
        <w:rPr>
          <w:rFonts w:hint="eastAsia" w:ascii="方正仿宋_GB2312" w:hAnsi="方正仿宋_GB2312" w:eastAsia="方正仿宋_GB2312" w:cs="方正仿宋_GB2312"/>
          <w:b/>
          <w:bCs/>
          <w:color w:val="000000" w:themeColor="text1"/>
          <w:sz w:val="28"/>
          <w:szCs w:val="28"/>
          <w:highlight w:val="none"/>
        </w:rPr>
        <w:t xml:space="preserve">《苏州宿迁工业园区文明施工及市政设施、绿化设施保护责任状》</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2"/>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第一章</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  </w:t>
      </w:r>
      <w:r>
        <w:rPr>
          <w:rFonts w:hint="eastAsia" w:ascii="方正仿宋_GB2312" w:hAnsi="方正仿宋_GB2312" w:eastAsia="方正仿宋_GB2312" w:cs="方正仿宋_GB2312"/>
          <w:b/>
          <w:bCs/>
          <w:color w:val="000000" w:themeColor="text1"/>
          <w:sz w:val="24"/>
          <w:szCs w:val="24"/>
          <w:highlight w:val="none"/>
        </w:rPr>
        <w:t xml:space="preserve">总则</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第一条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为了建设一个具有苏北领先水平的工业园区，在苏州宿迁工业园区的建设过程中保持文明洁净的环境。保障建设工程的顺利进行，特制定本责任状。</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第二条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本责任状所称苏州宿迁工业园区，以下简称园区。本责任状称建设工程施工现场，是指进行工业与民用项目的房屋建筑、土木工程（包括市政工程）、设备安装、管线敷设等施工活动的场所</w:t>
      </w:r>
      <w:r>
        <w:rPr>
          <w:rFonts w:hint="eastAsia" w:ascii="方正仿宋_GB2312" w:hAnsi="方正仿宋_GB2312" w:eastAsia="方正仿宋_GB2312" w:cs="方正仿宋_GB2312"/>
          <w:color w:val="000000" w:themeColor="text1"/>
          <w:sz w:val="24"/>
          <w:szCs w:val="24"/>
          <w:highlight w:val="none"/>
          <w:lang w:eastAsia="zh-CN"/>
        </w:rPr>
        <w:t xml:space="preserve">，以</w:t>
      </w:r>
      <w:r>
        <w:rPr>
          <w:rFonts w:hint="eastAsia" w:ascii="方正仿宋_GB2312" w:hAnsi="方正仿宋_GB2312" w:eastAsia="方正仿宋_GB2312" w:cs="方正仿宋_GB2312"/>
          <w:color w:val="000000" w:themeColor="text1"/>
          <w:sz w:val="24"/>
          <w:szCs w:val="24"/>
          <w:highlight w:val="none"/>
        </w:rPr>
        <w:t xml:space="preserve">及与之施工活动相关的园区内公共道路。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第三条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一切建设工程活动有关的单位和个人，必须遵守本责任状。</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第四条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园区建设工程施工现场的管理，由园区规划建设局和公安部门共同负责。其中直接的施工场所管理由规划建设局负责，公共道路的现场管理由交安部门负责。</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2"/>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第二章</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  </w:t>
      </w:r>
      <w:r>
        <w:rPr>
          <w:rFonts w:hint="eastAsia" w:ascii="方正仿宋_GB2312" w:hAnsi="方正仿宋_GB2312" w:eastAsia="方正仿宋_GB2312" w:cs="方正仿宋_GB2312"/>
          <w:b/>
          <w:bCs/>
          <w:color w:val="000000" w:themeColor="text1"/>
          <w:sz w:val="24"/>
          <w:szCs w:val="24"/>
          <w:highlight w:val="none"/>
        </w:rPr>
        <w:t xml:space="preserve">一般规定</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第五条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任何建设工程，必须在向规划建设局申请</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建设工程规划许可证</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的同时，申报建设工程施工组织设计供审批。施工组织设计应当包括下列主要内容：</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（一）工程任务情况，包括工程概况、工程造价、工程特点、工期要求、质量目标等内容；</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（二）施工总方案、主要施工办法、工程施工进度计划、主要单位工程综合进度计划和施工力量、机具及部署、材料供应的安排；</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（三）施工组织技术措施，包括工程质量、安全防护以及</w:t>
      </w:r>
      <w:r>
        <w:rPr>
          <w:rFonts w:hint="eastAsia" w:ascii="方正仿宋_GB2312" w:hAnsi="方正仿宋_GB2312" w:eastAsia="方正仿宋_GB2312" w:cs="方正仿宋_GB2312"/>
          <w:color w:val="000000" w:themeColor="text1"/>
          <w:sz w:val="24"/>
          <w:szCs w:val="24"/>
          <w:highlight w:val="none"/>
          <w:lang w:eastAsia="zh-CN"/>
        </w:rPr>
        <w:t xml:space="preserve">环境污染防治</w:t>
      </w:r>
      <w:r>
        <w:rPr>
          <w:rFonts w:hint="eastAsia" w:ascii="方正仿宋_GB2312" w:hAnsi="方正仿宋_GB2312" w:eastAsia="方正仿宋_GB2312" w:cs="方正仿宋_GB2312"/>
          <w:color w:val="000000" w:themeColor="text1"/>
          <w:sz w:val="24"/>
          <w:szCs w:val="24"/>
          <w:highlight w:val="none"/>
        </w:rPr>
        <w:t xml:space="preserve">等各种措施；</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（四）施工总平面布置图；</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（五）施工现场临时设施的设计、施工现场管理措施等；</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（六）大型桥梁、厂、站等土建、安装复杂的工程应有针对单项工程施工需要的专项设计。</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第六条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建设工程施工必须按照管理部门批准的施工组织设计进行。</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第七条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施工单位派驻的项目负责人全面负责实施建设工程施工现场的管理。建设单位派驻施工现场的总代表，</w:t>
      </w:r>
      <w:r>
        <w:rPr>
          <w:rFonts w:hint="eastAsia" w:ascii="方正仿宋_GB2312" w:hAnsi="方正仿宋_GB2312" w:eastAsia="方正仿宋_GB2312" w:cs="方正仿宋_GB2312"/>
          <w:color w:val="000000" w:themeColor="text1"/>
          <w:sz w:val="24"/>
          <w:szCs w:val="24"/>
          <w:highlight w:val="none"/>
          <w:lang w:eastAsia="zh-CN"/>
        </w:rPr>
        <w:t xml:space="preserve">对</w:t>
      </w:r>
      <w:r>
        <w:rPr>
          <w:rFonts w:hint="eastAsia" w:ascii="方正仿宋_GB2312" w:hAnsi="方正仿宋_GB2312" w:eastAsia="方正仿宋_GB2312" w:cs="方正仿宋_GB2312"/>
          <w:color w:val="000000" w:themeColor="text1"/>
          <w:sz w:val="24"/>
          <w:szCs w:val="24"/>
          <w:highlight w:val="none"/>
        </w:rPr>
        <w:t xml:space="preserve">施工单位实施现场管理负有监督责任。</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第八条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建设工程正式开工前，施工单位必须完成现场管理要求的临时设施、场地布置，并通知管理部门检查。检查按照本责任状和批准的施工组织设计的要求，结果合格者方可进行正式施工。</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第九条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施工单位在建设工程施工结束后，撤离施工现场时要做到工完场清，并在撤离后一周内及时通知管理部门对施工现场</w:t>
      </w:r>
      <w:r>
        <w:rPr>
          <w:rFonts w:hint="eastAsia" w:ascii="方正仿宋_GB2312" w:hAnsi="方正仿宋_GB2312" w:eastAsia="方正仿宋_GB2312" w:cs="方正仿宋_GB2312"/>
          <w:color w:val="000000" w:themeColor="text1"/>
          <w:sz w:val="24"/>
          <w:szCs w:val="24"/>
          <w:highlight w:val="none"/>
          <w:lang w:eastAsia="zh-CN"/>
        </w:rPr>
        <w:t xml:space="preserve">做</w:t>
      </w:r>
      <w:r>
        <w:rPr>
          <w:rFonts w:hint="eastAsia" w:ascii="方正仿宋_GB2312" w:hAnsi="方正仿宋_GB2312" w:eastAsia="方正仿宋_GB2312" w:cs="方正仿宋_GB2312"/>
          <w:color w:val="000000" w:themeColor="text1"/>
          <w:sz w:val="24"/>
          <w:szCs w:val="24"/>
          <w:highlight w:val="none"/>
        </w:rPr>
        <w:t xml:space="preserve">最后的检查。</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第十条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管理部门有权在任何时候进入施工现场检查，对被检查出来的违反本责任状的行为进行处罚。</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第十一</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建设工程施工中需要停水、停电、封路而影响到施工现场周围地区的单位和居民时，必须经有关主管部门批准，并事先通知受影响的单位和居民。</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第十二条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建设工程施工如果需要对已开通的公共道路开挖和临时占用，必须经有关单位的批准。在已开通的公共道路移交给政府前，由道路业主和公安交通管理部门联合审批；移交后则由规划建设局和公安交通管理部门联合审批。为保障公众安全对已开通的道路</w:t>
      </w:r>
      <w:r>
        <w:rPr>
          <w:rFonts w:hint="eastAsia" w:ascii="方正仿宋_GB2312" w:hAnsi="方正仿宋_GB2312" w:eastAsia="方正仿宋_GB2312" w:cs="方正仿宋_GB2312"/>
          <w:color w:val="000000" w:themeColor="text1"/>
          <w:sz w:val="24"/>
          <w:szCs w:val="24"/>
          <w:highlight w:val="none"/>
          <w:lang w:eastAsia="zh-CN"/>
        </w:rPr>
        <w:t xml:space="preserve">进行</w:t>
      </w:r>
      <w:r>
        <w:rPr>
          <w:rFonts w:hint="eastAsia" w:ascii="方正仿宋_GB2312" w:hAnsi="方正仿宋_GB2312" w:eastAsia="方正仿宋_GB2312" w:cs="方正仿宋_GB2312"/>
          <w:color w:val="000000" w:themeColor="text1"/>
          <w:sz w:val="24"/>
          <w:szCs w:val="24"/>
          <w:highlight w:val="none"/>
        </w:rPr>
        <w:t xml:space="preserve">开挖和临时占用，必须在现场设置醒目的警告标志和警告好反围护设施，同时派专人在现场养护秩序。同时做好市政管线的保护工作。</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第十三条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施工单位进行地下工程及基础工程施工时，发现文物、古化石爆炸物、电缆和工程管线时应暂停施工，保护好现场并及时向有关部门报告，在按照有关规定处理后方可继续施工。</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2"/>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第三章</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  </w:t>
      </w:r>
      <w:r>
        <w:rPr>
          <w:rFonts w:hint="eastAsia" w:ascii="方正仿宋_GB2312" w:hAnsi="方正仿宋_GB2312" w:eastAsia="方正仿宋_GB2312" w:cs="方正仿宋_GB2312"/>
          <w:b/>
          <w:bCs/>
          <w:color w:val="000000" w:themeColor="text1"/>
          <w:sz w:val="24"/>
          <w:szCs w:val="24"/>
          <w:highlight w:val="none"/>
        </w:rPr>
        <w:t xml:space="preserve">文明施工管理</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第十四条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lang w:eastAsia="zh-CN"/>
        </w:rPr>
        <w:t xml:space="preserve">施工单位</w:t>
      </w:r>
      <w:r>
        <w:rPr>
          <w:rFonts w:hint="eastAsia" w:ascii="方正仿宋_GB2312" w:hAnsi="方正仿宋_GB2312" w:eastAsia="方正仿宋_GB2312" w:cs="方正仿宋_GB2312"/>
          <w:color w:val="000000" w:themeColor="text1"/>
          <w:sz w:val="24"/>
          <w:szCs w:val="24"/>
          <w:highlight w:val="none"/>
        </w:rPr>
        <w:t xml:space="preserve">应当贯彻文明施工的要求推行现代管理方法科学组织施工做好施工现场各项管理工作。</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第十五条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建筑工程和设备安装等施工现场，沿四周必须按照园区临时围挡设置与</w:t>
      </w:r>
      <w:r>
        <w:rPr>
          <w:rFonts w:hint="eastAsia" w:ascii="方正仿宋_GB2312" w:hAnsi="方正仿宋_GB2312" w:eastAsia="方正仿宋_GB2312" w:cs="方正仿宋_GB2312"/>
          <w:color w:val="000000" w:themeColor="text1"/>
          <w:sz w:val="24"/>
          <w:szCs w:val="24"/>
          <w:highlight w:val="none"/>
          <w:lang w:eastAsia="zh-CN"/>
        </w:rPr>
        <w:t xml:space="preserve">围护</w:t>
      </w:r>
      <w:r>
        <w:rPr>
          <w:rFonts w:hint="eastAsia" w:ascii="方正仿宋_GB2312" w:hAnsi="方正仿宋_GB2312" w:eastAsia="方正仿宋_GB2312" w:cs="方正仿宋_GB2312"/>
          <w:color w:val="000000" w:themeColor="text1"/>
          <w:sz w:val="24"/>
          <w:szCs w:val="24"/>
          <w:highlight w:val="none"/>
        </w:rPr>
        <w:t xml:space="preserve">规范进行围护。狭长的市政工程、管道敷设施工现场和面积较大的如场地填土等土木工程施工现场，经批准后可不作围栏，但必须控制出入口。围栏高度至少为2米，立面为实体，可用除</w:t>
      </w:r>
      <w:r>
        <w:rPr>
          <w:rFonts w:hint="eastAsia" w:ascii="方正仿宋_GB2312" w:hAnsi="方正仿宋_GB2312" w:eastAsia="方正仿宋_GB2312" w:cs="方正仿宋_GB2312"/>
          <w:color w:val="000000" w:themeColor="text1"/>
          <w:sz w:val="24"/>
          <w:szCs w:val="24"/>
          <w:highlight w:val="none"/>
          <w:lang w:eastAsia="zh-CN"/>
        </w:rPr>
        <w:t xml:space="preserve">黏土砖</w:t>
      </w:r>
      <w:r>
        <w:rPr>
          <w:rFonts w:hint="eastAsia" w:ascii="方正仿宋_GB2312" w:hAnsi="方正仿宋_GB2312" w:eastAsia="方正仿宋_GB2312" w:cs="方正仿宋_GB2312"/>
          <w:color w:val="000000" w:themeColor="text1"/>
          <w:sz w:val="24"/>
          <w:szCs w:val="24"/>
          <w:highlight w:val="none"/>
        </w:rPr>
        <w:t xml:space="preserve">外的砌体建筑，或用钢、木、硬塑、铅等材料制作，</w:t>
      </w:r>
      <w:r>
        <w:rPr>
          <w:rFonts w:hint="eastAsia" w:ascii="方正仿宋_GB2312" w:hAnsi="方正仿宋_GB2312" w:eastAsia="方正仿宋_GB2312" w:cs="方正仿宋_GB2312"/>
          <w:color w:val="000000" w:themeColor="text1"/>
          <w:sz w:val="24"/>
          <w:szCs w:val="24"/>
          <w:highlight w:val="none"/>
          <w:lang w:eastAsia="zh-CN"/>
        </w:rPr>
        <w:t xml:space="preserve">采用其他</w:t>
      </w:r>
      <w:r>
        <w:rPr>
          <w:rFonts w:hint="eastAsia" w:ascii="方正仿宋_GB2312" w:hAnsi="方正仿宋_GB2312" w:eastAsia="方正仿宋_GB2312" w:cs="方正仿宋_GB2312"/>
          <w:color w:val="000000" w:themeColor="text1"/>
          <w:sz w:val="24"/>
          <w:szCs w:val="24"/>
          <w:highlight w:val="none"/>
        </w:rPr>
        <w:t xml:space="preserve">材料须经规划建设局批准。砌体围栏须加以粉刷，钢、木围栏要刷油漆，色彩要与环境相协调。</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第十六条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施工现场应设置</w:t>
      </w:r>
      <w:r>
        <w:rPr>
          <w:rFonts w:hint="eastAsia" w:ascii="方正仿宋_GB2312" w:hAnsi="方正仿宋_GB2312" w:eastAsia="方正仿宋_GB2312" w:cs="方正仿宋_GB2312"/>
          <w:color w:val="000000" w:themeColor="text1"/>
          <w:sz w:val="24"/>
          <w:szCs w:val="24"/>
          <w:highlight w:val="none"/>
          <w:lang w:eastAsia="zh-CN"/>
        </w:rPr>
        <w:t xml:space="preserve">两个</w:t>
      </w:r>
      <w:r>
        <w:rPr>
          <w:rFonts w:hint="eastAsia" w:ascii="方正仿宋_GB2312" w:hAnsi="方正仿宋_GB2312" w:eastAsia="方正仿宋_GB2312" w:cs="方正仿宋_GB2312"/>
          <w:color w:val="000000" w:themeColor="text1"/>
          <w:sz w:val="24"/>
          <w:szCs w:val="24"/>
          <w:highlight w:val="none"/>
        </w:rPr>
        <w:t xml:space="preserve">以下（含</w:t>
      </w:r>
      <w:r>
        <w:rPr>
          <w:rFonts w:hint="eastAsia" w:ascii="方正仿宋_GB2312" w:hAnsi="方正仿宋_GB2312" w:eastAsia="方正仿宋_GB2312" w:cs="方正仿宋_GB2312"/>
          <w:color w:val="000000" w:themeColor="text1"/>
          <w:sz w:val="24"/>
          <w:szCs w:val="24"/>
          <w:highlight w:val="none"/>
          <w:lang w:eastAsia="zh-CN"/>
        </w:rPr>
        <w:t xml:space="preserve">两个</w:t>
      </w:r>
      <w:r>
        <w:rPr>
          <w:rFonts w:hint="eastAsia" w:ascii="方正仿宋_GB2312" w:hAnsi="方正仿宋_GB2312" w:eastAsia="方正仿宋_GB2312" w:cs="方正仿宋_GB2312"/>
          <w:color w:val="000000" w:themeColor="text1"/>
          <w:sz w:val="24"/>
          <w:szCs w:val="24"/>
          <w:highlight w:val="none"/>
        </w:rPr>
        <w:t xml:space="preserve">）有专人把守的出入口，出入门处另设一便门供人员进出。</w:t>
      </w:r>
      <w:r>
        <w:rPr>
          <w:rFonts w:hint="eastAsia" w:ascii="方正仿宋_GB2312" w:hAnsi="方正仿宋_GB2312" w:eastAsia="方正仿宋_GB2312" w:cs="方正仿宋_GB2312"/>
          <w:color w:val="000000" w:themeColor="text1"/>
          <w:sz w:val="24"/>
          <w:szCs w:val="24"/>
          <w:highlight w:val="none"/>
          <w:lang w:eastAsia="zh-CN"/>
        </w:rPr>
        <w:t xml:space="preserve">出入口</w:t>
      </w:r>
      <w:r>
        <w:rPr>
          <w:rFonts w:hint="eastAsia" w:ascii="方正仿宋_GB2312" w:hAnsi="方正仿宋_GB2312" w:eastAsia="方正仿宋_GB2312" w:cs="方正仿宋_GB2312"/>
          <w:color w:val="000000" w:themeColor="text1"/>
          <w:sz w:val="24"/>
          <w:szCs w:val="24"/>
          <w:highlight w:val="none"/>
        </w:rPr>
        <w:t xml:space="preserve">大门可用钢、木、硬塑、铝等材料制作，钢、木大门要刷油漆。</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第十七条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施工现场的醒目</w:t>
      </w:r>
      <w:r>
        <w:rPr>
          <w:rFonts w:hint="eastAsia" w:ascii="方正仿宋_GB2312" w:hAnsi="方正仿宋_GB2312" w:eastAsia="方正仿宋_GB2312" w:cs="方正仿宋_GB2312"/>
          <w:color w:val="000000" w:themeColor="text1"/>
          <w:sz w:val="24"/>
          <w:szCs w:val="24"/>
          <w:highlight w:val="none"/>
          <w:lang w:eastAsia="zh-CN"/>
        </w:rPr>
        <w:t xml:space="preserve">位置</w:t>
      </w:r>
      <w:r>
        <w:rPr>
          <w:rFonts w:hint="eastAsia" w:ascii="方正仿宋_GB2312" w:hAnsi="方正仿宋_GB2312" w:eastAsia="方正仿宋_GB2312" w:cs="方正仿宋_GB2312"/>
          <w:color w:val="000000" w:themeColor="text1"/>
          <w:sz w:val="24"/>
          <w:szCs w:val="24"/>
          <w:highlight w:val="none"/>
        </w:rPr>
        <w:t xml:space="preserve">应设置一至</w:t>
      </w:r>
      <w:r>
        <w:rPr>
          <w:rFonts w:hint="eastAsia" w:ascii="方正仿宋_GB2312" w:hAnsi="方正仿宋_GB2312" w:eastAsia="方正仿宋_GB2312" w:cs="方正仿宋_GB2312"/>
          <w:color w:val="000000" w:themeColor="text1"/>
          <w:sz w:val="24"/>
          <w:szCs w:val="24"/>
          <w:highlight w:val="none"/>
          <w:lang w:eastAsia="zh-CN"/>
        </w:rPr>
        <w:t xml:space="preserve">两块</w:t>
      </w:r>
      <w:r>
        <w:rPr>
          <w:rFonts w:hint="eastAsia" w:ascii="方正仿宋_GB2312" w:hAnsi="方正仿宋_GB2312" w:eastAsia="方正仿宋_GB2312" w:cs="方正仿宋_GB2312"/>
          <w:color w:val="000000" w:themeColor="text1"/>
          <w:sz w:val="24"/>
          <w:szCs w:val="24"/>
          <w:highlight w:val="none"/>
        </w:rPr>
        <w:t xml:space="preserve">标志牌，尺寸为3x2米（宽x高），采用钢或铝合金</w:t>
      </w:r>
      <w:r>
        <w:rPr>
          <w:rFonts w:hint="eastAsia" w:ascii="方正仿宋_GB2312" w:hAnsi="方正仿宋_GB2312" w:eastAsia="方正仿宋_GB2312" w:cs="方正仿宋_GB2312"/>
          <w:color w:val="000000" w:themeColor="text1"/>
          <w:sz w:val="24"/>
          <w:szCs w:val="24"/>
          <w:highlight w:val="none"/>
          <w:lang w:eastAsia="zh-CN"/>
        </w:rPr>
        <w:t xml:space="preserve">制作</w:t>
      </w:r>
      <w:r>
        <w:rPr>
          <w:rFonts w:hint="eastAsia" w:ascii="方正仿宋_GB2312" w:hAnsi="方正仿宋_GB2312" w:eastAsia="方正仿宋_GB2312" w:cs="方正仿宋_GB2312"/>
          <w:color w:val="000000" w:themeColor="text1"/>
          <w:sz w:val="24"/>
          <w:szCs w:val="24"/>
          <w:highlight w:val="none"/>
        </w:rPr>
        <w:t xml:space="preserve">两根钢管支撑。标志牌上应载明工程项目名称、建设单位、设计单位、监理单位、项目负责人和施工现场总代表人姓名、开、竣工日期、建设工程规划许可证文号等内容，施工单位应负责标志牌的养护。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第十八条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建设工程施工现场，应保持排水系统状态良好，场地排水畅通，地面无积水。</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第十九条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施工现场各分区采用道路分隔，道路宽不小于4米，路面必须硬化，采用碎石路面或更高等级路面，道路横坡合理，路面无积水。</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第二十条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每个施工现场，必须设置至少一个洗车台，洗车台可设在出入口处，凡是从施工现场行驶到公共道路上的车辆，必须保持整洁，车辆上的泥土必须在洗车台冲洗干净，严禁将泥土带上公共道路。</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第二十一条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现场必须设置足够的办公室，室内要有水、电供应，配备电话和卫生设施，办公室地坪应用水泥地坪，墙体用各种砌体砌筑，或用钢、砼板等材料制作，每层高度不得低于2.8米，砌筑的内外墙面均应粉刷，屋面材料可采用钢、玻璃钢、屋面瓦等，办公室应有足够面积的门、窗，以利采光和通风。有条件的单位可采用各种活动房。</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第二十二条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施工人员在施工现场的宿舍可参照第二十一条办公室的要求建造。宿舍要配备浴室和厕所。</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第二十三条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施工现场的建筑材料和施工设备的放置，不得侵占场内道路，不得堵塞排水系统。</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第二十四条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现场的用电线路、用电设施的安装和使用，必须符合安全规范和安全操作规程，并按照施工组织设计进行架设，严禁任意拉线接电。施工现场必须设有保证施工安全要求的夜间照明、危险潮湿场所的照明以及手持照明灯具，必须采用符合安全要求的电压。</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第二十五条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单位必须执行国家有关安全生产和劳动保护的法规，建立安全生产责任制，加强规范化管理、安全交底、安全教育和安全宣传，严格执行安全技术方案。进入施工现场的任何人，均必须戴安全帽。建筑施工脚手架要用钢管按规定搭设，高空作业时要有安全网加以保护。</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第二十六条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单位应严格按照《中华人民共和国消防条例》在施工现场执行和建立防火管理制度，设置符合消防要求的消防设施，并保持完好的备用状态。在容易发生火灾的地区和储存、使用易燃易爆器材时，施工单位应当采取特殊的消防安全措施，特别是施工人员的宿舍位置应严格按消防规定布置，做到伙房外无明火，严禁使用电炉等易引起火灾的用电器具。</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第二十七条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施工单位</w:t>
      </w:r>
      <w:r>
        <w:rPr>
          <w:rFonts w:hint="eastAsia" w:ascii="方正仿宋_GB2312" w:hAnsi="方正仿宋_GB2312" w:eastAsia="方正仿宋_GB2312" w:cs="方正仿宋_GB2312"/>
          <w:color w:val="000000" w:themeColor="text1"/>
          <w:sz w:val="24"/>
          <w:szCs w:val="24"/>
          <w:highlight w:val="none"/>
          <w:lang w:eastAsia="zh-CN"/>
        </w:rPr>
        <w:t xml:space="preserve">应当</w:t>
      </w:r>
      <w:r>
        <w:rPr>
          <w:rFonts w:hint="eastAsia" w:ascii="方正仿宋_GB2312" w:hAnsi="方正仿宋_GB2312" w:eastAsia="方正仿宋_GB2312" w:cs="方正仿宋_GB2312"/>
          <w:color w:val="000000" w:themeColor="text1"/>
          <w:sz w:val="24"/>
          <w:szCs w:val="24"/>
          <w:highlight w:val="none"/>
        </w:rPr>
        <w:t xml:space="preserve">加强施工现场的治安保卫工作。同时严禁雇佣童工以及各种违法犯罪、</w:t>
      </w:r>
      <w:r>
        <w:rPr>
          <w:rFonts w:hint="eastAsia" w:ascii="方正仿宋_GB2312" w:hAnsi="方正仿宋_GB2312" w:eastAsia="方正仿宋_GB2312" w:cs="方正仿宋_GB2312"/>
          <w:color w:val="000000" w:themeColor="text1"/>
          <w:sz w:val="24"/>
          <w:szCs w:val="24"/>
          <w:highlight w:val="none"/>
          <w:lang w:eastAsia="zh-CN"/>
        </w:rPr>
        <w:t xml:space="preserve">流窜</w:t>
      </w:r>
      <w:r>
        <w:rPr>
          <w:rFonts w:hint="eastAsia" w:ascii="方正仿宋_GB2312" w:hAnsi="方正仿宋_GB2312" w:eastAsia="方正仿宋_GB2312" w:cs="方正仿宋_GB2312"/>
          <w:color w:val="000000" w:themeColor="text1"/>
          <w:sz w:val="24"/>
          <w:szCs w:val="24"/>
          <w:highlight w:val="none"/>
        </w:rPr>
        <w:t xml:space="preserve">分子。</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第二十八条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施工现场发生的工程建设重大事故的处理，依照建设部《工程建设重大事故报告和调查程序规定》执行。</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2"/>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第四章</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  </w:t>
      </w:r>
      <w:r>
        <w:rPr>
          <w:rFonts w:hint="eastAsia" w:ascii="方正仿宋_GB2312" w:hAnsi="方正仿宋_GB2312" w:eastAsia="方正仿宋_GB2312" w:cs="方正仿宋_GB2312"/>
          <w:b/>
          <w:bCs/>
          <w:color w:val="000000" w:themeColor="text1"/>
          <w:sz w:val="24"/>
          <w:szCs w:val="24"/>
          <w:highlight w:val="none"/>
        </w:rPr>
        <w:t xml:space="preserve">环境管理及市政设施和绿化设施保护措施</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第二十九条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施工单位</w:t>
      </w:r>
      <w:r>
        <w:rPr>
          <w:rFonts w:hint="eastAsia" w:ascii="方正仿宋_GB2312" w:hAnsi="方正仿宋_GB2312" w:eastAsia="方正仿宋_GB2312" w:cs="方正仿宋_GB2312"/>
          <w:color w:val="000000" w:themeColor="text1"/>
          <w:sz w:val="24"/>
          <w:szCs w:val="24"/>
          <w:highlight w:val="none"/>
          <w:lang w:eastAsia="zh-CN"/>
        </w:rPr>
        <w:t xml:space="preserve">应当</w:t>
      </w:r>
      <w:r>
        <w:rPr>
          <w:rFonts w:hint="eastAsia" w:ascii="方正仿宋_GB2312" w:hAnsi="方正仿宋_GB2312" w:eastAsia="方正仿宋_GB2312" w:cs="方正仿宋_GB2312"/>
          <w:color w:val="000000" w:themeColor="text1"/>
          <w:sz w:val="24"/>
          <w:szCs w:val="24"/>
          <w:highlight w:val="none"/>
        </w:rPr>
        <w:t xml:space="preserve">遵守国家有关环境保护的法律规定，采取措施控制施工现场的各种粉尘、废气、废水、固体废弃物以及</w:t>
      </w:r>
      <w:r>
        <w:rPr>
          <w:rFonts w:hint="eastAsia" w:ascii="方正仿宋_GB2312" w:hAnsi="方正仿宋_GB2312" w:eastAsia="方正仿宋_GB2312" w:cs="方正仿宋_GB2312"/>
          <w:color w:val="000000" w:themeColor="text1"/>
          <w:sz w:val="24"/>
          <w:szCs w:val="24"/>
          <w:highlight w:val="none"/>
          <w:lang w:eastAsia="zh-CN"/>
        </w:rPr>
        <w:t xml:space="preserve">噪声</w:t>
      </w:r>
      <w:r>
        <w:rPr>
          <w:rFonts w:hint="eastAsia" w:ascii="方正仿宋_GB2312" w:hAnsi="方正仿宋_GB2312" w:eastAsia="方正仿宋_GB2312" w:cs="方正仿宋_GB2312"/>
          <w:color w:val="000000" w:themeColor="text1"/>
          <w:sz w:val="24"/>
          <w:szCs w:val="24"/>
          <w:highlight w:val="none"/>
        </w:rPr>
        <w:t xml:space="preserve">、振动对环境的污染和危害。</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第三十条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施工单位应当采取下列防止环境污染的措施：</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（一）妥善处理泥浆水，未经处理不得排入城市排水设施和河道；</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（二）除设有符合规定的装置外，不得在施工现场熔融沥青或焚烧油毡、油漆以及</w:t>
      </w:r>
      <w:r>
        <w:rPr>
          <w:rFonts w:hint="eastAsia" w:ascii="方正仿宋_GB2312" w:hAnsi="方正仿宋_GB2312" w:eastAsia="方正仿宋_GB2312" w:cs="方正仿宋_GB2312"/>
          <w:color w:val="000000" w:themeColor="text1"/>
          <w:sz w:val="24"/>
          <w:szCs w:val="24"/>
          <w:highlight w:val="none"/>
          <w:lang w:eastAsia="zh-CN"/>
        </w:rPr>
        <w:t xml:space="preserve">其他会</w:t>
      </w:r>
      <w:r>
        <w:rPr>
          <w:rFonts w:hint="eastAsia" w:ascii="方正仿宋_GB2312" w:hAnsi="方正仿宋_GB2312" w:eastAsia="方正仿宋_GB2312" w:cs="方正仿宋_GB2312"/>
          <w:color w:val="000000" w:themeColor="text1"/>
          <w:sz w:val="24"/>
          <w:szCs w:val="24"/>
          <w:highlight w:val="none"/>
        </w:rPr>
        <w:t xml:space="preserve">产生有毒有害烟尘和恶臭气体的物质；</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（三）禁止将有毒有害废弃物作土方回填；</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（四）对产生噪声、振动的施工机械，应采取有效的控制措施，减轻噪声扰民。</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第三十一条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施工单位在施工现场所产生的各种固体废弃物，不得随意倾倒在施工现场、空地、排水系统及河道或道路上。施工中产生的建筑垃圾，应设专门场地堆放，并及时运到指定地点倾倒。施工单位还必须在施工现场</w:t>
      </w:r>
      <w:r>
        <w:rPr>
          <w:rFonts w:hint="eastAsia" w:ascii="方正仿宋_GB2312" w:hAnsi="方正仿宋_GB2312" w:eastAsia="方正仿宋_GB2312" w:cs="方正仿宋_GB2312"/>
          <w:color w:val="000000" w:themeColor="text1"/>
          <w:sz w:val="24"/>
          <w:szCs w:val="24"/>
          <w:highlight w:val="none"/>
          <w:lang w:eastAsia="zh-CN"/>
        </w:rPr>
        <w:t xml:space="preserve">设置</w:t>
      </w:r>
      <w:r>
        <w:rPr>
          <w:rFonts w:hint="eastAsia" w:ascii="方正仿宋_GB2312" w:hAnsi="方正仿宋_GB2312" w:eastAsia="方正仿宋_GB2312" w:cs="方正仿宋_GB2312"/>
          <w:color w:val="000000" w:themeColor="text1"/>
          <w:sz w:val="24"/>
          <w:szCs w:val="24"/>
          <w:highlight w:val="none"/>
        </w:rPr>
        <w:t xml:space="preserve">垃圾箱，暂时存放生活垃圾，定期交园区环卫部门收集后集中处理。</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第三十二条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施工现场的生活污水应接入公共污水管网。当施工现场远离污水管网，生活污水无法接入时，应设置相应规模的化粪池，将生活污水经化粪池处理后接入雨水管网或附近河道内。</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第三十三条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施工现场必须设置水冲式厕所不得使用</w:t>
      </w:r>
      <w:r>
        <w:rPr>
          <w:rFonts w:hint="eastAsia" w:ascii="方正仿宋_GB2312" w:hAnsi="方正仿宋_GB2312" w:eastAsia="方正仿宋_GB2312" w:cs="方正仿宋_GB2312"/>
          <w:color w:val="000000" w:themeColor="text1"/>
          <w:sz w:val="24"/>
          <w:szCs w:val="24"/>
          <w:highlight w:val="none"/>
          <w:lang w:eastAsia="zh-CN"/>
        </w:rPr>
        <w:t xml:space="preserve">旱</w:t>
      </w:r>
      <w:r>
        <w:rPr>
          <w:rFonts w:hint="eastAsia" w:ascii="方正仿宋_GB2312" w:hAnsi="方正仿宋_GB2312" w:eastAsia="方正仿宋_GB2312" w:cs="方正仿宋_GB2312"/>
          <w:color w:val="000000" w:themeColor="text1"/>
          <w:sz w:val="24"/>
          <w:szCs w:val="24"/>
          <w:highlight w:val="none"/>
        </w:rPr>
        <w:t xml:space="preserve">厕。厕所应经常清扫，夏秋季节要做好消杀灭害工作。</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第三十四条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施工运输车辆在公共道路上行驶时，必须保持车厢完好，严禁发生抛、洒、滴、漏现象。装运泥土和砂、石材料的车辆，</w:t>
      </w:r>
      <w:r>
        <w:rPr>
          <w:rFonts w:hint="eastAsia" w:ascii="方正仿宋_GB2312" w:hAnsi="方正仿宋_GB2312" w:eastAsia="方正仿宋_GB2312" w:cs="方正仿宋_GB2312"/>
          <w:color w:val="000000" w:themeColor="text1"/>
          <w:sz w:val="24"/>
          <w:szCs w:val="24"/>
          <w:highlight w:val="none"/>
          <w:lang w:eastAsia="zh-CN"/>
        </w:rPr>
        <w:t xml:space="preserve">车厢</w:t>
      </w:r>
      <w:r>
        <w:rPr>
          <w:rFonts w:hint="eastAsia" w:ascii="方正仿宋_GB2312" w:hAnsi="方正仿宋_GB2312" w:eastAsia="方正仿宋_GB2312" w:cs="方正仿宋_GB2312"/>
          <w:color w:val="000000" w:themeColor="text1"/>
          <w:sz w:val="24"/>
          <w:szCs w:val="24"/>
          <w:highlight w:val="none"/>
        </w:rPr>
        <w:t xml:space="preserve">必须用油布覆盖，以防止洒落。</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第三十五条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任何施工单位未经苏宿园区主管部门的同意不得擅自破坏园区内的绿化设施和景观工程，违者将受到相应的处罚。如有需要必须提前做好申请工作及施工后的原貌恢复工作。确实需要改变绿化（或绿地）及景观工程用地性质的，需征得园区主管部门的同意后方可进行。同时在正式施</w:t>
      </w:r>
      <w:r>
        <w:rPr>
          <w:rFonts w:hint="eastAsia" w:ascii="方正仿宋_GB2312" w:hAnsi="方正仿宋_GB2312" w:eastAsia="方正仿宋_GB2312" w:cs="方正仿宋_GB2312"/>
          <w:color w:val="000000" w:themeColor="text1"/>
          <w:sz w:val="24"/>
          <w:szCs w:val="24"/>
          <w:highlight w:val="none"/>
          <w:lang w:eastAsia="zh-CN"/>
        </w:rPr>
        <w:t xml:space="preserve">工中</w:t>
      </w:r>
      <w:r>
        <w:rPr>
          <w:rFonts w:hint="eastAsia" w:ascii="方正仿宋_GB2312" w:hAnsi="方正仿宋_GB2312" w:eastAsia="方正仿宋_GB2312" w:cs="方正仿宋_GB2312"/>
          <w:color w:val="000000" w:themeColor="text1"/>
          <w:sz w:val="24"/>
          <w:szCs w:val="24"/>
          <w:highlight w:val="none"/>
        </w:rPr>
        <w:t xml:space="preserve">要做好周边绿化设施和景观工程的保护工作，不得破坏。</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2"/>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第五章</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  </w:t>
      </w:r>
      <w:r>
        <w:rPr>
          <w:rFonts w:hint="eastAsia" w:ascii="方正仿宋_GB2312" w:hAnsi="方正仿宋_GB2312" w:eastAsia="方正仿宋_GB2312" w:cs="方正仿宋_GB2312"/>
          <w:b/>
          <w:bCs/>
          <w:color w:val="000000" w:themeColor="text1"/>
          <w:sz w:val="24"/>
          <w:szCs w:val="24"/>
          <w:highlight w:val="none"/>
        </w:rPr>
        <w:t xml:space="preserve">罚则</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第三十六条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违反本责任状的行为，将由园区规划建设局和公安部门依照《宿迁市市政工程设施管理办法</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宿迁市人民警察巡察规定》和《宿迁市城市市容和环境卫生管理办法》，根据情节轻重给予警告、通报批评、责令限期改正、责令停工</w:t>
      </w:r>
      <w:r>
        <w:rPr>
          <w:rFonts w:hint="eastAsia" w:ascii="方正仿宋_GB2312" w:hAnsi="方正仿宋_GB2312" w:eastAsia="方正仿宋_GB2312" w:cs="方正仿宋_GB2312"/>
          <w:color w:val="000000" w:themeColor="text1"/>
          <w:sz w:val="24"/>
          <w:szCs w:val="24"/>
          <w:highlight w:val="none"/>
          <w:lang w:eastAsia="zh-CN"/>
        </w:rPr>
        <w:t xml:space="preserve">整改</w:t>
      </w:r>
      <w:r>
        <w:rPr>
          <w:rFonts w:hint="eastAsia" w:ascii="方正仿宋_GB2312" w:hAnsi="方正仿宋_GB2312" w:eastAsia="方正仿宋_GB2312" w:cs="方正仿宋_GB2312"/>
          <w:color w:val="000000" w:themeColor="text1"/>
          <w:sz w:val="24"/>
          <w:szCs w:val="24"/>
          <w:highlight w:val="none"/>
        </w:rPr>
        <w:t xml:space="preserve">、吊销《施工许可证》（或《临时施工许可证》），并处以罚款。具体办法是：每发现一次，处以1000元人民币的罚款，并要求承包人立即整改；对不及时整改，监理工程师将以工程师通知单的书面形式要求承包人整改并处2000元人民币的罚款。</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第三十七条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违反本责任状，构成治安管理处罚的行为，由公安机关依照《中华人民共和国治安管理处罚条例》处罚，构成犯罪的，由司法机关依法追究其刑事责任。当事人对行政处罚不服的，可以在接到处罚通知之日起十五日内，向作出处罚决定的上一级机关申请复议，对复议决定不服的可以在接到复议决定之日起十五日内向人民法院起诉；也可直接向人民法院起诉。逾期不申请复议，也不向人民法院起诉，又不履行处罚决定的，由作出处罚决定的机关申请人民法院强制执行。对治安管理处罚不服的依照《中华人民共和国治安处罚条例》的规定处理。</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2"/>
        <w:spacing w:line="276"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第六章</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  </w:t>
      </w:r>
      <w:r>
        <w:rPr>
          <w:rFonts w:hint="eastAsia" w:ascii="方正仿宋_GB2312" w:hAnsi="方正仿宋_GB2312" w:eastAsia="方正仿宋_GB2312" w:cs="方正仿宋_GB2312"/>
          <w:b/>
          <w:bCs/>
          <w:color w:val="000000" w:themeColor="text1"/>
          <w:sz w:val="24"/>
          <w:szCs w:val="24"/>
          <w:highlight w:val="none"/>
        </w:rPr>
        <w:t xml:space="preserve">附则</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tabs>
          <w:tab w:val="left" w:pos="900" w:leader="none"/>
        </w:tabs>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第三十八条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本责任状由园区规划建设局负责解释。</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tabs>
          <w:tab w:val="left" w:pos="900" w:leader="none"/>
        </w:tabs>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第三十九条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园区十三平方公里规划区以外的其他地区，可参照本责任状执行。</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tabs>
          <w:tab w:val="left" w:pos="900" w:leader="none"/>
        </w:tabs>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第四十条</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本实施责任状自</w:t>
      </w:r>
      <w:r>
        <w:rPr>
          <w:rFonts w:hint="eastAsia" w:ascii="方正仿宋_GB2312" w:hAnsi="方正仿宋_GB2312" w:eastAsia="方正仿宋_GB2312" w:cs="方正仿宋_GB2312"/>
          <w:color w:val="000000" w:themeColor="text1"/>
          <w:sz w:val="24"/>
          <w:szCs w:val="24"/>
          <w:highlight w:val="none"/>
          <w:lang w:eastAsia="zh-CN"/>
        </w:rPr>
        <w:t xml:space="preserve">签订</w:t>
      </w:r>
      <w:r>
        <w:rPr>
          <w:rFonts w:hint="eastAsia" w:ascii="方正仿宋_GB2312" w:hAnsi="方正仿宋_GB2312" w:eastAsia="方正仿宋_GB2312" w:cs="方正仿宋_GB2312"/>
          <w:color w:val="000000" w:themeColor="text1"/>
          <w:sz w:val="24"/>
          <w:szCs w:val="24"/>
          <w:highlight w:val="none"/>
        </w:rPr>
        <w:t xml:space="preserve">之日起执行。</w:t>
      </w:r>
      <w:r>
        <w:rPr>
          <w:rFonts w:hint="eastAsia" w:ascii="方正仿宋_GB2312" w:hAnsi="方正仿宋_GB2312" w:eastAsia="方正仿宋_GB2312" w:cs="方正仿宋_GB2312"/>
          <w:b/>
          <w:color w:val="000000" w:themeColor="text1"/>
          <w:sz w:val="24"/>
          <w:szCs w:val="24"/>
          <w:highlight w:val="none"/>
        </w:rPr>
      </w:r>
      <w:r>
        <w:rPr>
          <w:color w:val="000000" w:themeColor="text1"/>
        </w:rPr>
      </w:r>
    </w:p>
    <w:p>
      <w:pPr>
        <w:pStyle w:val="799"/>
        <w:ind w:firstLine="490"/>
        <w:spacing w:line="276" w:lineRule="auto"/>
        <w:rPr>
          <w:rFonts w:hint="eastAsia" w:ascii="方正仿宋_GB2312" w:hAnsi="方正仿宋_GB2312" w:eastAsia="方正仿宋_GB2312" w:cs="方正仿宋_GB2312"/>
          <w:b/>
          <w:bCs/>
          <w:color w:val="000000" w:themeColor="text1"/>
          <w:spacing w:val="2"/>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rPr>
      </w:r>
      <w:r>
        <w:rPr>
          <w:color w:val="000000" w:themeColor="text1"/>
        </w:rPr>
      </w:r>
    </w:p>
    <w:p>
      <w:pPr>
        <w:pStyle w:val="799"/>
        <w:ind w:firstLine="490"/>
        <w:spacing w:line="276" w:lineRule="auto"/>
        <w:rPr>
          <w:rFonts w:hint="eastAsia" w:ascii="方正仿宋_GB2312" w:hAnsi="方正仿宋_GB2312" w:eastAsia="方正仿宋_GB2312" w:cs="方正仿宋_GB2312"/>
          <w:b/>
          <w:bCs/>
          <w:color w:val="000000" w:themeColor="text1"/>
          <w:spacing w:val="2"/>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rPr>
        <w:t xml:space="preserve">甲方</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                           乙方</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r>
      <w:r>
        <w:rPr>
          <w:color w:val="000000" w:themeColor="text1"/>
        </w:rPr>
      </w:r>
    </w:p>
    <w:p>
      <w:pPr>
        <w:pStyle w:val="799"/>
        <w:ind w:firstLine="490"/>
        <w:spacing w:line="276" w:lineRule="auto"/>
        <w:rPr>
          <w:rFonts w:hint="eastAsia" w:ascii="方正仿宋_GB2312" w:hAnsi="方正仿宋_GB2312" w:eastAsia="方正仿宋_GB2312" w:cs="方正仿宋_GB2312"/>
          <w:b/>
          <w:bCs/>
          <w:color w:val="000000" w:themeColor="text1"/>
          <w:spacing w:val="2"/>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rPr>
        <w:t xml:space="preserve">法定代表人或其委托代理人               法定代表人或其委托代理人</w:t>
      </w:r>
      <w:r>
        <w:rPr>
          <w:rFonts w:hint="eastAsia" w:ascii="方正仿宋_GB2312" w:hAnsi="方正仿宋_GB2312" w:eastAsia="方正仿宋_GB2312" w:cs="方正仿宋_GB2312"/>
          <w:b/>
          <w:bCs/>
          <w:color w:val="000000" w:themeColor="text1"/>
          <w:spacing w:val="2"/>
          <w:sz w:val="24"/>
          <w:szCs w:val="24"/>
          <w:highlight w:val="none"/>
        </w:rPr>
      </w:r>
      <w:r>
        <w:rPr>
          <w:color w:val="000000" w:themeColor="text1"/>
        </w:rPr>
      </w:r>
    </w:p>
    <w:p>
      <w:pPr>
        <w:pStyle w:val="799"/>
        <w:ind w:firstLine="490"/>
        <w:jc w:val="left"/>
        <w:spacing w:before="120" w:after="120"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签字或盖章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                         </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签字或盖章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spacing w:line="276" w:lineRule="auto"/>
        <w:tabs>
          <w:tab w:val="left" w:pos="900" w:leader="none"/>
        </w:tabs>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jc w:val="center"/>
        <w:spacing w:before="120" w:after="120"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rPr>
        <w:br w:type="page" w:clear="all"/>
      </w:r>
      <w:r>
        <w:rPr>
          <w:rFonts w:hint="eastAsia" w:ascii="方正仿宋_GB2312" w:hAnsi="方正仿宋_GB2312" w:eastAsia="方正仿宋_GB2312" w:cs="方正仿宋_GB2312"/>
          <w:b/>
          <w:bCs/>
          <w:color w:val="000000" w:themeColor="text1"/>
          <w:sz w:val="28"/>
          <w:szCs w:val="28"/>
          <w:highlight w:val="none"/>
        </w:rPr>
        <w:t xml:space="preserve">《建设工程廉政合同》</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rPr>
        <w:t xml:space="preserve">发包方（以下简称甲方）</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苏州宿迁工业园区规划建设与城市管理局</w:t>
      </w:r>
      <w:r>
        <w:rPr>
          <w:rFonts w:hint="eastAsia" w:ascii="方正仿宋_GB2312" w:hAnsi="方正仿宋_GB2312" w:eastAsia="方正仿宋_GB2312" w:cs="方正仿宋_GB2312"/>
          <w:color w:val="000000" w:themeColor="text1"/>
          <w:sz w:val="24"/>
          <w:szCs w:val="24"/>
          <w:highlight w:val="none"/>
          <w:u w:val="single"/>
          <w:lang w:eastAsia="zh-CN"/>
        </w:rPr>
      </w:r>
      <w:r>
        <w:rPr>
          <w:color w:val="000000" w:themeColor="text1"/>
        </w:rPr>
      </w:r>
    </w:p>
    <w:p>
      <w:pPr>
        <w:pStyle w:val="799"/>
        <w:ind w:firstLine="480"/>
        <w:spacing w:line="276" w:lineRule="auto"/>
        <w:rPr>
          <w:rFonts w:ascii="方正仿宋_GB2312" w:hAnsi="方正仿宋_GB2312" w:eastAsia="方正仿宋_GB2312" w:cs="方正仿宋_GB2312"/>
          <w:b/>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rPr>
        <w:t xml:space="preserve">承包方（以下简称乙方）</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                          </w:t>
      </w:r>
      <w:r>
        <w:rPr>
          <w:rFonts w:ascii="方正仿宋_GB2312" w:hAnsi="方正仿宋_GB2312" w:eastAsia="方正仿宋_GB2312" w:cs="方正仿宋_GB2312"/>
          <w:b/>
          <w:color w:val="000000" w:themeColor="text1"/>
          <w:sz w:val="24"/>
          <w:szCs w:val="24"/>
          <w:highlight w:val="none"/>
          <w:u w:val="single"/>
          <w:lang w:val="en-US" w:eastAsia="zh-CN"/>
        </w:rPr>
      </w:r>
      <w:r>
        <w:rPr>
          <w:color w:val="000000" w:themeColor="text1"/>
        </w:rPr>
      </w:r>
    </w:p>
    <w:p>
      <w:pPr>
        <w:pStyle w:val="799"/>
        <w:ind w:firstLine="480"/>
        <w:spacing w:line="276"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为加强工程建设中的廉政建设</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保证工程建设高效优质完成</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保证建设资金的安全和有效使用</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预防和减少工程建设中的经济犯罪，共同</w:t>
      </w:r>
      <w:r>
        <w:rPr>
          <w:rFonts w:hint="eastAsia" w:ascii="方正仿宋_GB2312" w:hAnsi="方正仿宋_GB2312" w:eastAsia="方正仿宋_GB2312" w:cs="方正仿宋_GB2312"/>
          <w:color w:val="000000" w:themeColor="text1"/>
          <w:sz w:val="24"/>
          <w:szCs w:val="24"/>
          <w:highlight w:val="none"/>
          <w:lang w:eastAsia="zh-CN"/>
        </w:rPr>
        <w:t xml:space="preserve">维护</w:t>
      </w:r>
      <w:r>
        <w:rPr>
          <w:rFonts w:hint="eastAsia" w:ascii="方正仿宋_GB2312" w:hAnsi="方正仿宋_GB2312" w:eastAsia="方正仿宋_GB2312" w:cs="方正仿宋_GB2312"/>
          <w:color w:val="000000" w:themeColor="text1"/>
          <w:sz w:val="24"/>
          <w:szCs w:val="24"/>
          <w:highlight w:val="none"/>
        </w:rPr>
        <w:t xml:space="preserve">建筑市场的秩序，确保工程质量。经甲、乙双方协商，现就建设，特订立如下合同：</w:t>
      </w:r>
      <w:r>
        <w:rPr>
          <w:rFonts w:hint="eastAsia" w:ascii="方正仿宋_GB2312" w:hAnsi="方正仿宋_GB2312" w:eastAsia="方正仿宋_GB2312" w:cs="方正仿宋_GB2312"/>
          <w:b/>
          <w:color w:val="000000" w:themeColor="text1"/>
          <w:sz w:val="24"/>
          <w:szCs w:val="24"/>
          <w:highlight w:val="none"/>
        </w:rPr>
      </w:r>
      <w:r>
        <w:rPr>
          <w:color w:val="000000" w:themeColor="text1"/>
        </w:rPr>
      </w:r>
    </w:p>
    <w:p>
      <w:pPr>
        <w:pStyle w:val="799"/>
        <w:ind w:firstLine="482"/>
        <w:spacing w:line="276"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rPr>
        <w:t xml:space="preserve">第一条</w:t>
      </w:r>
      <w:r>
        <w:rPr>
          <w:rFonts w:hint="eastAsia" w:ascii="方正仿宋_GB2312" w:hAnsi="方正仿宋_GB2312" w:eastAsia="方正仿宋_GB2312" w:cs="方正仿宋_GB2312"/>
          <w:b/>
          <w:color w:val="000000" w:themeColor="text1"/>
          <w:sz w:val="24"/>
          <w:szCs w:val="24"/>
          <w:highlight w:val="none"/>
          <w:lang w:val="en-US" w:eastAsia="zh-CN"/>
        </w:rPr>
        <w:t xml:space="preserve"> </w:t>
      </w:r>
      <w:r>
        <w:rPr>
          <w:rFonts w:hint="eastAsia" w:ascii="方正仿宋_GB2312" w:hAnsi="方正仿宋_GB2312" w:eastAsia="方正仿宋_GB2312" w:cs="方正仿宋_GB2312"/>
          <w:b/>
          <w:color w:val="000000" w:themeColor="text1"/>
          <w:sz w:val="24"/>
          <w:szCs w:val="24"/>
          <w:highlight w:val="none"/>
        </w:rPr>
        <w:t xml:space="preserve">甲乙双方的权利和义务</w:t>
      </w:r>
      <w:r>
        <w:rPr>
          <w:rFonts w:hint="eastAsia" w:ascii="方正仿宋_GB2312" w:hAnsi="方正仿宋_GB2312" w:eastAsia="方正仿宋_GB2312" w:cs="方正仿宋_GB2312"/>
          <w:b/>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（一）</w:t>
      </w:r>
      <w:r>
        <w:rPr>
          <w:rFonts w:hint="eastAsia" w:ascii="方正仿宋_GB2312" w:hAnsi="方正仿宋_GB2312" w:eastAsia="方正仿宋_GB2312" w:cs="方正仿宋_GB2312"/>
          <w:color w:val="000000" w:themeColor="text1"/>
          <w:sz w:val="24"/>
          <w:szCs w:val="24"/>
          <w:highlight w:val="none"/>
        </w:rPr>
        <w:t xml:space="preserve">严格遵守党和国家有关法律法规及建筑</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交通</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水利</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电力</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邮电等部门的有关规定。</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（二）</w:t>
      </w:r>
      <w:r>
        <w:rPr>
          <w:rFonts w:hint="eastAsia" w:ascii="方正仿宋_GB2312" w:hAnsi="方正仿宋_GB2312" w:eastAsia="方正仿宋_GB2312" w:cs="方正仿宋_GB2312"/>
          <w:color w:val="000000" w:themeColor="text1"/>
          <w:sz w:val="24"/>
          <w:szCs w:val="24"/>
          <w:highlight w:val="none"/>
        </w:rPr>
        <w:t xml:space="preserve">严格执行工程的合同文件</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自觉按合同办事。</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双方的业务活动坚持公开</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公平</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公正</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诚信</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透明的原则</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除法律认定的商业秘密和合同文件另有规定之外</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不得损害国家和集体利益</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违反工程建设管理规定。</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（四）</w:t>
      </w:r>
      <w:r>
        <w:rPr>
          <w:rFonts w:hint="eastAsia" w:ascii="方正仿宋_GB2312" w:hAnsi="方正仿宋_GB2312" w:eastAsia="方正仿宋_GB2312" w:cs="方正仿宋_GB2312"/>
          <w:color w:val="000000" w:themeColor="text1"/>
          <w:sz w:val="24"/>
          <w:szCs w:val="24"/>
          <w:highlight w:val="none"/>
        </w:rPr>
        <w:t xml:space="preserve">建立健全廉政制度</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监督制度和处罚制度</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开展廉政教育</w:t>
      </w:r>
      <w:r>
        <w:rPr>
          <w:rFonts w:hint="eastAsia" w:ascii="方正仿宋_GB2312" w:hAnsi="方正仿宋_GB2312" w:eastAsia="方正仿宋_GB2312" w:cs="方正仿宋_GB2312"/>
          <w:color w:val="000000" w:themeColor="text1"/>
          <w:sz w:val="24"/>
          <w:szCs w:val="24"/>
          <w:highlight w:val="none"/>
          <w:lang w:eastAsia="zh-CN"/>
        </w:rPr>
        <w:t xml:space="preserve">，竖立</w:t>
      </w:r>
      <w:r>
        <w:rPr>
          <w:rFonts w:hint="eastAsia" w:ascii="方正仿宋_GB2312" w:hAnsi="方正仿宋_GB2312" w:eastAsia="方正仿宋_GB2312" w:cs="方正仿宋_GB2312"/>
          <w:color w:val="000000" w:themeColor="text1"/>
          <w:sz w:val="24"/>
          <w:szCs w:val="24"/>
          <w:highlight w:val="none"/>
        </w:rPr>
        <w:t xml:space="preserve">廉政告示牌</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公布举报电话。</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（五）</w:t>
      </w:r>
      <w:r>
        <w:rPr>
          <w:rFonts w:hint="eastAsia" w:ascii="方正仿宋_GB2312" w:hAnsi="方正仿宋_GB2312" w:eastAsia="方正仿宋_GB2312" w:cs="方正仿宋_GB2312"/>
          <w:color w:val="000000" w:themeColor="text1"/>
          <w:sz w:val="24"/>
          <w:szCs w:val="24"/>
          <w:highlight w:val="none"/>
        </w:rPr>
        <w:t xml:space="preserve">发现对方在业务活动中有违反廉政规定的行为</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有及时提醒对方纠正的权利和义务。</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（六）</w:t>
      </w:r>
      <w:r>
        <w:rPr>
          <w:rFonts w:hint="eastAsia" w:ascii="方正仿宋_GB2312" w:hAnsi="方正仿宋_GB2312" w:eastAsia="方正仿宋_GB2312" w:cs="方正仿宋_GB2312"/>
          <w:color w:val="000000" w:themeColor="text1"/>
          <w:sz w:val="24"/>
          <w:szCs w:val="24"/>
          <w:highlight w:val="none"/>
        </w:rPr>
        <w:t xml:space="preserve">发现对方严重违反本合同义务条款的行为</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有向其上级有关部门举报</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建议给予处理并要求告知处理结果的权利。</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2"/>
        <w:spacing w:line="276"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rPr>
        <w:t xml:space="preserve">第二条</w:t>
      </w:r>
      <w:r>
        <w:rPr>
          <w:rFonts w:hint="eastAsia" w:ascii="方正仿宋_GB2312" w:hAnsi="方正仿宋_GB2312" w:eastAsia="方正仿宋_GB2312" w:cs="方正仿宋_GB2312"/>
          <w:b/>
          <w:color w:val="000000" w:themeColor="text1"/>
          <w:sz w:val="24"/>
          <w:szCs w:val="24"/>
          <w:highlight w:val="none"/>
          <w:lang w:val="en-US" w:eastAsia="zh-CN"/>
        </w:rPr>
        <w:t xml:space="preserve"> </w:t>
      </w:r>
      <w:r>
        <w:rPr>
          <w:rFonts w:hint="eastAsia" w:ascii="方正仿宋_GB2312" w:hAnsi="方正仿宋_GB2312" w:eastAsia="方正仿宋_GB2312" w:cs="方正仿宋_GB2312"/>
          <w:b/>
          <w:color w:val="000000" w:themeColor="text1"/>
          <w:sz w:val="24"/>
          <w:szCs w:val="24"/>
          <w:highlight w:val="none"/>
        </w:rPr>
        <w:t xml:space="preserve">甲方的义务</w:t>
      </w:r>
      <w:r>
        <w:rPr>
          <w:rFonts w:hint="eastAsia" w:ascii="方正仿宋_GB2312" w:hAnsi="方正仿宋_GB2312" w:eastAsia="方正仿宋_GB2312" w:cs="方正仿宋_GB2312"/>
          <w:b/>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（一）</w:t>
      </w:r>
      <w:r>
        <w:rPr>
          <w:rFonts w:hint="eastAsia" w:ascii="方正仿宋_GB2312" w:hAnsi="方正仿宋_GB2312" w:eastAsia="方正仿宋_GB2312" w:cs="方正仿宋_GB2312"/>
          <w:color w:val="000000" w:themeColor="text1"/>
          <w:sz w:val="24"/>
          <w:szCs w:val="24"/>
          <w:highlight w:val="none"/>
        </w:rPr>
        <w:t xml:space="preserve">甲方及其工作人员不得索要或接受乙方的礼金</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礼券</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有价证券和物品</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不得在乙方报销任何应由甲方或个人支付的费用等。</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（二）</w:t>
      </w:r>
      <w:r>
        <w:rPr>
          <w:rFonts w:hint="eastAsia" w:ascii="方正仿宋_GB2312" w:hAnsi="方正仿宋_GB2312" w:eastAsia="方正仿宋_GB2312" w:cs="方正仿宋_GB2312"/>
          <w:color w:val="000000" w:themeColor="text1"/>
          <w:sz w:val="24"/>
          <w:szCs w:val="24"/>
          <w:highlight w:val="none"/>
        </w:rPr>
        <w:t xml:space="preserve">甲方不得有意刁难</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拖欠承包商工程款</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不得违反规定批拨工程建设费用等。</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甲方工作人员不得参加乙方安排的宴请和娱乐活动</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不得接受乙方提供的超过合同要求标准的通讯工具</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交通工具和高档办公用品等。</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（四）</w:t>
      </w:r>
      <w:r>
        <w:rPr>
          <w:rFonts w:hint="eastAsia" w:ascii="方正仿宋_GB2312" w:hAnsi="方正仿宋_GB2312" w:eastAsia="方正仿宋_GB2312" w:cs="方正仿宋_GB2312"/>
          <w:color w:val="000000" w:themeColor="text1"/>
          <w:sz w:val="24"/>
          <w:szCs w:val="24"/>
          <w:highlight w:val="none"/>
        </w:rPr>
        <w:t xml:space="preserve">甲方及其工作人员不得要求或者接受乙方为其住房装修</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操办婚丧嫁娶</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安排配偶子女的工作以及出国出境</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旅游等。</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（五）</w:t>
      </w:r>
      <w:r>
        <w:rPr>
          <w:rFonts w:hint="eastAsia" w:ascii="方正仿宋_GB2312" w:hAnsi="方正仿宋_GB2312" w:eastAsia="方正仿宋_GB2312" w:cs="方正仿宋_GB2312"/>
          <w:color w:val="000000" w:themeColor="text1"/>
          <w:sz w:val="24"/>
          <w:szCs w:val="24"/>
          <w:highlight w:val="none"/>
        </w:rPr>
        <w:t xml:space="preserve">甲方工作人员的配偶</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子女及下属单位不得从事与甲方工程有关的材料设备供应</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工程分包</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劳务等经济活动。</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（六）</w:t>
      </w:r>
      <w:r>
        <w:rPr>
          <w:rFonts w:hint="eastAsia" w:ascii="方正仿宋_GB2312" w:hAnsi="方正仿宋_GB2312" w:eastAsia="方正仿宋_GB2312" w:cs="方正仿宋_GB2312"/>
          <w:color w:val="000000" w:themeColor="text1"/>
          <w:sz w:val="24"/>
          <w:szCs w:val="24"/>
          <w:highlight w:val="none"/>
        </w:rPr>
        <w:t xml:space="preserve">甲方及其工作人员不得经任何理由向乙方推荐分包单位</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不得要求乙方购买合同规定外的材料和设备。</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2"/>
        <w:spacing w:line="276"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rPr>
        <w:t xml:space="preserve">第三条</w:t>
      </w:r>
      <w:r>
        <w:rPr>
          <w:rFonts w:hint="eastAsia" w:ascii="方正仿宋_GB2312" w:hAnsi="方正仿宋_GB2312" w:eastAsia="方正仿宋_GB2312" w:cs="方正仿宋_GB2312"/>
          <w:b/>
          <w:color w:val="000000" w:themeColor="text1"/>
          <w:sz w:val="24"/>
          <w:szCs w:val="24"/>
          <w:highlight w:val="none"/>
          <w:lang w:val="en-US" w:eastAsia="zh-CN"/>
        </w:rPr>
        <w:t xml:space="preserve"> </w:t>
      </w:r>
      <w:r>
        <w:rPr>
          <w:rFonts w:hint="eastAsia" w:ascii="方正仿宋_GB2312" w:hAnsi="方正仿宋_GB2312" w:eastAsia="方正仿宋_GB2312" w:cs="方正仿宋_GB2312"/>
          <w:b/>
          <w:color w:val="000000" w:themeColor="text1"/>
          <w:sz w:val="24"/>
          <w:szCs w:val="24"/>
          <w:highlight w:val="none"/>
        </w:rPr>
        <w:t xml:space="preserve">乙方义务</w:t>
      </w:r>
      <w:r>
        <w:rPr>
          <w:rFonts w:hint="eastAsia" w:ascii="方正仿宋_GB2312" w:hAnsi="方正仿宋_GB2312" w:eastAsia="方正仿宋_GB2312" w:cs="方正仿宋_GB2312"/>
          <w:b/>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（一）</w:t>
      </w:r>
      <w:r>
        <w:rPr>
          <w:rFonts w:hint="eastAsia" w:ascii="方正仿宋_GB2312" w:hAnsi="方正仿宋_GB2312" w:eastAsia="方正仿宋_GB2312" w:cs="方正仿宋_GB2312"/>
          <w:color w:val="000000" w:themeColor="text1"/>
          <w:sz w:val="24"/>
          <w:szCs w:val="24"/>
          <w:highlight w:val="none"/>
        </w:rPr>
        <w:t xml:space="preserve">乙方不得以任何理由向甲方及其工作人员行贿或馈赠礼金</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礼券</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有价证券</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礼品。</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（二）</w:t>
      </w:r>
      <w:r>
        <w:rPr>
          <w:rFonts w:hint="eastAsia" w:ascii="方正仿宋_GB2312" w:hAnsi="方正仿宋_GB2312" w:eastAsia="方正仿宋_GB2312" w:cs="方正仿宋_GB2312"/>
          <w:color w:val="000000" w:themeColor="text1"/>
          <w:sz w:val="24"/>
          <w:szCs w:val="24"/>
          <w:highlight w:val="none"/>
        </w:rPr>
        <w:t xml:space="preserve">乙方不得以任何名义为甲方及其工作人员报销应由甲方单位或个人支付的任何费用。</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（三）</w:t>
      </w:r>
      <w:r>
        <w:rPr>
          <w:rFonts w:hint="eastAsia" w:ascii="方正仿宋_GB2312" w:hAnsi="方正仿宋_GB2312" w:eastAsia="方正仿宋_GB2312" w:cs="方正仿宋_GB2312"/>
          <w:color w:val="000000" w:themeColor="text1"/>
          <w:sz w:val="24"/>
          <w:szCs w:val="24"/>
          <w:highlight w:val="none"/>
        </w:rPr>
        <w:t xml:space="preserve">乙方不得要求甲方违反规定批发</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追加工程建设费用等。</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（四）</w:t>
      </w:r>
      <w:r>
        <w:rPr>
          <w:rFonts w:hint="eastAsia" w:ascii="方正仿宋_GB2312" w:hAnsi="方正仿宋_GB2312" w:eastAsia="方正仿宋_GB2312" w:cs="方正仿宋_GB2312"/>
          <w:color w:val="000000" w:themeColor="text1"/>
          <w:sz w:val="24"/>
          <w:szCs w:val="24"/>
          <w:highlight w:val="none"/>
        </w:rPr>
        <w:t xml:space="preserve">乙方不得以任何理由安排甲方工作人员参加宴请及娱乐活动。</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（五）</w:t>
      </w:r>
      <w:r>
        <w:rPr>
          <w:rFonts w:hint="eastAsia" w:ascii="方正仿宋_GB2312" w:hAnsi="方正仿宋_GB2312" w:eastAsia="方正仿宋_GB2312" w:cs="方正仿宋_GB2312"/>
          <w:color w:val="000000" w:themeColor="text1"/>
          <w:sz w:val="24"/>
          <w:szCs w:val="24"/>
          <w:highlight w:val="none"/>
        </w:rPr>
        <w:t xml:space="preserve">乙方不得为甲方单位和个人购置或提供超过合同要求标准的通讯工具</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交通工具和高档办公用品等。</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2"/>
        <w:spacing w:line="276"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rPr>
        <w:t xml:space="preserve">第四条</w:t>
      </w:r>
      <w:r>
        <w:rPr>
          <w:rFonts w:hint="eastAsia" w:ascii="方正仿宋_GB2312" w:hAnsi="方正仿宋_GB2312" w:eastAsia="方正仿宋_GB2312" w:cs="方正仿宋_GB2312"/>
          <w:b/>
          <w:color w:val="000000" w:themeColor="text1"/>
          <w:sz w:val="24"/>
          <w:szCs w:val="24"/>
          <w:highlight w:val="none"/>
          <w:lang w:val="en-US" w:eastAsia="zh-CN"/>
        </w:rPr>
        <w:t xml:space="preserve"> </w:t>
      </w:r>
      <w:r>
        <w:rPr>
          <w:rFonts w:hint="eastAsia" w:ascii="方正仿宋_GB2312" w:hAnsi="方正仿宋_GB2312" w:eastAsia="方正仿宋_GB2312" w:cs="方正仿宋_GB2312"/>
          <w:b/>
          <w:color w:val="000000" w:themeColor="text1"/>
          <w:sz w:val="24"/>
          <w:szCs w:val="24"/>
          <w:highlight w:val="none"/>
        </w:rPr>
        <w:t xml:space="preserve">违约责任</w:t>
      </w:r>
      <w:r>
        <w:rPr>
          <w:rFonts w:hint="eastAsia" w:ascii="方正仿宋_GB2312" w:hAnsi="方正仿宋_GB2312" w:eastAsia="方正仿宋_GB2312" w:cs="方正仿宋_GB2312"/>
          <w:b/>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（一）</w:t>
      </w:r>
      <w:r>
        <w:rPr>
          <w:rFonts w:hint="eastAsia" w:ascii="方正仿宋_GB2312" w:hAnsi="方正仿宋_GB2312" w:eastAsia="方正仿宋_GB2312" w:cs="方正仿宋_GB2312"/>
          <w:color w:val="000000" w:themeColor="text1"/>
          <w:sz w:val="24"/>
          <w:szCs w:val="24"/>
          <w:highlight w:val="none"/>
        </w:rPr>
        <w:t xml:space="preserve">甲方及其工作人员违反本合同第一</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二条</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按管理权限</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依据有关规定给予党纪</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政纪或组织处理</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涉嫌犯罪的</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移送司法机关追究刑事责任</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给乙方单位造成经济损失的</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应予以赔偿。</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（二）</w:t>
      </w:r>
      <w:r>
        <w:rPr>
          <w:rFonts w:hint="eastAsia" w:ascii="方正仿宋_GB2312" w:hAnsi="方正仿宋_GB2312" w:eastAsia="方正仿宋_GB2312" w:cs="方正仿宋_GB2312"/>
          <w:color w:val="000000" w:themeColor="text1"/>
          <w:sz w:val="24"/>
          <w:szCs w:val="24"/>
          <w:highlight w:val="none"/>
        </w:rPr>
        <w:t xml:space="preserve">乙方及其工作人员违反本合同第一</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三条</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按管理权限</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依据有关规定</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给予党纪</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政纪或组织处理</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给甲方单位造成经济损失的</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应予以赔偿</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情节严重的</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甲方建议有关工程建设</w:t>
      </w:r>
      <w:r>
        <w:rPr>
          <w:rFonts w:hint="eastAsia" w:ascii="方正仿宋_GB2312" w:hAnsi="方正仿宋_GB2312" w:eastAsia="方正仿宋_GB2312" w:cs="方正仿宋_GB2312"/>
          <w:color w:val="000000" w:themeColor="text1"/>
          <w:sz w:val="24"/>
          <w:szCs w:val="24"/>
          <w:highlight w:val="none"/>
          <w:lang w:eastAsia="zh-CN"/>
        </w:rPr>
        <w:t xml:space="preserve">主管</w:t>
      </w:r>
      <w:r>
        <w:rPr>
          <w:rFonts w:hint="eastAsia" w:ascii="方正仿宋_GB2312" w:hAnsi="方正仿宋_GB2312" w:eastAsia="方正仿宋_GB2312" w:cs="方正仿宋_GB2312"/>
          <w:color w:val="000000" w:themeColor="text1"/>
          <w:sz w:val="24"/>
          <w:szCs w:val="24"/>
          <w:highlight w:val="none"/>
        </w:rPr>
        <w:t xml:space="preserve">部门给予乙方一至三年内不得参与工程建设项目投标的处罚。</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2"/>
        <w:spacing w:line="276"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rPr>
        <w:t xml:space="preserve">第五条</w:t>
      </w:r>
      <w:r>
        <w:rPr>
          <w:rFonts w:hint="eastAsia" w:ascii="方正仿宋_GB2312" w:hAnsi="方正仿宋_GB2312" w:eastAsia="方正仿宋_GB2312" w:cs="方正仿宋_GB2312"/>
          <w:b/>
          <w:color w:val="000000" w:themeColor="text1"/>
          <w:sz w:val="24"/>
          <w:szCs w:val="24"/>
          <w:highlight w:val="none"/>
          <w:lang w:val="en-US" w:eastAsia="zh-CN"/>
        </w:rPr>
        <w:t xml:space="preserve"> </w:t>
      </w:r>
      <w:r>
        <w:rPr>
          <w:rFonts w:hint="eastAsia" w:ascii="方正仿宋_GB2312" w:hAnsi="方正仿宋_GB2312" w:eastAsia="方正仿宋_GB2312" w:cs="方正仿宋_GB2312"/>
          <w:b/>
          <w:color w:val="000000" w:themeColor="text1"/>
          <w:sz w:val="24"/>
          <w:szCs w:val="24"/>
          <w:highlight w:val="none"/>
        </w:rPr>
        <w:t xml:space="preserve">双方约定</w:t>
      </w:r>
      <w:r>
        <w:rPr>
          <w:rFonts w:hint="eastAsia" w:ascii="方正仿宋_GB2312" w:hAnsi="方正仿宋_GB2312" w:eastAsia="方正仿宋_GB2312" w:cs="方正仿宋_GB2312"/>
          <w:b/>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本合同由苏州宿迁工业园区管委会负责监督执行</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苏州宿迁工业园区管委会对本合同执行情况进行抽查</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提出</w:t>
      </w:r>
      <w:r>
        <w:rPr>
          <w:rFonts w:hint="eastAsia" w:ascii="方正仿宋_GB2312" w:hAnsi="方正仿宋_GB2312" w:eastAsia="方正仿宋_GB2312" w:cs="方正仿宋_GB2312"/>
          <w:color w:val="000000" w:themeColor="text1"/>
          <w:sz w:val="24"/>
          <w:szCs w:val="24"/>
          <w:highlight w:val="none"/>
          <w:lang w:eastAsia="zh-CN"/>
        </w:rPr>
        <w:t xml:space="preserve">属于</w:t>
      </w:r>
      <w:r>
        <w:rPr>
          <w:rFonts w:hint="eastAsia" w:ascii="方正仿宋_GB2312" w:hAnsi="方正仿宋_GB2312" w:eastAsia="方正仿宋_GB2312" w:cs="方正仿宋_GB2312"/>
          <w:color w:val="000000" w:themeColor="text1"/>
          <w:sz w:val="24"/>
          <w:szCs w:val="24"/>
          <w:highlight w:val="none"/>
        </w:rPr>
        <w:t xml:space="preserve">本合同规定范围内的处理意见。</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2"/>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rPr>
        <w:t xml:space="preserve">第六条</w:t>
      </w:r>
      <w:r>
        <w:rPr>
          <w:rFonts w:hint="eastAsia" w:ascii="方正仿宋_GB2312" w:hAnsi="方正仿宋_GB2312" w:eastAsia="方正仿宋_GB2312" w:cs="方正仿宋_GB2312"/>
          <w:b/>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本合同有效期为甲乙双方签署之日起至该工程项目工程款支付完结时止。</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2"/>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rPr>
        <w:t xml:space="preserve">第七条</w:t>
      </w:r>
      <w:r>
        <w:rPr>
          <w:rFonts w:hint="eastAsia" w:ascii="方正仿宋_GB2312" w:hAnsi="方正仿宋_GB2312" w:eastAsia="方正仿宋_GB2312" w:cs="方正仿宋_GB2312"/>
          <w:b/>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本合同作为本工程施工承包合同的附属条款</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与工程施工合同具有同等的法律效力</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经合同双方签署立即生效。</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2"/>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rPr>
        <w:t xml:space="preserve">第八条</w:t>
      </w:r>
      <w:r>
        <w:rPr>
          <w:rFonts w:hint="eastAsia" w:ascii="方正仿宋_GB2312" w:hAnsi="方正仿宋_GB2312" w:eastAsia="方正仿宋_GB2312" w:cs="方正仿宋_GB2312"/>
          <w:b/>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rPr>
        <w:t xml:space="preserve">本合同甲</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乙双方各执一份</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送交监督单位一份。</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90"/>
        <w:spacing w:line="276" w:lineRule="auto"/>
        <w:rPr>
          <w:rFonts w:hint="eastAsia" w:ascii="方正仿宋_GB2312" w:hAnsi="方正仿宋_GB2312" w:eastAsia="方正仿宋_GB2312" w:cs="方正仿宋_GB2312"/>
          <w:b/>
          <w:bCs/>
          <w:color w:val="000000" w:themeColor="text1"/>
          <w:spacing w:val="2"/>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rPr>
      </w:r>
      <w:r>
        <w:rPr>
          <w:color w:val="000000" w:themeColor="text1"/>
        </w:rPr>
      </w:r>
    </w:p>
    <w:p>
      <w:pPr>
        <w:pStyle w:val="799"/>
        <w:ind w:firstLine="490"/>
        <w:spacing w:line="276" w:lineRule="auto"/>
        <w:rPr>
          <w:rFonts w:hint="eastAsia" w:ascii="方正仿宋_GB2312" w:hAnsi="方正仿宋_GB2312" w:eastAsia="方正仿宋_GB2312" w:cs="方正仿宋_GB2312"/>
          <w:b/>
          <w:bCs/>
          <w:color w:val="000000" w:themeColor="text1"/>
          <w:spacing w:val="2"/>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rPr>
        <w:t xml:space="preserve">甲方</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                           乙方</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r>
      <w:r>
        <w:rPr>
          <w:color w:val="000000" w:themeColor="text1"/>
        </w:rPr>
      </w:r>
    </w:p>
    <w:p>
      <w:pPr>
        <w:pStyle w:val="799"/>
        <w:ind w:firstLine="490"/>
        <w:spacing w:line="276" w:lineRule="auto"/>
        <w:rPr>
          <w:rFonts w:hint="eastAsia" w:ascii="方正仿宋_GB2312" w:hAnsi="方正仿宋_GB2312" w:eastAsia="方正仿宋_GB2312" w:cs="方正仿宋_GB2312"/>
          <w:b/>
          <w:bCs/>
          <w:color w:val="000000" w:themeColor="text1"/>
          <w:spacing w:val="2"/>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rPr>
        <w:t xml:space="preserve">法定代表人或其委托代理人               法定代表人或其委托代理人</w:t>
      </w:r>
      <w:r>
        <w:rPr>
          <w:rFonts w:hint="eastAsia" w:ascii="方正仿宋_GB2312" w:hAnsi="方正仿宋_GB2312" w:eastAsia="方正仿宋_GB2312" w:cs="方正仿宋_GB2312"/>
          <w:b/>
          <w:bCs/>
          <w:color w:val="000000" w:themeColor="text1"/>
          <w:spacing w:val="2"/>
          <w:sz w:val="24"/>
          <w:szCs w:val="24"/>
          <w:highlight w:val="none"/>
        </w:rPr>
      </w:r>
      <w:r>
        <w:rPr>
          <w:color w:val="000000" w:themeColor="text1"/>
        </w:rPr>
      </w:r>
    </w:p>
    <w:p>
      <w:pPr>
        <w:pStyle w:val="799"/>
        <w:ind w:firstLine="490"/>
        <w:jc w:val="left"/>
        <w:spacing w:before="120" w:after="120"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签字或盖章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                         </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签字或盖章</w:t>
      </w:r>
      <w:r>
        <w:rPr>
          <w:rFonts w:hint="eastAsia" w:ascii="方正仿宋_GB2312" w:hAnsi="方正仿宋_GB2312" w:eastAsia="方正仿宋_GB2312" w:cs="方正仿宋_GB2312"/>
          <w:b/>
          <w:bCs/>
          <w:color w:val="000000" w:themeColor="text1"/>
          <w:spacing w:val="2"/>
          <w:sz w:val="24"/>
          <w:szCs w:val="24"/>
          <w:highlight w:val="none"/>
          <w:lang w:eastAsia="zh-CN"/>
        </w:rPr>
        <w:t xml:space="preserve">）</w:t>
      </w:r>
      <w:r>
        <w:rPr>
          <w:rFonts w:hint="eastAsia" w:ascii="方正仿宋_GB2312" w:hAnsi="方正仿宋_GB2312" w:eastAsia="方正仿宋_GB2312" w:cs="方正仿宋_GB2312"/>
          <w:b/>
          <w:bCs/>
          <w:color w:val="000000" w:themeColor="text1"/>
          <w:spacing w:val="2"/>
          <w:sz w:val="24"/>
          <w:szCs w:val="24"/>
          <w:highlight w:val="none"/>
        </w:rPr>
        <w:t xml:space="preserve">：       </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2"/>
        <w:spacing w:line="276"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rPr>
        <w:t xml:space="preserve">廉政监督举报电话：0527-828268512        邮箱：ssjj@sipac.gov.cn</w:t>
      </w:r>
      <w:r>
        <w:rPr>
          <w:rFonts w:hint="eastAsia" w:ascii="方正仿宋_GB2312" w:hAnsi="方正仿宋_GB2312" w:eastAsia="方正仿宋_GB2312" w:cs="方正仿宋_GB2312"/>
          <w:b/>
          <w:color w:val="000000" w:themeColor="text1"/>
          <w:sz w:val="24"/>
          <w:szCs w:val="24"/>
          <w:highlight w:val="none"/>
        </w:rPr>
      </w:r>
      <w:r>
        <w:rPr>
          <w:color w:val="000000" w:themeColor="text1"/>
        </w:rPr>
      </w:r>
    </w:p>
    <w:p>
      <w:pPr>
        <w:pStyle w:val="799"/>
        <w:jc w:val="center"/>
        <w:spacing w:before="120" w:after="120"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br w:type="page" w:clear="all"/>
      </w:r>
      <w:r>
        <w:rPr>
          <w:rFonts w:hint="eastAsia" w:ascii="方正仿宋_GB2312" w:hAnsi="方正仿宋_GB2312" w:eastAsia="方正仿宋_GB2312" w:cs="方正仿宋_GB2312"/>
          <w:b/>
          <w:bCs/>
          <w:color w:val="000000" w:themeColor="text1"/>
          <w:sz w:val="28"/>
          <w:szCs w:val="28"/>
          <w:highlight w:val="none"/>
        </w:rPr>
        <w:t xml:space="preserve">《授权委托书》</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致：</w:t>
      </w:r>
      <w:r>
        <w:rPr>
          <w:rFonts w:hint="eastAsia" w:ascii="方正仿宋_GB2312" w:hAnsi="方正仿宋_GB2312" w:eastAsia="方正仿宋_GB2312" w:cs="方正仿宋_GB2312"/>
          <w:b/>
          <w:bCs/>
          <w:color w:val="000000" w:themeColor="text1"/>
          <w:sz w:val="24"/>
          <w:szCs w:val="24"/>
          <w:highlight w:val="none"/>
          <w:u w:val="single"/>
          <w:lang w:val="en-US" w:eastAsia="zh-CN"/>
        </w:rPr>
        <w:t xml:space="preserve">苏州宿迁工业园区规划建设与城市管理局</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我司现委托</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作为我司合法委托代理人，授权其代表我司进行</w:t>
      </w:r>
      <w:r>
        <w:rPr>
          <w:rFonts w:hint="eastAsia" w:ascii="方正仿宋_GB2312" w:hAnsi="方正仿宋_GB2312" w:eastAsia="方正仿宋_GB2312" w:cs="方正仿宋_GB2312"/>
          <w:b/>
          <w:bCs/>
          <w:color w:val="000000" w:themeColor="text1"/>
          <w:sz w:val="24"/>
          <w:szCs w:val="24"/>
          <w:highlight w:val="none"/>
          <w:u w:val="single"/>
        </w:rPr>
        <w:t xml:space="preserve">本工程进度款、结算款等事宜的办理</w:t>
      </w:r>
      <w:r>
        <w:rPr>
          <w:rFonts w:hint="eastAsia" w:ascii="方正仿宋_GB2312" w:hAnsi="方正仿宋_GB2312" w:eastAsia="方正仿宋_GB2312" w:cs="方正仿宋_GB2312"/>
          <w:color w:val="000000" w:themeColor="text1"/>
          <w:sz w:val="24"/>
          <w:szCs w:val="24"/>
          <w:highlight w:val="none"/>
        </w:rPr>
        <w:t xml:space="preserve">工作。该委托代理人的授权范围为：在贵我双方关于</w:t>
      </w:r>
      <w:r>
        <w:rPr>
          <w:rFonts w:hint="eastAsia" w:ascii="方正仿宋_GB2312" w:hAnsi="方正仿宋_GB2312" w:eastAsia="方正仿宋_GB2312" w:cs="方正仿宋_GB2312"/>
          <w:b/>
          <w:bCs/>
          <w:color w:val="000000" w:themeColor="text1"/>
          <w:sz w:val="24"/>
          <w:szCs w:val="24"/>
          <w:highlight w:val="none"/>
          <w:u w:val="single"/>
          <w:lang w:eastAsia="zh-CN"/>
        </w:rPr>
        <w:t xml:space="preserve">苏州宿迁工业园区2026-2028年公共绿化养护项目</w:t>
      </w:r>
      <w:r>
        <w:rPr>
          <w:rFonts w:hint="eastAsia" w:ascii="方正仿宋_GB2312" w:hAnsi="方正仿宋_GB2312" w:eastAsia="方正仿宋_GB2312" w:cs="方正仿宋_GB2312"/>
          <w:color w:val="000000" w:themeColor="text1"/>
          <w:sz w:val="24"/>
          <w:szCs w:val="24"/>
          <w:highlight w:val="none"/>
        </w:rPr>
        <w:t xml:space="preserve">的履行过程中，代表我司完成</w:t>
      </w:r>
      <w:r>
        <w:rPr>
          <w:rFonts w:hint="eastAsia" w:ascii="方正仿宋_GB2312" w:hAnsi="方正仿宋_GB2312" w:eastAsia="方正仿宋_GB2312" w:cs="方正仿宋_GB2312"/>
          <w:b/>
          <w:bCs/>
          <w:color w:val="000000" w:themeColor="text1"/>
          <w:sz w:val="24"/>
          <w:szCs w:val="24"/>
          <w:highlight w:val="none"/>
        </w:rPr>
        <w:t xml:space="preserve">【工程款付款申请递交、结算资料报送、价款及票据收取】</w:t>
      </w:r>
      <w:r>
        <w:rPr>
          <w:rFonts w:hint="eastAsia" w:ascii="方正仿宋_GB2312" w:hAnsi="方正仿宋_GB2312" w:eastAsia="方正仿宋_GB2312" w:cs="方正仿宋_GB2312"/>
          <w:color w:val="000000" w:themeColor="text1"/>
          <w:sz w:val="24"/>
          <w:szCs w:val="24"/>
          <w:highlight w:val="none"/>
        </w:rPr>
        <w:t xml:space="preserve">等事务。在本合同有效期间，该代理人的一切行为均代表我司，与我司的行为具有同等法律效力，我司将承担该代理人授权范围内行为的全部法律后果及责任。</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如需更换委托代理人，我司将于具体事项办理前提前5个工作日以书面形式告知贵司。</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本委托代理人无转委托权，特此告知。</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rPr>
        <w:t xml:space="preserve">附：</w:t>
      </w:r>
      <w:r>
        <w:rPr>
          <w:rFonts w:hint="eastAsia" w:ascii="方正仿宋_GB2312" w:hAnsi="方正仿宋_GB2312" w:eastAsia="方正仿宋_GB2312" w:cs="方正仿宋_GB2312"/>
          <w:color w:val="000000" w:themeColor="text1"/>
          <w:sz w:val="24"/>
          <w:szCs w:val="24"/>
          <w:highlight w:val="none"/>
          <w:u w:val="single"/>
        </w:rPr>
        <w:t xml:space="preserve">委托代理人身份证复印件</w:t>
      </w:r>
      <w:r>
        <w:rPr>
          <w:rFonts w:hint="eastAsia" w:ascii="方正仿宋_GB2312" w:hAnsi="方正仿宋_GB2312" w:eastAsia="方正仿宋_GB2312" w:cs="方正仿宋_GB2312"/>
          <w:color w:val="000000" w:themeColor="text1"/>
          <w:sz w:val="24"/>
          <w:szCs w:val="24"/>
          <w:highlight w:val="none"/>
          <w:u w:val="singl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正面                         反面</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代理人签字：</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公司名称（公章）：</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法定代表人（签章）：</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276"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日期：</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p>
    <w:p>
      <w:pPr>
        <w:pStyle w:val="799"/>
        <w:spacing w:line="40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jc w:val="center"/>
        <w:rPr>
          <w:rFonts w:hint="eastAsia" w:ascii="方正仿宋_GB2312" w:hAnsi="方正仿宋_GB2312" w:eastAsia="方正仿宋_GB2312" w:cs="方正仿宋_GB2312"/>
          <w:color w:val="000000" w:themeColor="text1"/>
          <w:sz w:val="44"/>
          <w:szCs w:val="44"/>
          <w:highlight w:val="none"/>
        </w:rPr>
      </w:pPr>
      <w:r>
        <w:rPr>
          <w:color w:val="000000" w:themeColor="text1"/>
        </w:rPr>
      </w:r>
      <w:bookmarkStart w:id="137" w:name="_Toc81575170"/>
      <w:r>
        <w:rPr>
          <w:color w:val="000000" w:themeColor="text1"/>
        </w:rPr>
      </w:r>
      <w:bookmarkStart w:id="138" w:name="_Toc11391"/>
      <w:r>
        <w:rPr>
          <w:color w:val="000000" w:themeColor="text1"/>
        </w:rPr>
      </w:r>
      <w:bookmarkStart w:id="139" w:name="_Toc22853"/>
      <w:r>
        <w:rPr>
          <w:color w:val="000000" w:themeColor="text1"/>
        </w:rPr>
      </w:r>
      <w:bookmarkStart w:id="140" w:name="_Toc19649"/>
      <w:r>
        <w:rPr>
          <w:color w:val="000000" w:themeColor="text1"/>
        </w:rPr>
      </w:r>
      <w:bookmarkStart w:id="141" w:name="_Toc32626"/>
      <w:r>
        <w:rPr>
          <w:color w:val="000000" w:themeColor="text1"/>
        </w:rPr>
      </w:r>
      <w:bookmarkStart w:id="142" w:name="_Toc81575207"/>
      <w:r>
        <w:rPr>
          <w:color w:val="000000" w:themeColor="text1"/>
        </w:rPr>
      </w:r>
      <w:bookmarkStart w:id="143" w:name="_Toc9003"/>
      <w:r>
        <w:rPr>
          <w:rFonts w:hint="eastAsia" w:ascii="方正仿宋_GB2312" w:hAnsi="方正仿宋_GB2312" w:eastAsia="方正仿宋_GB2312" w:cs="方正仿宋_GB2312"/>
          <w:color w:val="000000" w:themeColor="text1"/>
          <w:sz w:val="44"/>
          <w:szCs w:val="44"/>
          <w:highlight w:val="none"/>
        </w:rPr>
        <w:br w:type="page" w:clear="all"/>
      </w:r>
      <w:r>
        <w:rPr>
          <w:rFonts w:hint="eastAsia" w:ascii="方正仿宋_GB2312" w:hAnsi="方正仿宋_GB2312" w:eastAsia="方正仿宋_GB2312" w:cs="方正仿宋_GB2312"/>
          <w:color w:val="000000" w:themeColor="text1"/>
          <w:sz w:val="44"/>
          <w:szCs w:val="44"/>
          <w:highlight w:val="none"/>
        </w:rPr>
        <w:t xml:space="preserve">第六章  投标文件格式</w:t>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rFonts w:hint="eastAsia" w:ascii="方正仿宋_GB2312" w:hAnsi="方正仿宋_GB2312" w:eastAsia="方正仿宋_GB2312" w:cs="方正仿宋_GB2312"/>
          <w:color w:val="000000" w:themeColor="text1"/>
          <w:sz w:val="44"/>
          <w:szCs w:val="44"/>
          <w:highlight w:val="none"/>
        </w:rPr>
      </w:r>
      <w:r>
        <w:rPr>
          <w:color w:val="000000" w:themeColor="text1"/>
        </w:rPr>
      </w:r>
    </w:p>
    <w:p>
      <w:pPr>
        <w:pStyle w:val="799"/>
        <w:rPr>
          <w:rFonts w:hint="eastAsia" w:ascii="方正仿宋_GB2312" w:hAnsi="方正仿宋_GB2312" w:eastAsia="方正仿宋_GB2312" w:cs="方正仿宋_GB2312"/>
          <w:color w:val="000000" w:themeColor="text1"/>
          <w:highlight w:val="none"/>
        </w:rPr>
      </w:pPr>
      <w:r>
        <w:rPr>
          <w:color w:val="000000" w:themeColor="text1"/>
        </w:rPr>
      </w:r>
      <w:bookmarkStart w:id="144" w:name="EB819316f773b24a75aef829f9b72900c0"/>
      <w:r>
        <w:rPr>
          <w:rFonts w:hint="eastAsia" w:ascii="方正仿宋_GB2312" w:hAnsi="方正仿宋_GB2312" w:eastAsia="方正仿宋_GB2312" w:cs="方正仿宋_GB2312"/>
          <w:color w:val="000000" w:themeColor="text1"/>
          <w:highlight w:val="none"/>
        </w:rPr>
      </w:r>
      <w:r>
        <w:rPr>
          <w:color w:val="000000" w:themeColor="text1"/>
        </w:rPr>
      </w:r>
    </w:p>
    <w:p>
      <w:pPr>
        <w:pStyle w:val="799"/>
        <w:rPr>
          <w:rFonts w:hint="eastAsia" w:ascii="方正仿宋_GB2312" w:hAnsi="方正仿宋_GB2312" w:eastAsia="方正仿宋_GB2312" w:cs="方正仿宋_GB2312"/>
          <w:b/>
          <w:color w:val="000000" w:themeColor="text1"/>
          <w:sz w:val="72"/>
          <w:highlight w:val="none"/>
        </w:rPr>
      </w:pPr>
      <w:r>
        <w:rPr>
          <w:color w:val="000000" w:themeColor="text1"/>
        </w:rPr>
      </w:r>
      <w:bookmarkStart w:id="145" w:name="_Toc15716"/>
      <w:r>
        <w:rPr>
          <w:rFonts w:hint="eastAsia" w:ascii="方正仿宋_GB2312" w:hAnsi="方正仿宋_GB2312" w:eastAsia="方正仿宋_GB2312" w:cs="方正仿宋_GB2312"/>
          <w:b/>
          <w:color w:val="000000" w:themeColor="text1"/>
          <w:sz w:val="72"/>
          <w:highlight w:val="none"/>
        </w:rPr>
      </w:r>
      <w:r>
        <w:rPr>
          <w:color w:val="000000" w:themeColor="text1"/>
        </w:rPr>
      </w:r>
    </w:p>
    <w:p>
      <w:pPr>
        <w:pStyle w:val="799"/>
        <w:jc w:val="center"/>
        <w:rPr>
          <w:rFonts w:hint="eastAsia" w:ascii="方正仿宋_GB2312" w:hAnsi="方正仿宋_GB2312" w:eastAsia="方正仿宋_GB2312" w:cs="方正仿宋_GB2312"/>
          <w:b/>
          <w:color w:val="000000" w:themeColor="text1"/>
          <w:sz w:val="72"/>
          <w:highlight w:val="none"/>
        </w:rPr>
      </w:pPr>
      <w:r>
        <w:rPr>
          <w:rFonts w:hint="eastAsia" w:ascii="方正仿宋_GB2312" w:hAnsi="方正仿宋_GB2312" w:eastAsia="方正仿宋_GB2312" w:cs="方正仿宋_GB2312"/>
          <w:b/>
          <w:color w:val="000000" w:themeColor="text1"/>
          <w:sz w:val="72"/>
          <w:highlight w:val="none"/>
        </w:rPr>
        <w:t xml:space="preserve">投  标  文  件</w:t>
      </w:r>
      <w:r>
        <w:rPr>
          <w:rFonts w:hint="eastAsia" w:ascii="方正仿宋_GB2312" w:hAnsi="方正仿宋_GB2312" w:eastAsia="方正仿宋_GB2312" w:cs="方正仿宋_GB2312"/>
          <w:b/>
          <w:color w:val="000000" w:themeColor="text1"/>
          <w:sz w:val="72"/>
          <w:highlight w:val="none"/>
        </w:rPr>
      </w:r>
      <w:r>
        <w:rPr>
          <w:color w:val="000000" w:themeColor="text1"/>
        </w:rPr>
      </w:r>
    </w:p>
    <w:p>
      <w:pPr>
        <w:pStyle w:val="799"/>
        <w:jc w:val="center"/>
        <w:rPr>
          <w:rFonts w:hint="eastAsia" w:ascii="方正仿宋_GB2312" w:hAnsi="方正仿宋_GB2312" w:eastAsia="方正仿宋_GB2312" w:cs="方正仿宋_GB2312"/>
          <w:b/>
          <w:color w:val="000000" w:themeColor="text1"/>
          <w:sz w:val="72"/>
          <w:highlight w:val="none"/>
        </w:rPr>
      </w:pPr>
      <w:r>
        <w:rPr>
          <w:rFonts w:hint="eastAsia" w:ascii="方正仿宋_GB2312" w:hAnsi="方正仿宋_GB2312" w:eastAsia="方正仿宋_GB2312" w:cs="方正仿宋_GB2312"/>
          <w:b/>
          <w:color w:val="000000" w:themeColor="text1"/>
          <w:sz w:val="72"/>
          <w:highlight w:val="none"/>
        </w:rPr>
      </w:r>
      <w:r>
        <w:rPr>
          <w:color w:val="000000" w:themeColor="text1"/>
        </w:rPr>
      </w:r>
    </w:p>
    <w:p>
      <w:pPr>
        <w:pStyle w:val="799"/>
        <w:jc w:val="center"/>
        <w:rPr>
          <w:rFonts w:hint="eastAsia" w:ascii="方正仿宋_GB2312" w:hAnsi="方正仿宋_GB2312" w:eastAsia="方正仿宋_GB2312" w:cs="方正仿宋_GB2312"/>
          <w:b/>
          <w:color w:val="000000" w:themeColor="text1"/>
          <w:sz w:val="72"/>
          <w:highlight w:val="none"/>
        </w:rPr>
      </w:pPr>
      <w:r>
        <w:rPr>
          <w:rFonts w:hint="eastAsia" w:ascii="方正仿宋_GB2312" w:hAnsi="方正仿宋_GB2312" w:eastAsia="方正仿宋_GB2312" w:cs="方正仿宋_GB2312"/>
          <w:b/>
          <w:color w:val="000000" w:themeColor="text1"/>
          <w:sz w:val="72"/>
          <w:highlight w:val="none"/>
        </w:rPr>
      </w:r>
      <w:r>
        <w:rPr>
          <w:color w:val="000000" w:themeColor="text1"/>
        </w:rPr>
      </w:r>
    </w:p>
    <w:p>
      <w:pPr>
        <w:pStyle w:val="799"/>
        <w:jc w:val="center"/>
        <w:rPr>
          <w:rFonts w:hint="eastAsia" w:ascii="方正仿宋_GB2312" w:hAnsi="方正仿宋_GB2312" w:eastAsia="方正仿宋_GB2312" w:cs="方正仿宋_GB2312"/>
          <w:b/>
          <w:color w:val="000000" w:themeColor="text1"/>
          <w:sz w:val="72"/>
          <w:highlight w:val="none"/>
        </w:rPr>
      </w:pPr>
      <w:r>
        <w:rPr>
          <w:rFonts w:hint="eastAsia" w:ascii="方正仿宋_GB2312" w:hAnsi="方正仿宋_GB2312" w:eastAsia="方正仿宋_GB2312" w:cs="方正仿宋_GB2312"/>
          <w:b/>
          <w:color w:val="000000" w:themeColor="text1"/>
          <w:sz w:val="72"/>
          <w:highlight w:val="none"/>
        </w:rPr>
      </w:r>
      <w:r>
        <w:rPr>
          <w:color w:val="000000" w:themeColor="text1"/>
        </w:rPr>
      </w:r>
    </w:p>
    <w:p>
      <w:pPr>
        <w:pStyle w:val="799"/>
        <w:jc w:val="center"/>
        <w:rPr>
          <w:rFonts w:hint="eastAsia" w:ascii="方正仿宋_GB2312" w:hAnsi="方正仿宋_GB2312" w:eastAsia="方正仿宋_GB2312" w:cs="方正仿宋_GB2312"/>
          <w:b/>
          <w:color w:val="000000" w:themeColor="text1"/>
          <w:sz w:val="36"/>
          <w:highlight w:val="none"/>
        </w:rPr>
      </w:pPr>
      <w:r>
        <w:rPr>
          <w:rFonts w:hint="eastAsia" w:ascii="方正仿宋_GB2312" w:hAnsi="方正仿宋_GB2312" w:eastAsia="方正仿宋_GB2312" w:cs="方正仿宋_GB2312"/>
          <w:b/>
          <w:color w:val="000000" w:themeColor="text1"/>
          <w:sz w:val="36"/>
          <w:highlight w:val="none"/>
        </w:rPr>
      </w:r>
      <w:r>
        <w:rPr>
          <w:color w:val="000000" w:themeColor="text1"/>
        </w:rPr>
      </w:r>
    </w:p>
    <w:p>
      <w:pPr>
        <w:pStyle w:val="799"/>
        <w:ind w:firstLine="1084"/>
        <w:rPr>
          <w:rFonts w:hint="eastAsia" w:ascii="方正仿宋_GB2312" w:hAnsi="方正仿宋_GB2312" w:eastAsia="方正仿宋_GB2312" w:cs="方正仿宋_GB2312"/>
          <w:b/>
          <w:color w:val="000000" w:themeColor="text1"/>
          <w:sz w:val="36"/>
          <w:highlight w:val="none"/>
        </w:rPr>
      </w:pPr>
      <w:r>
        <w:rPr>
          <w:rFonts w:hint="eastAsia" w:ascii="方正仿宋_GB2312" w:hAnsi="方正仿宋_GB2312" w:eastAsia="方正仿宋_GB2312" w:cs="方正仿宋_GB2312"/>
          <w:b/>
          <w:color w:val="000000" w:themeColor="text1"/>
          <w:sz w:val="36"/>
          <w:highlight w:val="none"/>
        </w:rPr>
        <w:t xml:space="preserve">项 目 名 称：</w:t>
      </w:r>
      <w:r>
        <w:rPr>
          <w:rFonts w:hint="eastAsia" w:ascii="方正仿宋_GB2312" w:hAnsi="方正仿宋_GB2312" w:eastAsia="方正仿宋_GB2312" w:cs="方正仿宋_GB2312"/>
          <w:b/>
          <w:color w:val="000000" w:themeColor="text1"/>
          <w:sz w:val="36"/>
          <w:highlight w:val="none"/>
          <w:u w:val="single"/>
        </w:rPr>
        <w:t xml:space="preserve">               </w:t>
      </w:r>
      <w:r>
        <w:rPr>
          <w:rFonts w:hint="eastAsia" w:ascii="方正仿宋_GB2312" w:hAnsi="方正仿宋_GB2312" w:eastAsia="方正仿宋_GB2312" w:cs="方正仿宋_GB2312"/>
          <w:b/>
          <w:color w:val="000000" w:themeColor="text1"/>
          <w:sz w:val="36"/>
          <w:highlight w:val="none"/>
        </w:rPr>
      </w:r>
      <w:r>
        <w:rPr>
          <w:color w:val="000000" w:themeColor="text1"/>
        </w:rPr>
      </w:r>
    </w:p>
    <w:p>
      <w:pPr>
        <w:pStyle w:val="799"/>
        <w:ind w:firstLine="1084"/>
        <w:rPr>
          <w:rFonts w:hint="eastAsia" w:ascii="方正仿宋_GB2312" w:hAnsi="方正仿宋_GB2312" w:eastAsia="方正仿宋_GB2312" w:cs="方正仿宋_GB2312"/>
          <w:b/>
          <w:color w:val="000000" w:themeColor="text1"/>
          <w:sz w:val="36"/>
          <w:highlight w:val="none"/>
          <w:u w:val="single"/>
        </w:rPr>
      </w:pPr>
      <w:r>
        <w:rPr>
          <w:rFonts w:hint="eastAsia" w:ascii="方正仿宋_GB2312" w:hAnsi="方正仿宋_GB2312" w:eastAsia="方正仿宋_GB2312" w:cs="方正仿宋_GB2312"/>
          <w:b/>
          <w:color w:val="000000" w:themeColor="text1"/>
          <w:sz w:val="36"/>
          <w:highlight w:val="none"/>
        </w:rPr>
        <w:t xml:space="preserve">项 目 编 号：</w:t>
      </w:r>
      <w:r>
        <w:rPr>
          <w:rFonts w:hint="eastAsia" w:ascii="方正仿宋_GB2312" w:hAnsi="方正仿宋_GB2312" w:eastAsia="方正仿宋_GB2312" w:cs="方正仿宋_GB2312"/>
          <w:b/>
          <w:color w:val="000000" w:themeColor="text1"/>
          <w:sz w:val="36"/>
          <w:highlight w:val="none"/>
          <w:u w:val="single"/>
        </w:rPr>
        <w:t xml:space="preserve">               </w:t>
      </w:r>
      <w:r>
        <w:rPr>
          <w:rFonts w:hint="eastAsia" w:ascii="方正仿宋_GB2312" w:hAnsi="方正仿宋_GB2312" w:eastAsia="方正仿宋_GB2312" w:cs="方正仿宋_GB2312"/>
          <w:b/>
          <w:color w:val="000000" w:themeColor="text1"/>
          <w:sz w:val="36"/>
          <w:highlight w:val="none"/>
          <w:u w:val="single"/>
        </w:rPr>
      </w:r>
      <w:r>
        <w:rPr>
          <w:color w:val="000000" w:themeColor="text1"/>
        </w:rPr>
      </w:r>
    </w:p>
    <w:p>
      <w:pPr>
        <w:pStyle w:val="799"/>
        <w:rPr>
          <w:rFonts w:hint="eastAsia" w:ascii="方正仿宋_GB2312" w:hAnsi="方正仿宋_GB2312" w:eastAsia="方正仿宋_GB2312" w:cs="方正仿宋_GB2312"/>
          <w:b/>
          <w:color w:val="000000" w:themeColor="text1"/>
          <w:sz w:val="36"/>
          <w:highlight w:val="none"/>
          <w:u w:val="single"/>
        </w:rPr>
      </w:pPr>
      <w:r>
        <w:rPr>
          <w:rFonts w:hint="eastAsia" w:ascii="方正仿宋_GB2312" w:hAnsi="方正仿宋_GB2312" w:eastAsia="方正仿宋_GB2312" w:cs="方正仿宋_GB2312"/>
          <w:b/>
          <w:color w:val="000000" w:themeColor="text1"/>
          <w:sz w:val="36"/>
          <w:highlight w:val="none"/>
        </w:rPr>
        <w:t xml:space="preserve">      投标人名称 ：</w:t>
      </w:r>
      <w:r>
        <w:rPr>
          <w:rFonts w:hint="eastAsia" w:ascii="方正仿宋_GB2312" w:hAnsi="方正仿宋_GB2312" w:eastAsia="方正仿宋_GB2312" w:cs="方正仿宋_GB2312"/>
          <w:b/>
          <w:color w:val="000000" w:themeColor="text1"/>
          <w:sz w:val="36"/>
          <w:highlight w:val="none"/>
          <w:u w:val="single"/>
        </w:rPr>
        <w:t xml:space="preserve">（盖CA电子公章）</w:t>
      </w:r>
      <w:r>
        <w:rPr>
          <w:rFonts w:hint="eastAsia" w:ascii="方正仿宋_GB2312" w:hAnsi="方正仿宋_GB2312" w:eastAsia="方正仿宋_GB2312" w:cs="方正仿宋_GB2312"/>
          <w:b/>
          <w:color w:val="000000" w:themeColor="text1"/>
          <w:sz w:val="36"/>
          <w:highlight w:val="none"/>
          <w:u w:val="single"/>
        </w:rPr>
      </w:r>
      <w:r>
        <w:rPr>
          <w:color w:val="000000" w:themeColor="text1"/>
        </w:rPr>
      </w:r>
    </w:p>
    <w:p>
      <w:pPr>
        <w:pStyle w:val="799"/>
        <w:rPr>
          <w:rFonts w:hint="eastAsia" w:ascii="方正仿宋_GB2312" w:hAnsi="方正仿宋_GB2312" w:eastAsia="方正仿宋_GB2312" w:cs="方正仿宋_GB2312"/>
          <w:b/>
          <w:color w:val="000000" w:themeColor="text1"/>
          <w:sz w:val="36"/>
          <w:highlight w:val="none"/>
          <w:u w:val="single"/>
        </w:rPr>
      </w:pPr>
      <w:r>
        <w:rPr>
          <w:rFonts w:hint="eastAsia" w:ascii="方正仿宋_GB2312" w:hAnsi="方正仿宋_GB2312" w:eastAsia="方正仿宋_GB2312" w:cs="方正仿宋_GB2312"/>
          <w:b/>
          <w:color w:val="000000" w:themeColor="text1"/>
          <w:sz w:val="36"/>
          <w:highlight w:val="none"/>
        </w:rPr>
        <w:t xml:space="preserve">      日      期 ：</w:t>
      </w:r>
      <w:r>
        <w:rPr>
          <w:rFonts w:hint="eastAsia" w:ascii="方正仿宋_GB2312" w:hAnsi="方正仿宋_GB2312" w:eastAsia="方正仿宋_GB2312" w:cs="方正仿宋_GB2312"/>
          <w:b/>
          <w:color w:val="000000" w:themeColor="text1"/>
          <w:sz w:val="36"/>
          <w:highlight w:val="none"/>
          <w:u w:val="single"/>
        </w:rPr>
        <w:t xml:space="preserve">               </w:t>
      </w:r>
      <w:bookmarkEnd w:id="145"/>
      <w:r>
        <w:rPr>
          <w:rFonts w:hint="eastAsia" w:ascii="方正仿宋_GB2312" w:hAnsi="方正仿宋_GB2312" w:eastAsia="方正仿宋_GB2312" w:cs="方正仿宋_GB2312"/>
          <w:b/>
          <w:color w:val="000000" w:themeColor="text1"/>
          <w:sz w:val="36"/>
          <w:highlight w:val="none"/>
          <w:u w:val="single"/>
        </w:rPr>
      </w:r>
      <w:r>
        <w:rPr>
          <w:color w:val="000000" w:themeColor="text1"/>
        </w:rPr>
      </w:r>
    </w:p>
    <w:p>
      <w:pPr>
        <w:pStyle w:val="1130"/>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p>
    <w:p>
      <w:pPr>
        <w:pStyle w:val="1130"/>
        <w:rPr>
          <w:rFonts w:hint="eastAsia" w:ascii="方正仿宋_GB2312" w:hAnsi="方正仿宋_GB2312" w:eastAsia="方正仿宋_GB2312" w:cs="方正仿宋_GB2312"/>
          <w:color w:val="000000" w:themeColor="text1"/>
          <w:highlight w:val="none"/>
        </w:rPr>
      </w:pPr>
      <w:r>
        <w:rPr>
          <w:color w:val="000000" w:themeColor="text1"/>
        </w:rPr>
      </w:r>
      <w:bookmarkEnd w:id="144"/>
      <w:r>
        <w:rPr>
          <w:rFonts w:hint="eastAsia" w:ascii="方正仿宋_GB2312" w:hAnsi="方正仿宋_GB2312" w:eastAsia="方正仿宋_GB2312" w:cs="方正仿宋_GB2312"/>
          <w:color w:val="000000" w:themeColor="text1"/>
          <w:highlight w:val="none"/>
        </w:rPr>
      </w:r>
      <w:r>
        <w:rPr>
          <w:color w:val="000000" w:themeColor="text1"/>
        </w:rPr>
      </w:r>
    </w:p>
    <w:p>
      <w:pPr>
        <w:pStyle w:val="1130"/>
        <w:jc w:val="center"/>
        <w:spacing w:line="360" w:lineRule="auto"/>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r>
      <w:r>
        <w:rPr>
          <w:color w:val="000000" w:themeColor="text1"/>
        </w:rPr>
      </w:r>
    </w:p>
    <w:p>
      <w:pPr>
        <w:pStyle w:val="1130"/>
        <w:jc w:val="center"/>
        <w:spacing w:line="360" w:lineRule="auto"/>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br w:type="page" w:clear="all"/>
      </w:r>
      <w:r>
        <w:rPr>
          <w:rFonts w:hint="eastAsia" w:ascii="方正仿宋_GB2312" w:hAnsi="方正仿宋_GB2312" w:eastAsia="方正仿宋_GB2312" w:cs="方正仿宋_GB2312"/>
          <w:b/>
          <w:bCs/>
          <w:color w:val="000000" w:themeColor="text1"/>
          <w:sz w:val="32"/>
          <w:szCs w:val="32"/>
          <w:highlight w:val="none"/>
        </w:rPr>
        <w:t xml:space="preserve">投标文件目录</w:t>
      </w:r>
      <w:r>
        <w:rPr>
          <w:rFonts w:hint="eastAsia" w:ascii="方正仿宋_GB2312" w:hAnsi="方正仿宋_GB2312" w:eastAsia="方正仿宋_GB2312" w:cs="方正仿宋_GB2312"/>
          <w:b/>
          <w:bCs/>
          <w:color w:val="000000" w:themeColor="text1"/>
          <w:sz w:val="32"/>
          <w:szCs w:val="32"/>
          <w:highlight w:val="none"/>
        </w:rPr>
      </w:r>
      <w:r>
        <w:rPr>
          <w:color w:val="000000" w:themeColor="text1"/>
        </w:rPr>
      </w:r>
    </w:p>
    <w:p>
      <w:pPr>
        <w:pStyle w:val="799"/>
        <w:spacing w:line="360" w:lineRule="auto"/>
        <w:rPr>
          <w:rFonts w:hint="eastAsia" w:ascii="方正仿宋_GB2312" w:hAnsi="方正仿宋_GB2312" w:eastAsia="方正仿宋_GB2312" w:cs="方正仿宋_GB2312"/>
          <w:color w:val="000000" w:themeColor="text1"/>
          <w:sz w:val="28"/>
          <w:szCs w:val="28"/>
          <w:highlight w:val="none"/>
        </w:rPr>
      </w:pPr>
      <w:r>
        <w:rPr>
          <w:color w:val="000000" w:themeColor="text1"/>
        </w:rPr>
      </w:r>
      <w:bookmarkStart w:id="146" w:name="_Toc26005"/>
      <w:r>
        <w:rPr>
          <w:color w:val="000000" w:themeColor="text1"/>
        </w:rPr>
      </w:r>
      <w:bookmarkStart w:id="147" w:name="_Toc20577"/>
      <w:r>
        <w:rPr>
          <w:rFonts w:hint="eastAsia" w:ascii="方正仿宋_GB2312" w:hAnsi="方正仿宋_GB2312" w:eastAsia="方正仿宋_GB2312" w:cs="方正仿宋_GB2312"/>
          <w:color w:val="000000" w:themeColor="text1"/>
          <w:sz w:val="28"/>
          <w:szCs w:val="28"/>
          <w:highlight w:val="none"/>
        </w:rPr>
        <w:t xml:space="preserve">一、投标函</w:t>
      </w:r>
      <w:r>
        <w:rPr>
          <w:rFonts w:hint="eastAsia" w:ascii="方正仿宋_GB2312" w:hAnsi="方正仿宋_GB2312" w:eastAsia="方正仿宋_GB2312" w:cs="方正仿宋_GB2312"/>
          <w:color w:val="000000" w:themeColor="text1"/>
          <w:sz w:val="28"/>
          <w:szCs w:val="28"/>
          <w:highlight w:val="none"/>
        </w:rPr>
      </w:r>
      <w:r>
        <w:rPr>
          <w:color w:val="000000" w:themeColor="text1"/>
        </w:rPr>
      </w:r>
    </w:p>
    <w:p>
      <w:pPr>
        <w:pStyle w:val="799"/>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二、法人授权书</w:t>
      </w:r>
      <w:r>
        <w:rPr>
          <w:rFonts w:hint="eastAsia" w:ascii="方正仿宋_GB2312" w:hAnsi="方正仿宋_GB2312" w:eastAsia="方正仿宋_GB2312" w:cs="方正仿宋_GB2312"/>
          <w:color w:val="000000" w:themeColor="text1"/>
          <w:sz w:val="28"/>
          <w:szCs w:val="28"/>
          <w:highlight w:val="none"/>
        </w:rPr>
      </w:r>
      <w:r>
        <w:rPr>
          <w:color w:val="000000" w:themeColor="text1"/>
        </w:rPr>
      </w:r>
    </w:p>
    <w:p>
      <w:pPr>
        <w:pStyle w:val="799"/>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三、开标一览表</w:t>
      </w:r>
      <w:r>
        <w:rPr>
          <w:rFonts w:hint="eastAsia" w:ascii="方正仿宋_GB2312" w:hAnsi="方正仿宋_GB2312" w:eastAsia="方正仿宋_GB2312" w:cs="方正仿宋_GB2312"/>
          <w:color w:val="000000" w:themeColor="text1"/>
          <w:sz w:val="28"/>
          <w:szCs w:val="28"/>
          <w:highlight w:val="none"/>
        </w:rPr>
      </w:r>
      <w:r>
        <w:rPr>
          <w:color w:val="000000" w:themeColor="text1"/>
        </w:rPr>
      </w:r>
    </w:p>
    <w:p>
      <w:pPr>
        <w:pStyle w:val="799"/>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四、</w:t>
      </w:r>
      <w:r>
        <w:rPr>
          <w:rFonts w:hint="eastAsia" w:ascii="方正仿宋_GB2312" w:hAnsi="方正仿宋_GB2312" w:eastAsia="方正仿宋_GB2312" w:cs="方正仿宋_GB2312"/>
          <w:color w:val="000000" w:themeColor="text1"/>
          <w:sz w:val="28"/>
          <w:szCs w:val="28"/>
          <w:highlight w:val="none"/>
          <w:lang w:val="en-US" w:eastAsia="zh-CN"/>
        </w:rPr>
        <w:t xml:space="preserve">投标报价明细表</w:t>
      </w:r>
      <w:r>
        <w:rPr>
          <w:rFonts w:hint="eastAsia" w:ascii="方正仿宋_GB2312" w:hAnsi="方正仿宋_GB2312" w:eastAsia="方正仿宋_GB2312" w:cs="方正仿宋_GB2312"/>
          <w:color w:val="000000" w:themeColor="text1"/>
          <w:sz w:val="28"/>
          <w:szCs w:val="28"/>
          <w:highlight w:val="none"/>
        </w:rPr>
      </w:r>
      <w:r>
        <w:rPr>
          <w:color w:val="000000" w:themeColor="text1"/>
        </w:rPr>
      </w:r>
    </w:p>
    <w:p>
      <w:pPr>
        <w:pStyle w:val="799"/>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五、中小企业或残疾人福利性单位声明函</w:t>
      </w:r>
      <w:r>
        <w:rPr>
          <w:rFonts w:hint="eastAsia" w:ascii="方正仿宋_GB2312" w:hAnsi="方正仿宋_GB2312" w:eastAsia="方正仿宋_GB2312" w:cs="方正仿宋_GB2312"/>
          <w:color w:val="000000" w:themeColor="text1"/>
          <w:sz w:val="28"/>
          <w:szCs w:val="28"/>
          <w:highlight w:val="none"/>
        </w:rPr>
      </w:r>
      <w:r>
        <w:rPr>
          <w:color w:val="000000" w:themeColor="text1"/>
        </w:rPr>
      </w:r>
    </w:p>
    <w:p>
      <w:pPr>
        <w:pStyle w:val="799"/>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lang w:val="en-US" w:eastAsia="zh-CN"/>
        </w:rPr>
        <w:t xml:space="preserve">六、技术要求响应及偏离表</w:t>
      </w:r>
      <w:r>
        <w:rPr>
          <w:rFonts w:hint="eastAsia" w:ascii="方正仿宋_GB2312" w:hAnsi="方正仿宋_GB2312" w:eastAsia="方正仿宋_GB2312" w:cs="方正仿宋_GB2312"/>
          <w:color w:val="000000" w:themeColor="text1"/>
          <w:sz w:val="28"/>
          <w:szCs w:val="28"/>
          <w:highlight w:val="none"/>
          <w:lang w:val="en-US" w:eastAsia="zh-CN"/>
        </w:rPr>
      </w:r>
      <w:r>
        <w:rPr>
          <w:color w:val="000000" w:themeColor="text1"/>
        </w:rPr>
      </w:r>
    </w:p>
    <w:p>
      <w:pPr>
        <w:pStyle w:val="799"/>
        <w:spacing w:line="360" w:lineRule="auto"/>
        <w:rPr>
          <w:rFonts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lang w:val="en-US" w:eastAsia="zh-CN"/>
        </w:rPr>
        <w:t xml:space="preserve">七、项目实施方案</w:t>
      </w:r>
      <w:r>
        <w:rPr>
          <w:rFonts w:ascii="方正仿宋_GB2312" w:hAnsi="方正仿宋_GB2312" w:eastAsia="方正仿宋_GB2312" w:cs="方正仿宋_GB2312"/>
          <w:color w:val="000000" w:themeColor="text1"/>
          <w:sz w:val="28"/>
          <w:szCs w:val="28"/>
          <w:highlight w:val="none"/>
          <w:lang w:val="en-US" w:eastAsia="zh-CN"/>
        </w:rPr>
      </w:r>
      <w:r>
        <w:rPr>
          <w:color w:val="000000" w:themeColor="text1"/>
        </w:rPr>
      </w:r>
    </w:p>
    <w:p>
      <w:pPr>
        <w:pStyle w:val="799"/>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lang w:val="en-US" w:eastAsia="zh-CN"/>
        </w:rPr>
        <w:t xml:space="preserve">八</w:t>
      </w:r>
      <w:r>
        <w:rPr>
          <w:rFonts w:hint="eastAsia" w:ascii="方正仿宋_GB2312" w:hAnsi="方正仿宋_GB2312" w:eastAsia="方正仿宋_GB2312" w:cs="方正仿宋_GB2312"/>
          <w:color w:val="000000" w:themeColor="text1"/>
          <w:sz w:val="28"/>
          <w:szCs w:val="28"/>
          <w:highlight w:val="none"/>
        </w:rPr>
        <w:t xml:space="preserve">、项目组成员</w:t>
      </w:r>
      <w:r>
        <w:rPr>
          <w:rFonts w:hint="eastAsia" w:ascii="方正仿宋_GB2312" w:hAnsi="方正仿宋_GB2312" w:eastAsia="方正仿宋_GB2312" w:cs="方正仿宋_GB2312"/>
          <w:color w:val="000000" w:themeColor="text1"/>
          <w:sz w:val="28"/>
          <w:szCs w:val="28"/>
          <w:highlight w:val="none"/>
        </w:rPr>
      </w:r>
      <w:r>
        <w:rPr>
          <w:color w:val="000000" w:themeColor="text1"/>
        </w:rPr>
      </w:r>
    </w:p>
    <w:p>
      <w:pPr>
        <w:pStyle w:val="799"/>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lang w:val="en-US" w:eastAsia="zh-CN"/>
        </w:rPr>
        <w:t xml:space="preserve">九</w:t>
      </w:r>
      <w:r>
        <w:rPr>
          <w:rFonts w:hint="eastAsia" w:ascii="方正仿宋_GB2312" w:hAnsi="方正仿宋_GB2312" w:eastAsia="方正仿宋_GB2312" w:cs="方正仿宋_GB2312"/>
          <w:color w:val="000000" w:themeColor="text1"/>
          <w:sz w:val="28"/>
          <w:szCs w:val="28"/>
          <w:highlight w:val="none"/>
        </w:rPr>
        <w:t xml:space="preserve">、企业业绩</w:t>
      </w:r>
      <w:r>
        <w:rPr>
          <w:rFonts w:hint="eastAsia" w:ascii="方正仿宋_GB2312" w:hAnsi="方正仿宋_GB2312" w:eastAsia="方正仿宋_GB2312" w:cs="方正仿宋_GB2312"/>
          <w:color w:val="000000" w:themeColor="text1"/>
          <w:sz w:val="28"/>
          <w:szCs w:val="28"/>
          <w:highlight w:val="none"/>
        </w:rPr>
      </w:r>
      <w:r>
        <w:rPr>
          <w:color w:val="000000" w:themeColor="text1"/>
        </w:rPr>
      </w:r>
    </w:p>
    <w:p>
      <w:pPr>
        <w:pStyle w:val="799"/>
        <w:spacing w:line="360" w:lineRule="auto"/>
        <w:rPr>
          <w:rFonts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lang w:val="en-US" w:eastAsia="zh-CN"/>
        </w:rPr>
        <w:t xml:space="preserve">十、承诺函</w:t>
      </w:r>
      <w:r>
        <w:rPr>
          <w:rFonts w:ascii="方正仿宋_GB2312" w:hAnsi="方正仿宋_GB2312" w:eastAsia="方正仿宋_GB2312" w:cs="方正仿宋_GB2312"/>
          <w:color w:val="000000" w:themeColor="text1"/>
          <w:sz w:val="28"/>
          <w:szCs w:val="28"/>
          <w:highlight w:val="none"/>
          <w:lang w:val="en-US" w:eastAsia="zh-CN"/>
        </w:rPr>
      </w:r>
      <w:r>
        <w:rPr>
          <w:color w:val="000000" w:themeColor="text1"/>
        </w:rPr>
      </w:r>
    </w:p>
    <w:p>
      <w:pPr>
        <w:pStyle w:val="799"/>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十</w:t>
      </w:r>
      <w:r>
        <w:rPr>
          <w:rFonts w:hint="eastAsia" w:ascii="方正仿宋_GB2312" w:hAnsi="方正仿宋_GB2312" w:eastAsia="方正仿宋_GB2312" w:cs="方正仿宋_GB2312"/>
          <w:color w:val="000000" w:themeColor="text1"/>
          <w:sz w:val="28"/>
          <w:szCs w:val="28"/>
          <w:highlight w:val="none"/>
          <w:lang w:val="en-US" w:eastAsia="zh-CN"/>
        </w:rPr>
        <w:t xml:space="preserve">一</w:t>
      </w:r>
      <w:r>
        <w:rPr>
          <w:rFonts w:hint="eastAsia" w:ascii="方正仿宋_GB2312" w:hAnsi="方正仿宋_GB2312" w:eastAsia="方正仿宋_GB2312" w:cs="方正仿宋_GB2312"/>
          <w:color w:val="000000" w:themeColor="text1"/>
          <w:sz w:val="28"/>
          <w:szCs w:val="28"/>
          <w:highlight w:val="none"/>
        </w:rPr>
        <w:t xml:space="preserve">、投标所需其他材料</w:t>
      </w:r>
      <w:r>
        <w:rPr>
          <w:rFonts w:hint="eastAsia" w:ascii="方正仿宋_GB2312" w:hAnsi="方正仿宋_GB2312" w:eastAsia="方正仿宋_GB2312" w:cs="方正仿宋_GB2312"/>
          <w:color w:val="000000" w:themeColor="text1"/>
          <w:sz w:val="28"/>
          <w:szCs w:val="28"/>
          <w:highlight w:val="none"/>
        </w:rPr>
      </w:r>
      <w:r>
        <w:rPr>
          <w:color w:val="000000" w:themeColor="text1"/>
        </w:rPr>
      </w:r>
    </w:p>
    <w:p>
      <w:pPr>
        <w:pStyle w:val="799"/>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p>
    <w:p>
      <w:pPr>
        <w:pStyle w:val="799"/>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p>
    <w:p>
      <w:pPr>
        <w:pStyle w:val="799"/>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p>
    <w:p>
      <w:pPr>
        <w:pStyle w:val="799"/>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p>
    <w:p>
      <w:pPr>
        <w:pStyle w:val="799"/>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p>
    <w:p>
      <w:pPr>
        <w:pStyle w:val="799"/>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p>
    <w:p>
      <w:pPr>
        <w:pStyle w:val="799"/>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p>
    <w:p>
      <w:pPr>
        <w:pStyle w:val="799"/>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p>
    <w:p>
      <w:pPr>
        <w:pStyle w:val="799"/>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p>
    <w:p>
      <w:pPr>
        <w:pStyle w:val="799"/>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p>
    <w:p>
      <w:pPr>
        <w:pStyle w:val="799"/>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p>
    <w:p>
      <w:pPr>
        <w:pStyle w:val="799"/>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p>
    <w:p>
      <w:pPr>
        <w:pStyle w:val="799"/>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p>
    <w:p>
      <w:pPr>
        <w:pStyle w:val="1142"/>
        <w:rPr>
          <w:rFonts w:hint="eastAsia" w:ascii="方正仿宋_GB2312" w:hAnsi="方正仿宋_GB2312" w:eastAsia="方正仿宋_GB2312" w:cs="方正仿宋_GB2312"/>
          <w:color w:val="000000" w:themeColor="text1"/>
          <w:highlight w:val="none"/>
        </w:rPr>
        <w:outlineLvl w:val="1"/>
      </w:pPr>
      <w:r>
        <w:rPr>
          <w:color w:val="000000" w:themeColor="text1"/>
        </w:rPr>
      </w:r>
      <w:bookmarkStart w:id="148" w:name="_Toc8978"/>
      <w:r>
        <w:rPr>
          <w:rFonts w:hint="eastAsia" w:ascii="方正仿宋_GB2312" w:hAnsi="方正仿宋_GB2312" w:eastAsia="方正仿宋_GB2312" w:cs="方正仿宋_GB2312"/>
          <w:color w:val="000000" w:themeColor="text1"/>
          <w:highlight w:val="none"/>
        </w:rPr>
        <w:br w:type="page" w:clear="all"/>
      </w:r>
      <w:r>
        <w:rPr>
          <w:rFonts w:hint="eastAsia" w:ascii="方正仿宋_GB2312" w:hAnsi="方正仿宋_GB2312" w:eastAsia="方正仿宋_GB2312" w:cs="方正仿宋_GB2312"/>
          <w:color w:val="000000" w:themeColor="text1"/>
          <w:highlight w:val="none"/>
        </w:rPr>
        <w:t xml:space="preserve">一、投标函</w:t>
      </w:r>
      <w:bookmarkEnd w:id="146"/>
      <w:r>
        <w:rPr>
          <w:color w:val="000000" w:themeColor="text1"/>
        </w:rPr>
      </w:r>
      <w:bookmarkEnd w:id="147"/>
      <w:r>
        <w:rPr>
          <w:color w:val="000000" w:themeColor="text1"/>
        </w:rPr>
      </w:r>
      <w:bookmarkEnd w:id="148"/>
      <w:r>
        <w:rPr>
          <w:rFonts w:hint="eastAsia" w:ascii="方正仿宋_GB2312" w:hAnsi="方正仿宋_GB2312" w:eastAsia="方正仿宋_GB2312" w:cs="方正仿宋_GB2312"/>
          <w:color w:val="000000" w:themeColor="text1"/>
          <w:highlight w:val="none"/>
        </w:rPr>
      </w:r>
      <w:r>
        <w:rPr>
          <w:color w:val="000000" w:themeColor="text1"/>
        </w:rPr>
      </w:r>
    </w:p>
    <w:p>
      <w:pPr>
        <w:pStyle w:val="1143"/>
        <w:jc w:val="center"/>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投标函</w:t>
      </w:r>
      <w:r>
        <w:rPr>
          <w:rFonts w:hint="eastAsia" w:ascii="方正仿宋_GB2312" w:hAnsi="方正仿宋_GB2312" w:eastAsia="方正仿宋_GB2312" w:cs="方正仿宋_GB2312"/>
          <w:bCs/>
          <w:color w:val="000000" w:themeColor="text1"/>
          <w:sz w:val="32"/>
          <w:szCs w:val="32"/>
          <w:highlight w:val="none"/>
        </w:rPr>
      </w:r>
      <w:r>
        <w:rPr>
          <w:color w:val="000000" w:themeColor="text1"/>
        </w:rPr>
      </w:r>
    </w:p>
    <w:p>
      <w:pPr>
        <w:pStyle w:val="1143"/>
        <w:jc w:val="left"/>
        <w:spacing w:line="500" w:lineRule="exact"/>
        <w:rPr>
          <w:rFonts w:hint="eastAsia" w:ascii="方正仿宋_GB2312" w:hAnsi="方正仿宋_GB2312" w:eastAsia="方正仿宋_GB2312" w:cs="方正仿宋_GB2312"/>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u w:val="single"/>
          <w:lang w:eastAsia="zh-CN"/>
        </w:rPr>
        <w:t xml:space="preserve">苏州宿迁工业园区规划建设与城市管理局</w:t>
      </w:r>
      <w:r>
        <w:rPr>
          <w:rFonts w:hint="eastAsia" w:ascii="方正仿宋_GB2312" w:hAnsi="方正仿宋_GB2312" w:eastAsia="方正仿宋_GB2312" w:cs="方正仿宋_GB2312"/>
          <w:color w:val="000000" w:themeColor="text1"/>
          <w:sz w:val="24"/>
          <w:szCs w:val="24"/>
          <w:highlight w:val="none"/>
          <w:u w:val="single"/>
        </w:rPr>
        <w:t xml:space="preserve">：</w:t>
      </w:r>
      <w:r>
        <w:rPr>
          <w:rFonts w:hint="eastAsia" w:ascii="方正仿宋_GB2312" w:hAnsi="方正仿宋_GB2312" w:eastAsia="方正仿宋_GB2312" w:cs="方正仿宋_GB2312"/>
          <w:color w:val="000000" w:themeColor="text1"/>
          <w:sz w:val="24"/>
          <w:szCs w:val="24"/>
          <w:highlight w:val="none"/>
          <w:u w:val="single"/>
        </w:rPr>
      </w:r>
      <w:r>
        <w:rPr>
          <w:color w:val="000000" w:themeColor="text1"/>
        </w:rPr>
      </w:r>
    </w:p>
    <w:p>
      <w:pPr>
        <w:pStyle w:val="1143"/>
        <w:ind w:firstLine="480"/>
        <w:jc w:val="left"/>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根据已收到的项目编号为</w:t>
      </w:r>
      <w:r>
        <w:rPr>
          <w:rFonts w:hint="eastAsia" w:ascii="方正仿宋_GB2312" w:hAnsi="方正仿宋_GB2312" w:eastAsia="方正仿宋_GB2312" w:cs="方正仿宋_GB2312"/>
          <w:color w:val="000000" w:themeColor="text1"/>
          <w:sz w:val="24"/>
          <w:szCs w:val="24"/>
          <w:highlight w:val="none"/>
          <w:u w:val="single"/>
          <w:lang w:eastAsia="zh-CN"/>
        </w:rPr>
        <w:t xml:space="preserve">JSZC-321395-HZJS-G2026-0006</w:t>
      </w:r>
      <w:r>
        <w:rPr>
          <w:rFonts w:hint="eastAsia" w:ascii="方正仿宋_GB2312" w:hAnsi="方正仿宋_GB2312" w:eastAsia="方正仿宋_GB2312" w:cs="方正仿宋_GB2312"/>
          <w:color w:val="000000" w:themeColor="text1"/>
          <w:sz w:val="24"/>
          <w:szCs w:val="24"/>
          <w:highlight w:val="none"/>
        </w:rPr>
        <w:t xml:space="preserve">的</w:t>
      </w:r>
      <w:r>
        <w:rPr>
          <w:rFonts w:hint="eastAsia" w:ascii="方正仿宋_GB2312" w:hAnsi="方正仿宋_GB2312" w:eastAsia="方正仿宋_GB2312" w:cs="方正仿宋_GB2312"/>
          <w:color w:val="000000" w:themeColor="text1"/>
          <w:sz w:val="24"/>
          <w:szCs w:val="24"/>
          <w:highlight w:val="none"/>
          <w:u w:val="single"/>
          <w:lang w:eastAsia="zh-CN"/>
        </w:rPr>
        <w:t xml:space="preserve">苏州宿迁工业园区2026-2028年公共绿化养护项目</w:t>
      </w:r>
      <w:r>
        <w:rPr>
          <w:rFonts w:hint="eastAsia" w:ascii="方正仿宋_GB2312" w:hAnsi="方正仿宋_GB2312" w:eastAsia="方正仿宋_GB2312" w:cs="方正仿宋_GB2312"/>
          <w:color w:val="000000" w:themeColor="text1"/>
          <w:sz w:val="24"/>
          <w:szCs w:val="24"/>
          <w:highlight w:val="none"/>
        </w:rPr>
        <w:t xml:space="preserve">的招标文件，我方在参加本项目招投标活动中，特作出如下承诺：</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1143"/>
        <w:ind w:firstLine="480"/>
        <w:jc w:val="left"/>
        <w:spacing w:line="50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szCs w:val="24"/>
          <w:highlight w:val="none"/>
        </w:rPr>
        <w:t xml:space="preserve">一、我方</w:t>
      </w:r>
      <w:r>
        <w:rPr>
          <w:rFonts w:hint="eastAsia" w:ascii="方正仿宋_GB2312" w:hAnsi="方正仿宋_GB2312" w:eastAsia="方正仿宋_GB2312" w:cs="方正仿宋_GB2312"/>
          <w:color w:val="000000" w:themeColor="text1"/>
          <w:sz w:val="24"/>
          <w:highlight w:val="none"/>
        </w:rPr>
        <w:t xml:space="preserve">具备《中华人民共和国政府采购法》第二十二条第一款规定的6项条件</w:t>
      </w:r>
      <w:r>
        <w:rPr>
          <w:rFonts w:hint="eastAsia" w:ascii="方正仿宋_GB2312" w:hAnsi="方正仿宋_GB2312" w:eastAsia="方正仿宋_GB2312" w:cs="方正仿宋_GB2312"/>
          <w:color w:val="000000" w:themeColor="text1"/>
          <w:sz w:val="24"/>
          <w:highlight w:val="none"/>
          <w:lang w:eastAsia="zh-CN"/>
        </w:rPr>
        <w:t xml:space="preserve">。</w:t>
      </w:r>
      <w:r>
        <w:rPr>
          <w:rFonts w:hint="eastAsia" w:ascii="方正仿宋_GB2312" w:hAnsi="方正仿宋_GB2312" w:eastAsia="方正仿宋_GB2312" w:cs="方正仿宋_GB2312"/>
          <w:color w:val="000000" w:themeColor="text1"/>
          <w:sz w:val="24"/>
          <w:highlight w:val="none"/>
          <w:lang w:eastAsia="zh-CN"/>
        </w:rPr>
      </w:r>
      <w:r>
        <w:rPr>
          <w:color w:val="000000" w:themeColor="text1"/>
        </w:rPr>
      </w:r>
    </w:p>
    <w:p>
      <w:pPr>
        <w:pStyle w:val="1143"/>
        <w:ind w:firstLine="480"/>
        <w:jc w:val="left"/>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1143"/>
        <w:ind w:firstLine="480"/>
        <w:jc w:val="left"/>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三、我方按招标文件要求提交投标文件，响应招标文件规定的投标有效期</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lang w:eastAsia="zh-CN"/>
        </w:rPr>
      </w:r>
      <w:r>
        <w:rPr>
          <w:color w:val="000000" w:themeColor="text1"/>
        </w:rPr>
      </w:r>
    </w:p>
    <w:p>
      <w:pPr>
        <w:pStyle w:val="1143"/>
        <w:ind w:firstLine="480"/>
        <w:jc w:val="left"/>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lang w:eastAsia="zh-CN"/>
        </w:rPr>
      </w:r>
      <w:r>
        <w:rPr>
          <w:color w:val="000000" w:themeColor="text1"/>
        </w:rPr>
      </w:r>
    </w:p>
    <w:p>
      <w:pPr>
        <w:pStyle w:val="1143"/>
        <w:ind w:firstLine="480"/>
        <w:jc w:val="left"/>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五、我方若违背本声明及承诺约定，经查实，自愿接受采购人及相关主管部门相应的规定处理，并依法承担相应的法律责任。</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1143"/>
        <w:ind w:firstLine="480"/>
        <w:jc w:val="left"/>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六、我方同意采购人、采购代理机构将本函上网公开。</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1143"/>
        <w:ind w:firstLine="480"/>
        <w:jc w:val="left"/>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1143"/>
        <w:jc w:val="left"/>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1143"/>
        <w:ind w:firstLine="480"/>
        <w:jc w:val="left"/>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投标人名称： </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（盖CA电子公章）</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1143"/>
        <w:ind w:firstLine="480"/>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sz w:val="24"/>
          <w:szCs w:val="24"/>
          <w:highlight w:val="none"/>
        </w:rPr>
        <w:t xml:space="preserve">日期：    年    月   日</w:t>
      </w:r>
      <w:r>
        <w:rPr>
          <w:rFonts w:hint="eastAsia" w:ascii="方正仿宋_GB2312" w:hAnsi="方正仿宋_GB2312" w:eastAsia="方正仿宋_GB2312" w:cs="方正仿宋_GB2312"/>
          <w:color w:val="000000" w:themeColor="text1"/>
          <w:highlight w:val="none"/>
        </w:rPr>
      </w:r>
      <w:r>
        <w:rPr>
          <w:color w:val="000000" w:themeColor="text1"/>
        </w:rPr>
      </w:r>
    </w:p>
    <w:p>
      <w:pPr>
        <w:pStyle w:val="799"/>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p>
    <w:p>
      <w:pPr>
        <w:pStyle w:val="799"/>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p>
    <w:p>
      <w:pPr>
        <w:pStyle w:val="799"/>
        <w:rPr>
          <w:rFonts w:hint="eastAsia" w:ascii="方正仿宋_GB2312" w:hAnsi="方正仿宋_GB2312" w:eastAsia="方正仿宋_GB2312" w:cs="方正仿宋_GB2312"/>
          <w:b/>
          <w:color w:val="000000" w:themeColor="text1"/>
          <w:highlight w:val="none"/>
        </w:rPr>
        <w:outlineLvl w:val="1"/>
      </w:pPr>
      <w:r>
        <w:rPr>
          <w:color w:val="000000" w:themeColor="text1"/>
        </w:rPr>
      </w:r>
      <w:bookmarkStart w:id="149" w:name="_Toc29506"/>
      <w:r>
        <w:rPr>
          <w:color w:val="000000" w:themeColor="text1"/>
        </w:rPr>
      </w:r>
      <w:bookmarkStart w:id="150" w:name="_Toc3680"/>
      <w:r>
        <w:rPr>
          <w:color w:val="000000" w:themeColor="text1"/>
        </w:rPr>
      </w:r>
      <w:bookmarkStart w:id="151" w:name="_Toc27409"/>
      <w:r>
        <w:rPr>
          <w:rFonts w:hint="eastAsia" w:ascii="方正仿宋_GB2312" w:hAnsi="方正仿宋_GB2312" w:eastAsia="方正仿宋_GB2312" w:cs="方正仿宋_GB2312"/>
          <w:b/>
          <w:color w:val="000000" w:themeColor="text1"/>
          <w:sz w:val="32"/>
          <w:szCs w:val="24"/>
          <w:highlight w:val="none"/>
        </w:rPr>
        <w:br w:type="page" w:clear="all"/>
      </w:r>
      <w:r>
        <w:rPr>
          <w:rFonts w:hint="eastAsia" w:ascii="方正仿宋_GB2312" w:hAnsi="方正仿宋_GB2312" w:eastAsia="方正仿宋_GB2312" w:cs="方正仿宋_GB2312"/>
          <w:b/>
          <w:color w:val="000000" w:themeColor="text1"/>
          <w:sz w:val="32"/>
          <w:szCs w:val="24"/>
          <w:highlight w:val="none"/>
        </w:rPr>
        <w:t xml:space="preserve">二、</w:t>
      </w:r>
      <w:bookmarkEnd w:id="149"/>
      <w:r>
        <w:rPr>
          <w:color w:val="000000" w:themeColor="text1"/>
        </w:rPr>
      </w:r>
      <w:bookmarkEnd w:id="150"/>
      <w:r>
        <w:rPr>
          <w:rFonts w:hint="eastAsia" w:ascii="方正仿宋_GB2312" w:hAnsi="方正仿宋_GB2312" w:eastAsia="方正仿宋_GB2312" w:cs="方正仿宋_GB2312"/>
          <w:b/>
          <w:color w:val="000000" w:themeColor="text1"/>
          <w:sz w:val="32"/>
          <w:szCs w:val="24"/>
          <w:highlight w:val="none"/>
        </w:rPr>
        <w:t xml:space="preserve">法人授权书</w:t>
      </w:r>
      <w:bookmarkEnd w:id="151"/>
      <w:r>
        <w:rPr>
          <w:rFonts w:hint="eastAsia" w:ascii="方正仿宋_GB2312" w:hAnsi="方正仿宋_GB2312" w:eastAsia="方正仿宋_GB2312" w:cs="方正仿宋_GB2312"/>
          <w:b/>
          <w:color w:val="000000" w:themeColor="text1"/>
          <w:highlight w:val="none"/>
        </w:rPr>
      </w:r>
      <w:r>
        <w:rPr>
          <w:color w:val="000000" w:themeColor="text1"/>
        </w:rPr>
      </w:r>
    </w:p>
    <w:p>
      <w:pPr>
        <w:pStyle w:val="1143"/>
        <w:jc w:val="center"/>
        <w:rPr>
          <w:rFonts w:hint="eastAsia" w:ascii="方正仿宋_GB2312" w:hAnsi="方正仿宋_GB2312" w:eastAsia="方正仿宋_GB2312" w:cs="方正仿宋_GB2312"/>
          <w:bCs/>
          <w:color w:val="000000" w:themeColor="text1"/>
          <w:sz w:val="32"/>
          <w:szCs w:val="32"/>
          <w:highlight w:val="none"/>
        </w:rPr>
      </w:pPr>
      <w:r>
        <w:rPr>
          <w:color w:val="000000" w:themeColor="text1"/>
        </w:rPr>
      </w:r>
      <w:bookmarkStart w:id="152" w:name="OLE_LINK6"/>
      <w:r>
        <w:rPr>
          <w:rFonts w:hint="eastAsia" w:ascii="方正仿宋_GB2312" w:hAnsi="方正仿宋_GB2312" w:eastAsia="方正仿宋_GB2312" w:cs="方正仿宋_GB2312"/>
          <w:bCs/>
          <w:color w:val="000000" w:themeColor="text1"/>
          <w:sz w:val="32"/>
          <w:szCs w:val="32"/>
          <w:highlight w:val="none"/>
        </w:rPr>
        <w:t xml:space="preserve">法人授权书</w:t>
      </w:r>
      <w:bookmarkEnd w:id="152"/>
      <w:r>
        <w:rPr>
          <w:rFonts w:hint="eastAsia" w:ascii="方正仿宋_GB2312" w:hAnsi="方正仿宋_GB2312" w:eastAsia="方正仿宋_GB2312" w:cs="方正仿宋_GB2312"/>
          <w:bCs/>
          <w:color w:val="000000" w:themeColor="text1"/>
          <w:sz w:val="32"/>
          <w:szCs w:val="32"/>
          <w:highlight w:val="none"/>
        </w:rPr>
      </w:r>
      <w:r>
        <w:rPr>
          <w:color w:val="000000" w:themeColor="text1"/>
        </w:rPr>
      </w:r>
    </w:p>
    <w:p>
      <w:pPr>
        <w:pStyle w:val="1261"/>
        <w:ind w:firstLine="482"/>
        <w:spacing w:line="480" w:lineRule="exact"/>
        <w:tabs>
          <w:tab w:val="left" w:pos="360" w:leader="none"/>
        </w:tabs>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本授权书声明：____________（投标人名称）授权________________（被授权人的姓名）为我方就</w:t>
      </w:r>
      <w:r>
        <w:rPr>
          <w:rFonts w:hint="eastAsia" w:ascii="方正仿宋_GB2312" w:hAnsi="方正仿宋_GB2312" w:eastAsia="方正仿宋_GB2312" w:cs="方正仿宋_GB2312"/>
          <w:color w:val="000000" w:themeColor="text1"/>
          <w:sz w:val="24"/>
          <w:szCs w:val="24"/>
          <w:highlight w:val="none"/>
          <w:u w:val="single"/>
          <w:lang w:eastAsia="zh-CN"/>
        </w:rPr>
        <w:t xml:space="preserve">JSZC-321395-HZJS-G2026-0006</w:t>
      </w:r>
      <w:r>
        <w:rPr>
          <w:rFonts w:hint="eastAsia" w:ascii="方正仿宋_GB2312" w:hAnsi="方正仿宋_GB2312" w:eastAsia="方正仿宋_GB2312" w:cs="方正仿宋_GB2312"/>
          <w:color w:val="000000" w:themeColor="text1"/>
          <w:sz w:val="24"/>
          <w:szCs w:val="24"/>
          <w:highlight w:val="none"/>
        </w:rPr>
        <w:t xml:space="preserve">号</w:t>
      </w:r>
      <w:r>
        <w:rPr>
          <w:rFonts w:hint="eastAsia" w:ascii="方正仿宋_GB2312" w:hAnsi="方正仿宋_GB2312" w:eastAsia="方正仿宋_GB2312" w:cs="方正仿宋_GB2312"/>
          <w:color w:val="000000" w:themeColor="text1"/>
          <w:sz w:val="24"/>
          <w:szCs w:val="24"/>
          <w:highlight w:val="none"/>
          <w:u w:val="single"/>
          <w:lang w:eastAsia="zh-CN"/>
        </w:rPr>
        <w:t xml:space="preserve">苏州宿迁工业园区2026-2028年公共绿化养护项目</w:t>
      </w:r>
      <w:r>
        <w:rPr>
          <w:rFonts w:hint="eastAsia" w:ascii="方正仿宋_GB2312" w:hAnsi="方正仿宋_GB2312" w:eastAsia="方正仿宋_GB2312" w:cs="方正仿宋_GB2312"/>
          <w:color w:val="000000" w:themeColor="text1"/>
          <w:sz w:val="24"/>
          <w:szCs w:val="24"/>
          <w:highlight w:val="none"/>
        </w:rPr>
        <w:t xml:space="preserve">采购活动的合法代理人，以本单位名义全权处理一切与该项目采购有关的事务。</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1261"/>
        <w:ind w:firstLine="482"/>
        <w:spacing w:line="480" w:lineRule="exact"/>
        <w:tabs>
          <w:tab w:val="left" w:pos="360" w:leader="none"/>
        </w:tabs>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本授权书于______年____月____日起生效，特此声明。</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1261"/>
        <w:ind w:firstLine="482"/>
        <w:spacing w:line="480" w:lineRule="exact"/>
        <w:tabs>
          <w:tab w:val="left" w:pos="360" w:leader="none"/>
        </w:tabs>
        <w:rPr>
          <w:rFonts w:hint="eastAsia" w:ascii="方正仿宋_GB2312" w:hAnsi="方正仿宋_GB2312" w:eastAsia="方正仿宋_GB2312" w:cs="方正仿宋_GB2312"/>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rPr>
        <w:t xml:space="preserve">被授权人身份证号码：</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u w:val="single"/>
        </w:rPr>
      </w:r>
      <w:r>
        <w:rPr>
          <w:color w:val="000000" w:themeColor="text1"/>
        </w:rPr>
      </w:r>
    </w:p>
    <w:p>
      <w:pPr>
        <w:pStyle w:val="1261"/>
        <w:ind w:firstLine="482"/>
        <w:spacing w:line="480" w:lineRule="exact"/>
        <w:tabs>
          <w:tab w:val="left" w:pos="360" w:leader="none"/>
        </w:tabs>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被授权人联系电话：（手机）</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1261"/>
        <w:ind w:firstLine="482"/>
        <w:spacing w:line="480" w:lineRule="exact"/>
        <w:tabs>
          <w:tab w:val="left" w:pos="360" w:leader="none"/>
        </w:tabs>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授权单位名称：</w:t>
      </w:r>
      <w:r>
        <w:rPr>
          <w:rFonts w:hint="eastAsia" w:ascii="方正仿宋_GB2312" w:hAnsi="方正仿宋_GB2312" w:eastAsia="方正仿宋_GB2312" w:cs="方正仿宋_GB2312"/>
          <w:color w:val="000000" w:themeColor="text1"/>
          <w:sz w:val="24"/>
          <w:szCs w:val="24"/>
          <w:highlight w:val="none"/>
          <w:u w:val="single"/>
        </w:rPr>
        <w:t xml:space="preserve">（盖CA电子公章）</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1261"/>
        <w:ind w:firstLine="482"/>
        <w:spacing w:line="480" w:lineRule="exact"/>
        <w:tabs>
          <w:tab w:val="left" w:pos="360" w:leader="none"/>
        </w:tabs>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单位地址：</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1261"/>
        <w:ind w:firstLine="482"/>
        <w:spacing w:line="480" w:lineRule="exact"/>
        <w:tabs>
          <w:tab w:val="left" w:pos="360" w:leader="none"/>
        </w:tabs>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日期：</w:t>
      </w:r>
      <w:bookmarkStart w:id="153" w:name="_Hlt26955070"/>
      <w:r>
        <w:rPr>
          <w:color w:val="000000" w:themeColor="text1"/>
        </w:rPr>
      </w:r>
      <w:bookmarkEnd w:id="153"/>
      <w:r>
        <w:rPr>
          <w:color w:val="000000" w:themeColor="text1"/>
        </w:rPr>
      </w:r>
      <w:bookmarkStart w:id="154" w:name="_格式3__银行出具的资信证明"/>
      <w:r>
        <w:rPr>
          <w:color w:val="000000" w:themeColor="text1"/>
        </w:rPr>
      </w:r>
      <w:bookmarkEnd w:id="154"/>
      <w:r>
        <w:rPr>
          <w:color w:val="000000" w:themeColor="text1"/>
        </w:rPr>
      </w:r>
      <w:bookmarkStart w:id="155" w:name="_Hlt26671380"/>
      <w:r>
        <w:rPr>
          <w:color w:val="000000" w:themeColor="text1"/>
        </w:rPr>
      </w:r>
      <w:bookmarkEnd w:id="155"/>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1145"/>
        <w:ind w:firstLine="629"/>
        <w:spacing w:line="70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1148"/>
        <w:rPr>
          <w:rFonts w:hint="eastAsia" w:ascii="方正仿宋_GB2312" w:hAnsi="方正仿宋_GB2312" w:eastAsia="方正仿宋_GB2312" w:cs="方正仿宋_GB2312"/>
          <w:color w:val="000000" w:themeColor="text1"/>
          <w:highlight w:val="none"/>
        </w:rPr>
        <w:outlineLvl w:val="1"/>
      </w:pPr>
      <w:r>
        <w:rPr>
          <w:rFonts w:hint="eastAsia" w:ascii="方正仿宋_GB2312" w:hAnsi="方正仿宋_GB2312" w:eastAsia="方正仿宋_GB2312" w:cs="方正仿宋_GB2312"/>
          <w:color w:val="000000" w:themeColor="text1"/>
          <w:highlight w:val="none"/>
        </w:rPr>
        <w:br w:type="page" w:clear="all"/>
      </w:r>
      <w:bookmarkStart w:id="156" w:name="_Toc30543"/>
      <w:r>
        <w:rPr>
          <w:color w:val="000000" w:themeColor="text1"/>
        </w:rPr>
      </w:r>
      <w:bookmarkStart w:id="157" w:name="_Toc13550"/>
      <w:r>
        <w:rPr>
          <w:color w:val="000000" w:themeColor="text1"/>
        </w:rPr>
      </w:r>
      <w:bookmarkStart w:id="158" w:name="_Toc27199"/>
      <w:r>
        <w:rPr>
          <w:rFonts w:hint="eastAsia" w:ascii="方正仿宋_GB2312" w:hAnsi="方正仿宋_GB2312" w:eastAsia="方正仿宋_GB2312" w:cs="方正仿宋_GB2312"/>
          <w:color w:val="000000" w:themeColor="text1"/>
          <w:highlight w:val="none"/>
        </w:rPr>
        <w:t xml:space="preserve">三、开标一览表</w:t>
      </w:r>
      <w:bookmarkEnd w:id="156"/>
      <w:r>
        <w:rPr>
          <w:color w:val="000000" w:themeColor="text1"/>
        </w:rPr>
      </w:r>
      <w:bookmarkEnd w:id="157"/>
      <w:r>
        <w:rPr>
          <w:color w:val="000000" w:themeColor="text1"/>
        </w:rPr>
      </w:r>
      <w:bookmarkEnd w:id="158"/>
      <w:r>
        <w:rPr>
          <w:rFonts w:hint="eastAsia" w:ascii="方正仿宋_GB2312" w:hAnsi="方正仿宋_GB2312" w:eastAsia="方正仿宋_GB2312" w:cs="方正仿宋_GB2312"/>
          <w:color w:val="000000" w:themeColor="text1"/>
          <w:highlight w:val="none"/>
        </w:rPr>
      </w:r>
      <w:r>
        <w:rPr>
          <w:color w:val="000000" w:themeColor="text1"/>
        </w:rPr>
      </w:r>
    </w:p>
    <w:p>
      <w:pPr>
        <w:pStyle w:val="1149"/>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p>
    <w:p>
      <w:pPr>
        <w:pStyle w:val="799"/>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投标人全称</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CA公章</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：供应商名称</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采购项目名称：</w:t>
      </w:r>
      <w:r>
        <w:rPr>
          <w:rFonts w:hint="eastAsia" w:ascii="方正仿宋_GB2312" w:hAnsi="方正仿宋_GB2312" w:eastAsia="方正仿宋_GB2312" w:cs="方正仿宋_GB2312"/>
          <w:color w:val="000000" w:themeColor="text1"/>
          <w:sz w:val="24"/>
          <w:szCs w:val="24"/>
          <w:highlight w:val="none"/>
          <w:lang w:eastAsia="zh-CN"/>
        </w:rPr>
        <w:t xml:space="preserve">苏州宿迁工业园区2026-2028年公共绿化养护项目</w:t>
      </w:r>
      <w:r>
        <w:rPr>
          <w:rFonts w:hint="eastAsia" w:ascii="方正仿宋_GB2312" w:hAnsi="方正仿宋_GB2312" w:eastAsia="方正仿宋_GB2312" w:cs="方正仿宋_GB2312"/>
          <w:color w:val="000000" w:themeColor="text1"/>
          <w:sz w:val="24"/>
          <w:szCs w:val="24"/>
          <w:highlight w:val="none"/>
          <w:lang w:eastAsia="zh-CN"/>
        </w:rPr>
      </w:r>
      <w:r>
        <w:rPr>
          <w:color w:val="000000" w:themeColor="text1"/>
        </w:rPr>
      </w:r>
    </w:p>
    <w:p>
      <w:pPr>
        <w:pStyle w:val="799"/>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采购项目编号：</w:t>
      </w:r>
      <w:r>
        <w:rPr>
          <w:rFonts w:hint="eastAsia" w:ascii="方正仿宋_GB2312" w:hAnsi="方正仿宋_GB2312" w:eastAsia="方正仿宋_GB2312" w:cs="方正仿宋_GB2312"/>
          <w:color w:val="000000" w:themeColor="text1"/>
          <w:sz w:val="24"/>
          <w:szCs w:val="24"/>
          <w:highlight w:val="none"/>
          <w:u w:val="single"/>
          <w:lang w:eastAsia="zh-CN"/>
        </w:rPr>
        <w:t xml:space="preserve">JSZC-321395-HZJS-G2026-0006</w:t>
      </w:r>
      <w:r>
        <w:rPr>
          <w:rFonts w:hint="eastAsia" w:ascii="方正仿宋_GB2312" w:hAnsi="方正仿宋_GB2312" w:eastAsia="方正仿宋_GB2312" w:cs="方正仿宋_GB2312"/>
          <w:color w:val="000000" w:themeColor="text1"/>
          <w:sz w:val="24"/>
          <w:szCs w:val="24"/>
          <w:highlight w:val="none"/>
          <w:lang w:eastAsia="zh-CN"/>
        </w:rPr>
      </w:r>
      <w:r>
        <w:rPr>
          <w:color w:val="000000" w:themeColor="text1"/>
        </w:rPr>
      </w:r>
    </w:p>
    <w:p>
      <w:pPr>
        <w:pStyle w:val="799"/>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采购包号：</w:t>
      </w:r>
      <w:r>
        <w:rPr>
          <w:rStyle w:val="1213"/>
          <w:rFonts w:hint="eastAsia" w:ascii="方正仿宋_GB2312" w:hAnsi="方正仿宋_GB2312" w:eastAsia="方正仿宋_GB2312" w:cs="方正仿宋_GB2312"/>
          <w:color w:val="000000" w:themeColor="text1"/>
          <w:sz w:val="24"/>
          <w:szCs w:val="24"/>
          <w:highlight w:val="none"/>
        </w:rPr>
        <w:t xml:space="preserve">分包号</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pStyle w:val="799"/>
              <w:jc w:val="center"/>
              <w:spacing w:line="50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投标总报价</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r>
      <w:tr>
        <w:trPr/>
        <w:tc>
          <w:tcPr>
            <w:tcW w:w="9400" w:type="dxa"/>
            <w:vAlign w:val="top"/>
            <w:textDirection w:val="lrTb"/>
            <w:noWrap w:val="false"/>
          </w:tcPr>
          <w:p>
            <w:pPr>
              <w:pStyle w:val="799"/>
              <w:jc w:val="both"/>
              <w:spacing w:line="50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总价（小写）：          （人民币：元）</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r>
      <w:tr>
        <w:trPr/>
        <w:tc>
          <w:tcPr>
            <w:tcW w:w="9400" w:type="dxa"/>
            <w:vAlign w:val="top"/>
            <w:textDirection w:val="lrTb"/>
            <w:noWrap w:val="false"/>
          </w:tcPr>
          <w:p>
            <w:pPr>
              <w:pStyle w:val="799"/>
              <w:jc w:val="both"/>
              <w:spacing w:line="50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总价（大写）：</w:t>
            </w:r>
            <w:r>
              <w:rPr>
                <w:rStyle w:val="1213"/>
                <w:rFonts w:hint="eastAsia" w:ascii="方正仿宋_GB2312" w:hAnsi="方正仿宋_GB2312" w:eastAsia="方正仿宋_GB2312" w:cs="方正仿宋_GB2312"/>
                <w:color w:val="000000" w:themeColor="text1"/>
                <w:sz w:val="24"/>
                <w:szCs w:val="24"/>
                <w:highlight w:val="none"/>
                <w:lang w:val="en-US" w:eastAsia="zh-CN" w:bidi="ar-SA"/>
              </w:rPr>
              <w:t xml:space="preserve">金额大写</w:t>
            </w:r>
            <w:r>
              <w:rPr>
                <w:rFonts w:hint="eastAsia" w:ascii="方正仿宋_GB2312" w:hAnsi="方正仿宋_GB2312" w:eastAsia="方正仿宋_GB2312" w:cs="方正仿宋_GB2312"/>
                <w:color w:val="000000" w:themeColor="text1"/>
                <w:sz w:val="24"/>
                <w:szCs w:val="24"/>
                <w:highlight w:val="none"/>
                <w:lang w:val="en-US" w:eastAsia="zh-CN" w:bidi="ar-SA"/>
              </w:rPr>
              <w:t xml:space="preserve"> （人民币：元）</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r>
    </w:tbl>
    <w:p>
      <w:pPr>
        <w:pStyle w:val="799"/>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p>
    <w:p>
      <w:pPr>
        <w:pStyle w:val="799"/>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p>
    <w:p>
      <w:pPr>
        <w:pStyle w:val="799"/>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r>
      <w:r>
        <w:rPr>
          <w:color w:val="000000" w:themeColor="text1"/>
        </w:rPr>
      </w:r>
    </w:p>
    <w:p>
      <w:pPr>
        <w:pStyle w:val="799"/>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highlight w:val="none"/>
        </w:rPr>
        <w:t xml:space="preserve">                                            </w:t>
      </w:r>
      <w:bookmarkStart w:id="159" w:name="_Toc12113"/>
      <w:r>
        <w:rPr>
          <w:rFonts w:hint="eastAsia" w:ascii="方正仿宋_GB2312" w:hAnsi="方正仿宋_GB2312" w:eastAsia="方正仿宋_GB2312" w:cs="方正仿宋_GB2312"/>
          <w:color w:val="000000" w:themeColor="text1"/>
          <w:sz w:val="24"/>
          <w:highlight w:val="none"/>
        </w:rPr>
        <w:t xml:space="preserve">日期：     年     月     日</w:t>
      </w:r>
      <w:bookmarkEnd w:id="159"/>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1151"/>
        <w:rPr>
          <w:rFonts w:ascii="方正仿宋_GB2312" w:hAnsi="方正仿宋_GB2312" w:eastAsia="方正仿宋_GB2312" w:cs="方正仿宋_GB2312"/>
          <w:color w:val="000000" w:themeColor="text1"/>
          <w:highlight w:val="none"/>
        </w:rPr>
        <w:outlineLvl w:val="1"/>
      </w:pPr>
      <w:r>
        <w:rPr>
          <w:rFonts w:hint="eastAsia" w:ascii="方正仿宋_GB2312" w:hAnsi="方正仿宋_GB2312" w:eastAsia="方正仿宋_GB2312" w:cs="方正仿宋_GB2312"/>
          <w:color w:val="000000" w:themeColor="text1"/>
          <w:highlight w:val="none"/>
        </w:rPr>
        <w:br w:type="page" w:clear="all"/>
      </w:r>
      <w:bookmarkStart w:id="160" w:name="_Toc956"/>
      <w:r>
        <w:rPr>
          <w:color w:val="000000" w:themeColor="text1"/>
        </w:rPr>
      </w:r>
      <w:bookmarkStart w:id="161" w:name="_Toc12614"/>
      <w:r>
        <w:rPr>
          <w:color w:val="000000" w:themeColor="text1"/>
        </w:rPr>
      </w:r>
      <w:bookmarkStart w:id="162" w:name="_Toc26543"/>
      <w:r>
        <w:rPr>
          <w:rFonts w:hint="eastAsia" w:ascii="方正仿宋_GB2312" w:hAnsi="方正仿宋_GB2312" w:eastAsia="方正仿宋_GB2312" w:cs="方正仿宋_GB2312"/>
          <w:color w:val="000000" w:themeColor="text1"/>
          <w:highlight w:val="none"/>
        </w:rPr>
        <w:t xml:space="preserve">四、</w:t>
      </w:r>
      <w:bookmarkEnd w:id="160"/>
      <w:r>
        <w:rPr>
          <w:color w:val="000000" w:themeColor="text1"/>
        </w:rPr>
      </w:r>
      <w:bookmarkEnd w:id="161"/>
      <w:r>
        <w:rPr>
          <w:color w:val="000000" w:themeColor="text1"/>
        </w:rPr>
      </w:r>
      <w:bookmarkEnd w:id="162"/>
      <w:r>
        <w:rPr>
          <w:rFonts w:hint="eastAsia" w:ascii="方正仿宋_GB2312" w:hAnsi="方正仿宋_GB2312" w:eastAsia="方正仿宋_GB2312" w:cs="方正仿宋_GB2312"/>
          <w:color w:val="000000" w:themeColor="text1"/>
          <w:highlight w:val="none"/>
          <w:lang w:val="en-US" w:eastAsia="zh-CN"/>
        </w:rPr>
        <w:t xml:space="preserve">投标报价明细表</w:t>
      </w:r>
      <w:r>
        <w:rPr>
          <w:rFonts w:ascii="方正仿宋_GB2312" w:hAnsi="方正仿宋_GB2312" w:eastAsia="方正仿宋_GB2312" w:cs="方正仿宋_GB2312"/>
          <w:color w:val="000000" w:themeColor="text1"/>
          <w:highlight w:val="none"/>
          <w:lang w:val="en-US" w:eastAsia="zh-CN"/>
        </w:rPr>
      </w:r>
      <w:r>
        <w:rPr>
          <w:color w:val="000000" w:themeColor="text1"/>
        </w:rPr>
      </w:r>
    </w:p>
    <w:p>
      <w:pPr>
        <w:pStyle w:val="799"/>
        <w:spacing w:line="360" w:lineRule="auto"/>
        <w:rPr>
          <w:rFonts w:hint="eastAsia" w:ascii="仿宋" w:hAnsi="仿宋" w:eastAsia="仿宋"/>
          <w:color w:val="000000" w:themeColor="text1"/>
          <w:sz w:val="24"/>
          <w:szCs w:val="24"/>
          <w:highlight w:val="none"/>
        </w:rPr>
        <w:sectPr>
          <w:footnotePr/>
          <w:endnotePr/>
          <w:type w:val="continuous"/>
          <w:pgSz w:w="11906" w:h="16838" w:orient="portrait"/>
          <w:pgMar w:top="1440" w:right="1080" w:bottom="1440" w:left="1080" w:header="851" w:footer="992" w:gutter="0"/>
          <w:cols w:num="1" w:sep="0" w:space="1701" w:equalWidth="1"/>
          <w:docGrid w:linePitch="360"/>
          <w:titlePg/>
        </w:sectPr>
      </w:pPr>
      <w:r>
        <w:rPr>
          <w:color w:val="000000" w:themeColor="text1"/>
        </w:rPr>
      </w:r>
      <w:bookmarkStart w:id="163" w:name="_Toc17418"/>
      <w:r>
        <w:rPr>
          <w:rFonts w:ascii="仿宋" w:hAnsi="仿宋" w:eastAsia="仿宋"/>
          <w:color w:val="000000" w:themeColor="text1"/>
          <w:sz w:val="24"/>
          <w:szCs w:val="24"/>
          <w:highlight w:val="none"/>
        </w:rPr>
        <w:t xml:space="preserve">附</w:t>
      </w:r>
      <w:r>
        <w:rPr>
          <w:rFonts w:hint="eastAsia" w:ascii="仿宋" w:hAnsi="仿宋" w:eastAsia="仿宋"/>
          <w:color w:val="000000" w:themeColor="text1"/>
          <w:sz w:val="24"/>
          <w:szCs w:val="24"/>
          <w:highlight w:val="none"/>
        </w:rPr>
        <w:t xml:space="preserve">工程量清单</w:t>
      </w:r>
      <w:r>
        <w:rPr>
          <w:rFonts w:hint="eastAsia" w:ascii="仿宋" w:hAnsi="仿宋" w:eastAsia="仿宋"/>
          <w:color w:val="000000" w:themeColor="text1"/>
          <w:sz w:val="24"/>
          <w:szCs w:val="24"/>
          <w:highlight w:val="none"/>
          <w:lang w:eastAsia="zh-CN"/>
        </w:rPr>
        <w:t xml:space="preserve">。</w:t>
      </w:r>
      <w:r>
        <w:rPr>
          <w:rFonts w:hint="eastAsia" w:ascii="仿宋" w:hAnsi="仿宋" w:eastAsia="仿宋"/>
          <w:color w:val="000000" w:themeColor="text1"/>
          <w:sz w:val="24"/>
          <w:szCs w:val="24"/>
          <w:highlight w:val="none"/>
          <w:lang w:eastAsia="zh-CN"/>
        </w:rPr>
        <w:br w:type="page" w:clear="all"/>
      </w:r>
      <w:r>
        <w:rPr>
          <w:color w:val="000000" w:themeColor="text1"/>
        </w:rPr>
      </w:r>
    </w:p>
    <w:p>
      <w:pPr>
        <w:pStyle w:val="1177"/>
        <w:rPr>
          <w:rFonts w:hint="eastAsia" w:ascii="方正仿宋_GB2312" w:hAnsi="方正仿宋_GB2312" w:eastAsia="方正仿宋_GB2312" w:cs="方正仿宋_GB2312"/>
          <w:color w:val="000000" w:themeColor="text1"/>
          <w:highlight w:val="none"/>
        </w:rPr>
        <w:outlineLvl w:val="1"/>
      </w:pPr>
      <w:r>
        <w:rPr>
          <w:color w:val="000000" w:themeColor="text1"/>
        </w:rPr>
      </w:r>
      <w:bookmarkStart w:id="164" w:name="_Toc2747"/>
      <w:r>
        <w:rPr>
          <w:color w:val="000000" w:themeColor="text1"/>
        </w:rPr>
      </w:r>
      <w:bookmarkStart w:id="165" w:name="_Toc21129"/>
      <w:r>
        <w:rPr>
          <w:rFonts w:hint="eastAsia" w:ascii="方正仿宋_GB2312" w:hAnsi="方正仿宋_GB2312" w:eastAsia="方正仿宋_GB2312" w:cs="方正仿宋_GB2312"/>
          <w:color w:val="000000" w:themeColor="text1"/>
          <w:highlight w:val="none"/>
        </w:rPr>
        <w:br w:type="page" w:clear="all"/>
      </w:r>
      <w:r>
        <w:rPr>
          <w:rFonts w:hint="eastAsia" w:ascii="方正仿宋_GB2312" w:hAnsi="方正仿宋_GB2312" w:eastAsia="方正仿宋_GB2312" w:cs="方正仿宋_GB2312"/>
          <w:color w:val="000000" w:themeColor="text1"/>
          <w:highlight w:val="none"/>
        </w:rPr>
        <w:t xml:space="preserve">五、中小企业或残疾人福利性单位声明函</w:t>
      </w:r>
      <w:bookmarkEnd w:id="163"/>
      <w:r>
        <w:rPr>
          <w:color w:val="000000" w:themeColor="text1"/>
        </w:rPr>
      </w:r>
      <w:bookmarkEnd w:id="164"/>
      <w:r>
        <w:rPr>
          <w:color w:val="000000" w:themeColor="text1"/>
        </w:rPr>
      </w:r>
      <w:bookmarkEnd w:id="165"/>
      <w:r>
        <w:rPr>
          <w:rFonts w:hint="eastAsia" w:ascii="方正仿宋_GB2312" w:hAnsi="方正仿宋_GB2312" w:eastAsia="方正仿宋_GB2312" w:cs="方正仿宋_GB2312"/>
          <w:color w:val="000000" w:themeColor="text1"/>
          <w:highlight w:val="none"/>
        </w:rPr>
      </w:r>
      <w:r>
        <w:rPr>
          <w:color w:val="000000" w:themeColor="text1"/>
        </w:rPr>
      </w:r>
    </w:p>
    <w:p>
      <w:pPr>
        <w:pStyle w:val="1143"/>
        <w:jc w:val="center"/>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中小微企业声明函</w:t>
      </w:r>
      <w:r>
        <w:rPr>
          <w:rFonts w:hint="eastAsia" w:ascii="方正仿宋_GB2312" w:hAnsi="方正仿宋_GB2312" w:eastAsia="方正仿宋_GB2312" w:cs="方正仿宋_GB2312"/>
          <w:bCs/>
          <w:color w:val="000000" w:themeColor="text1"/>
          <w:sz w:val="32"/>
          <w:szCs w:val="32"/>
          <w:highlight w:val="none"/>
        </w:rPr>
      </w:r>
      <w:r>
        <w:rPr>
          <w:color w:val="000000" w:themeColor="text1"/>
        </w:rPr>
      </w:r>
    </w:p>
    <w:p>
      <w:pPr>
        <w:pStyle w:val="1143"/>
        <w:jc w:val="center"/>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（服务类项目）</w:t>
      </w:r>
      <w:r>
        <w:rPr>
          <w:rFonts w:hint="eastAsia" w:ascii="方正仿宋_GB2312" w:hAnsi="方正仿宋_GB2312" w:eastAsia="方正仿宋_GB2312" w:cs="方正仿宋_GB2312"/>
          <w:bCs/>
          <w:color w:val="000000" w:themeColor="text1"/>
          <w:sz w:val="32"/>
          <w:szCs w:val="32"/>
          <w:highlight w:val="none"/>
        </w:rPr>
      </w:r>
      <w:r>
        <w:rPr>
          <w:color w:val="000000" w:themeColor="text1"/>
        </w:rPr>
      </w:r>
    </w:p>
    <w:p>
      <w:pPr>
        <w:pStyle w:val="799"/>
        <w:ind w:firstLine="480"/>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本公司（联合体）郑重声明，根据《政府采购促进中小企业发展管理办法》</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财库〔2020〕46号</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的规定，本公司（联合体）参加</w:t>
      </w:r>
      <w:r>
        <w:rPr>
          <w:rFonts w:hint="eastAsia" w:ascii="方正仿宋_GB2312" w:hAnsi="方正仿宋_GB2312" w:eastAsia="方正仿宋_GB2312" w:cs="方正仿宋_GB2312"/>
          <w:color w:val="000000" w:themeColor="text1"/>
          <w:sz w:val="24"/>
          <w:szCs w:val="24"/>
          <w:highlight w:val="none"/>
          <w:u w:val="single"/>
          <w:lang w:eastAsia="zh-CN"/>
        </w:rPr>
        <w:t xml:space="preserve">苏州宿迁工业园区规划建设与城市管理局</w:t>
      </w:r>
      <w:r>
        <w:rPr>
          <w:rFonts w:hint="eastAsia" w:ascii="方正仿宋_GB2312" w:hAnsi="方正仿宋_GB2312" w:eastAsia="方正仿宋_GB2312" w:cs="方正仿宋_GB2312"/>
          <w:color w:val="000000" w:themeColor="text1"/>
          <w:sz w:val="24"/>
          <w:szCs w:val="24"/>
          <w:highlight w:val="none"/>
        </w:rPr>
        <w:t xml:space="preserve">的</w:t>
      </w:r>
      <w:r>
        <w:rPr>
          <w:rFonts w:hint="eastAsia" w:ascii="方正仿宋_GB2312" w:hAnsi="方正仿宋_GB2312" w:eastAsia="方正仿宋_GB2312" w:cs="方正仿宋_GB2312"/>
          <w:color w:val="000000" w:themeColor="text1"/>
          <w:sz w:val="24"/>
          <w:szCs w:val="24"/>
          <w:highlight w:val="none"/>
          <w:u w:val="single"/>
          <w:lang w:eastAsia="zh-CN"/>
        </w:rPr>
        <w:t xml:space="preserve">苏州宿迁工业园区2026-2028年公共绿化养护项目</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采购活动，服务全部由符合政策的中小微企业承接。相关企业（含联合体中的中小微企业、签订采购包意向协议的中小微企业）的具体情况如下：</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500" w:lineRule="exact"/>
        <w:rPr>
          <w:rFonts w:hint="eastAsia" w:ascii="方正仿宋_GB2312" w:hAnsi="方正仿宋_GB2312" w:eastAsia="方正仿宋_GB2312" w:cs="方正仿宋_GB2312"/>
          <w:i/>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rPr>
        <w:t xml:space="preserve">1.</w:t>
      </w:r>
      <w:r>
        <w:rPr>
          <w:rFonts w:hint="eastAsia" w:ascii="方正仿宋_GB2312" w:hAnsi="方正仿宋_GB2312" w:eastAsia="方正仿宋_GB2312" w:cs="方正仿宋_GB2312"/>
          <w:color w:val="000000" w:themeColor="text1"/>
          <w:sz w:val="24"/>
          <w:szCs w:val="24"/>
          <w:highlight w:val="none"/>
          <w:u w:val="single"/>
        </w:rPr>
        <w:t xml:space="preserve">（标的名称）</w:t>
      </w:r>
      <w:r>
        <w:rPr>
          <w:rFonts w:hint="eastAsia" w:ascii="方正仿宋_GB2312" w:hAnsi="方正仿宋_GB2312" w:eastAsia="方正仿宋_GB2312" w:cs="方正仿宋_GB2312"/>
          <w:i/>
          <w:color w:val="000000" w:themeColor="text1"/>
          <w:sz w:val="24"/>
          <w:szCs w:val="24"/>
          <w:highlight w:val="none"/>
        </w:rPr>
        <w:t xml:space="preserve">，</w:t>
      </w:r>
      <w:r>
        <w:rPr>
          <w:rFonts w:hint="eastAsia" w:ascii="方正仿宋_GB2312" w:hAnsi="方正仿宋_GB2312" w:eastAsia="方正仿宋_GB2312" w:cs="方正仿宋_GB2312"/>
          <w:color w:val="000000" w:themeColor="text1"/>
          <w:sz w:val="24"/>
          <w:szCs w:val="24"/>
          <w:highlight w:val="none"/>
        </w:rPr>
        <w:t xml:space="preserve">属于</w:t>
      </w:r>
      <w:r>
        <w:rPr>
          <w:rFonts w:hint="eastAsia" w:ascii="方正仿宋_GB2312" w:hAnsi="方正仿宋_GB2312" w:eastAsia="方正仿宋_GB2312" w:cs="方正仿宋_GB2312"/>
          <w:color w:val="000000" w:themeColor="text1"/>
          <w:sz w:val="24"/>
          <w:szCs w:val="24"/>
          <w:highlight w:val="none"/>
          <w:u w:val="single"/>
        </w:rPr>
        <w:t xml:space="preserve">（投标人填写招标文件中明确的所属行业）</w:t>
      </w:r>
      <w:r>
        <w:rPr>
          <w:rFonts w:hint="eastAsia" w:ascii="方正仿宋_GB2312" w:hAnsi="方正仿宋_GB2312" w:eastAsia="方正仿宋_GB2312" w:cs="方正仿宋_GB2312"/>
          <w:color w:val="000000" w:themeColor="text1"/>
          <w:sz w:val="24"/>
          <w:szCs w:val="24"/>
          <w:highlight w:val="none"/>
        </w:rPr>
        <w:t xml:space="preserve">行业；承接企业为</w:t>
      </w:r>
      <w:r>
        <w:rPr>
          <w:rFonts w:hint="eastAsia" w:ascii="方正仿宋_GB2312" w:hAnsi="方正仿宋_GB2312" w:eastAsia="方正仿宋_GB2312" w:cs="方正仿宋_GB2312"/>
          <w:color w:val="000000" w:themeColor="text1"/>
          <w:sz w:val="24"/>
          <w:szCs w:val="24"/>
          <w:highlight w:val="none"/>
          <w:u w:val="single"/>
        </w:rPr>
        <w:t xml:space="preserve">（企业名称）</w:t>
      </w:r>
      <w:r>
        <w:rPr>
          <w:rFonts w:hint="eastAsia" w:ascii="方正仿宋_GB2312" w:hAnsi="方正仿宋_GB2312" w:eastAsia="方正仿宋_GB2312" w:cs="方正仿宋_GB2312"/>
          <w:color w:val="000000" w:themeColor="text1"/>
          <w:sz w:val="24"/>
          <w:szCs w:val="24"/>
          <w:highlight w:val="none"/>
        </w:rPr>
        <w:t xml:space="preserve">，从业人员</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人，营业收入为</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万元，资产总额为</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万元，属于</w:t>
      </w:r>
      <w:r>
        <w:rPr>
          <w:rFonts w:hint="eastAsia" w:ascii="方正仿宋_GB2312" w:hAnsi="方正仿宋_GB2312" w:eastAsia="方正仿宋_GB2312" w:cs="方正仿宋_GB2312"/>
          <w:color w:val="000000" w:themeColor="text1"/>
          <w:sz w:val="24"/>
          <w:szCs w:val="24"/>
          <w:highlight w:val="none"/>
          <w:u w:val="single"/>
        </w:rPr>
        <w:t xml:space="preserve">（□中型企业 □小型企业 □微型企业）；</w:t>
      </w:r>
      <w:r>
        <w:rPr>
          <w:rFonts w:hint="eastAsia" w:ascii="方正仿宋_GB2312" w:hAnsi="方正仿宋_GB2312" w:eastAsia="方正仿宋_GB2312" w:cs="方正仿宋_GB2312"/>
          <w:i/>
          <w:color w:val="000000" w:themeColor="text1"/>
          <w:sz w:val="24"/>
          <w:szCs w:val="24"/>
          <w:highlight w:val="none"/>
          <w:u w:val="single"/>
        </w:rPr>
      </w:r>
      <w:r>
        <w:rPr>
          <w:color w:val="000000" w:themeColor="text1"/>
        </w:rPr>
      </w:r>
    </w:p>
    <w:p>
      <w:pPr>
        <w:pStyle w:val="799"/>
        <w:ind w:firstLine="480"/>
        <w:spacing w:line="500" w:lineRule="exact"/>
        <w:rPr>
          <w:rFonts w:hint="eastAsia" w:ascii="方正仿宋_GB2312" w:hAnsi="方正仿宋_GB2312" w:eastAsia="方正仿宋_GB2312" w:cs="方正仿宋_GB2312"/>
          <w:i/>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rPr>
        <w:t xml:space="preserve">2.</w:t>
      </w:r>
      <w:r>
        <w:rPr>
          <w:rFonts w:hint="eastAsia" w:ascii="方正仿宋_GB2312" w:hAnsi="方正仿宋_GB2312" w:eastAsia="方正仿宋_GB2312" w:cs="方正仿宋_GB2312"/>
          <w:color w:val="000000" w:themeColor="text1"/>
          <w:sz w:val="24"/>
          <w:szCs w:val="24"/>
          <w:highlight w:val="none"/>
          <w:u w:val="single"/>
        </w:rPr>
        <w:t xml:space="preserve">（标的名称）</w:t>
      </w:r>
      <w:r>
        <w:rPr>
          <w:rFonts w:hint="eastAsia" w:ascii="方正仿宋_GB2312" w:hAnsi="方正仿宋_GB2312" w:eastAsia="方正仿宋_GB2312" w:cs="方正仿宋_GB2312"/>
          <w:i/>
          <w:color w:val="000000" w:themeColor="text1"/>
          <w:sz w:val="24"/>
          <w:szCs w:val="24"/>
          <w:highlight w:val="none"/>
        </w:rPr>
        <w:t xml:space="preserve">，</w:t>
      </w:r>
      <w:r>
        <w:rPr>
          <w:rFonts w:hint="eastAsia" w:ascii="方正仿宋_GB2312" w:hAnsi="方正仿宋_GB2312" w:eastAsia="方正仿宋_GB2312" w:cs="方正仿宋_GB2312"/>
          <w:color w:val="000000" w:themeColor="text1"/>
          <w:sz w:val="24"/>
          <w:szCs w:val="24"/>
          <w:highlight w:val="none"/>
        </w:rPr>
        <w:t xml:space="preserve">属于</w:t>
      </w:r>
      <w:r>
        <w:rPr>
          <w:rFonts w:hint="eastAsia" w:ascii="方正仿宋_GB2312" w:hAnsi="方正仿宋_GB2312" w:eastAsia="方正仿宋_GB2312" w:cs="方正仿宋_GB2312"/>
          <w:color w:val="000000" w:themeColor="text1"/>
          <w:sz w:val="24"/>
          <w:szCs w:val="24"/>
          <w:highlight w:val="none"/>
          <w:u w:val="single"/>
        </w:rPr>
        <w:t xml:space="preserve">（投标人填写招标文件中明确的所属行业）</w:t>
      </w:r>
      <w:r>
        <w:rPr>
          <w:rFonts w:hint="eastAsia" w:ascii="方正仿宋_GB2312" w:hAnsi="方正仿宋_GB2312" w:eastAsia="方正仿宋_GB2312" w:cs="方正仿宋_GB2312"/>
          <w:color w:val="000000" w:themeColor="text1"/>
          <w:sz w:val="24"/>
          <w:szCs w:val="24"/>
          <w:highlight w:val="none"/>
        </w:rPr>
        <w:t xml:space="preserve">行业；承接企业为</w:t>
      </w:r>
      <w:r>
        <w:rPr>
          <w:rFonts w:hint="eastAsia" w:ascii="方正仿宋_GB2312" w:hAnsi="方正仿宋_GB2312" w:eastAsia="方正仿宋_GB2312" w:cs="方正仿宋_GB2312"/>
          <w:color w:val="000000" w:themeColor="text1"/>
          <w:sz w:val="24"/>
          <w:szCs w:val="24"/>
          <w:highlight w:val="none"/>
          <w:u w:val="single"/>
        </w:rPr>
        <w:t xml:space="preserve">（企业名称）</w:t>
      </w:r>
      <w:r>
        <w:rPr>
          <w:rFonts w:hint="eastAsia" w:ascii="方正仿宋_GB2312" w:hAnsi="方正仿宋_GB2312" w:eastAsia="方正仿宋_GB2312" w:cs="方正仿宋_GB2312"/>
          <w:color w:val="000000" w:themeColor="text1"/>
          <w:sz w:val="24"/>
          <w:szCs w:val="24"/>
          <w:highlight w:val="none"/>
        </w:rPr>
        <w:t xml:space="preserve">，从业人员</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人，营业收入为</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万元，资产总额为</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万元，属于</w:t>
      </w:r>
      <w:r>
        <w:rPr>
          <w:rFonts w:hint="eastAsia" w:ascii="方正仿宋_GB2312" w:hAnsi="方正仿宋_GB2312" w:eastAsia="方正仿宋_GB2312" w:cs="方正仿宋_GB2312"/>
          <w:color w:val="000000" w:themeColor="text1"/>
          <w:sz w:val="24"/>
          <w:szCs w:val="24"/>
          <w:highlight w:val="none"/>
          <w:u w:val="single"/>
        </w:rPr>
        <w:t xml:space="preserve">（□中型企业 □小型企业 □微型企业）；</w:t>
      </w:r>
      <w:r>
        <w:rPr>
          <w:rFonts w:hint="eastAsia" w:ascii="方正仿宋_GB2312" w:hAnsi="方正仿宋_GB2312" w:eastAsia="方正仿宋_GB2312" w:cs="方正仿宋_GB2312"/>
          <w:i/>
          <w:color w:val="000000" w:themeColor="text1"/>
          <w:sz w:val="24"/>
          <w:szCs w:val="24"/>
          <w:highlight w:val="none"/>
          <w:u w:val="single"/>
        </w:rPr>
      </w:r>
      <w:r>
        <w:rPr>
          <w:color w:val="000000" w:themeColor="text1"/>
        </w:rPr>
      </w:r>
    </w:p>
    <w:p>
      <w:pPr>
        <w:pStyle w:val="799"/>
        <w:ind w:firstLine="480"/>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以上企业，不属于大企业的分支机构，不存在控股股东为大企业的情形，也不存在与大企业的负责人为同一人的情形。</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本企业对上述声明内容的真实性负责。如有虚假，将依法承担相应责任</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jc w:val="right"/>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企业名称（加盖CA电子公章）：</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6960"/>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日  期：</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240"/>
        <w:spacing w:line="4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4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备注：1.从业人员、营业收入、资产总额填报上一年度数据，无上一年度数据的新成立企业可不填报。</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400" w:lineRule="exact"/>
        <w:rPr>
          <w:rFonts w:hint="eastAsia" w:ascii="方正仿宋_GB2312" w:hAnsi="方正仿宋_GB2312" w:eastAsia="方正仿宋_GB2312" w:cs="方正仿宋_GB2312"/>
          <w:color w:val="000000" w:themeColor="text1"/>
          <w:sz w:val="22"/>
          <w:szCs w:val="21"/>
          <w:highlight w:val="none"/>
        </w:rPr>
      </w:pPr>
      <w:r>
        <w:rPr>
          <w:rFonts w:hint="eastAsia" w:ascii="方正仿宋_GB2312" w:hAnsi="方正仿宋_GB2312" w:eastAsia="方正仿宋_GB2312" w:cs="方正仿宋_GB2312"/>
          <w:color w:val="000000" w:themeColor="text1"/>
          <w:sz w:val="24"/>
          <w:szCs w:val="24"/>
          <w:highlight w:val="none"/>
        </w:rPr>
        <w:t xml:space="preserve">2.对照《工业和信息化部、国家统计局、国家发展和改革委员会、财政部关于印发中小企业划型标准规定的通知》</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工信部联企业[2011]300号</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的规定，投标人自行勾选承接企业的企业规模类型。</w:t>
      </w:r>
      <w:r>
        <w:rPr>
          <w:rFonts w:hint="eastAsia" w:ascii="方正仿宋_GB2312" w:hAnsi="方正仿宋_GB2312" w:eastAsia="方正仿宋_GB2312" w:cs="方正仿宋_GB2312"/>
          <w:color w:val="000000" w:themeColor="text1"/>
          <w:sz w:val="22"/>
          <w:szCs w:val="21"/>
          <w:highlight w:val="none"/>
        </w:rPr>
      </w:r>
      <w:r>
        <w:rPr>
          <w:color w:val="000000" w:themeColor="text1"/>
        </w:rPr>
      </w:r>
    </w:p>
    <w:p>
      <w:pPr>
        <w:pStyle w:val="1159"/>
        <w:spacing w:before="151" w:after="151" w:line="600" w:lineRule="exact"/>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r>
      <w:r>
        <w:rPr>
          <w:color w:val="000000" w:themeColor="text1"/>
        </w:rPr>
      </w:r>
    </w:p>
    <w:p>
      <w:pPr>
        <w:pStyle w:val="1143"/>
        <w:jc w:val="center"/>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残疾人福利性单位声明函</w:t>
      </w:r>
      <w:r>
        <w:rPr>
          <w:rFonts w:hint="eastAsia" w:ascii="方正仿宋_GB2312" w:hAnsi="方正仿宋_GB2312" w:eastAsia="方正仿宋_GB2312" w:cs="方正仿宋_GB2312"/>
          <w:bCs/>
          <w:color w:val="000000" w:themeColor="text1"/>
          <w:sz w:val="32"/>
          <w:szCs w:val="32"/>
          <w:highlight w:val="none"/>
        </w:rPr>
      </w:r>
      <w:r>
        <w:rPr>
          <w:color w:val="000000" w:themeColor="text1"/>
        </w:rPr>
      </w:r>
    </w:p>
    <w:p>
      <w:pPr>
        <w:pStyle w:val="1161"/>
        <w:spacing w:line="588" w:lineRule="exact"/>
        <w:rPr>
          <w:rFonts w:hint="eastAsia" w:ascii="方正仿宋_GB2312" w:hAnsi="方正仿宋_GB2312" w:eastAsia="方正仿宋_GB2312" w:cs="方正仿宋_GB2312"/>
          <w:b/>
          <w:color w:val="000000" w:themeColor="text1"/>
          <w:spacing w:val="6"/>
          <w:sz w:val="30"/>
          <w:szCs w:val="30"/>
          <w:highlight w:val="none"/>
        </w:rPr>
      </w:pPr>
      <w:r>
        <w:rPr>
          <w:rFonts w:hint="eastAsia" w:ascii="方正仿宋_GB2312" w:hAnsi="方正仿宋_GB2312" w:eastAsia="方正仿宋_GB2312" w:cs="方正仿宋_GB2312"/>
          <w:b/>
          <w:color w:val="000000" w:themeColor="text1"/>
          <w:spacing w:val="6"/>
          <w:sz w:val="30"/>
          <w:szCs w:val="30"/>
          <w:highlight w:val="none"/>
        </w:rPr>
      </w:r>
      <w:r>
        <w:rPr>
          <w:color w:val="000000" w:themeColor="text1"/>
        </w:rPr>
      </w:r>
    </w:p>
    <w:p>
      <w:pPr>
        <w:pStyle w:val="1160"/>
        <w:ind w:firstLine="480"/>
        <w:spacing w:line="50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方正仿宋_GB2312" w:hAnsi="方正仿宋_GB2312" w:eastAsia="方正仿宋_GB2312" w:cs="方正仿宋_GB2312"/>
          <w:color w:val="000000" w:themeColor="text1"/>
          <w:sz w:val="24"/>
          <w:highlight w:val="none"/>
          <w:u w:val="single"/>
          <w:lang w:eastAsia="zh-CN"/>
        </w:rPr>
        <w:t xml:space="preserve">苏州宿迁工业园区规划建设与城市管理局</w:t>
      </w:r>
      <w:r>
        <w:rPr>
          <w:rFonts w:hint="eastAsia" w:ascii="方正仿宋_GB2312" w:hAnsi="方正仿宋_GB2312" w:eastAsia="方正仿宋_GB2312" w:cs="方正仿宋_GB2312"/>
          <w:color w:val="000000" w:themeColor="text1"/>
          <w:sz w:val="24"/>
          <w:szCs w:val="24"/>
          <w:highlight w:val="none"/>
        </w:rPr>
        <w:t xml:space="preserve">的</w:t>
      </w:r>
      <w:r>
        <w:rPr>
          <w:rFonts w:hint="eastAsia" w:ascii="方正仿宋_GB2312" w:hAnsi="方正仿宋_GB2312" w:eastAsia="方正仿宋_GB2312" w:cs="方正仿宋_GB2312"/>
          <w:color w:val="000000" w:themeColor="text1"/>
          <w:sz w:val="24"/>
          <w:highlight w:val="none"/>
          <w:u w:val="single"/>
          <w:lang w:eastAsia="zh-CN"/>
        </w:rPr>
        <w:t xml:space="preserve">苏州宿迁工业园区2026-2028年公共绿化养护项目</w:t>
      </w:r>
      <w:r>
        <w:rPr>
          <w:rFonts w:hint="eastAsia" w:ascii="方正仿宋_GB2312" w:hAnsi="方正仿宋_GB2312" w:eastAsia="方正仿宋_GB2312" w:cs="方正仿宋_GB2312"/>
          <w:color w:val="000000" w:themeColor="text1"/>
          <w:sz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1160"/>
        <w:ind w:firstLine="480"/>
        <w:spacing w:line="50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本单位对上述声明的真实性负责。如有虚假，将依法承担相应责任。</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1162"/>
        <w:ind w:firstLine="3810"/>
        <w:spacing w:line="500" w:lineRule="exact"/>
        <w:rPr>
          <w:rFonts w:hint="eastAsia" w:ascii="方正仿宋_GB2312" w:hAnsi="方正仿宋_GB2312" w:eastAsia="方正仿宋_GB2312" w:cs="方正仿宋_GB2312"/>
          <w:color w:val="000000" w:themeColor="text1"/>
          <w:spacing w:val="6"/>
          <w:sz w:val="24"/>
          <w:szCs w:val="24"/>
          <w:highlight w:val="none"/>
        </w:rPr>
      </w:pPr>
      <w:r>
        <w:rPr>
          <w:rFonts w:hint="eastAsia" w:ascii="方正仿宋_GB2312" w:hAnsi="方正仿宋_GB2312" w:eastAsia="方正仿宋_GB2312" w:cs="方正仿宋_GB2312"/>
          <w:color w:val="000000" w:themeColor="text1"/>
          <w:spacing w:val="6"/>
          <w:sz w:val="24"/>
          <w:szCs w:val="24"/>
          <w:highlight w:val="none"/>
        </w:rPr>
      </w:r>
      <w:r>
        <w:rPr>
          <w:color w:val="000000" w:themeColor="text1"/>
        </w:rPr>
      </w:r>
    </w:p>
    <w:p>
      <w:pPr>
        <w:pStyle w:val="1162"/>
        <w:ind w:firstLine="3629"/>
        <w:jc w:val="left"/>
        <w:spacing w:line="50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1162"/>
        <w:ind w:firstLine="480"/>
        <w:jc w:val="left"/>
        <w:spacing w:line="500" w:lineRule="exact"/>
        <w:rPr>
          <w:rFonts w:hint="eastAsia" w:ascii="方正仿宋_GB2312" w:hAnsi="方正仿宋_GB2312" w:eastAsia="方正仿宋_GB2312" w:cs="方正仿宋_GB2312"/>
          <w:color w:val="000000" w:themeColor="text1"/>
          <w:sz w:val="24"/>
          <w:highlight w:val="none"/>
        </w:rPr>
      </w:pPr>
      <w:r>
        <w:rPr>
          <w:rFonts w:hint="eastAsia" w:ascii="方正仿宋_GB2312" w:hAnsi="方正仿宋_GB2312" w:eastAsia="方正仿宋_GB2312" w:cs="方正仿宋_GB2312"/>
          <w:color w:val="000000" w:themeColor="text1"/>
          <w:sz w:val="24"/>
          <w:highlight w:val="none"/>
        </w:rPr>
        <w:t xml:space="preserve">单位名称：</w:t>
      </w:r>
      <w:r>
        <w:rPr>
          <w:rFonts w:hint="eastAsia" w:ascii="方正仿宋_GB2312" w:hAnsi="方正仿宋_GB2312" w:eastAsia="方正仿宋_GB2312" w:cs="方正仿宋_GB2312"/>
          <w:color w:val="000000" w:themeColor="text1"/>
          <w:sz w:val="24"/>
          <w:highlight w:val="none"/>
          <w:u w:val="single"/>
        </w:rPr>
        <w:t xml:space="preserve">              </w:t>
      </w:r>
      <w:r>
        <w:rPr>
          <w:rFonts w:hint="eastAsia" w:ascii="方正仿宋_GB2312" w:hAnsi="方正仿宋_GB2312" w:eastAsia="方正仿宋_GB2312" w:cs="方正仿宋_GB2312"/>
          <w:color w:val="000000" w:themeColor="text1"/>
          <w:sz w:val="24"/>
          <w:highlight w:val="none"/>
        </w:rPr>
        <w:t xml:space="preserve">（</w:t>
      </w:r>
      <w:r>
        <w:rPr>
          <w:rFonts w:hint="eastAsia" w:ascii="方正仿宋_GB2312" w:hAnsi="方正仿宋_GB2312" w:eastAsia="方正仿宋_GB2312" w:cs="方正仿宋_GB2312"/>
          <w:color w:val="000000" w:themeColor="text1"/>
          <w:sz w:val="24"/>
          <w:szCs w:val="24"/>
          <w:highlight w:val="none"/>
        </w:rPr>
        <w:t xml:space="preserve">盖CA电子公章</w:t>
      </w:r>
      <w:r>
        <w:rPr>
          <w:rFonts w:hint="eastAsia" w:ascii="方正仿宋_GB2312" w:hAnsi="方正仿宋_GB2312" w:eastAsia="方正仿宋_GB2312" w:cs="方正仿宋_GB2312"/>
          <w:color w:val="000000" w:themeColor="text1"/>
          <w:sz w:val="24"/>
          <w:highlight w:val="none"/>
        </w:rPr>
        <w:t xml:space="preserve">）</w:t>
      </w:r>
      <w:r>
        <w:rPr>
          <w:rFonts w:hint="eastAsia" w:ascii="方正仿宋_GB2312" w:hAnsi="方正仿宋_GB2312" w:eastAsia="方正仿宋_GB2312" w:cs="方正仿宋_GB2312"/>
          <w:color w:val="000000" w:themeColor="text1"/>
          <w:sz w:val="24"/>
          <w:highlight w:val="none"/>
        </w:rPr>
      </w:r>
      <w:r>
        <w:rPr>
          <w:color w:val="000000" w:themeColor="text1"/>
        </w:rPr>
      </w:r>
    </w:p>
    <w:p>
      <w:pPr>
        <w:pStyle w:val="1159"/>
        <w:ind w:firstLine="480"/>
        <w:jc w:val="left"/>
        <w:spacing w:line="500" w:lineRule="exact"/>
        <w:rPr>
          <w:rFonts w:hint="eastAsia" w:ascii="方正仿宋_GB2312" w:hAnsi="方正仿宋_GB2312" w:eastAsia="方正仿宋_GB2312" w:cs="方正仿宋_GB2312"/>
          <w:color w:val="000000" w:themeColor="text1"/>
          <w:sz w:val="24"/>
          <w:szCs w:val="20"/>
          <w:highlight w:val="none"/>
        </w:rPr>
      </w:pPr>
      <w:r>
        <w:rPr>
          <w:rFonts w:hint="eastAsia" w:ascii="方正仿宋_GB2312" w:hAnsi="方正仿宋_GB2312" w:eastAsia="方正仿宋_GB2312" w:cs="方正仿宋_GB2312"/>
          <w:color w:val="000000" w:themeColor="text1"/>
          <w:sz w:val="24"/>
          <w:szCs w:val="20"/>
          <w:highlight w:val="none"/>
        </w:rPr>
        <w:t xml:space="preserve">日期：  年  月  日</w:t>
      </w:r>
      <w:r>
        <w:rPr>
          <w:rFonts w:hint="eastAsia" w:ascii="方正仿宋_GB2312" w:hAnsi="方正仿宋_GB2312" w:eastAsia="方正仿宋_GB2312" w:cs="方正仿宋_GB2312"/>
          <w:color w:val="000000" w:themeColor="text1"/>
          <w:sz w:val="24"/>
          <w:szCs w:val="20"/>
          <w:highlight w:val="none"/>
        </w:rPr>
      </w:r>
      <w:r>
        <w:rPr>
          <w:color w:val="000000" w:themeColor="text1"/>
        </w:rPr>
      </w:r>
    </w:p>
    <w:p>
      <w:pPr>
        <w:pStyle w:val="1161"/>
        <w:ind w:right="1560" w:firstLine="480"/>
        <w:jc w:val="center"/>
        <w:spacing w:line="588" w:lineRule="exact"/>
        <w:tabs>
          <w:tab w:val="left" w:pos="4860" w:leader="none"/>
        </w:tabs>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1163"/>
        <w:ind w:left="357" w:firstLine="0"/>
        <w:spacing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1160"/>
        <w:ind w:firstLine="442"/>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备注：1.非残疾人福利性单位不需提供此函。</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1160"/>
        <w:ind w:firstLine="442"/>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1160"/>
        <w:ind w:firstLine="442"/>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1160"/>
        <w:ind w:firstLine="442"/>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1160"/>
        <w:ind w:firstLine="442"/>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116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1160"/>
        <w:ind w:firstLine="442"/>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1160"/>
        <w:ind w:firstLine="442"/>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1160"/>
        <w:ind w:firstLine="442"/>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1177"/>
        <w:rPr>
          <w:rFonts w:hint="eastAsia" w:ascii="方正仿宋_GB2312" w:hAnsi="方正仿宋_GB2312" w:eastAsia="方正仿宋_GB2312" w:cs="方正仿宋_GB2312"/>
          <w:color w:val="000000" w:themeColor="text1"/>
          <w:highlight w:val="none"/>
        </w:rPr>
        <w:outlineLvl w:val="1"/>
      </w:pPr>
      <w:r>
        <w:rPr>
          <w:color w:val="000000" w:themeColor="text1"/>
        </w:rPr>
      </w:r>
      <w:bookmarkStart w:id="166" w:name="_Toc25337"/>
      <w:r>
        <w:rPr>
          <w:color w:val="000000" w:themeColor="text1"/>
        </w:rPr>
      </w:r>
      <w:bookmarkStart w:id="167" w:name="_Toc15871"/>
      <w:r>
        <w:rPr>
          <w:rFonts w:hint="eastAsia" w:ascii="方正仿宋_GB2312" w:hAnsi="方正仿宋_GB2312" w:eastAsia="方正仿宋_GB2312" w:cs="方正仿宋_GB2312"/>
          <w:color w:val="000000" w:themeColor="text1"/>
          <w:szCs w:val="24"/>
          <w:highlight w:val="none"/>
        </w:rPr>
        <w:br w:type="page" w:clear="all"/>
      </w:r>
      <w:bookmarkStart w:id="168" w:name="_Toc162865681"/>
      <w:r>
        <w:rPr>
          <w:rFonts w:hint="eastAsia" w:ascii="方正仿宋_GB2312" w:hAnsi="方正仿宋_GB2312" w:eastAsia="方正仿宋_GB2312" w:cs="方正仿宋_GB2312"/>
          <w:color w:val="000000" w:themeColor="text1"/>
          <w:szCs w:val="24"/>
          <w:highlight w:val="none"/>
          <w:lang w:val="en-US" w:eastAsia="zh-CN"/>
        </w:rPr>
        <w:t xml:space="preserve">六、</w:t>
      </w:r>
      <w:r>
        <w:rPr>
          <w:rFonts w:hint="eastAsia" w:ascii="方正仿宋_GB2312" w:hAnsi="方正仿宋_GB2312" w:eastAsia="方正仿宋_GB2312" w:cs="方正仿宋_GB2312"/>
          <w:color w:val="000000" w:themeColor="text1"/>
          <w:highlight w:val="none"/>
        </w:rPr>
        <w:t xml:space="preserve">技术要求响应及偏离表</w:t>
      </w:r>
      <w:bookmarkEnd w:id="168"/>
      <w:r>
        <w:rPr>
          <w:rFonts w:hint="eastAsia" w:ascii="方正仿宋_GB2312" w:hAnsi="方正仿宋_GB2312" w:eastAsia="方正仿宋_GB2312" w:cs="方正仿宋_GB2312"/>
          <w:color w:val="000000" w:themeColor="text1"/>
          <w:highlight w:val="none"/>
        </w:rPr>
      </w:r>
      <w:r>
        <w:rPr>
          <w:color w:val="000000" w:themeColor="text1"/>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序号</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3291" w:type="dxa"/>
            <w:vAlign w:val="center"/>
            <w:textDirection w:val="lrTb"/>
            <w:noWrap w:val="false"/>
          </w:tcPr>
          <w:p>
            <w:pPr>
              <w:pStyle w:val="819"/>
              <w:jc w:val="center"/>
              <w:spacing w:before="0" w:beforeAutospacing="0" w:after="0" w:afterAutospacing="0" w:line="360" w:lineRule="auto"/>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t xml:space="preserve">技术要求和商务要求中的实质性要求（打“★”内容）</w:t>
            </w:r>
            <w:r>
              <w:rPr>
                <w:rFonts w:hint="eastAsia" w:ascii="方正仿宋_GB2312" w:hAnsi="方正仿宋_GB2312" w:eastAsia="方正仿宋_GB2312" w:cs="方正仿宋_GB2312"/>
                <w:color w:val="000000" w:themeColor="text1"/>
                <w:highlight w:val="none"/>
              </w:rPr>
            </w:r>
            <w:r>
              <w:rPr>
                <w:color w:val="000000" w:themeColor="text1"/>
              </w:rPr>
            </w:r>
          </w:p>
        </w:tc>
        <w:tc>
          <w:tcPr>
            <w:tcW w:w="2852" w:type="dxa"/>
            <w:vAlign w:val="center"/>
            <w:textDirection w:val="lrTb"/>
            <w:noWrap w:val="false"/>
          </w:tcPr>
          <w:p>
            <w:pPr>
              <w:pStyle w:val="819"/>
              <w:jc w:val="center"/>
              <w:spacing w:before="0" w:beforeAutospacing="0" w:after="0" w:afterAutospacing="0" w:line="360" w:lineRule="auto"/>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t xml:space="preserve">响应情况（填报“响应或完全响应”）</w:t>
            </w:r>
            <w:r>
              <w:rPr>
                <w:rFonts w:hint="eastAsia" w:ascii="方正仿宋_GB2312" w:hAnsi="方正仿宋_GB2312" w:eastAsia="方正仿宋_GB2312" w:cs="方正仿宋_GB2312"/>
                <w:color w:val="000000" w:themeColor="text1"/>
                <w:highlight w:val="none"/>
              </w:rPr>
            </w:r>
            <w:r>
              <w:rPr>
                <w:color w:val="000000" w:themeColor="text1"/>
              </w:rPr>
            </w:r>
          </w:p>
        </w:tc>
        <w:tc>
          <w:tcPr>
            <w:tcW w:w="1308" w:type="dxa"/>
            <w:vAlign w:val="center"/>
            <w:textDirection w:val="lrTb"/>
            <w:noWrap w:val="false"/>
          </w:tcPr>
          <w:p>
            <w:pPr>
              <w:pStyle w:val="819"/>
              <w:jc w:val="center"/>
              <w:spacing w:before="0" w:beforeAutospacing="0" w:after="0" w:afterAutospacing="0" w:line="360" w:lineRule="auto"/>
              <w:rPr>
                <w:rFonts w:hint="eastAsia" w:ascii="方正仿宋_GB2312" w:hAnsi="方正仿宋_GB2312" w:eastAsia="方正仿宋_GB2312" w:cs="方正仿宋_GB2312"/>
                <w:color w:val="000000" w:themeColor="text1"/>
                <w:highlight w:val="none"/>
              </w:rPr>
            </w:pPr>
            <w:r>
              <w:rPr>
                <w:rFonts w:hint="eastAsia" w:ascii="方正仿宋_GB2312" w:hAnsi="方正仿宋_GB2312" w:eastAsia="方正仿宋_GB2312" w:cs="方正仿宋_GB2312"/>
                <w:color w:val="000000" w:themeColor="text1"/>
                <w:highlight w:val="none"/>
              </w:rPr>
              <w:t xml:space="preserve">偏离（填报“正偏离、符合或负偏离”）</w:t>
            </w:r>
            <w:r>
              <w:rPr>
                <w:rFonts w:hint="eastAsia" w:ascii="方正仿宋_GB2312" w:hAnsi="方正仿宋_GB2312" w:eastAsia="方正仿宋_GB2312" w:cs="方正仿宋_GB2312"/>
                <w:color w:val="000000" w:themeColor="text1"/>
                <w:highlight w:val="none"/>
              </w:rPr>
            </w:r>
            <w:r>
              <w:rPr>
                <w:color w:val="000000" w:themeColor="text1"/>
              </w:rPr>
            </w:r>
          </w:p>
        </w:tc>
        <w:tc>
          <w:tcPr>
            <w:tcW w:w="1173"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证明</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材料</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cantSplit/>
          <w:trHeight w:val="640"/>
        </w:trPr>
        <w:tc>
          <w:tcPr>
            <w:tcW w:w="545"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3291"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2852"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1308"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1173"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cantSplit/>
          <w:trHeight w:val="640"/>
        </w:trPr>
        <w:tc>
          <w:tcPr>
            <w:tcW w:w="545"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3291"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2852"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1308"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1173"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cantSplit/>
          <w:trHeight w:val="640"/>
        </w:trPr>
        <w:tc>
          <w:tcPr>
            <w:tcW w:w="545"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3291"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2852"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1308"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1173"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cantSplit/>
          <w:trHeight w:val="640"/>
        </w:trPr>
        <w:tc>
          <w:tcPr>
            <w:tcW w:w="545"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3291"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2852"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1308"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1173"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cantSplit/>
          <w:trHeight w:val="640"/>
        </w:trPr>
        <w:tc>
          <w:tcPr>
            <w:tcW w:w="545"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3291"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2852"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1308"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1173"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cantSplit/>
          <w:trHeight w:val="640"/>
        </w:trPr>
        <w:tc>
          <w:tcPr>
            <w:tcW w:w="545"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3291"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2852"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1308"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1173"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cantSplit/>
          <w:trHeight w:val="640"/>
        </w:trPr>
        <w:tc>
          <w:tcPr>
            <w:tcW w:w="545"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3291"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2852"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1308"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1173"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r>
        <w:trPr>
          <w:cantSplit/>
          <w:trHeight w:val="640"/>
        </w:trPr>
        <w:tc>
          <w:tcPr>
            <w:tcW w:w="545"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3291"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2852"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1308"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c>
          <w:tcPr>
            <w:tcW w:w="1173"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tc>
      </w:tr>
    </w:tbl>
    <w:p>
      <w:pPr>
        <w:pStyle w:val="799"/>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1.投标人必须对技术要求和商务要求中的实质性要求（打“★”内容）做出明确响应，否则作无效响应处理。</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2.如果采购文件要求提供证明材料，投标人必须将证明材料列于该表之下。</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3.投标人未对实质性要求作出明确响应的，或未按采购文件要求提供证明材料的，该分包作无效响应处理。</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4.行数不够，可自行添加。</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896"/>
        <w:spacing w:line="360" w:lineRule="auto"/>
        <w:rPr>
          <w:rFonts w:ascii="方正仿宋_GB2312" w:hAnsi="方正仿宋_GB2312" w:eastAsia="方正仿宋_GB2312" w:cs="方正仿宋_GB2312"/>
          <w:color w:val="000000" w:themeColor="text1"/>
          <w:szCs w:val="24"/>
          <w:highlight w:val="none"/>
        </w:rPr>
      </w:pPr>
      <w:r>
        <w:rPr>
          <w:rFonts w:hint="eastAsia" w:ascii="方正仿宋_GB2312" w:hAnsi="方正仿宋_GB2312" w:eastAsia="方正仿宋_GB2312" w:cs="方正仿宋_GB2312"/>
          <w:color w:val="000000" w:themeColor="text1"/>
          <w:szCs w:val="24"/>
          <w:highlight w:val="none"/>
        </w:rPr>
        <w:br w:type="page" w:clear="all"/>
      </w:r>
      <w:r>
        <w:rPr>
          <w:rFonts w:hint="eastAsia" w:ascii="方正仿宋_GB2312" w:hAnsi="方正仿宋_GB2312" w:eastAsia="方正仿宋_GB2312" w:cs="方正仿宋_GB2312"/>
          <w:color w:val="000000" w:themeColor="text1"/>
          <w:szCs w:val="24"/>
          <w:highlight w:val="none"/>
          <w:lang w:val="en-US" w:eastAsia="zh-CN"/>
        </w:rPr>
        <w:t xml:space="preserve">七、项目实施方案</w:t>
      </w:r>
      <w:r>
        <w:rPr>
          <w:rFonts w:ascii="方正仿宋_GB2312" w:hAnsi="方正仿宋_GB2312" w:eastAsia="方正仿宋_GB2312" w:cs="方正仿宋_GB2312"/>
          <w:color w:val="000000" w:themeColor="text1"/>
          <w:szCs w:val="24"/>
          <w:highlight w:val="none"/>
          <w:lang w:val="en-US" w:eastAsia="zh-CN"/>
        </w:rPr>
      </w:r>
      <w:r>
        <w:rPr>
          <w:color w:val="000000" w:themeColor="text1"/>
        </w:rPr>
      </w:r>
    </w:p>
    <w:p>
      <w:pPr>
        <w:pStyle w:val="896"/>
        <w:spacing w:line="360" w:lineRule="auto"/>
        <w:rPr>
          <w:rFonts w:hint="eastAsia" w:ascii="方正仿宋_GB2312" w:hAnsi="方正仿宋_GB2312" w:eastAsia="方正仿宋_GB2312" w:cs="方正仿宋_GB2312"/>
          <w:color w:val="000000" w:themeColor="text1"/>
          <w:szCs w:val="24"/>
          <w:highlight w:val="none"/>
        </w:rPr>
      </w:pPr>
      <w:r>
        <w:rPr>
          <w:rFonts w:hint="eastAsia" w:ascii="方正仿宋_GB2312" w:hAnsi="方正仿宋_GB2312" w:eastAsia="方正仿宋_GB2312" w:cs="方正仿宋_GB2312"/>
          <w:color w:val="000000" w:themeColor="text1"/>
          <w:szCs w:val="24"/>
          <w:highlight w:val="none"/>
        </w:rPr>
        <w:br w:type="page" w:clear="all"/>
      </w:r>
      <w:r>
        <w:rPr>
          <w:rFonts w:hint="eastAsia" w:ascii="方正仿宋_GB2312" w:hAnsi="方正仿宋_GB2312" w:eastAsia="方正仿宋_GB2312" w:cs="方正仿宋_GB2312"/>
          <w:color w:val="000000" w:themeColor="text1"/>
          <w:szCs w:val="24"/>
          <w:highlight w:val="none"/>
          <w:lang w:val="en-US" w:eastAsia="zh-CN"/>
        </w:rPr>
        <w:t xml:space="preserve">八</w:t>
      </w:r>
      <w:r>
        <w:rPr>
          <w:rFonts w:hint="eastAsia" w:ascii="方正仿宋_GB2312" w:hAnsi="方正仿宋_GB2312" w:eastAsia="方正仿宋_GB2312" w:cs="方正仿宋_GB2312"/>
          <w:color w:val="000000" w:themeColor="text1"/>
          <w:szCs w:val="24"/>
          <w:highlight w:val="none"/>
        </w:rPr>
        <w:t xml:space="preserve">、项目组成员</w:t>
      </w:r>
      <w:r>
        <w:rPr>
          <w:rFonts w:hint="eastAsia" w:ascii="方正仿宋_GB2312" w:hAnsi="方正仿宋_GB2312" w:eastAsia="方正仿宋_GB2312" w:cs="方正仿宋_GB2312"/>
          <w:color w:val="000000" w:themeColor="text1"/>
          <w:szCs w:val="24"/>
          <w:highlight w:val="none"/>
        </w:rPr>
      </w:r>
      <w:r>
        <w:rPr>
          <w:color w:val="000000" w:themeColor="text1"/>
        </w:rPr>
      </w:r>
    </w:p>
    <w:p>
      <w:pPr>
        <w:pStyle w:val="799"/>
        <w:jc w:val="center"/>
        <w:spacing w:line="360" w:lineRule="auto"/>
        <w:rPr>
          <w:rFonts w:hint="eastAsia" w:ascii="方正仿宋_GB2312" w:hAnsi="方正仿宋_GB2312" w:eastAsia="方正仿宋_GB2312" w:cs="方正仿宋_GB2312"/>
          <w:b/>
          <w:color w:val="000000" w:themeColor="text1"/>
          <w:sz w:val="28"/>
          <w:szCs w:val="28"/>
          <w:highlight w:val="none"/>
        </w:rPr>
      </w:pPr>
      <w:r>
        <w:rPr>
          <w:rFonts w:hint="eastAsia" w:ascii="方正仿宋_GB2312" w:hAnsi="方正仿宋_GB2312" w:eastAsia="方正仿宋_GB2312" w:cs="方正仿宋_GB2312"/>
          <w:b/>
          <w:color w:val="000000" w:themeColor="text1"/>
          <w:sz w:val="28"/>
          <w:szCs w:val="28"/>
          <w:highlight w:val="none"/>
        </w:rPr>
        <w:t xml:space="preserve">拟选派项目经理简历表</w:t>
      </w:r>
      <w:r>
        <w:rPr>
          <w:rFonts w:hint="eastAsia" w:ascii="方正仿宋_GB2312" w:hAnsi="方正仿宋_GB2312" w:eastAsia="方正仿宋_GB2312" w:cs="方正仿宋_GB2312"/>
          <w:b/>
          <w:color w:val="000000" w:themeColor="text1"/>
          <w:sz w:val="28"/>
          <w:szCs w:val="28"/>
          <w:highlight w:val="none"/>
        </w:rPr>
      </w:r>
      <w:r>
        <w:rPr>
          <w:color w:val="000000" w:themeColor="text1"/>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trHeight w:val="606"/>
        </w:trPr>
        <w:tc>
          <w:tcPr>
            <w:gridSpan w:val="2"/>
            <w:tcW w:w="1966"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姓  名</w:t>
            </w: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c>
          <w:tcPr>
            <w:tcW w:w="1049"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c>
          <w:tcPr>
            <w:gridSpan w:val="2"/>
            <w:tcW w:w="901"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年 龄</w:t>
            </w: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c>
          <w:tcPr>
            <w:tcW w:w="768"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c>
          <w:tcPr>
            <w:gridSpan w:val="3"/>
            <w:tcW w:w="2337"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学历</w:t>
            </w: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c>
          <w:tcPr>
            <w:gridSpan w:val="2"/>
            <w:tcW w:w="1862"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r>
      <w:tr>
        <w:trPr>
          <w:trHeight w:val="1005"/>
        </w:trPr>
        <w:tc>
          <w:tcPr>
            <w:gridSpan w:val="2"/>
            <w:tcW w:w="1966"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毕业学校</w:t>
            </w: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c>
          <w:tcPr>
            <w:gridSpan w:val="9"/>
            <w:tcW w:w="6917"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年毕业于  </w:t>
            </w:r>
            <w:r>
              <w:rPr>
                <w:rFonts w:hint="eastAsia" w:ascii="方正仿宋_GB2312" w:hAnsi="方正仿宋_GB2312" w:eastAsia="方正仿宋_GB2312" w:cs="方正仿宋_GB2312"/>
                <w:color w:val="000000" w:themeColor="text1"/>
                <w:sz w:val="28"/>
                <w:szCs w:val="28"/>
                <w:highlight w:val="none"/>
                <w:u w:val="single"/>
              </w:rPr>
              <w:t xml:space="preserve">          </w:t>
            </w:r>
            <w:r>
              <w:rPr>
                <w:rFonts w:hint="eastAsia" w:ascii="方正仿宋_GB2312" w:hAnsi="方正仿宋_GB2312" w:eastAsia="方正仿宋_GB2312" w:cs="方正仿宋_GB2312"/>
                <w:color w:val="000000" w:themeColor="text1"/>
                <w:sz w:val="28"/>
                <w:szCs w:val="28"/>
                <w:highlight w:val="none"/>
              </w:rPr>
              <w:t xml:space="preserve">学校</w:t>
            </w:r>
            <w:r>
              <w:rPr>
                <w:rFonts w:hint="eastAsia" w:ascii="方正仿宋_GB2312" w:hAnsi="方正仿宋_GB2312" w:eastAsia="方正仿宋_GB2312" w:cs="方正仿宋_GB2312"/>
                <w:color w:val="000000" w:themeColor="text1"/>
                <w:sz w:val="28"/>
                <w:szCs w:val="28"/>
                <w:highlight w:val="none"/>
                <w:u w:val="single"/>
              </w:rPr>
              <w:t xml:space="preserve">        </w:t>
            </w:r>
            <w:r>
              <w:rPr>
                <w:rFonts w:hint="eastAsia" w:ascii="方正仿宋_GB2312" w:hAnsi="方正仿宋_GB2312" w:eastAsia="方正仿宋_GB2312" w:cs="方正仿宋_GB2312"/>
                <w:color w:val="000000" w:themeColor="text1"/>
                <w:sz w:val="28"/>
                <w:szCs w:val="28"/>
                <w:highlight w:val="none"/>
              </w:rPr>
              <w:t xml:space="preserve">专业</w:t>
            </w: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r>
      <w:tr>
        <w:trPr>
          <w:trHeight w:val="1116"/>
        </w:trPr>
        <w:tc>
          <w:tcPr>
            <w:gridSpan w:val="2"/>
            <w:tcW w:w="1966" w:type="dxa"/>
            <w:vAlign w:val="center"/>
            <w:textDirection w:val="lrTb"/>
            <w:noWrap w:val="false"/>
          </w:tcPr>
          <w:p>
            <w:pPr>
              <w:pStyle w:val="799"/>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专业技术职称</w:t>
            </w: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c>
          <w:tcPr>
            <w:gridSpan w:val="4"/>
            <w:tcW w:w="2718" w:type="dxa"/>
            <w:vAlign w:val="center"/>
            <w:textDirection w:val="lrTb"/>
            <w:noWrap w:val="false"/>
          </w:tcPr>
          <w:p>
            <w:pPr>
              <w:pStyle w:val="799"/>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c>
          <w:tcPr>
            <w:gridSpan w:val="2"/>
            <w:tcW w:w="1984" w:type="dxa"/>
            <w:vAlign w:val="center"/>
            <w:textDirection w:val="lrTb"/>
            <w:noWrap w:val="false"/>
          </w:tcPr>
          <w:p>
            <w:pPr>
              <w:pStyle w:val="799"/>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执业资格证书及注册编号</w:t>
            </w: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c>
          <w:tcPr>
            <w:gridSpan w:val="3"/>
            <w:tcW w:w="2215" w:type="dxa"/>
            <w:vAlign w:val="center"/>
            <w:textDirection w:val="lrTb"/>
            <w:noWrap w:val="false"/>
          </w:tcPr>
          <w:p>
            <w:pPr>
              <w:pStyle w:val="799"/>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r>
      <w:tr>
        <w:trPr>
          <w:trHeight w:val="683"/>
        </w:trPr>
        <w:tc>
          <w:tcPr>
            <w:gridSpan w:val="11"/>
            <w:tcW w:w="8883"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主要主持的类似项目</w:t>
            </w: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r>
      <w:tr>
        <w:trPr>
          <w:trHeight w:val="683"/>
        </w:trPr>
        <w:tc>
          <w:tcPr>
            <w:tcW w:w="856"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序号</w:t>
            </w: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c>
          <w:tcPr>
            <w:gridSpan w:val="3"/>
            <w:tcW w:w="2835"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项目名称</w:t>
            </w: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c>
          <w:tcPr>
            <w:gridSpan w:val="3"/>
            <w:tcW w:w="1948"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合同甲方</w:t>
            </w: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c>
          <w:tcPr>
            <w:gridSpan w:val="3"/>
            <w:tcW w:w="1596"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获得的</w:t>
            </w:r>
            <w:r>
              <w:rPr>
                <w:rFonts w:hint="eastAsia" w:ascii="方正仿宋_GB2312" w:hAnsi="方正仿宋_GB2312" w:eastAsia="方正仿宋_GB2312" w:cs="方正仿宋_GB2312"/>
                <w:color w:val="000000" w:themeColor="text1"/>
                <w:sz w:val="28"/>
                <w:szCs w:val="28"/>
                <w:highlight w:val="none"/>
              </w:rPr>
            </w:r>
            <w:r>
              <w:rPr>
                <w:color w:val="000000" w:themeColor="text1"/>
              </w:rPr>
            </w:r>
          </w:p>
          <w:p>
            <w:pPr>
              <w:pStyle w:val="799"/>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奖项</w:t>
            </w: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c>
          <w:tcPr>
            <w:tcW w:w="1648" w:type="dxa"/>
            <w:vAlign w:val="center"/>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备注</w:t>
            </w: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r>
      <w:tr>
        <w:trPr>
          <w:trHeight w:val="713"/>
        </w:trPr>
        <w:tc>
          <w:tcPr>
            <w:tcW w:w="856" w:type="dxa"/>
            <w:vAlign w:val="top"/>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1</w:t>
            </w: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c>
          <w:tcPr>
            <w:gridSpan w:val="3"/>
            <w:tcW w:w="2835" w:type="dxa"/>
            <w:vAlign w:val="top"/>
            <w:textDirection w:val="lrTb"/>
            <w:noWrap w:val="false"/>
          </w:tcPr>
          <w:p>
            <w:pPr>
              <w:pStyle w:val="799"/>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c>
          <w:tcPr>
            <w:gridSpan w:val="3"/>
            <w:tcW w:w="1948" w:type="dxa"/>
            <w:vAlign w:val="top"/>
            <w:textDirection w:val="lrTb"/>
            <w:noWrap w:val="false"/>
          </w:tcPr>
          <w:p>
            <w:pPr>
              <w:pStyle w:val="799"/>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c>
          <w:tcPr>
            <w:gridSpan w:val="3"/>
            <w:tcW w:w="1596" w:type="dxa"/>
            <w:vAlign w:val="top"/>
            <w:textDirection w:val="lrTb"/>
            <w:noWrap w:val="false"/>
          </w:tcPr>
          <w:p>
            <w:pPr>
              <w:pStyle w:val="799"/>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c>
          <w:tcPr>
            <w:tcW w:w="1648" w:type="dxa"/>
            <w:vAlign w:val="top"/>
            <w:textDirection w:val="lrTb"/>
            <w:noWrap w:val="false"/>
          </w:tcPr>
          <w:p>
            <w:pPr>
              <w:pStyle w:val="799"/>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r>
      <w:tr>
        <w:trPr>
          <w:trHeight w:val="713"/>
        </w:trPr>
        <w:tc>
          <w:tcPr>
            <w:tcW w:w="856" w:type="dxa"/>
            <w:vAlign w:val="top"/>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2</w:t>
            </w: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c>
          <w:tcPr>
            <w:gridSpan w:val="3"/>
            <w:tcW w:w="2835" w:type="dxa"/>
            <w:vAlign w:val="top"/>
            <w:textDirection w:val="lrTb"/>
            <w:noWrap w:val="false"/>
          </w:tcPr>
          <w:p>
            <w:pPr>
              <w:pStyle w:val="799"/>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c>
          <w:tcPr>
            <w:gridSpan w:val="3"/>
            <w:tcW w:w="1948" w:type="dxa"/>
            <w:vAlign w:val="top"/>
            <w:textDirection w:val="lrTb"/>
            <w:noWrap w:val="false"/>
          </w:tcPr>
          <w:p>
            <w:pPr>
              <w:pStyle w:val="799"/>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c>
          <w:tcPr>
            <w:gridSpan w:val="3"/>
            <w:tcW w:w="1596" w:type="dxa"/>
            <w:vAlign w:val="top"/>
            <w:textDirection w:val="lrTb"/>
            <w:noWrap w:val="false"/>
          </w:tcPr>
          <w:p>
            <w:pPr>
              <w:pStyle w:val="799"/>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c>
          <w:tcPr>
            <w:tcW w:w="1648" w:type="dxa"/>
            <w:vAlign w:val="top"/>
            <w:textDirection w:val="lrTb"/>
            <w:noWrap w:val="false"/>
          </w:tcPr>
          <w:p>
            <w:pPr>
              <w:pStyle w:val="799"/>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r>
      <w:tr>
        <w:trPr>
          <w:trHeight w:val="713"/>
        </w:trPr>
        <w:tc>
          <w:tcPr>
            <w:tcW w:w="856" w:type="dxa"/>
            <w:vAlign w:val="top"/>
            <w:textDirection w:val="lrTb"/>
            <w:noWrap w:val="false"/>
          </w:tcPr>
          <w:p>
            <w:pPr>
              <w:pStyle w:val="799"/>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3</w:t>
            </w: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c>
          <w:tcPr>
            <w:gridSpan w:val="3"/>
            <w:tcW w:w="2835" w:type="dxa"/>
            <w:vAlign w:val="top"/>
            <w:textDirection w:val="lrTb"/>
            <w:noWrap w:val="false"/>
          </w:tcPr>
          <w:p>
            <w:pPr>
              <w:pStyle w:val="799"/>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c>
          <w:tcPr>
            <w:gridSpan w:val="3"/>
            <w:tcW w:w="1948" w:type="dxa"/>
            <w:vAlign w:val="top"/>
            <w:textDirection w:val="lrTb"/>
            <w:noWrap w:val="false"/>
          </w:tcPr>
          <w:p>
            <w:pPr>
              <w:pStyle w:val="799"/>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c>
          <w:tcPr>
            <w:gridSpan w:val="3"/>
            <w:tcW w:w="1596" w:type="dxa"/>
            <w:vAlign w:val="top"/>
            <w:textDirection w:val="lrTb"/>
            <w:noWrap w:val="false"/>
          </w:tcPr>
          <w:p>
            <w:pPr>
              <w:pStyle w:val="799"/>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c>
          <w:tcPr>
            <w:tcW w:w="1648" w:type="dxa"/>
            <w:vAlign w:val="top"/>
            <w:textDirection w:val="lrTb"/>
            <w:noWrap w:val="false"/>
          </w:tcPr>
          <w:p>
            <w:pPr>
              <w:pStyle w:val="799"/>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r>
            <w:r>
              <w:rPr>
                <w:color w:val="000000" w:themeColor="text1"/>
              </w:rPr>
            </w:r>
          </w:p>
        </w:tc>
      </w:tr>
    </w:tbl>
    <w:p>
      <w:pPr>
        <w:pStyle w:val="799"/>
        <w:ind w:firstLine="398"/>
        <w:jc w:val="left"/>
        <w:spacing w:line="360" w:lineRule="auto"/>
        <w:widowControl/>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rPr>
        <w:t xml:space="preserve">注：1</w:t>
      </w:r>
      <w:r>
        <w:rPr>
          <w:rFonts w:hint="eastAsia" w:ascii="方正仿宋_GB2312" w:hAnsi="方正仿宋_GB2312" w:eastAsia="方正仿宋_GB2312" w:cs="方正仿宋_GB2312"/>
          <w:b/>
          <w:color w:val="000000" w:themeColor="text1"/>
          <w:sz w:val="24"/>
          <w:szCs w:val="24"/>
          <w:highlight w:val="none"/>
          <w:lang w:val="en-US" w:eastAsia="zh-CN"/>
        </w:rPr>
        <w:t xml:space="preserve">.</w:t>
      </w:r>
      <w:r>
        <w:rPr>
          <w:rFonts w:hint="eastAsia" w:ascii="方正仿宋_GB2312" w:hAnsi="方正仿宋_GB2312" w:eastAsia="方正仿宋_GB2312" w:cs="方正仿宋_GB2312"/>
          <w:b/>
          <w:color w:val="000000" w:themeColor="text1"/>
          <w:sz w:val="24"/>
          <w:szCs w:val="24"/>
          <w:highlight w:val="none"/>
        </w:rPr>
        <w:t xml:space="preserve">投标文件中需按要求提供项目负责人有关证书证明。</w:t>
      </w:r>
      <w:r>
        <w:rPr>
          <w:rFonts w:hint="eastAsia" w:ascii="方正仿宋_GB2312" w:hAnsi="方正仿宋_GB2312" w:eastAsia="方正仿宋_GB2312" w:cs="方正仿宋_GB2312"/>
          <w:b/>
          <w:color w:val="000000" w:themeColor="text1"/>
          <w:sz w:val="24"/>
          <w:szCs w:val="24"/>
          <w:highlight w:val="none"/>
        </w:rPr>
      </w:r>
      <w:r>
        <w:rPr>
          <w:color w:val="000000" w:themeColor="text1"/>
        </w:rPr>
      </w:r>
    </w:p>
    <w:p>
      <w:pPr>
        <w:pStyle w:val="799"/>
        <w:ind w:firstLine="879"/>
        <w:jc w:val="left"/>
        <w:spacing w:line="360" w:lineRule="auto"/>
        <w:widowControl/>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rPr>
        <w:t xml:space="preserve">2</w:t>
      </w:r>
      <w:r>
        <w:rPr>
          <w:rFonts w:hint="eastAsia" w:ascii="方正仿宋_GB2312" w:hAnsi="方正仿宋_GB2312" w:eastAsia="方正仿宋_GB2312" w:cs="方正仿宋_GB2312"/>
          <w:b/>
          <w:color w:val="000000" w:themeColor="text1"/>
          <w:sz w:val="24"/>
          <w:szCs w:val="24"/>
          <w:highlight w:val="none"/>
          <w:lang w:val="en-US" w:eastAsia="zh-CN"/>
        </w:rPr>
        <w:t xml:space="preserve">.</w:t>
      </w:r>
      <w:r>
        <w:rPr>
          <w:rFonts w:hint="eastAsia" w:ascii="方正仿宋_GB2312" w:hAnsi="方正仿宋_GB2312" w:eastAsia="方正仿宋_GB2312" w:cs="方正仿宋_GB2312"/>
          <w:b/>
          <w:color w:val="000000" w:themeColor="text1"/>
          <w:sz w:val="24"/>
          <w:szCs w:val="24"/>
          <w:highlight w:val="none"/>
        </w:rPr>
        <w:t xml:space="preserve">如中标，项目负责人须本表承诺实施，不得更换。</w:t>
      </w:r>
      <w:r>
        <w:rPr>
          <w:rFonts w:hint="eastAsia" w:ascii="方正仿宋_GB2312" w:hAnsi="方正仿宋_GB2312" w:eastAsia="方正仿宋_GB2312" w:cs="方正仿宋_GB2312"/>
          <w:b/>
          <w:color w:val="000000" w:themeColor="text1"/>
          <w:sz w:val="24"/>
          <w:szCs w:val="24"/>
          <w:highlight w:val="none"/>
        </w:rPr>
      </w:r>
      <w:r>
        <w:rPr>
          <w:color w:val="000000" w:themeColor="text1"/>
        </w:rPr>
      </w:r>
    </w:p>
    <w:p>
      <w:pPr>
        <w:pStyle w:val="799"/>
        <w:jc w:val="center"/>
        <w:spacing w:line="360" w:lineRule="auto"/>
        <w:rPr>
          <w:rFonts w:hint="eastAsia" w:ascii="方正仿宋_GB2312" w:hAnsi="方正仿宋_GB2312" w:eastAsia="方正仿宋_GB2312" w:cs="方正仿宋_GB2312"/>
          <w:b/>
          <w:bCs/>
          <w:color w:val="000000" w:themeColor="text1"/>
          <w:sz w:val="28"/>
          <w:szCs w:val="28"/>
          <w:highlight w:val="none"/>
        </w:rPr>
      </w:pPr>
      <w:r>
        <w:rPr>
          <w:rFonts w:hint="eastAsia" w:ascii="方正仿宋_GB2312" w:hAnsi="方正仿宋_GB2312" w:eastAsia="方正仿宋_GB2312" w:cs="方正仿宋_GB2312"/>
          <w:b/>
          <w:bCs/>
          <w:color w:val="000000" w:themeColor="text1"/>
          <w:sz w:val="28"/>
          <w:szCs w:val="28"/>
          <w:highlight w:val="none"/>
        </w:rPr>
      </w:r>
      <w:r>
        <w:rPr>
          <w:color w:val="000000" w:themeColor="text1"/>
        </w:rPr>
      </w:r>
    </w:p>
    <w:p>
      <w:pPr>
        <w:pStyle w:val="799"/>
        <w:jc w:val="center"/>
        <w:spacing w:line="360" w:lineRule="auto"/>
        <w:rPr>
          <w:rFonts w:hint="eastAsia" w:ascii="方正仿宋_GB2312" w:hAnsi="方正仿宋_GB2312" w:eastAsia="方正仿宋_GB2312" w:cs="方正仿宋_GB2312"/>
          <w:b/>
          <w:bCs/>
          <w:color w:val="000000" w:themeColor="text1"/>
          <w:sz w:val="28"/>
          <w:szCs w:val="28"/>
          <w:highlight w:val="none"/>
        </w:rPr>
      </w:pPr>
      <w:r>
        <w:rPr>
          <w:rFonts w:hint="eastAsia" w:ascii="方正仿宋_GB2312" w:hAnsi="方正仿宋_GB2312" w:eastAsia="方正仿宋_GB2312" w:cs="方正仿宋_GB2312"/>
          <w:b/>
          <w:bCs/>
          <w:color w:val="000000" w:themeColor="text1"/>
          <w:sz w:val="28"/>
          <w:szCs w:val="28"/>
          <w:highlight w:val="none"/>
        </w:rPr>
      </w:r>
      <w:r>
        <w:rPr>
          <w:color w:val="000000" w:themeColor="text1"/>
        </w:rPr>
      </w:r>
    </w:p>
    <w:p>
      <w:pPr>
        <w:pStyle w:val="799"/>
        <w:jc w:val="right"/>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t xml:space="preserve">投标人名称：（加盖CA电子公章）</w:t>
      </w:r>
      <w:r>
        <w:rPr>
          <w:rFonts w:hint="eastAsia" w:ascii="方正仿宋_GB2312" w:hAnsi="方正仿宋_GB2312" w:eastAsia="方正仿宋_GB2312" w:cs="方正仿宋_GB2312"/>
          <w:color w:val="000000" w:themeColor="text1"/>
          <w:sz w:val="28"/>
          <w:szCs w:val="28"/>
          <w:highlight w:val="none"/>
        </w:rPr>
      </w:r>
      <w:r>
        <w:rPr>
          <w:color w:val="000000" w:themeColor="text1"/>
        </w:rPr>
      </w:r>
    </w:p>
    <w:p>
      <w:pPr>
        <w:pStyle w:val="799"/>
        <w:jc w:val="center"/>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rPr>
        <w:br w:type="page" w:clear="all"/>
      </w:r>
      <w:r>
        <w:rPr>
          <w:rFonts w:hint="eastAsia" w:ascii="方正仿宋_GB2312" w:hAnsi="方正仿宋_GB2312" w:eastAsia="方正仿宋_GB2312" w:cs="方正仿宋_GB2312"/>
          <w:b/>
          <w:bCs/>
          <w:color w:val="000000" w:themeColor="text1"/>
          <w:sz w:val="28"/>
          <w:szCs w:val="28"/>
          <w:highlight w:val="none"/>
        </w:rPr>
        <w:t xml:space="preserve">项目拟投入人员一览表</w:t>
      </w:r>
      <w:r>
        <w:rPr>
          <w:rFonts w:hint="eastAsia" w:ascii="方正仿宋_GB2312" w:hAnsi="方正仿宋_GB2312" w:eastAsia="方正仿宋_GB2312" w:cs="方正仿宋_GB2312"/>
          <w:color w:val="000000" w:themeColor="text1"/>
          <w:sz w:val="28"/>
          <w:szCs w:val="28"/>
          <w:highlight w:val="none"/>
        </w:rPr>
      </w:r>
      <w:r>
        <w:rPr>
          <w:color w:val="000000" w:themeColor="text1"/>
        </w:rPr>
      </w:r>
    </w:p>
    <w:tbl>
      <w:tblPr>
        <w:tblpPr w:horzAnchor="margin" w:tblpXSpec="center" w:vertAnchor="text" w:tblpY="74" w:leftFromText="180" w:topFromText="0" w:rightFromText="180" w:bottomFromText="0"/>
        <w:tblW w:w="91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6"/>
        <w:gridCol w:w="1418"/>
        <w:gridCol w:w="850"/>
        <w:gridCol w:w="1527"/>
        <w:gridCol w:w="1592"/>
        <w:gridCol w:w="1275"/>
        <w:gridCol w:w="495"/>
      </w:tblGrid>
      <w:tr>
        <w:trPr>
          <w:trHeight w:val="1301"/>
        </w:trPr>
        <w:tc>
          <w:tcPr>
            <w:tcW w:w="675" w:type="dxa"/>
            <w:vAlign w:val="center"/>
            <w:textDirection w:val="lrTb"/>
            <w:noWrap w:val="false"/>
          </w:tcPr>
          <w:p>
            <w:pPr>
              <w:pStyle w:val="896"/>
              <w:spacing w:line="360" w:lineRule="auto"/>
              <w:rPr>
                <w:rFonts w:hint="eastAsia" w:ascii="方正仿宋_GB2312" w:hAnsi="方正仿宋_GB2312" w:eastAsia="方正仿宋_GB2312" w:cs="方正仿宋_GB2312"/>
                <w:b w:val="0"/>
                <w:bCs/>
                <w:color w:val="000000" w:themeColor="text1"/>
                <w:sz w:val="28"/>
                <w:szCs w:val="28"/>
                <w:highlight w:val="none"/>
              </w:rPr>
              <w:framePr w:vAnchor="page" w:hAnchor="page" w:xAlign="center" w:y="74"/>
            </w:pPr>
            <w:r>
              <w:rPr>
                <w:rFonts w:hint="eastAsia" w:ascii="方正仿宋_GB2312" w:hAnsi="方正仿宋_GB2312" w:eastAsia="方正仿宋_GB2312" w:cs="方正仿宋_GB2312"/>
                <w:b w:val="0"/>
                <w:bCs/>
                <w:color w:val="000000" w:themeColor="text1"/>
                <w:szCs w:val="24"/>
                <w:highlight w:val="none"/>
              </w:rPr>
              <w:br w:type="page" w:clear="all"/>
            </w:r>
            <w:r>
              <w:rPr>
                <w:rFonts w:hint="eastAsia" w:ascii="方正仿宋_GB2312" w:hAnsi="方正仿宋_GB2312" w:eastAsia="方正仿宋_GB2312" w:cs="方正仿宋_GB2312"/>
                <w:b w:val="0"/>
                <w:bCs/>
                <w:color w:val="000000" w:themeColor="text1"/>
                <w:sz w:val="28"/>
                <w:szCs w:val="28"/>
                <w:highlight w:val="none"/>
                <w:lang w:val="en-US" w:eastAsia="zh-CN" w:bidi="ar-SA"/>
              </w:rPr>
              <w:t xml:space="preserve">序号</w:t>
            </w:r>
            <w:r>
              <w:rPr>
                <w:rFonts w:hint="eastAsia" w:ascii="方正仿宋_GB2312" w:hAnsi="方正仿宋_GB2312" w:eastAsia="方正仿宋_GB2312" w:cs="方正仿宋_GB2312"/>
                <w:b w:val="0"/>
                <w:bCs/>
                <w:color w:val="000000" w:themeColor="text1"/>
                <w:sz w:val="28"/>
                <w:szCs w:val="28"/>
                <w:highlight w:val="none"/>
                <w:lang w:val="en-US" w:eastAsia="zh-CN" w:bidi="ar-SA"/>
              </w:rPr>
            </w:r>
            <w:r>
              <w:rPr>
                <w:color w:val="000000" w:themeColor="text1"/>
              </w:rPr>
            </w:r>
          </w:p>
        </w:tc>
        <w:tc>
          <w:tcPr>
            <w:tcW w:w="1276" w:type="dxa"/>
            <w:vAlign w:val="center"/>
            <w:textDirection w:val="lrTb"/>
            <w:noWrap w:val="false"/>
          </w:tcPr>
          <w:p>
            <w:pPr>
              <w:pStyle w:val="799"/>
              <w:jc w:val="center"/>
              <w:spacing w:line="400" w:lineRule="exact"/>
              <w:widowControl/>
              <w:rPr>
                <w:rFonts w:hint="eastAsia" w:ascii="方正仿宋_GB2312" w:hAnsi="方正仿宋_GB2312" w:eastAsia="方正仿宋_GB2312" w:cs="方正仿宋_GB2312"/>
                <w:b w:val="0"/>
                <w:bCs/>
                <w:color w:val="000000" w:themeColor="text1"/>
                <w:sz w:val="28"/>
                <w:szCs w:val="28"/>
                <w:highlight w:val="none"/>
              </w:rPr>
              <w:framePr w:vAnchor="page" w:hAnchor="page" w:xAlign="center" w:y="74"/>
            </w:pPr>
            <w:r>
              <w:rPr>
                <w:rFonts w:hint="eastAsia" w:ascii="方正仿宋_GB2312" w:hAnsi="方正仿宋_GB2312" w:eastAsia="方正仿宋_GB2312" w:cs="方正仿宋_GB2312"/>
                <w:b w:val="0"/>
                <w:bCs/>
                <w:color w:val="000000" w:themeColor="text1"/>
                <w:sz w:val="28"/>
                <w:szCs w:val="28"/>
                <w:highlight w:val="none"/>
                <w:lang w:val="en-US" w:eastAsia="zh-CN" w:bidi="ar-SA"/>
              </w:rPr>
              <w:t xml:space="preserve">姓名</w:t>
            </w:r>
            <w:r>
              <w:rPr>
                <w:rFonts w:hint="eastAsia" w:ascii="方正仿宋_GB2312" w:hAnsi="方正仿宋_GB2312" w:eastAsia="方正仿宋_GB2312" w:cs="方正仿宋_GB2312"/>
                <w:b w:val="0"/>
                <w:bCs/>
                <w:color w:val="000000" w:themeColor="text1"/>
                <w:sz w:val="28"/>
                <w:szCs w:val="28"/>
                <w:highlight w:val="none"/>
                <w:lang w:val="en-US" w:eastAsia="zh-CN" w:bidi="ar-SA"/>
              </w:rPr>
            </w:r>
            <w:r>
              <w:rPr>
                <w:color w:val="000000" w:themeColor="text1"/>
              </w:rPr>
            </w:r>
          </w:p>
        </w:tc>
        <w:tc>
          <w:tcPr>
            <w:tcW w:w="1418" w:type="dxa"/>
            <w:vAlign w:val="center"/>
            <w:textDirection w:val="lrTb"/>
            <w:noWrap w:val="false"/>
          </w:tcPr>
          <w:p>
            <w:pPr>
              <w:pStyle w:val="799"/>
              <w:jc w:val="center"/>
              <w:spacing w:line="400" w:lineRule="exact"/>
              <w:widowControl/>
              <w:rPr>
                <w:rFonts w:hint="eastAsia" w:ascii="方正仿宋_GB2312" w:hAnsi="方正仿宋_GB2312" w:eastAsia="方正仿宋_GB2312" w:cs="方正仿宋_GB2312"/>
                <w:color w:val="000000" w:themeColor="text1"/>
                <w:sz w:val="28"/>
                <w:szCs w:val="28"/>
                <w:highlight w:val="none"/>
              </w:rPr>
              <w:framePr w:vAnchor="page" w:hAnchor="page" w:xAlign="center" w:y="74"/>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本项目</w:t>
            </w:r>
            <w:r>
              <w:rPr>
                <w:rFonts w:hint="eastAsia" w:ascii="方正仿宋_GB2312" w:hAnsi="方正仿宋_GB2312" w:eastAsia="方正仿宋_GB2312" w:cs="方正仿宋_GB2312"/>
                <w:color w:val="000000" w:themeColor="text1"/>
                <w:sz w:val="28"/>
                <w:szCs w:val="28"/>
                <w:highlight w:val="none"/>
                <w:lang w:val="en-US" w:eastAsia="zh-CN" w:bidi="ar-SA"/>
              </w:rPr>
            </w:r>
            <w:r>
              <w:rPr>
                <w:color w:val="000000" w:themeColor="text1"/>
              </w:rPr>
            </w:r>
          </w:p>
          <w:p>
            <w:pPr>
              <w:pStyle w:val="799"/>
              <w:jc w:val="center"/>
              <w:spacing w:line="400" w:lineRule="exact"/>
              <w:widowControl/>
              <w:rPr>
                <w:rFonts w:hint="eastAsia" w:ascii="方正仿宋_GB2312" w:hAnsi="方正仿宋_GB2312" w:eastAsia="方正仿宋_GB2312" w:cs="方正仿宋_GB2312"/>
                <w:color w:val="000000" w:themeColor="text1"/>
                <w:sz w:val="28"/>
                <w:szCs w:val="28"/>
                <w:highlight w:val="none"/>
              </w:rPr>
              <w:framePr w:vAnchor="page" w:hAnchor="page" w:xAlign="center" w:y="74"/>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拟任职务</w:t>
            </w:r>
            <w:r>
              <w:rPr>
                <w:rFonts w:hint="eastAsia" w:ascii="方正仿宋_GB2312" w:hAnsi="方正仿宋_GB2312" w:eastAsia="方正仿宋_GB2312" w:cs="方正仿宋_GB2312"/>
                <w:color w:val="000000" w:themeColor="text1"/>
                <w:sz w:val="28"/>
                <w:szCs w:val="28"/>
                <w:highlight w:val="none"/>
                <w:lang w:val="en-US" w:eastAsia="zh-CN" w:bidi="ar-SA"/>
              </w:rPr>
            </w:r>
            <w:r>
              <w:rPr>
                <w:color w:val="000000" w:themeColor="text1"/>
              </w:rPr>
            </w:r>
          </w:p>
        </w:tc>
        <w:tc>
          <w:tcPr>
            <w:tcW w:w="850" w:type="dxa"/>
            <w:vAlign w:val="center"/>
            <w:textDirection w:val="lrTb"/>
            <w:noWrap w:val="false"/>
          </w:tcPr>
          <w:p>
            <w:pPr>
              <w:pStyle w:val="799"/>
              <w:jc w:val="center"/>
              <w:spacing w:line="400" w:lineRule="exact"/>
              <w:widowControl/>
              <w:rPr>
                <w:rFonts w:hint="eastAsia" w:ascii="方正仿宋_GB2312" w:hAnsi="方正仿宋_GB2312" w:eastAsia="方正仿宋_GB2312" w:cs="方正仿宋_GB2312"/>
                <w:color w:val="000000" w:themeColor="text1"/>
                <w:sz w:val="28"/>
                <w:szCs w:val="28"/>
                <w:highlight w:val="none"/>
              </w:rPr>
              <w:framePr w:vAnchor="page" w:hAnchor="page" w:xAlign="center" w:y="74"/>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性别</w:t>
            </w:r>
            <w:r>
              <w:rPr>
                <w:rFonts w:hint="eastAsia" w:ascii="方正仿宋_GB2312" w:hAnsi="方正仿宋_GB2312" w:eastAsia="方正仿宋_GB2312" w:cs="方正仿宋_GB2312"/>
                <w:color w:val="000000" w:themeColor="text1"/>
                <w:sz w:val="28"/>
                <w:szCs w:val="28"/>
                <w:highlight w:val="none"/>
                <w:lang w:val="en-US" w:eastAsia="zh-CN" w:bidi="ar-SA"/>
              </w:rPr>
            </w:r>
            <w:r>
              <w:rPr>
                <w:color w:val="000000" w:themeColor="text1"/>
              </w:rPr>
            </w:r>
          </w:p>
        </w:tc>
        <w:tc>
          <w:tcPr>
            <w:tcW w:w="1527" w:type="dxa"/>
            <w:vAlign w:val="center"/>
            <w:textDirection w:val="lrTb"/>
            <w:noWrap w:val="false"/>
          </w:tcPr>
          <w:p>
            <w:pPr>
              <w:pStyle w:val="799"/>
              <w:jc w:val="center"/>
              <w:spacing w:line="400" w:lineRule="exact"/>
              <w:widowControl/>
              <w:rPr>
                <w:rFonts w:hint="eastAsia" w:ascii="方正仿宋_GB2312" w:hAnsi="方正仿宋_GB2312" w:eastAsia="方正仿宋_GB2312" w:cs="方正仿宋_GB2312"/>
                <w:color w:val="000000" w:themeColor="text1"/>
                <w:sz w:val="28"/>
                <w:szCs w:val="28"/>
                <w:highlight w:val="none"/>
              </w:rPr>
              <w:framePr w:vAnchor="page" w:hAnchor="page" w:xAlign="center" w:y="74"/>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学历</w:t>
            </w:r>
            <w:r>
              <w:rPr>
                <w:rFonts w:hint="eastAsia" w:ascii="方正仿宋_GB2312" w:hAnsi="方正仿宋_GB2312" w:eastAsia="方正仿宋_GB2312" w:cs="方正仿宋_GB2312"/>
                <w:color w:val="000000" w:themeColor="text1"/>
                <w:sz w:val="28"/>
                <w:szCs w:val="28"/>
                <w:highlight w:val="none"/>
                <w:lang w:val="en-US" w:eastAsia="zh-CN" w:bidi="ar-SA"/>
              </w:rPr>
            </w:r>
            <w:r>
              <w:rPr>
                <w:color w:val="000000" w:themeColor="text1"/>
              </w:rPr>
            </w:r>
          </w:p>
        </w:tc>
        <w:tc>
          <w:tcPr>
            <w:tcW w:w="1592" w:type="dxa"/>
            <w:vAlign w:val="center"/>
            <w:textDirection w:val="lrTb"/>
            <w:noWrap w:val="false"/>
          </w:tcPr>
          <w:p>
            <w:pPr>
              <w:pStyle w:val="799"/>
              <w:jc w:val="center"/>
              <w:spacing w:line="400" w:lineRule="exact"/>
              <w:widowControl/>
              <w:rPr>
                <w:rFonts w:hint="eastAsia" w:ascii="方正仿宋_GB2312" w:hAnsi="方正仿宋_GB2312" w:eastAsia="方正仿宋_GB2312" w:cs="方正仿宋_GB2312"/>
                <w:color w:val="000000" w:themeColor="text1"/>
                <w:sz w:val="28"/>
                <w:szCs w:val="28"/>
                <w:highlight w:val="none"/>
              </w:rPr>
              <w:framePr w:vAnchor="page" w:hAnchor="page" w:xAlign="center" w:y="74"/>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年龄</w:t>
            </w:r>
            <w:r>
              <w:rPr>
                <w:rFonts w:hint="eastAsia" w:ascii="方正仿宋_GB2312" w:hAnsi="方正仿宋_GB2312" w:eastAsia="方正仿宋_GB2312" w:cs="方正仿宋_GB2312"/>
                <w:color w:val="000000" w:themeColor="text1"/>
                <w:sz w:val="28"/>
                <w:szCs w:val="28"/>
                <w:highlight w:val="none"/>
                <w:lang w:val="en-US" w:eastAsia="zh-CN" w:bidi="ar-SA"/>
              </w:rPr>
            </w:r>
            <w:r>
              <w:rPr>
                <w:color w:val="000000" w:themeColor="text1"/>
              </w:rPr>
            </w:r>
          </w:p>
          <w:p>
            <w:pPr>
              <w:pStyle w:val="799"/>
              <w:jc w:val="center"/>
              <w:spacing w:line="400" w:lineRule="exact"/>
              <w:widowControl/>
              <w:rPr>
                <w:rFonts w:hint="eastAsia" w:ascii="方正仿宋_GB2312" w:hAnsi="方正仿宋_GB2312" w:eastAsia="方正仿宋_GB2312" w:cs="方正仿宋_GB2312"/>
                <w:color w:val="000000" w:themeColor="text1"/>
                <w:sz w:val="28"/>
                <w:szCs w:val="28"/>
                <w:highlight w:val="none"/>
              </w:rPr>
              <w:framePr w:vAnchor="page" w:hAnchor="page" w:xAlign="center" w:y="74"/>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（周岁）</w:t>
            </w:r>
            <w:r>
              <w:rPr>
                <w:rFonts w:hint="eastAsia" w:ascii="方正仿宋_GB2312" w:hAnsi="方正仿宋_GB2312" w:eastAsia="方正仿宋_GB2312" w:cs="方正仿宋_GB2312"/>
                <w:color w:val="000000" w:themeColor="text1"/>
                <w:sz w:val="28"/>
                <w:szCs w:val="28"/>
                <w:highlight w:val="none"/>
                <w:lang w:val="en-US" w:eastAsia="zh-CN" w:bidi="ar-SA"/>
              </w:rPr>
            </w:r>
            <w:r>
              <w:rPr>
                <w:color w:val="000000" w:themeColor="text1"/>
              </w:rPr>
            </w:r>
          </w:p>
        </w:tc>
        <w:tc>
          <w:tcPr>
            <w:tcW w:w="1275" w:type="dxa"/>
            <w:vAlign w:val="center"/>
            <w:textDirection w:val="lrTb"/>
            <w:noWrap w:val="false"/>
          </w:tcPr>
          <w:p>
            <w:pPr>
              <w:pStyle w:val="799"/>
              <w:jc w:val="center"/>
              <w:spacing w:line="400" w:lineRule="exact"/>
              <w:widowControl/>
              <w:rPr>
                <w:rFonts w:hint="eastAsia" w:ascii="方正仿宋_GB2312" w:hAnsi="方正仿宋_GB2312" w:eastAsia="方正仿宋_GB2312" w:cs="方正仿宋_GB2312"/>
                <w:color w:val="000000" w:themeColor="text1"/>
                <w:sz w:val="28"/>
                <w:szCs w:val="28"/>
                <w:highlight w:val="none"/>
              </w:rPr>
              <w:framePr w:vAnchor="page" w:hAnchor="page" w:xAlign="center" w:y="74"/>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相关</w:t>
            </w:r>
            <w:r>
              <w:rPr>
                <w:rFonts w:hint="eastAsia" w:ascii="方正仿宋_GB2312" w:hAnsi="方正仿宋_GB2312" w:eastAsia="方正仿宋_GB2312" w:cs="方正仿宋_GB2312"/>
                <w:color w:val="000000" w:themeColor="text1"/>
                <w:sz w:val="28"/>
                <w:szCs w:val="28"/>
                <w:highlight w:val="none"/>
                <w:lang w:val="en-US" w:eastAsia="zh-CN" w:bidi="ar-SA"/>
              </w:rPr>
            </w:r>
            <w:r>
              <w:rPr>
                <w:color w:val="000000" w:themeColor="text1"/>
              </w:rPr>
            </w:r>
          </w:p>
          <w:p>
            <w:pPr>
              <w:pStyle w:val="799"/>
              <w:jc w:val="center"/>
              <w:spacing w:line="400" w:lineRule="exact"/>
              <w:widowControl/>
              <w:rPr>
                <w:rFonts w:hint="eastAsia" w:ascii="方正仿宋_GB2312" w:hAnsi="方正仿宋_GB2312" w:eastAsia="方正仿宋_GB2312" w:cs="方正仿宋_GB2312"/>
                <w:color w:val="000000" w:themeColor="text1"/>
                <w:sz w:val="28"/>
                <w:szCs w:val="28"/>
                <w:highlight w:val="none"/>
              </w:rPr>
              <w:framePr w:vAnchor="page" w:hAnchor="page" w:xAlign="center" w:y="74"/>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证书</w:t>
            </w:r>
            <w:r>
              <w:rPr>
                <w:rFonts w:hint="eastAsia" w:ascii="方正仿宋_GB2312" w:hAnsi="方正仿宋_GB2312" w:eastAsia="方正仿宋_GB2312" w:cs="方正仿宋_GB2312"/>
                <w:color w:val="000000" w:themeColor="text1"/>
                <w:sz w:val="28"/>
                <w:szCs w:val="28"/>
                <w:highlight w:val="none"/>
                <w:lang w:val="en-US" w:eastAsia="zh-CN" w:bidi="ar-SA"/>
              </w:rPr>
            </w:r>
            <w:r>
              <w:rPr>
                <w:color w:val="000000" w:themeColor="text1"/>
              </w:rPr>
            </w:r>
          </w:p>
          <w:p>
            <w:pPr>
              <w:pStyle w:val="799"/>
              <w:jc w:val="center"/>
              <w:spacing w:line="400" w:lineRule="exact"/>
              <w:widowControl/>
              <w:rPr>
                <w:rFonts w:hint="eastAsia" w:ascii="方正仿宋_GB2312" w:hAnsi="方正仿宋_GB2312" w:eastAsia="方正仿宋_GB2312" w:cs="方正仿宋_GB2312"/>
                <w:color w:val="000000" w:themeColor="text1"/>
                <w:sz w:val="28"/>
                <w:szCs w:val="28"/>
                <w:highlight w:val="none"/>
              </w:rPr>
              <w:framePr w:vAnchor="page" w:hAnchor="page" w:xAlign="center" w:y="74"/>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（如有）</w:t>
            </w:r>
            <w:r>
              <w:rPr>
                <w:rFonts w:hint="eastAsia" w:ascii="方正仿宋_GB2312" w:hAnsi="方正仿宋_GB2312" w:eastAsia="方正仿宋_GB2312" w:cs="方正仿宋_GB2312"/>
                <w:color w:val="000000" w:themeColor="text1"/>
                <w:sz w:val="28"/>
                <w:szCs w:val="28"/>
                <w:highlight w:val="none"/>
                <w:lang w:val="en-US" w:eastAsia="zh-CN" w:bidi="ar-SA"/>
              </w:rPr>
            </w:r>
            <w:r>
              <w:rPr>
                <w:color w:val="000000" w:themeColor="text1"/>
              </w:rPr>
            </w:r>
          </w:p>
        </w:tc>
        <w:tc>
          <w:tcPr>
            <w:tcW w:w="495" w:type="dxa"/>
            <w:vAlign w:val="center"/>
            <w:textDirection w:val="lrTb"/>
            <w:noWrap w:val="false"/>
          </w:tcPr>
          <w:p>
            <w:pPr>
              <w:pStyle w:val="799"/>
              <w:jc w:val="center"/>
              <w:spacing w:line="400" w:lineRule="exact"/>
              <w:widowControl/>
              <w:rPr>
                <w:rFonts w:hint="eastAsia" w:ascii="方正仿宋_GB2312" w:hAnsi="方正仿宋_GB2312" w:eastAsia="方正仿宋_GB2312" w:cs="方正仿宋_GB2312"/>
                <w:color w:val="000000" w:themeColor="text1"/>
                <w:sz w:val="28"/>
                <w:szCs w:val="28"/>
                <w:highlight w:val="none"/>
              </w:rPr>
              <w:framePr w:vAnchor="page" w:hAnchor="page" w:xAlign="center" w:y="74"/>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备注</w:t>
            </w:r>
            <w:r>
              <w:rPr>
                <w:rFonts w:hint="eastAsia" w:ascii="方正仿宋_GB2312" w:hAnsi="方正仿宋_GB2312" w:eastAsia="方正仿宋_GB2312" w:cs="方正仿宋_GB2312"/>
                <w:color w:val="000000" w:themeColor="text1"/>
                <w:sz w:val="28"/>
                <w:szCs w:val="28"/>
                <w:highlight w:val="none"/>
                <w:lang w:val="en-US" w:eastAsia="zh-CN" w:bidi="ar-SA"/>
              </w:rPr>
            </w:r>
            <w:r>
              <w:rPr>
                <w:color w:val="000000" w:themeColor="text1"/>
              </w:rPr>
            </w:r>
          </w:p>
        </w:tc>
      </w:tr>
      <w:tr>
        <w:trPr>
          <w:trHeight w:val="729"/>
        </w:trPr>
        <w:tc>
          <w:tcPr>
            <w:tcW w:w="675"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1</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276"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418"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850"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527"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592"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275"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495"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r>
      <w:tr>
        <w:trPr>
          <w:trHeight w:val="729"/>
        </w:trPr>
        <w:tc>
          <w:tcPr>
            <w:tcW w:w="675"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2</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276"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418"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850"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527"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592"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275"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495"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r>
      <w:tr>
        <w:trPr>
          <w:trHeight w:val="729"/>
        </w:trPr>
        <w:tc>
          <w:tcPr>
            <w:tcW w:w="675"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3</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276"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418"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850"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527"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592"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275"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495"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r>
      <w:tr>
        <w:trPr>
          <w:trHeight w:val="729"/>
        </w:trPr>
        <w:tc>
          <w:tcPr>
            <w:tcW w:w="675"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4</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276"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418"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850"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527"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592"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275"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495"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r>
      <w:tr>
        <w:trPr>
          <w:trHeight w:val="729"/>
        </w:trPr>
        <w:tc>
          <w:tcPr>
            <w:tcW w:w="675"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5</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276"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418"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850"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527"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592"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275"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495"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r>
      <w:tr>
        <w:trPr>
          <w:trHeight w:val="1140"/>
        </w:trPr>
        <w:tc>
          <w:tcPr>
            <w:tcW w:w="675"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t xml:space="preserve">6</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276" w:type="dxa"/>
            <w:vAlign w:val="center"/>
            <w:textDirection w:val="lrTb"/>
            <w:noWrap w:val="false"/>
          </w:tcPr>
          <w:p>
            <w:pPr>
              <w:pStyle w:val="799"/>
              <w:jc w:val="both"/>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418"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850"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527"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592"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275"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495"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r>
      <w:tr>
        <w:trPr>
          <w:trHeight w:val="525"/>
        </w:trPr>
        <w:tc>
          <w:tcPr>
            <w:tcW w:w="675"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276"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418"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850"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527"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592"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275"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495"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r>
      <w:tr>
        <w:trPr>
          <w:trHeight w:val="510"/>
        </w:trPr>
        <w:tc>
          <w:tcPr>
            <w:tcW w:w="675"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276"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418"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850"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527"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592"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1275"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c>
          <w:tcPr>
            <w:tcW w:w="495" w:type="dxa"/>
            <w:vAlign w:val="center"/>
            <w:textDirection w:val="lrTb"/>
            <w:noWrap w:val="false"/>
          </w:tcPr>
          <w:p>
            <w:pPr>
              <w:pStyle w:val="799"/>
              <w:jc w:val="center"/>
              <w:spacing w:line="560" w:lineRule="exact"/>
              <w:widowControl w:val="off"/>
              <w:rPr>
                <w:rFonts w:hint="eastAsia" w:ascii="方正仿宋_GB2312" w:hAnsi="方正仿宋_GB2312" w:eastAsia="方正仿宋_GB2312" w:cs="方正仿宋_GB2312"/>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rPr>
            </w:r>
          </w:p>
        </w:tc>
      </w:tr>
    </w:tbl>
    <w:p>
      <w:pPr>
        <w:pStyle w:val="799"/>
        <w:ind w:firstLine="210"/>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80"/>
        <w:spacing w:line="46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注：1</w:t>
      </w:r>
      <w:r>
        <w:rPr>
          <w:rFonts w:hint="eastAsia" w:ascii="方正仿宋_GB2312" w:hAnsi="方正仿宋_GB2312" w:eastAsia="方正仿宋_GB2312" w:cs="方正仿宋_GB2312"/>
          <w:bCs/>
          <w:color w:val="000000" w:themeColor="text1"/>
          <w:sz w:val="24"/>
          <w:szCs w:val="24"/>
          <w:highlight w:val="none"/>
          <w:lang w:val="en-US"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涉及评分标准的项目组人员在本表中填报，相关证明材料附后。未涉及评分标准的其他人员可在中标后按采购需求要求进行配备，合同签订前报采购人认可。</w:t>
      </w: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480" w:lineRule="exact"/>
        <w:rPr>
          <w:rFonts w:hint="eastAsia" w:ascii="方正仿宋_GB2312" w:hAnsi="方正仿宋_GB2312" w:eastAsia="方正仿宋_GB2312" w:cs="方正仿宋_GB2312"/>
          <w:color w:val="000000" w:themeColor="text1"/>
          <w:sz w:val="24"/>
          <w:szCs w:val="20"/>
          <w:highlight w:val="none"/>
        </w:rPr>
      </w:pPr>
      <w:r>
        <w:rPr>
          <w:rFonts w:hint="eastAsia" w:ascii="方正仿宋_GB2312" w:hAnsi="方正仿宋_GB2312" w:eastAsia="方正仿宋_GB2312" w:cs="方正仿宋_GB2312"/>
          <w:bCs/>
          <w:color w:val="000000" w:themeColor="text1"/>
          <w:sz w:val="24"/>
          <w:szCs w:val="24"/>
          <w:highlight w:val="none"/>
        </w:rPr>
        <w:t xml:space="preserve">2.</w:t>
      </w:r>
      <w:bookmarkStart w:id="169" w:name="OLE_LINK8"/>
      <w:r>
        <w:rPr>
          <w:rFonts w:hint="eastAsia" w:ascii="方正仿宋_GB2312" w:hAnsi="方正仿宋_GB2312" w:eastAsia="方正仿宋_GB2312" w:cs="方正仿宋_GB2312"/>
          <w:bCs/>
          <w:color w:val="000000" w:themeColor="text1"/>
          <w:sz w:val="24"/>
          <w:szCs w:val="24"/>
          <w:highlight w:val="none"/>
        </w:rPr>
        <w:t xml:space="preserve">中标后，本表（身份</w:t>
      </w:r>
      <w:r>
        <w:rPr>
          <w:rFonts w:hint="eastAsia" w:ascii="方正仿宋_GB2312" w:hAnsi="方正仿宋_GB2312" w:eastAsia="方正仿宋_GB2312" w:cs="方正仿宋_GB2312"/>
          <w:color w:val="000000" w:themeColor="text1"/>
          <w:sz w:val="24"/>
          <w:szCs w:val="20"/>
          <w:highlight w:val="none"/>
        </w:rPr>
        <w:t xml:space="preserve">证信息除外）将随中标结果公告公开。</w:t>
      </w:r>
      <w:bookmarkEnd w:id="169"/>
      <w:r>
        <w:rPr>
          <w:rFonts w:hint="eastAsia" w:ascii="方正仿宋_GB2312" w:hAnsi="方正仿宋_GB2312" w:eastAsia="方正仿宋_GB2312" w:cs="方正仿宋_GB2312"/>
          <w:color w:val="000000" w:themeColor="text1"/>
          <w:sz w:val="24"/>
          <w:szCs w:val="20"/>
          <w:highlight w:val="none"/>
        </w:rPr>
      </w:r>
      <w:r>
        <w:rPr>
          <w:color w:val="000000" w:themeColor="text1"/>
        </w:rPr>
      </w:r>
    </w:p>
    <w:p>
      <w:pPr>
        <w:pStyle w:val="799"/>
        <w:rPr>
          <w:rFonts w:hint="eastAsia" w:ascii="方正仿宋_GB2312" w:hAnsi="方正仿宋_GB2312" w:eastAsia="方正仿宋_GB2312" w:cs="方正仿宋_GB2312"/>
          <w:color w:val="000000" w:themeColor="text1"/>
          <w:szCs w:val="21"/>
          <w:highlight w:val="none"/>
        </w:rPr>
      </w:pPr>
      <w:r>
        <w:rPr>
          <w:rFonts w:hint="eastAsia" w:ascii="方正仿宋_GB2312" w:hAnsi="方正仿宋_GB2312" w:eastAsia="方正仿宋_GB2312" w:cs="方正仿宋_GB2312"/>
          <w:color w:val="000000" w:themeColor="text1"/>
          <w:szCs w:val="21"/>
          <w:highlight w:val="none"/>
        </w:rPr>
      </w:r>
      <w:r>
        <w:rPr>
          <w:color w:val="000000" w:themeColor="text1"/>
        </w:rPr>
      </w:r>
    </w:p>
    <w:p>
      <w:pPr>
        <w:pStyle w:val="799"/>
        <w:ind w:firstLine="480"/>
        <w:spacing w:line="46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46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46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799"/>
        <w:ind w:firstLine="480"/>
        <w:spacing w:line="46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r>
      <w:r>
        <w:rPr>
          <w:color w:val="000000" w:themeColor="text1"/>
        </w:rPr>
      </w:r>
    </w:p>
    <w:p>
      <w:pPr>
        <w:pStyle w:val="1177"/>
        <w:ind w:left="210"/>
        <w:rPr>
          <w:rFonts w:hint="eastAsia" w:ascii="方正仿宋_GB2312" w:hAnsi="方正仿宋_GB2312" w:eastAsia="方正仿宋_GB2312" w:cs="方正仿宋_GB2312"/>
          <w:bCs/>
          <w:color w:val="000000" w:themeColor="text1"/>
          <w:szCs w:val="32"/>
          <w:highlight w:val="none"/>
        </w:rPr>
        <w:outlineLvl w:val="1"/>
      </w:pPr>
      <w:r>
        <w:rPr>
          <w:rFonts w:hint="eastAsia" w:ascii="方正仿宋_GB2312" w:hAnsi="方正仿宋_GB2312" w:eastAsia="方正仿宋_GB2312" w:cs="方正仿宋_GB2312"/>
          <w:b w:val="0"/>
          <w:color w:val="000000" w:themeColor="text1"/>
          <w:szCs w:val="32"/>
          <w:highlight w:val="none"/>
        </w:rPr>
        <w:br w:type="page" w:clear="all"/>
      </w:r>
      <w:r>
        <w:rPr>
          <w:rFonts w:hint="eastAsia" w:ascii="方正仿宋_GB2312" w:hAnsi="方正仿宋_GB2312" w:eastAsia="方正仿宋_GB2312" w:cs="方正仿宋_GB2312"/>
          <w:bCs/>
          <w:color w:val="000000" w:themeColor="text1"/>
          <w:szCs w:val="32"/>
          <w:highlight w:val="none"/>
          <w:lang w:val="en-US" w:eastAsia="zh-CN"/>
        </w:rPr>
        <w:t xml:space="preserve">九</w:t>
      </w:r>
      <w:r>
        <w:rPr>
          <w:rFonts w:hint="eastAsia" w:ascii="方正仿宋_GB2312" w:hAnsi="方正仿宋_GB2312" w:eastAsia="方正仿宋_GB2312" w:cs="方正仿宋_GB2312"/>
          <w:bCs/>
          <w:color w:val="000000" w:themeColor="text1"/>
          <w:szCs w:val="32"/>
          <w:highlight w:val="none"/>
        </w:rPr>
        <w:t xml:space="preserve">、企业业绩</w:t>
      </w:r>
      <w:bookmarkEnd w:id="166"/>
      <w:r>
        <w:rPr>
          <w:color w:val="000000" w:themeColor="text1"/>
        </w:rPr>
      </w:r>
      <w:bookmarkEnd w:id="167"/>
      <w:r>
        <w:rPr>
          <w:rFonts w:hint="eastAsia" w:ascii="方正仿宋_GB2312" w:hAnsi="方正仿宋_GB2312" w:eastAsia="方正仿宋_GB2312" w:cs="方正仿宋_GB2312"/>
          <w:bCs/>
          <w:color w:val="000000" w:themeColor="text1"/>
          <w:szCs w:val="32"/>
          <w:highlight w:val="none"/>
        </w:rPr>
      </w:r>
      <w:r>
        <w:rPr>
          <w:color w:val="000000" w:themeColor="text1"/>
        </w:rPr>
      </w:r>
    </w:p>
    <w:p>
      <w:pPr>
        <w:pStyle w:val="1185"/>
        <w:jc w:val="center"/>
        <w:rPr>
          <w:rFonts w:hint="eastAsia" w:ascii="方正仿宋_GB2312" w:hAnsi="方正仿宋_GB2312" w:eastAsia="方正仿宋_GB2312" w:cs="方正仿宋_GB2312"/>
          <w:bCs/>
          <w:color w:val="000000" w:themeColor="text1"/>
          <w:sz w:val="32"/>
          <w:szCs w:val="32"/>
          <w:highlight w:val="none"/>
        </w:rPr>
      </w:pPr>
      <w:r>
        <w:rPr>
          <w:color w:val="000000" w:themeColor="text1"/>
        </w:rPr>
      </w:r>
      <w:bookmarkStart w:id="170" w:name="_Hlk187935031"/>
      <w:r>
        <w:rPr>
          <w:rFonts w:hint="eastAsia" w:ascii="方正仿宋_GB2312" w:hAnsi="方正仿宋_GB2312" w:eastAsia="方正仿宋_GB2312" w:cs="方正仿宋_GB2312"/>
          <w:bCs/>
          <w:color w:val="000000" w:themeColor="text1"/>
          <w:sz w:val="32"/>
          <w:szCs w:val="32"/>
          <w:highlight w:val="none"/>
        </w:rPr>
        <w:t xml:space="preserve">类似项目业绩一览表</w:t>
      </w:r>
      <w:bookmarkEnd w:id="170"/>
      <w:r>
        <w:rPr>
          <w:rFonts w:hint="eastAsia" w:ascii="方正仿宋_GB2312" w:hAnsi="方正仿宋_GB2312" w:eastAsia="方正仿宋_GB2312" w:cs="方正仿宋_GB2312"/>
          <w:bCs/>
          <w:color w:val="000000" w:themeColor="text1"/>
          <w:sz w:val="32"/>
          <w:szCs w:val="32"/>
          <w:highlight w:val="none"/>
        </w:rPr>
      </w:r>
      <w:r>
        <w:rPr>
          <w:color w:val="000000" w:themeColor="text1"/>
        </w:rPr>
      </w:r>
    </w:p>
    <w:tbl>
      <w:tblPr>
        <w:tblW w:w="88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3"/>
        <w:gridCol w:w="3118"/>
        <w:gridCol w:w="1843"/>
        <w:gridCol w:w="1417"/>
        <w:gridCol w:w="1523"/>
      </w:tblGrid>
      <w:tr>
        <w:trPr>
          <w:trHeight w:val="753"/>
        </w:trPr>
        <w:tc>
          <w:tcPr>
            <w:tcW w:w="983" w:type="dxa"/>
            <w:vAlign w:val="top"/>
            <w:textDirection w:val="lrTb"/>
            <w:noWrap w:val="false"/>
          </w:tcPr>
          <w:p>
            <w:pPr>
              <w:pStyle w:val="1186"/>
              <w:jc w:val="center"/>
              <w:spacing w:line="560" w:lineRule="exact"/>
              <w:widowControl w:val="off"/>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序号</w:t>
            </w:r>
            <w:r>
              <w:rPr>
                <w:rFonts w:hint="eastAsia" w:ascii="方正仿宋_GB2312" w:hAnsi="方正仿宋_GB2312" w:eastAsia="方正仿宋_GB2312" w:cs="方正仿宋_GB2312"/>
                <w:color w:val="000000" w:themeColor="text1"/>
                <w:sz w:val="28"/>
                <w:szCs w:val="28"/>
                <w:highlight w:val="none"/>
                <w:lang w:val="en-US" w:eastAsia="zh-CN" w:bidi="ar-SA"/>
              </w:rPr>
            </w:r>
            <w:r>
              <w:rPr>
                <w:color w:val="000000" w:themeColor="text1"/>
              </w:rPr>
            </w:r>
          </w:p>
        </w:tc>
        <w:tc>
          <w:tcPr>
            <w:tcW w:w="3118" w:type="dxa"/>
            <w:vAlign w:val="center"/>
            <w:textDirection w:val="lrTb"/>
            <w:noWrap w:val="false"/>
          </w:tcPr>
          <w:p>
            <w:pPr>
              <w:pStyle w:val="1186"/>
              <w:jc w:val="center"/>
              <w:spacing w:line="560" w:lineRule="exact"/>
              <w:widowControl w:val="off"/>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项目名称</w:t>
            </w:r>
            <w:r>
              <w:rPr>
                <w:rFonts w:hint="eastAsia" w:ascii="方正仿宋_GB2312" w:hAnsi="方正仿宋_GB2312" w:eastAsia="方正仿宋_GB2312" w:cs="方正仿宋_GB2312"/>
                <w:color w:val="000000" w:themeColor="text1"/>
                <w:sz w:val="28"/>
                <w:szCs w:val="28"/>
                <w:highlight w:val="none"/>
                <w:lang w:val="en-US" w:eastAsia="zh-CN" w:bidi="ar-SA"/>
              </w:rPr>
            </w:r>
            <w:r>
              <w:rPr>
                <w:color w:val="000000" w:themeColor="text1"/>
              </w:rPr>
            </w:r>
          </w:p>
        </w:tc>
        <w:tc>
          <w:tcPr>
            <w:tcW w:w="1843" w:type="dxa"/>
            <w:vAlign w:val="center"/>
            <w:textDirection w:val="lrTb"/>
            <w:noWrap w:val="false"/>
          </w:tcPr>
          <w:p>
            <w:pPr>
              <w:pStyle w:val="1186"/>
              <w:jc w:val="center"/>
              <w:spacing w:line="560" w:lineRule="exact"/>
              <w:widowControl w:val="off"/>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采购单位</w:t>
            </w:r>
            <w:r>
              <w:rPr>
                <w:rFonts w:hint="eastAsia" w:ascii="方正仿宋_GB2312" w:hAnsi="方正仿宋_GB2312" w:eastAsia="方正仿宋_GB2312" w:cs="方正仿宋_GB2312"/>
                <w:color w:val="000000" w:themeColor="text1"/>
                <w:sz w:val="28"/>
                <w:szCs w:val="28"/>
                <w:highlight w:val="none"/>
                <w:lang w:val="en-US" w:eastAsia="zh-CN" w:bidi="ar-SA"/>
              </w:rPr>
            </w:r>
            <w:r>
              <w:rPr>
                <w:color w:val="000000" w:themeColor="text1"/>
              </w:rPr>
            </w:r>
          </w:p>
        </w:tc>
        <w:tc>
          <w:tcPr>
            <w:tcW w:w="1417" w:type="dxa"/>
            <w:vAlign w:val="center"/>
            <w:textDirection w:val="lrTb"/>
            <w:noWrap w:val="false"/>
          </w:tcPr>
          <w:p>
            <w:pPr>
              <w:pStyle w:val="1186"/>
              <w:jc w:val="center"/>
              <w:spacing w:line="559" w:lineRule="exact"/>
              <w:widowControl w:val="off"/>
              <w:rPr>
                <w:rFonts w:hint="eastAsia" w:ascii="方正仿宋_GB2312" w:hAnsi="方正仿宋_GB2312" w:eastAsia="方正仿宋_GB2312" w:cs="方正仿宋_GB2312"/>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合同签订</w:t>
            </w:r>
            <w:r>
              <w:rPr>
                <w:rFonts w:hint="eastAsia" w:ascii="方正仿宋_GB2312" w:hAnsi="方正仿宋_GB2312" w:eastAsia="方正仿宋_GB2312" w:cs="方正仿宋_GB2312"/>
                <w:color w:val="000000" w:themeColor="text1"/>
                <w:sz w:val="28"/>
                <w:szCs w:val="28"/>
                <w:highlight w:val="none"/>
                <w:lang w:val="en-US" w:eastAsia="zh-CN" w:bidi="ar-SA"/>
              </w:rPr>
            </w:r>
            <w:r>
              <w:rPr>
                <w:color w:val="000000" w:themeColor="text1"/>
              </w:rPr>
            </w:r>
          </w:p>
          <w:p>
            <w:pPr>
              <w:pStyle w:val="1186"/>
              <w:jc w:val="center"/>
              <w:spacing w:line="559" w:lineRule="exact"/>
              <w:widowControl w:val="off"/>
              <w:rPr>
                <w:rFonts w:hint="eastAsia" w:ascii="方正仿宋_GB2312" w:hAnsi="方正仿宋_GB2312" w:eastAsia="方正仿宋_GB2312" w:cs="方正仿宋_GB2312"/>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时间</w:t>
            </w:r>
            <w:r>
              <w:rPr>
                <w:rFonts w:hint="eastAsia" w:ascii="方正仿宋_GB2312" w:hAnsi="方正仿宋_GB2312" w:eastAsia="方正仿宋_GB2312" w:cs="方正仿宋_GB2312"/>
                <w:color w:val="000000" w:themeColor="text1"/>
                <w:sz w:val="28"/>
                <w:szCs w:val="28"/>
                <w:highlight w:val="none"/>
                <w:lang w:val="en-US" w:eastAsia="zh-CN" w:bidi="ar-SA"/>
              </w:rPr>
            </w:r>
            <w:r>
              <w:rPr>
                <w:color w:val="000000" w:themeColor="text1"/>
              </w:rPr>
            </w:r>
          </w:p>
        </w:tc>
        <w:tc>
          <w:tcPr>
            <w:tcW w:w="1523" w:type="dxa"/>
            <w:vAlign w:val="center"/>
            <w:textDirection w:val="lrTb"/>
            <w:noWrap w:val="false"/>
          </w:tcPr>
          <w:p>
            <w:pPr>
              <w:pStyle w:val="1186"/>
              <w:jc w:val="center"/>
              <w:spacing w:line="559" w:lineRule="exact"/>
              <w:widowControl w:val="off"/>
              <w:rPr>
                <w:rFonts w:hint="eastAsia" w:ascii="方正仿宋_GB2312" w:hAnsi="方正仿宋_GB2312" w:eastAsia="方正仿宋_GB2312" w:cs="方正仿宋_GB2312"/>
                <w:color w:val="000000" w:themeColor="text1"/>
                <w:sz w:val="21"/>
                <w:szCs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none"/>
                <w:lang w:val="en-US" w:eastAsia="zh-CN" w:bidi="ar-SA"/>
              </w:rPr>
              <w:t xml:space="preserve">履约评价情况</w:t>
            </w:r>
            <w:r>
              <w:rPr>
                <w:rFonts w:hint="eastAsia" w:ascii="方正仿宋_GB2312" w:hAnsi="方正仿宋_GB2312" w:eastAsia="方正仿宋_GB2312" w:cs="方正仿宋_GB2312"/>
                <w:color w:val="000000" w:themeColor="text1"/>
                <w:sz w:val="21"/>
                <w:szCs w:val="24"/>
                <w:highlight w:val="none"/>
                <w:lang w:val="en-US" w:eastAsia="zh-CN" w:bidi="ar-SA"/>
              </w:rPr>
            </w:r>
            <w:r>
              <w:rPr>
                <w:color w:val="000000" w:themeColor="text1"/>
              </w:rPr>
            </w:r>
          </w:p>
        </w:tc>
      </w:tr>
      <w:tr>
        <w:trPr>
          <w:trHeight w:val="1510"/>
        </w:trPr>
        <w:tc>
          <w:tcPr>
            <w:tcW w:w="983" w:type="dxa"/>
            <w:vAlign w:val="top"/>
            <w:textDirection w:val="lrTb"/>
            <w:noWrap w:val="false"/>
          </w:tcPr>
          <w:p>
            <w:pPr>
              <w:pStyle w:val="1186"/>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p>
        </w:tc>
        <w:tc>
          <w:tcPr>
            <w:tcW w:w="3118" w:type="dxa"/>
            <w:vAlign w:val="center"/>
            <w:textDirection w:val="lrTb"/>
            <w:noWrap w:val="false"/>
          </w:tcPr>
          <w:p>
            <w:pPr>
              <w:pStyle w:val="1186"/>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p>
        </w:tc>
        <w:tc>
          <w:tcPr>
            <w:tcW w:w="1843" w:type="dxa"/>
            <w:vAlign w:val="center"/>
            <w:textDirection w:val="lrTb"/>
            <w:noWrap w:val="false"/>
          </w:tcPr>
          <w:p>
            <w:pPr>
              <w:pStyle w:val="1186"/>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p>
        </w:tc>
        <w:tc>
          <w:tcPr>
            <w:tcW w:w="1417" w:type="dxa"/>
            <w:vAlign w:val="center"/>
            <w:textDirection w:val="lrTb"/>
            <w:noWrap w:val="false"/>
          </w:tcPr>
          <w:p>
            <w:pPr>
              <w:pStyle w:val="1186"/>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p>
        </w:tc>
        <w:tc>
          <w:tcPr>
            <w:tcW w:w="1523" w:type="dxa"/>
            <w:vAlign w:val="center"/>
            <w:textDirection w:val="lrTb"/>
            <w:noWrap w:val="false"/>
          </w:tcPr>
          <w:p>
            <w:pPr>
              <w:pStyle w:val="1186"/>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p>
        </w:tc>
      </w:tr>
      <w:tr>
        <w:trPr>
          <w:trHeight w:val="1510"/>
        </w:trPr>
        <w:tc>
          <w:tcPr>
            <w:tcW w:w="983" w:type="dxa"/>
            <w:vAlign w:val="top"/>
            <w:textDirection w:val="lrTb"/>
            <w:noWrap w:val="false"/>
          </w:tcPr>
          <w:p>
            <w:pPr>
              <w:pStyle w:val="1186"/>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p>
        </w:tc>
        <w:tc>
          <w:tcPr>
            <w:tcW w:w="3118" w:type="dxa"/>
            <w:vAlign w:val="center"/>
            <w:textDirection w:val="lrTb"/>
            <w:noWrap w:val="false"/>
          </w:tcPr>
          <w:p>
            <w:pPr>
              <w:pStyle w:val="1186"/>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p>
        </w:tc>
        <w:tc>
          <w:tcPr>
            <w:tcW w:w="1843" w:type="dxa"/>
            <w:vAlign w:val="center"/>
            <w:textDirection w:val="lrTb"/>
            <w:noWrap w:val="false"/>
          </w:tcPr>
          <w:p>
            <w:pPr>
              <w:pStyle w:val="1186"/>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p>
        </w:tc>
        <w:tc>
          <w:tcPr>
            <w:tcW w:w="1417" w:type="dxa"/>
            <w:vAlign w:val="center"/>
            <w:textDirection w:val="lrTb"/>
            <w:noWrap w:val="false"/>
          </w:tcPr>
          <w:p>
            <w:pPr>
              <w:pStyle w:val="1186"/>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p>
        </w:tc>
        <w:tc>
          <w:tcPr>
            <w:tcW w:w="1523" w:type="dxa"/>
            <w:vAlign w:val="center"/>
            <w:textDirection w:val="lrTb"/>
            <w:noWrap w:val="false"/>
          </w:tcPr>
          <w:p>
            <w:pPr>
              <w:pStyle w:val="1186"/>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p>
        </w:tc>
      </w:tr>
      <w:tr>
        <w:trPr>
          <w:trHeight w:val="1510"/>
        </w:trPr>
        <w:tc>
          <w:tcPr>
            <w:tcW w:w="983" w:type="dxa"/>
            <w:vAlign w:val="top"/>
            <w:textDirection w:val="lrTb"/>
            <w:noWrap w:val="false"/>
          </w:tcPr>
          <w:p>
            <w:pPr>
              <w:pStyle w:val="1186"/>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p>
        </w:tc>
        <w:tc>
          <w:tcPr>
            <w:tcW w:w="3118" w:type="dxa"/>
            <w:vAlign w:val="center"/>
            <w:textDirection w:val="lrTb"/>
            <w:noWrap w:val="false"/>
          </w:tcPr>
          <w:p>
            <w:pPr>
              <w:pStyle w:val="1186"/>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p>
        </w:tc>
        <w:tc>
          <w:tcPr>
            <w:tcW w:w="1843" w:type="dxa"/>
            <w:vAlign w:val="center"/>
            <w:textDirection w:val="lrTb"/>
            <w:noWrap w:val="false"/>
          </w:tcPr>
          <w:p>
            <w:pPr>
              <w:pStyle w:val="1186"/>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p>
        </w:tc>
        <w:tc>
          <w:tcPr>
            <w:tcW w:w="1417" w:type="dxa"/>
            <w:vAlign w:val="center"/>
            <w:textDirection w:val="lrTb"/>
            <w:noWrap w:val="false"/>
          </w:tcPr>
          <w:p>
            <w:pPr>
              <w:pStyle w:val="1186"/>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p>
        </w:tc>
        <w:tc>
          <w:tcPr>
            <w:tcW w:w="1523" w:type="dxa"/>
            <w:vAlign w:val="center"/>
            <w:textDirection w:val="lrTb"/>
            <w:noWrap w:val="false"/>
          </w:tcPr>
          <w:p>
            <w:pPr>
              <w:pStyle w:val="1186"/>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p>
        </w:tc>
      </w:tr>
      <w:tr>
        <w:trPr>
          <w:trHeight w:val="1525"/>
        </w:trPr>
        <w:tc>
          <w:tcPr>
            <w:tcW w:w="983" w:type="dxa"/>
            <w:vAlign w:val="top"/>
            <w:textDirection w:val="lrTb"/>
            <w:noWrap w:val="false"/>
          </w:tcPr>
          <w:p>
            <w:pPr>
              <w:pStyle w:val="1186"/>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p>
        </w:tc>
        <w:tc>
          <w:tcPr>
            <w:tcW w:w="3118" w:type="dxa"/>
            <w:vAlign w:val="center"/>
            <w:textDirection w:val="lrTb"/>
            <w:noWrap w:val="false"/>
          </w:tcPr>
          <w:p>
            <w:pPr>
              <w:pStyle w:val="1186"/>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p>
        </w:tc>
        <w:tc>
          <w:tcPr>
            <w:tcW w:w="1843" w:type="dxa"/>
            <w:vAlign w:val="center"/>
            <w:textDirection w:val="lrTb"/>
            <w:noWrap w:val="false"/>
          </w:tcPr>
          <w:p>
            <w:pPr>
              <w:pStyle w:val="1186"/>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p>
        </w:tc>
        <w:tc>
          <w:tcPr>
            <w:tcW w:w="1417" w:type="dxa"/>
            <w:vAlign w:val="center"/>
            <w:textDirection w:val="lrTb"/>
            <w:noWrap w:val="false"/>
          </w:tcPr>
          <w:p>
            <w:pPr>
              <w:pStyle w:val="1186"/>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p>
        </w:tc>
        <w:tc>
          <w:tcPr>
            <w:tcW w:w="1523" w:type="dxa"/>
            <w:vAlign w:val="center"/>
            <w:textDirection w:val="lrTb"/>
            <w:noWrap w:val="false"/>
          </w:tcPr>
          <w:p>
            <w:pPr>
              <w:pStyle w:val="1186"/>
              <w:jc w:val="center"/>
              <w:spacing w:line="560" w:lineRule="exact"/>
              <w:widowControl w:val="off"/>
              <w:rPr>
                <w:rFonts w:hint="eastAsia" w:ascii="方正仿宋_GB2312" w:hAnsi="方正仿宋_GB2312" w:eastAsia="方正仿宋_GB2312" w:cs="方正仿宋_GB2312"/>
                <w:color w:val="000000" w:themeColor="text1"/>
                <w:sz w:val="28"/>
                <w:szCs w:val="24"/>
                <w:highlight w:val="none"/>
              </w:rPr>
            </w:pPr>
            <w:r>
              <w:rPr>
                <w:rFonts w:hint="eastAsia" w:ascii="方正仿宋_GB2312" w:hAnsi="方正仿宋_GB2312" w:eastAsia="方正仿宋_GB2312" w:cs="方正仿宋_GB2312"/>
                <w:color w:val="000000" w:themeColor="text1"/>
                <w:sz w:val="28"/>
                <w:szCs w:val="24"/>
                <w:highlight w:val="none"/>
                <w:lang w:val="en-US" w:eastAsia="zh-CN" w:bidi="ar-SA"/>
              </w:rPr>
            </w:r>
            <w:r>
              <w:rPr>
                <w:color w:val="000000" w:themeColor="text1"/>
              </w:rPr>
            </w:r>
          </w:p>
        </w:tc>
      </w:tr>
    </w:tbl>
    <w:p>
      <w:pPr>
        <w:pStyle w:val="799"/>
        <w:ind w:firstLine="240"/>
        <w:spacing w:line="500" w:lineRule="exact"/>
        <w:rPr>
          <w:rFonts w:hint="eastAsia" w:ascii="方正仿宋_GB2312" w:hAnsi="方正仿宋_GB2312" w:eastAsia="方正仿宋_GB2312" w:cs="方正仿宋_GB2312"/>
          <w:bCs/>
          <w:color w:val="000000" w:themeColor="text1"/>
          <w:highlight w:val="none"/>
        </w:rPr>
      </w:pPr>
      <w:r>
        <w:rPr>
          <w:rFonts w:hint="eastAsia" w:ascii="方正仿宋_GB2312" w:hAnsi="方正仿宋_GB2312" w:eastAsia="方正仿宋_GB2312" w:cs="方正仿宋_GB2312"/>
          <w:bCs/>
          <w:color w:val="000000" w:themeColor="text1"/>
          <w:sz w:val="24"/>
          <w:highlight w:val="none"/>
        </w:rPr>
        <w:t xml:space="preserve">注：</w:t>
      </w:r>
      <w:r>
        <w:rPr>
          <w:rFonts w:hint="eastAsia" w:ascii="方正仿宋_GB2312" w:hAnsi="方正仿宋_GB2312" w:eastAsia="方正仿宋_GB2312" w:cs="方正仿宋_GB2312"/>
          <w:bCs/>
          <w:color w:val="000000" w:themeColor="text1"/>
          <w:sz w:val="24"/>
          <w:szCs w:val="24"/>
          <w:highlight w:val="none"/>
        </w:rPr>
        <w:t xml:space="preserve">中标后，本表将随中标结果进行公开。</w:t>
      </w:r>
      <w:bookmarkStart w:id="171" w:name="_Toc256000030"/>
      <w:r>
        <w:rPr>
          <w:rFonts w:hint="eastAsia" w:ascii="方正仿宋_GB2312" w:hAnsi="方正仿宋_GB2312" w:eastAsia="方正仿宋_GB2312" w:cs="方正仿宋_GB2312"/>
          <w:bCs/>
          <w:color w:val="000000" w:themeColor="text1"/>
          <w:highlight w:val="none"/>
        </w:rPr>
      </w:r>
      <w:r>
        <w:rPr>
          <w:color w:val="000000" w:themeColor="text1"/>
        </w:rPr>
      </w:r>
    </w:p>
    <w:p>
      <w:pPr>
        <w:pStyle w:val="799"/>
        <w:rPr>
          <w:rFonts w:hint="eastAsia" w:ascii="方正仿宋_GB2312" w:hAnsi="方正仿宋_GB2312" w:eastAsia="方正仿宋_GB2312" w:cs="方正仿宋_GB2312"/>
          <w:color w:val="000000" w:themeColor="text1"/>
          <w:sz w:val="32"/>
          <w:szCs w:val="32"/>
          <w:highlight w:val="none"/>
        </w:rPr>
      </w:pPr>
      <w:r>
        <w:rPr>
          <w:color w:val="000000" w:themeColor="text1"/>
        </w:rPr>
      </w:r>
      <w:bookmarkEnd w:id="171"/>
      <w:r>
        <w:rPr>
          <w:rFonts w:hint="eastAsia" w:ascii="方正仿宋_GB2312" w:hAnsi="方正仿宋_GB2312" w:eastAsia="方正仿宋_GB2312" w:cs="方正仿宋_GB2312"/>
          <w:color w:val="000000" w:themeColor="text1"/>
          <w:sz w:val="32"/>
          <w:szCs w:val="32"/>
          <w:highlight w:val="none"/>
        </w:rPr>
      </w:r>
      <w:r>
        <w:rPr>
          <w:color w:val="000000" w:themeColor="text1"/>
        </w:rPr>
      </w:r>
    </w:p>
    <w:p>
      <w:pPr>
        <w:pStyle w:val="799"/>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rPr>
      </w:r>
    </w:p>
    <w:p>
      <w:pPr>
        <w:pStyle w:val="799"/>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rPr>
      </w:r>
    </w:p>
    <w:p>
      <w:pPr>
        <w:pStyle w:val="799"/>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rPr>
      </w:r>
    </w:p>
    <w:p>
      <w:pPr>
        <w:pStyle w:val="799"/>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rPr>
      </w:r>
    </w:p>
    <w:p>
      <w:pPr>
        <w:pStyle w:val="799"/>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rPr>
      </w:r>
    </w:p>
    <w:p>
      <w:pPr>
        <w:pStyle w:val="799"/>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rPr>
      </w:r>
    </w:p>
    <w:p>
      <w:pPr>
        <w:pStyle w:val="1177"/>
        <w:ind w:left="210"/>
        <w:rPr>
          <w:rFonts w:hint="eastAsia" w:ascii="方正仿宋_GB2312" w:hAnsi="方正仿宋_GB2312" w:eastAsia="方正仿宋_GB2312" w:cs="方正仿宋_GB2312"/>
          <w:b/>
          <w:color w:val="000000" w:themeColor="text1"/>
          <w:sz w:val="28"/>
          <w:szCs w:val="24"/>
          <w:highlight w:val="none"/>
        </w:rPr>
        <w:outlineLvl w:val="1"/>
      </w:pPr>
      <w:r>
        <w:rPr>
          <w:rFonts w:hint="eastAsia" w:ascii="方正仿宋_GB2312" w:hAnsi="方正仿宋_GB2312" w:eastAsia="方正仿宋_GB2312" w:cs="方正仿宋_GB2312"/>
          <w:bCs/>
          <w:color w:val="000000" w:themeColor="text1"/>
          <w:szCs w:val="32"/>
          <w:highlight w:val="none"/>
          <w:lang w:val="en-US" w:eastAsia="zh-CN"/>
        </w:rPr>
        <w:br w:type="page" w:clear="all"/>
      </w:r>
      <w:r>
        <w:rPr>
          <w:rFonts w:hint="eastAsia" w:ascii="方正仿宋_GB2312" w:hAnsi="方正仿宋_GB2312" w:eastAsia="方正仿宋_GB2312" w:cs="方正仿宋_GB2312"/>
          <w:bCs/>
          <w:color w:val="000000" w:themeColor="text1"/>
          <w:szCs w:val="32"/>
          <w:highlight w:val="none"/>
          <w:lang w:val="en-US" w:eastAsia="zh-CN"/>
        </w:rPr>
        <w:t xml:space="preserve">十</w:t>
      </w:r>
      <w:r>
        <w:rPr>
          <w:rFonts w:hint="eastAsia" w:ascii="方正仿宋_GB2312" w:hAnsi="方正仿宋_GB2312" w:eastAsia="方正仿宋_GB2312" w:cs="方正仿宋_GB2312"/>
          <w:bCs/>
          <w:color w:val="000000" w:themeColor="text1"/>
          <w:szCs w:val="32"/>
          <w:highlight w:val="none"/>
        </w:rPr>
        <w:t xml:space="preserve">、</w:t>
      </w:r>
      <w:r>
        <w:rPr>
          <w:rFonts w:hint="eastAsia" w:ascii="方正仿宋_GB2312" w:hAnsi="方正仿宋_GB2312" w:eastAsia="方正仿宋_GB2312" w:cs="方正仿宋_GB2312"/>
          <w:bCs/>
          <w:color w:val="000000" w:themeColor="text1"/>
          <w:szCs w:val="32"/>
          <w:highlight w:val="none"/>
          <w:lang w:val="en-US" w:eastAsia="zh-CN"/>
        </w:rPr>
        <w:t xml:space="preserve">承诺函</w:t>
      </w:r>
      <w:r>
        <w:rPr>
          <w:rFonts w:hint="eastAsia" w:ascii="方正仿宋_GB2312" w:hAnsi="方正仿宋_GB2312" w:eastAsia="方正仿宋_GB2312" w:cs="方正仿宋_GB2312"/>
          <w:b/>
          <w:color w:val="000000" w:themeColor="text1"/>
          <w:sz w:val="28"/>
          <w:szCs w:val="24"/>
          <w:highlight w:val="none"/>
          <w:lang w:val="en-US" w:eastAsia="zh-CN"/>
        </w:rPr>
      </w:r>
      <w:r>
        <w:rPr>
          <w:color w:val="000000" w:themeColor="text1"/>
        </w:rPr>
      </w:r>
    </w:p>
    <w:p>
      <w:pPr>
        <w:pStyle w:val="799"/>
        <w:jc w:val="center"/>
        <w:spacing w:line="360" w:lineRule="auto"/>
        <w:rPr>
          <w:rFonts w:hint="eastAsia" w:ascii="方正仿宋_GB2312" w:hAnsi="方正仿宋_GB2312" w:eastAsia="方正仿宋_GB2312" w:cs="方正仿宋_GB2312"/>
          <w:b/>
          <w:color w:val="000000" w:themeColor="text1"/>
          <w:sz w:val="28"/>
          <w:szCs w:val="24"/>
          <w:highlight w:val="none"/>
        </w:rPr>
      </w:pPr>
      <w:r>
        <w:rPr>
          <w:rFonts w:hint="eastAsia" w:ascii="方正仿宋_GB2312" w:hAnsi="方正仿宋_GB2312" w:eastAsia="方正仿宋_GB2312" w:cs="方正仿宋_GB2312"/>
          <w:b/>
          <w:color w:val="000000" w:themeColor="text1"/>
          <w:sz w:val="28"/>
          <w:szCs w:val="24"/>
          <w:highlight w:val="none"/>
          <w:lang w:eastAsia="zh-CN"/>
        </w:rPr>
        <w:t xml:space="preserve">（</w:t>
      </w:r>
      <w:r>
        <w:rPr>
          <w:rFonts w:hint="eastAsia" w:ascii="方正仿宋_GB2312" w:hAnsi="方正仿宋_GB2312" w:eastAsia="方正仿宋_GB2312" w:cs="方正仿宋_GB2312"/>
          <w:b/>
          <w:color w:val="000000" w:themeColor="text1"/>
          <w:sz w:val="28"/>
          <w:szCs w:val="24"/>
          <w:highlight w:val="none"/>
          <w:lang w:val="en-US" w:eastAsia="zh-CN"/>
        </w:rPr>
        <w:t xml:space="preserve">一）</w:t>
      </w:r>
      <w:r>
        <w:rPr>
          <w:rFonts w:hint="eastAsia" w:ascii="方正仿宋_GB2312" w:hAnsi="方正仿宋_GB2312" w:eastAsia="方正仿宋_GB2312" w:cs="方正仿宋_GB2312"/>
          <w:b/>
          <w:color w:val="000000" w:themeColor="text1"/>
          <w:sz w:val="28"/>
          <w:szCs w:val="24"/>
          <w:highlight w:val="none"/>
        </w:rPr>
        <w:t xml:space="preserve">承诺</w:t>
      </w:r>
      <w:r>
        <w:rPr>
          <w:rFonts w:hint="eastAsia" w:ascii="方正仿宋_GB2312" w:hAnsi="方正仿宋_GB2312" w:eastAsia="方正仿宋_GB2312" w:cs="方正仿宋_GB2312"/>
          <w:b/>
          <w:color w:val="000000" w:themeColor="text1"/>
          <w:sz w:val="28"/>
          <w:szCs w:val="24"/>
          <w:highlight w:val="none"/>
          <w:lang w:val="en-US" w:eastAsia="zh-CN"/>
        </w:rPr>
        <w:t xml:space="preserve">函</w:t>
      </w:r>
      <w:r>
        <w:rPr>
          <w:rFonts w:hint="eastAsia" w:ascii="方正仿宋_GB2312" w:hAnsi="方正仿宋_GB2312" w:eastAsia="方正仿宋_GB2312" w:cs="方正仿宋_GB2312"/>
          <w:b/>
          <w:color w:val="000000" w:themeColor="text1"/>
          <w:sz w:val="28"/>
          <w:szCs w:val="24"/>
          <w:highlight w:val="none"/>
          <w:lang w:eastAsia="zh-CN"/>
        </w:rPr>
      </w:r>
      <w:r>
        <w:rPr>
          <w:color w:val="000000" w:themeColor="text1"/>
        </w:rPr>
      </w:r>
    </w:p>
    <w:p>
      <w:pPr>
        <w:pStyle w:val="799"/>
        <w:spacing w:line="360" w:lineRule="auto"/>
        <w:rPr>
          <w:rFonts w:hint="eastAsia" w:ascii="方正仿宋_GB2312" w:hAnsi="方正仿宋_GB2312" w:eastAsia="方正仿宋_GB2312" w:cs="方正仿宋_GB2312"/>
          <w:color w:val="000000" w:themeColor="text1"/>
          <w:sz w:val="24"/>
          <w:szCs w:val="24"/>
          <w:highlight w:val="none"/>
          <w:u w:val="single"/>
        </w:rPr>
      </w:pPr>
      <w:r>
        <w:rPr>
          <w:color w:val="000000" w:themeColor="text1"/>
        </w:rPr>
      </w:r>
      <w:bookmarkStart w:id="172" w:name="OLE_LINK12"/>
      <w:r>
        <w:rPr>
          <w:color w:val="000000" w:themeColor="text1"/>
        </w:rPr>
      </w:r>
      <w:bookmarkStart w:id="173" w:name="OLE_LINK11"/>
      <w:r>
        <w:rPr>
          <w:rFonts w:hint="eastAsia" w:ascii="方正仿宋_GB2312" w:hAnsi="方正仿宋_GB2312" w:eastAsia="方正仿宋_GB2312" w:cs="方正仿宋_GB2312"/>
          <w:color w:val="000000" w:themeColor="text1"/>
          <w:sz w:val="24"/>
          <w:szCs w:val="24"/>
          <w:highlight w:val="none"/>
          <w:u w:val="single"/>
        </w:rPr>
        <w:t xml:space="preserve">苏州宿迁工业园区规划建设与城市管理局：</w:t>
      </w:r>
      <w:r>
        <w:rPr>
          <w:rFonts w:hint="eastAsia" w:ascii="方正仿宋_GB2312" w:hAnsi="方正仿宋_GB2312" w:eastAsia="方正仿宋_GB2312" w:cs="方正仿宋_GB2312"/>
          <w:color w:val="000000" w:themeColor="text1"/>
          <w:sz w:val="24"/>
          <w:szCs w:val="24"/>
          <w:highlight w:val="none"/>
          <w:u w:val="single"/>
        </w:rPr>
      </w:r>
      <w:r>
        <w:rPr>
          <w:color w:val="000000" w:themeColor="text1"/>
        </w:rPr>
      </w:r>
    </w:p>
    <w:p>
      <w:pPr>
        <w:pStyle w:val="799"/>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在贵方组织的</w:t>
      </w:r>
      <w:r>
        <w:rPr>
          <w:rFonts w:hint="eastAsia" w:ascii="方正仿宋_GB2312" w:hAnsi="方正仿宋_GB2312" w:eastAsia="方正仿宋_GB2312" w:cs="方正仿宋_GB2312"/>
          <w:color w:val="000000" w:themeColor="text1"/>
          <w:sz w:val="24"/>
          <w:szCs w:val="24"/>
          <w:highlight w:val="none"/>
          <w:u w:val="single"/>
          <w:lang w:eastAsia="zh-CN"/>
        </w:rPr>
        <w:t xml:space="preserve">苏州宿迁工业园区2026-2028年公共绿化养护项目</w:t>
      </w:r>
      <w:r>
        <w:rPr>
          <w:rFonts w:hint="eastAsia" w:ascii="方正仿宋_GB2312" w:hAnsi="方正仿宋_GB2312" w:eastAsia="方正仿宋_GB2312" w:cs="方正仿宋_GB2312"/>
          <w:color w:val="000000" w:themeColor="text1"/>
          <w:sz w:val="24"/>
          <w:szCs w:val="24"/>
          <w:highlight w:val="none"/>
        </w:rPr>
        <w:t xml:space="preserve">的招标活动中，我单位</w:t>
      </w:r>
      <w:r>
        <w:rPr>
          <w:rFonts w:hint="eastAsia" w:ascii="方正仿宋_GB2312" w:hAnsi="方正仿宋_GB2312" w:eastAsia="方正仿宋_GB2312" w:cs="方正仿宋_GB2312"/>
          <w:color w:val="000000" w:themeColor="text1"/>
          <w:sz w:val="24"/>
          <w:szCs w:val="24"/>
          <w:highlight w:val="none"/>
          <w:u w:val="single"/>
        </w:rPr>
        <w:t xml:space="preserve">（投标人名称）</w:t>
      </w:r>
      <w:r>
        <w:rPr>
          <w:rFonts w:hint="eastAsia" w:ascii="方正仿宋_GB2312" w:hAnsi="方正仿宋_GB2312" w:eastAsia="方正仿宋_GB2312" w:cs="方正仿宋_GB2312"/>
          <w:color w:val="000000" w:themeColor="text1"/>
          <w:sz w:val="24"/>
          <w:szCs w:val="24"/>
          <w:highlight w:val="none"/>
        </w:rPr>
        <w:t xml:space="preserve">郑重承诺如下：</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一、我单位完全理解并接受招标文件中对人员、车辆及设备的相关要求。</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二、我单位承诺，本项目所涉及的全部人员、车辆及设备，将严格按照招标文件要求进行配置。</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三、我单位保证，在项目进场前将全部人员、车辆及设备配备到位，并按采购人要求提供身份证、购置发票或租赁合同、行驶证等有效证明文件原件供核查。</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四、我单位承诺，在项目进场前，于园区范围内设立固定的办公场所，并保证其在整个服务期内持续可用。</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五、本承诺函中所列全部内容（人员、车辆、设备、办公场所）如未在项目进场前按要求配备到位，或所提供的文件与承诺不符，我单位同意被取消中标资格，并愿意承担由此引起的一切后果及法律责任。</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本承诺函是我单位投标文件的组成部分，真实、有效，并对我方具有法律约束力。</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特此承诺！</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jc w:val="righ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投标人名称：（加盖CA电子公章）</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rPr>
          <w:rFonts w:hint="eastAsia" w:ascii="方正仿宋_GB2312" w:hAnsi="方正仿宋_GB2312" w:eastAsia="方正仿宋_GB2312" w:cs="方正仿宋_GB2312"/>
          <w:color w:val="000000" w:themeColor="text1"/>
          <w:sz w:val="32"/>
          <w:szCs w:val="32"/>
          <w:highlight w:val="none"/>
        </w:rPr>
      </w:pPr>
      <w:r>
        <w:rPr>
          <w:color w:val="000000" w:themeColor="text1"/>
        </w:rPr>
      </w:r>
      <w:bookmarkEnd w:id="172"/>
      <w:r>
        <w:rPr>
          <w:color w:val="000000" w:themeColor="text1"/>
        </w:rPr>
      </w:r>
      <w:bookmarkEnd w:id="173"/>
      <w:r>
        <w:rPr>
          <w:rFonts w:hint="eastAsia" w:ascii="方正仿宋_GB2312" w:hAnsi="方正仿宋_GB2312" w:eastAsia="方正仿宋_GB2312" w:cs="方正仿宋_GB2312"/>
          <w:color w:val="000000" w:themeColor="text1"/>
          <w:sz w:val="32"/>
          <w:szCs w:val="32"/>
          <w:highlight w:val="none"/>
        </w:rPr>
      </w:r>
      <w:r>
        <w:rPr>
          <w:color w:val="000000" w:themeColor="text1"/>
        </w:rPr>
      </w:r>
    </w:p>
    <w:p>
      <w:pPr>
        <w:pStyle w:val="799"/>
        <w:jc w:val="center"/>
        <w:spacing w:line="360" w:lineRule="auto"/>
        <w:widowControl/>
        <w:rPr>
          <w:rFonts w:hint="eastAsia" w:ascii="方正仿宋_GB2312" w:hAnsi="方正仿宋_GB2312" w:eastAsia="方正仿宋_GB2312" w:cs="方正仿宋_GB2312"/>
          <w:b/>
          <w:bCs/>
          <w:color w:val="000000" w:themeColor="text1"/>
          <w:sz w:val="28"/>
          <w:szCs w:val="24"/>
          <w:highlight w:val="none"/>
        </w:rPr>
      </w:pPr>
      <w:r>
        <w:rPr>
          <w:rFonts w:hint="eastAsia" w:ascii="方正仿宋_GB2312" w:hAnsi="方正仿宋_GB2312" w:eastAsia="方正仿宋_GB2312" w:cs="方正仿宋_GB2312"/>
          <w:b/>
          <w:bCs/>
          <w:color w:val="000000" w:themeColor="text1"/>
          <w:sz w:val="28"/>
          <w:szCs w:val="24"/>
          <w:highlight w:val="none"/>
          <w:lang w:eastAsia="zh-CN"/>
        </w:rPr>
        <w:t xml:space="preserve">（</w:t>
      </w:r>
      <w:r>
        <w:rPr>
          <w:rFonts w:hint="eastAsia" w:ascii="方正仿宋_GB2312" w:hAnsi="方正仿宋_GB2312" w:eastAsia="方正仿宋_GB2312" w:cs="方正仿宋_GB2312"/>
          <w:b/>
          <w:bCs/>
          <w:color w:val="000000" w:themeColor="text1"/>
          <w:sz w:val="28"/>
          <w:szCs w:val="24"/>
          <w:highlight w:val="none"/>
          <w:lang w:val="en-US" w:eastAsia="zh-CN"/>
        </w:rPr>
        <w:t xml:space="preserve">二）</w:t>
      </w:r>
      <w:r>
        <w:rPr>
          <w:rFonts w:hint="eastAsia" w:ascii="方正仿宋_GB2312" w:hAnsi="方正仿宋_GB2312" w:eastAsia="方正仿宋_GB2312" w:cs="方正仿宋_GB2312"/>
          <w:b/>
          <w:bCs/>
          <w:color w:val="000000" w:themeColor="text1"/>
          <w:sz w:val="28"/>
          <w:szCs w:val="24"/>
          <w:highlight w:val="none"/>
        </w:rPr>
        <w:t xml:space="preserve">关于配备</w:t>
      </w:r>
      <w:r>
        <w:rPr>
          <w:rFonts w:hint="eastAsia" w:ascii="方正仿宋_GB2312" w:hAnsi="方正仿宋_GB2312" w:eastAsia="方正仿宋_GB2312" w:cs="方正仿宋_GB2312"/>
          <w:b/>
          <w:bCs/>
          <w:color w:val="000000" w:themeColor="text1"/>
          <w:sz w:val="28"/>
          <w:szCs w:val="24"/>
          <w:highlight w:val="none"/>
          <w:lang w:val="en-US" w:eastAsia="zh-CN"/>
        </w:rPr>
        <w:t xml:space="preserve">洒水车</w:t>
      </w:r>
      <w:r>
        <w:rPr>
          <w:rFonts w:hint="eastAsia" w:ascii="方正仿宋_GB2312" w:hAnsi="方正仿宋_GB2312" w:eastAsia="方正仿宋_GB2312" w:cs="方正仿宋_GB2312"/>
          <w:b/>
          <w:bCs/>
          <w:color w:val="000000" w:themeColor="text1"/>
          <w:sz w:val="28"/>
          <w:szCs w:val="24"/>
          <w:highlight w:val="none"/>
        </w:rPr>
        <w:t xml:space="preserve">的承诺函</w:t>
      </w:r>
      <w:r>
        <w:rPr>
          <w:rFonts w:hint="eastAsia" w:ascii="方正仿宋_GB2312" w:hAnsi="方正仿宋_GB2312" w:eastAsia="方正仿宋_GB2312" w:cs="方正仿宋_GB2312"/>
          <w:b/>
          <w:bCs/>
          <w:color w:val="000000" w:themeColor="text1"/>
          <w:sz w:val="28"/>
          <w:szCs w:val="24"/>
          <w:highlight w:val="none"/>
        </w:rPr>
      </w:r>
      <w:r>
        <w:rPr>
          <w:color w:val="000000" w:themeColor="text1"/>
        </w:rPr>
      </w:r>
    </w:p>
    <w:p>
      <w:pPr>
        <w:pStyle w:val="799"/>
        <w:spacing w:line="360" w:lineRule="auto"/>
        <w:rPr>
          <w:rFonts w:hint="eastAsia" w:ascii="方正仿宋_GB2312" w:hAnsi="方正仿宋_GB2312" w:eastAsia="方正仿宋_GB2312" w:cs="方正仿宋_GB2312"/>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u w:val="single"/>
        </w:rPr>
        <w:t xml:space="preserve">苏州宿迁工业园区规划建设与城市管理局：</w:t>
      </w:r>
      <w:r>
        <w:rPr>
          <w:rFonts w:hint="eastAsia" w:ascii="方正仿宋_GB2312" w:hAnsi="方正仿宋_GB2312" w:eastAsia="方正仿宋_GB2312" w:cs="方正仿宋_GB2312"/>
          <w:color w:val="000000" w:themeColor="text1"/>
          <w:sz w:val="24"/>
          <w:szCs w:val="24"/>
          <w:highlight w:val="none"/>
          <w:u w:val="single"/>
        </w:rPr>
      </w:r>
      <w:r>
        <w:rPr>
          <w:color w:val="000000" w:themeColor="text1"/>
        </w:rPr>
      </w:r>
    </w:p>
    <w:p>
      <w:pPr>
        <w:pStyle w:val="799"/>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在贵方组织的</w:t>
      </w:r>
      <w:r>
        <w:rPr>
          <w:rFonts w:hint="eastAsia" w:ascii="方正仿宋_GB2312" w:hAnsi="方正仿宋_GB2312" w:eastAsia="方正仿宋_GB2312" w:cs="方正仿宋_GB2312"/>
          <w:color w:val="000000" w:themeColor="text1"/>
          <w:sz w:val="24"/>
          <w:szCs w:val="24"/>
          <w:highlight w:val="none"/>
          <w:u w:val="single"/>
          <w:lang w:eastAsia="zh-CN"/>
        </w:rPr>
        <w:t xml:space="preserve">苏州宿迁工业园区2026-2028年公共绿化养护项目</w:t>
      </w:r>
      <w:r>
        <w:rPr>
          <w:rFonts w:hint="eastAsia" w:ascii="方正仿宋_GB2312" w:hAnsi="方正仿宋_GB2312" w:eastAsia="方正仿宋_GB2312" w:cs="方正仿宋_GB2312"/>
          <w:color w:val="000000" w:themeColor="text1"/>
          <w:sz w:val="24"/>
          <w:szCs w:val="24"/>
          <w:highlight w:val="none"/>
        </w:rPr>
        <w:t xml:space="preserve">的招标活动中，我单位</w:t>
      </w:r>
      <w:r>
        <w:rPr>
          <w:rFonts w:hint="eastAsia" w:ascii="方正仿宋_GB2312" w:hAnsi="方正仿宋_GB2312" w:eastAsia="方正仿宋_GB2312" w:cs="方正仿宋_GB2312"/>
          <w:color w:val="000000" w:themeColor="text1"/>
          <w:sz w:val="24"/>
          <w:szCs w:val="24"/>
          <w:highlight w:val="none"/>
          <w:u w:val="single"/>
        </w:rPr>
        <w:t xml:space="preserve">（投标人名称）</w:t>
      </w:r>
      <w:r>
        <w:rPr>
          <w:rFonts w:hint="eastAsia" w:ascii="方正仿宋_GB2312" w:hAnsi="方正仿宋_GB2312" w:eastAsia="方正仿宋_GB2312" w:cs="方正仿宋_GB2312"/>
          <w:color w:val="000000" w:themeColor="text1"/>
          <w:sz w:val="24"/>
          <w:szCs w:val="24"/>
          <w:highlight w:val="none"/>
        </w:rPr>
        <w:t xml:space="preserve">郑重承诺如下：</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2"/>
        <w:spacing w:line="36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我方配备一辆罐式洒水车（罐体容积≥8立方）</w:t>
      </w:r>
      <w:r>
        <w:rPr>
          <w:rFonts w:hint="eastAsia" w:ascii="方正仿宋_GB2312" w:hAnsi="方正仿宋_GB2312" w:eastAsia="方正仿宋_GB2312" w:cs="方正仿宋_GB2312"/>
          <w:b/>
          <w:bCs/>
          <w:color w:val="000000" w:themeColor="text1"/>
          <w:sz w:val="24"/>
          <w:szCs w:val="24"/>
          <w:highlight w:val="none"/>
          <w:lang w:eastAsia="zh-CN"/>
        </w:rPr>
        <w:t xml:space="preserve">。</w:t>
      </w:r>
      <w:r>
        <w:rPr>
          <w:rFonts w:hint="eastAsia" w:ascii="方正仿宋_GB2312" w:hAnsi="方正仿宋_GB2312" w:eastAsia="方正仿宋_GB2312" w:cs="方正仿宋_GB2312"/>
          <w:b/>
          <w:bCs/>
          <w:color w:val="000000" w:themeColor="text1"/>
          <w:sz w:val="24"/>
          <w:szCs w:val="24"/>
          <w:highlight w:val="none"/>
          <w:lang w:eastAsia="zh-CN"/>
        </w:rPr>
      </w:r>
      <w:r>
        <w:rPr>
          <w:color w:val="000000" w:themeColor="text1"/>
        </w:rPr>
      </w:r>
    </w:p>
    <w:p>
      <w:pPr>
        <w:pStyle w:val="799"/>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本承诺函自投标截止之日起生效，若我方中标，本承诺函内容将随中标结果同步公开。如我方未履行上述承诺，愿接受招标文件约定的相应处理，并承担由此产生的一切法律责任。</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特此承诺！</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jc w:val="righ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24"/>
          <w:szCs w:val="24"/>
          <w:highlight w:val="none"/>
        </w:rPr>
        <w:t xml:space="preserve">投标人名称：（加盖CA电子公章）</w:t>
      </w:r>
      <w:r>
        <w:rPr>
          <w:rFonts w:hint="eastAsia" w:ascii="方正仿宋_GB2312" w:hAnsi="方正仿宋_GB2312" w:eastAsia="方正仿宋_GB2312" w:cs="方正仿宋_GB2312"/>
          <w:color w:val="000000" w:themeColor="text1"/>
          <w:sz w:val="32"/>
          <w:szCs w:val="32"/>
          <w:highlight w:val="none"/>
        </w:rPr>
      </w:r>
      <w:r>
        <w:rPr>
          <w:color w:val="000000" w:themeColor="text1"/>
        </w:rPr>
      </w:r>
    </w:p>
    <w:p>
      <w:pPr>
        <w:pStyle w:val="799"/>
        <w:jc w:val="center"/>
        <w:spacing w:line="360" w:lineRule="auto"/>
        <w:widowControl/>
        <w:rPr>
          <w:rFonts w:hint="eastAsia" w:ascii="方正仿宋_GB2312" w:hAnsi="方正仿宋_GB2312" w:eastAsia="方正仿宋_GB2312" w:cs="方正仿宋_GB2312"/>
          <w:b/>
          <w:bCs/>
          <w:color w:val="000000" w:themeColor="text1"/>
          <w:sz w:val="28"/>
          <w:szCs w:val="24"/>
          <w:highlight w:val="none"/>
        </w:rPr>
      </w:pPr>
      <w:r>
        <w:rPr>
          <w:rFonts w:hint="eastAsia" w:ascii="方正仿宋_GB2312" w:hAnsi="方正仿宋_GB2312" w:eastAsia="方正仿宋_GB2312" w:cs="方正仿宋_GB2312"/>
          <w:color w:val="000000" w:themeColor="text1"/>
          <w:sz w:val="32"/>
          <w:szCs w:val="32"/>
          <w:highlight w:val="none"/>
        </w:rPr>
        <w:br w:type="page" w:clear="all"/>
      </w:r>
      <w:r>
        <w:rPr>
          <w:rFonts w:hint="eastAsia" w:ascii="方正仿宋_GB2312" w:hAnsi="方正仿宋_GB2312" w:eastAsia="方正仿宋_GB2312" w:cs="方正仿宋_GB2312"/>
          <w:b/>
          <w:bCs/>
          <w:color w:val="000000" w:themeColor="text1"/>
          <w:sz w:val="28"/>
          <w:szCs w:val="24"/>
          <w:highlight w:val="none"/>
          <w:lang w:eastAsia="zh-CN"/>
        </w:rPr>
        <w:t xml:space="preserve">（</w:t>
      </w:r>
      <w:r>
        <w:rPr>
          <w:rFonts w:hint="eastAsia" w:ascii="方正仿宋_GB2312" w:hAnsi="方正仿宋_GB2312" w:eastAsia="方正仿宋_GB2312" w:cs="方正仿宋_GB2312"/>
          <w:b/>
          <w:bCs/>
          <w:color w:val="000000" w:themeColor="text1"/>
          <w:sz w:val="28"/>
          <w:szCs w:val="24"/>
          <w:highlight w:val="none"/>
          <w:lang w:val="en-US" w:eastAsia="zh-CN"/>
        </w:rPr>
        <w:t xml:space="preserve">三）</w:t>
      </w:r>
      <w:r>
        <w:rPr>
          <w:rFonts w:hint="eastAsia" w:ascii="方正仿宋_GB2312" w:hAnsi="方正仿宋_GB2312" w:eastAsia="方正仿宋_GB2312" w:cs="方正仿宋_GB2312"/>
          <w:b/>
          <w:bCs/>
          <w:color w:val="000000" w:themeColor="text1"/>
          <w:sz w:val="28"/>
          <w:szCs w:val="24"/>
          <w:highlight w:val="none"/>
        </w:rPr>
        <w:t xml:space="preserve">关于配备园林树枝粉碎机的承诺函</w:t>
      </w:r>
      <w:r>
        <w:rPr>
          <w:rFonts w:hint="eastAsia" w:ascii="方正仿宋_GB2312" w:hAnsi="方正仿宋_GB2312" w:eastAsia="方正仿宋_GB2312" w:cs="方正仿宋_GB2312"/>
          <w:b/>
          <w:bCs/>
          <w:color w:val="000000" w:themeColor="text1"/>
          <w:sz w:val="28"/>
          <w:szCs w:val="24"/>
          <w:highlight w:val="none"/>
        </w:rPr>
      </w:r>
      <w:r>
        <w:rPr>
          <w:color w:val="000000" w:themeColor="text1"/>
        </w:rPr>
      </w:r>
    </w:p>
    <w:p>
      <w:pPr>
        <w:pStyle w:val="799"/>
        <w:spacing w:line="360" w:lineRule="auto"/>
        <w:rPr>
          <w:rFonts w:hint="eastAsia" w:ascii="方正仿宋_GB2312" w:hAnsi="方正仿宋_GB2312" w:eastAsia="方正仿宋_GB2312" w:cs="方正仿宋_GB2312"/>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u w:val="single"/>
        </w:rPr>
        <w:t xml:space="preserve">苏州宿迁工业园区规划建设与城市管理局：</w:t>
      </w:r>
      <w:r>
        <w:rPr>
          <w:rFonts w:hint="eastAsia" w:ascii="方正仿宋_GB2312" w:hAnsi="方正仿宋_GB2312" w:eastAsia="方正仿宋_GB2312" w:cs="方正仿宋_GB2312"/>
          <w:color w:val="000000" w:themeColor="text1"/>
          <w:sz w:val="24"/>
          <w:szCs w:val="24"/>
          <w:highlight w:val="none"/>
          <w:u w:val="single"/>
        </w:rPr>
      </w:r>
      <w:r>
        <w:rPr>
          <w:color w:val="000000" w:themeColor="text1"/>
        </w:rPr>
      </w:r>
    </w:p>
    <w:p>
      <w:pPr>
        <w:pStyle w:val="799"/>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在贵方组织的</w:t>
      </w:r>
      <w:r>
        <w:rPr>
          <w:rFonts w:hint="eastAsia" w:ascii="方正仿宋_GB2312" w:hAnsi="方正仿宋_GB2312" w:eastAsia="方正仿宋_GB2312" w:cs="方正仿宋_GB2312"/>
          <w:color w:val="000000" w:themeColor="text1"/>
          <w:sz w:val="24"/>
          <w:szCs w:val="24"/>
          <w:highlight w:val="none"/>
          <w:u w:val="single"/>
          <w:lang w:eastAsia="zh-CN"/>
        </w:rPr>
        <w:t xml:space="preserve">苏州宿迁工业园区2026-2028年公共绿化养护项目</w:t>
      </w:r>
      <w:r>
        <w:rPr>
          <w:rFonts w:hint="eastAsia" w:ascii="方正仿宋_GB2312" w:hAnsi="方正仿宋_GB2312" w:eastAsia="方正仿宋_GB2312" w:cs="方正仿宋_GB2312"/>
          <w:color w:val="000000" w:themeColor="text1"/>
          <w:sz w:val="24"/>
          <w:szCs w:val="24"/>
          <w:highlight w:val="none"/>
        </w:rPr>
        <w:t xml:space="preserve">的招标活动中，我单位</w:t>
      </w:r>
      <w:r>
        <w:rPr>
          <w:rFonts w:hint="eastAsia" w:ascii="方正仿宋_GB2312" w:hAnsi="方正仿宋_GB2312" w:eastAsia="方正仿宋_GB2312" w:cs="方正仿宋_GB2312"/>
          <w:color w:val="000000" w:themeColor="text1"/>
          <w:sz w:val="24"/>
          <w:szCs w:val="24"/>
          <w:highlight w:val="none"/>
          <w:u w:val="single"/>
        </w:rPr>
        <w:t xml:space="preserve">（投标人名称）</w:t>
      </w:r>
      <w:r>
        <w:rPr>
          <w:rFonts w:hint="eastAsia" w:ascii="方正仿宋_GB2312" w:hAnsi="方正仿宋_GB2312" w:eastAsia="方正仿宋_GB2312" w:cs="方正仿宋_GB2312"/>
          <w:color w:val="000000" w:themeColor="text1"/>
          <w:sz w:val="24"/>
          <w:szCs w:val="24"/>
          <w:highlight w:val="none"/>
        </w:rPr>
        <w:t xml:space="preserve">郑重承诺如下：</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2"/>
        <w:spacing w:line="36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我方配备一</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台</w:t>
      </w:r>
      <w:r>
        <w:rPr>
          <w:rFonts w:hint="eastAsia" w:ascii="方正仿宋_GB2312" w:hAnsi="方正仿宋_GB2312" w:eastAsia="方正仿宋_GB2312" w:cs="方正仿宋_GB2312"/>
          <w:b/>
          <w:bCs/>
          <w:color w:val="000000" w:themeColor="text1"/>
          <w:sz w:val="24"/>
          <w:szCs w:val="24"/>
          <w:highlight w:val="none"/>
        </w:rPr>
        <w:t xml:space="preserve">园林树枝粉碎机（15匹）</w:t>
      </w:r>
      <w:r>
        <w:rPr>
          <w:rFonts w:hint="eastAsia" w:ascii="方正仿宋_GB2312" w:hAnsi="方正仿宋_GB2312" w:eastAsia="方正仿宋_GB2312" w:cs="方正仿宋_GB2312"/>
          <w:b/>
          <w:bCs/>
          <w:color w:val="000000" w:themeColor="text1"/>
          <w:sz w:val="24"/>
          <w:szCs w:val="24"/>
          <w:highlight w:val="none"/>
          <w:lang w:eastAsia="zh-CN"/>
        </w:rPr>
        <w:t xml:space="preserve">。</w:t>
      </w:r>
      <w:r>
        <w:rPr>
          <w:rFonts w:hint="eastAsia" w:ascii="方正仿宋_GB2312" w:hAnsi="方正仿宋_GB2312" w:eastAsia="方正仿宋_GB2312" w:cs="方正仿宋_GB2312"/>
          <w:b/>
          <w:bCs/>
          <w:color w:val="000000" w:themeColor="text1"/>
          <w:sz w:val="24"/>
          <w:szCs w:val="24"/>
          <w:highlight w:val="none"/>
          <w:lang w:eastAsia="zh-CN"/>
        </w:rPr>
      </w:r>
      <w:r>
        <w:rPr>
          <w:color w:val="000000" w:themeColor="text1"/>
        </w:rPr>
      </w:r>
    </w:p>
    <w:p>
      <w:pPr>
        <w:pStyle w:val="799"/>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本承诺函自投标截止之日起生效，若我方中标，本承诺函内容将随中标结果同步公开。如我方未履行上述承诺，愿接受招标文件约定的相应处理，并承担由此产生的一切法律责任。</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特此承诺！</w:t>
      </w: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ind w:firstLine="480"/>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rPr>
      </w:r>
    </w:p>
    <w:p>
      <w:pPr>
        <w:pStyle w:val="799"/>
        <w:jc w:val="righ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24"/>
          <w:szCs w:val="24"/>
          <w:highlight w:val="none"/>
        </w:rPr>
        <w:t xml:space="preserve">投标人名称：（加盖CA电子公章）</w:t>
      </w:r>
      <w:r>
        <w:rPr>
          <w:rFonts w:hint="eastAsia" w:ascii="方正仿宋_GB2312" w:hAnsi="方正仿宋_GB2312" w:eastAsia="方正仿宋_GB2312" w:cs="方正仿宋_GB2312"/>
          <w:color w:val="000000" w:themeColor="text1"/>
          <w:sz w:val="32"/>
          <w:szCs w:val="32"/>
          <w:highlight w:val="none"/>
        </w:rPr>
      </w:r>
      <w:r>
        <w:rPr>
          <w:color w:val="000000" w:themeColor="text1"/>
        </w:rPr>
      </w:r>
    </w:p>
    <w:p>
      <w:pPr>
        <w:pStyle w:val="799"/>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rPr>
      </w:r>
    </w:p>
    <w:p>
      <w:pPr>
        <w:pStyle w:val="799"/>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rPr>
      </w:r>
    </w:p>
    <w:p>
      <w:pPr>
        <w:pStyle w:val="799"/>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rPr>
      </w:r>
    </w:p>
    <w:p>
      <w:pPr>
        <w:pStyle w:val="799"/>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rPr>
      </w:r>
    </w:p>
    <w:p>
      <w:pPr>
        <w:pStyle w:val="799"/>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rPr>
      </w:r>
    </w:p>
    <w:p>
      <w:pPr>
        <w:pStyle w:val="799"/>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rPr>
      </w:r>
    </w:p>
    <w:p>
      <w:pPr>
        <w:pStyle w:val="799"/>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rPr>
      </w:r>
    </w:p>
    <w:p>
      <w:pPr>
        <w:pStyle w:val="799"/>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rPr>
      </w:r>
    </w:p>
    <w:p>
      <w:pPr>
        <w:pStyle w:val="799"/>
        <w:rPr>
          <w:rFonts w:hint="eastAsia" w:ascii="方正仿宋_GB2312" w:hAnsi="方正仿宋_GB2312" w:eastAsia="方正仿宋_GB2312" w:cs="方正仿宋_GB2312"/>
          <w:b/>
          <w:bCs/>
          <w:color w:val="000000" w:themeColor="text1"/>
          <w:szCs w:val="32"/>
          <w:highlight w:val="none"/>
        </w:rPr>
      </w:pPr>
      <w:r>
        <w:rPr>
          <w:rFonts w:hint="eastAsia" w:ascii="方正仿宋_GB2312" w:hAnsi="方正仿宋_GB2312" w:eastAsia="方正仿宋_GB2312" w:cs="方正仿宋_GB2312"/>
          <w:color w:val="000000" w:themeColor="text1"/>
          <w:sz w:val="32"/>
          <w:szCs w:val="32"/>
          <w:highlight w:val="none"/>
        </w:rPr>
        <w:br w:type="page" w:clear="all"/>
      </w:r>
      <w:r>
        <w:rPr>
          <w:rFonts w:hint="eastAsia" w:ascii="方正仿宋_GB2312" w:hAnsi="方正仿宋_GB2312" w:eastAsia="方正仿宋_GB2312" w:cs="方正仿宋_GB2312"/>
          <w:b/>
          <w:bCs/>
          <w:color w:val="000000" w:themeColor="text1"/>
          <w:sz w:val="32"/>
          <w:szCs w:val="32"/>
          <w:highlight w:val="none"/>
        </w:rPr>
        <w:t xml:space="preserve">十</w:t>
      </w:r>
      <w:r>
        <w:rPr>
          <w:rFonts w:hint="eastAsia" w:ascii="方正仿宋_GB2312" w:hAnsi="方正仿宋_GB2312" w:eastAsia="方正仿宋_GB2312" w:cs="方正仿宋_GB2312"/>
          <w:b/>
          <w:bCs/>
          <w:color w:val="000000" w:themeColor="text1"/>
          <w:sz w:val="32"/>
          <w:szCs w:val="32"/>
          <w:highlight w:val="none"/>
          <w:lang w:val="en-US" w:eastAsia="zh-CN"/>
        </w:rPr>
        <w:t xml:space="preserve">一</w:t>
      </w:r>
      <w:r>
        <w:rPr>
          <w:rFonts w:hint="eastAsia" w:ascii="方正仿宋_GB2312" w:hAnsi="方正仿宋_GB2312" w:eastAsia="方正仿宋_GB2312" w:cs="方正仿宋_GB2312"/>
          <w:b/>
          <w:bCs/>
          <w:color w:val="000000" w:themeColor="text1"/>
          <w:sz w:val="32"/>
          <w:szCs w:val="32"/>
          <w:highlight w:val="none"/>
        </w:rPr>
        <w:t xml:space="preserve">、投标所需其他材料</w:t>
      </w:r>
      <w:r>
        <w:rPr>
          <w:rFonts w:hint="eastAsia" w:ascii="方正仿宋_GB2312" w:hAnsi="方正仿宋_GB2312" w:eastAsia="方正仿宋_GB2312" w:cs="方正仿宋_GB2312"/>
          <w:b/>
          <w:bCs/>
          <w:color w:val="000000" w:themeColor="text1"/>
          <w:szCs w:val="32"/>
          <w:highlight w:val="none"/>
        </w:rPr>
      </w:r>
      <w:r>
        <w:rPr>
          <w:color w:val="000000" w:themeColor="text1"/>
        </w:rPr>
      </w:r>
    </w:p>
    <w:p>
      <w:pPr>
        <w:pStyle w:val="1189"/>
        <w:ind w:firstLine="42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请在此文档中增加投标所需其他相关内容（包括评分办法、采购需求中涉及的证件证明及其它投标人认为有必要提供的资料），如没有请将此空文档上传。</w:t>
      </w:r>
      <w:r>
        <w:rPr>
          <w:color w:val="000000" w:themeColor="text1"/>
        </w:rPr>
      </w:r>
    </w:p>
    <w:sectPr>
      <w:footnotePr/>
      <w:endnotePr/>
      <w:type w:val="continuous"/>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Wingdings">
    <w:panose1 w:val="05000000000000000000"/>
  </w:font>
  <w:font w:name="华文楷体">
    <w:panose1 w:val="0201060004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Arial Unicode MS">
    <w:panose1 w:val="020B0604020202020204"/>
  </w:font>
  <w:font w:name="Arial">
    <w:panose1 w:val="020B06040202020202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-13334</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62"/>
                            <w:jc w:val="center"/>
                            <w:tabs>
                              <w:tab w:val="clear" w:pos="7143" w:leader="none"/>
                              <w:tab w:val="clear" w:pos="14287"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79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1.0pt;mso-position-vertical:absolute;width:60.7pt;height:27.0pt;mso-wrap-distance-left:9.0pt;mso-wrap-distance-top:0.0pt;mso-wrap-distance-right:9.0pt;mso-wrap-distance-bottom:0.0pt;visibility:visible;" filled="f" stroked="f">
              <v:textbox inset="0,0,0,0">
                <w:txbxContent>
                  <w:p>
                    <w:pPr>
                      <w:pStyle w:val="862"/>
                      <w:jc w:val="center"/>
                      <w:tabs>
                        <w:tab w:val="clear" w:pos="7143" w:leader="none"/>
                        <w:tab w:val="clear" w:pos="14287"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799"/>
                    </w:pPr>
                    <w:r/>
                    <w:r/>
                  </w:p>
                </w:txbxContent>
              </v:textbox>
            </v:shape>
          </w:pict>
        </mc:Fallback>
      </mc:AlternateContent>
    </w:r>
    <w:r/>
  </w:p>
  <w:p>
    <w:pPr>
      <w:pStyle w:val="86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2"/>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9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2"/>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9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left"/>
      <w:tabs>
        <w:tab w:val="center" w:pos="4153" w:leader="none"/>
        <w:tab w:val="right" w:pos="8306" w:leader="none"/>
      </w:tabs>
      <w:rPr>
        <w:sz w:val="18"/>
        <w:szCs w:val="24"/>
      </w:rPr>
    </w:pPr>
    <w:r>
      <w:rPr>
        <w:sz w:val="3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-13334</wp:posOffset>
              </wp:positionV>
              <wp:extent cx="534035" cy="20447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34035" cy="204470"/>
                      </a:xfrm>
                      <a:prstGeom prst="rect">
                        <a:avLst/>
                      </a:prstGeom>
                      <a:noFill/>
                      <a:ln>
                        <a:noFill/>
                      </a:ln>
                    </wps:spPr>
                    <wps:txbx>
                      <w:txbxContent>
                        <w:p>
                          <w:pPr>
                            <w:pStyle w:val="799"/>
                            <w:rPr>
                              <w:sz w:val="28"/>
                              <w:szCs w:val="28"/>
                            </w:rPr>
                          </w:pPr>
                          <w:r>
                            <w:rPr>
                              <w:sz w:val="28"/>
                              <w:szCs w:val="28"/>
                            </w:rPr>
                            <w:t xml:space="preserve">—</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73</w:t>
                          </w:r>
                          <w:r>
                            <w:rPr>
                              <w:sz w:val="28"/>
                              <w:szCs w:val="28"/>
                            </w:rPr>
                            <w:fldChar w:fldCharType="end"/>
                          </w:r>
                          <w:r>
                            <w:rPr>
                              <w:sz w:val="28"/>
                              <w:szCs w:val="28"/>
                            </w:rPr>
                            <w:t xml:space="preserve">—</w:t>
                          </w:r>
                          <w:r>
                            <w:rPr>
                              <w:sz w:val="28"/>
                              <w:szCs w:val="28"/>
                            </w:rPr>
                          </w:r>
                          <w:r/>
                        </w:p>
                        <w:p>
                          <w:pPr>
                            <w:pStyle w:val="79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1.0pt;mso-position-vertical:absolute;width:42.0pt;height:16.1pt;mso-wrap-distance-left:9.0pt;mso-wrap-distance-top:0.0pt;mso-wrap-distance-right:9.0pt;mso-wrap-distance-bottom:0.0pt;visibility:visible;" filled="f" stroked="f">
              <v:textbox inset="0,0,0,0">
                <w:txbxContent>
                  <w:p>
                    <w:pPr>
                      <w:pStyle w:val="799"/>
                      <w:rPr>
                        <w:sz w:val="28"/>
                        <w:szCs w:val="28"/>
                      </w:rPr>
                    </w:pPr>
                    <w:r>
                      <w:rPr>
                        <w:sz w:val="28"/>
                        <w:szCs w:val="28"/>
                      </w:rPr>
                      <w:t xml:space="preserve">—</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73</w:t>
                    </w:r>
                    <w:r>
                      <w:rPr>
                        <w:sz w:val="28"/>
                        <w:szCs w:val="28"/>
                      </w:rPr>
                      <w:fldChar w:fldCharType="end"/>
                    </w:r>
                    <w:r>
                      <w:rPr>
                        <w:sz w:val="28"/>
                        <w:szCs w:val="28"/>
                      </w:rPr>
                      <w:t xml:space="preserve">—</w:t>
                    </w:r>
                    <w:r>
                      <w:rPr>
                        <w:sz w:val="28"/>
                        <w:szCs w:val="28"/>
                      </w:rPr>
                    </w:r>
                    <w:r/>
                  </w:p>
                  <w:p>
                    <w:pPr>
                      <w:pStyle w:val="799"/>
                    </w:pPr>
                    <w:r/>
                    <w:r/>
                  </w:p>
                </w:txbxContent>
              </v:textbox>
            </v:shape>
          </w:pict>
        </mc:Fallback>
      </mc:AlternateContent>
    </w:r>
    <w:r>
      <w:rPr>
        <w:sz w:val="18"/>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-13334</wp:posOffset>
              </wp:positionV>
              <wp:extent cx="742950" cy="2794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94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799"/>
                          </w:pPr>
                          <w:r/>
                          <w:r/>
                        </w:p>
                        <w:p>
                          <w:pPr>
                            <w:pStyle w:val="799"/>
                          </w:pPr>
                          <w:r/>
                          <w:r/>
                        </w:p>
                      </w:txbxContent>
                    </wps:txbx>
                    <wps:bodyPr wrap="square" lIns="0" tIns="0" rIns="0" bIns="0" upright="1"/>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1.0pt;mso-position-vertical:absolute;width:58.5pt;height:22.0pt;mso-wrap-distance-left:9.0pt;mso-wrap-distance-top:0.0pt;mso-wrap-distance-right:9.0pt;mso-wrap-distance-bottom:0.0pt;visibility:visible;" filled="f" stroked="f">
              <v:textbox inset="0,0,0,0">
                <w:txbxContent>
                  <w:p>
                    <w:pPr>
                      <w:pStyle w:val="94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799"/>
                    </w:pPr>
                    <w:r/>
                    <w:r/>
                  </w:p>
                  <w:p>
                    <w:pPr>
                      <w:pStyle w:val="799"/>
                    </w:pPr>
                    <w:r/>
                    <w:r/>
                  </w:p>
                </w:txbxContent>
              </v:textbox>
            </v:shape>
          </w:pict>
        </mc:Fallback>
      </mc:AlternateContent>
    </w:r>
    <w:r/>
  </w:p>
  <w:p>
    <w:pPr>
      <w:pStyle w:val="941"/>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righ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270"/>
      <w:isLgl w:val="false"/>
      <w:suff w:val="nothing"/>
      <w:lvlText w:val="%1、"/>
      <w:lvlJc w:val="left"/>
      <w:pPr>
        <w:pStyle w:val="799"/>
      </w:pPr>
      <w:rPr>
        <w:rFonts w:hint="eastAsia"/>
      </w:rPr>
    </w:lvl>
    <w:lvl w:ilvl="1">
      <w:start w:val="1"/>
      <w:numFmt w:val="bullet"/>
      <w:isLgl w:val="false"/>
      <w:suff w:val="tab"/>
      <w:lvlText w:val="o"/>
      <w:lvlJc w:val="left"/>
      <w:pPr>
        <w:pStyle w:val="799"/>
        <w:ind w:left="1440" w:hanging="360"/>
      </w:pPr>
      <w:rPr>
        <w:rFonts w:ascii="Courier New" w:hAnsi="Courier New" w:eastAsia="Courier New" w:cs="Courier New"/>
      </w:rPr>
    </w:lvl>
    <w:lvl w:ilvl="2">
      <w:start w:val="1"/>
      <w:numFmt w:val="bullet"/>
      <w:isLgl w:val="false"/>
      <w:suff w:val="tab"/>
      <w:lvlText w:val="§"/>
      <w:lvlJc w:val="left"/>
      <w:pPr>
        <w:pStyle w:val="799"/>
        <w:ind w:left="2160" w:hanging="360"/>
      </w:pPr>
      <w:rPr>
        <w:rFonts w:ascii="Wingdings" w:hAnsi="Wingdings" w:eastAsia="Wingdings" w:cs="Wingdings"/>
      </w:rPr>
    </w:lvl>
    <w:lvl w:ilvl="3">
      <w:start w:val="1"/>
      <w:numFmt w:val="bullet"/>
      <w:isLgl w:val="false"/>
      <w:suff w:val="tab"/>
      <w:lvlText w:val="·"/>
      <w:lvlJc w:val="left"/>
      <w:pPr>
        <w:pStyle w:val="799"/>
        <w:ind w:left="2880" w:hanging="360"/>
      </w:pPr>
      <w:rPr>
        <w:rFonts w:ascii="Symbol" w:hAnsi="Symbol" w:eastAsia="Symbol" w:cs="Symbol"/>
      </w:rPr>
    </w:lvl>
    <w:lvl w:ilvl="4">
      <w:start w:val="1"/>
      <w:numFmt w:val="bullet"/>
      <w:isLgl w:val="false"/>
      <w:suff w:val="tab"/>
      <w:lvlText w:val="o"/>
      <w:lvlJc w:val="left"/>
      <w:pPr>
        <w:pStyle w:val="799"/>
        <w:ind w:left="3600" w:hanging="360"/>
      </w:pPr>
      <w:rPr>
        <w:rFonts w:ascii="Courier New" w:hAnsi="Courier New" w:eastAsia="Courier New" w:cs="Courier New"/>
      </w:rPr>
    </w:lvl>
    <w:lvl w:ilvl="5">
      <w:start w:val="1"/>
      <w:numFmt w:val="bullet"/>
      <w:isLgl w:val="false"/>
      <w:suff w:val="tab"/>
      <w:lvlText w:val="§"/>
      <w:lvlJc w:val="left"/>
      <w:pPr>
        <w:pStyle w:val="799"/>
        <w:ind w:left="4320" w:hanging="360"/>
      </w:pPr>
      <w:rPr>
        <w:rFonts w:ascii="Wingdings" w:hAnsi="Wingdings" w:eastAsia="Wingdings" w:cs="Wingdings"/>
      </w:rPr>
    </w:lvl>
    <w:lvl w:ilvl="6">
      <w:start w:val="1"/>
      <w:numFmt w:val="bullet"/>
      <w:isLgl w:val="false"/>
      <w:suff w:val="tab"/>
      <w:lvlText w:val="·"/>
      <w:lvlJc w:val="left"/>
      <w:pPr>
        <w:pStyle w:val="799"/>
        <w:ind w:left="5040" w:hanging="360"/>
      </w:pPr>
      <w:rPr>
        <w:rFonts w:ascii="Symbol" w:hAnsi="Symbol" w:eastAsia="Symbol" w:cs="Symbol"/>
      </w:rPr>
    </w:lvl>
    <w:lvl w:ilvl="7">
      <w:start w:val="1"/>
      <w:numFmt w:val="bullet"/>
      <w:isLgl w:val="false"/>
      <w:suff w:val="tab"/>
      <w:lvlText w:val="o"/>
      <w:lvlJc w:val="left"/>
      <w:pPr>
        <w:pStyle w:val="799"/>
        <w:ind w:left="5760" w:hanging="360"/>
      </w:pPr>
      <w:rPr>
        <w:rFonts w:ascii="Courier New" w:hAnsi="Courier New" w:eastAsia="Courier New" w:cs="Courier New"/>
      </w:rPr>
    </w:lvl>
    <w:lvl w:ilvl="8">
      <w:start w:val="1"/>
      <w:numFmt w:val="bullet"/>
      <w:isLgl w:val="false"/>
      <w:suff w:val="tab"/>
      <w:lvlText w:val="§"/>
      <w:lvlJc w:val="left"/>
      <w:pPr>
        <w:pStyle w:val="799"/>
        <w:ind w:left="6480" w:hanging="360"/>
      </w:pPr>
      <w:rPr>
        <w:rFonts w:ascii="Wingdings" w:hAnsi="Wingdings" w:eastAsia="Wingdings" w:cs="Wingdings"/>
      </w:rPr>
    </w:lvl>
  </w:abstractNum>
  <w:abstractNum w:abstractNumId="1">
    <w:multiLevelType w:val="hybridMultilevel"/>
    <w:lvl w:ilvl="0">
      <w:start w:val="4"/>
      <w:numFmt w:val="chineseCounting"/>
      <w:isLgl w:val="false"/>
      <w:suff w:val="nothing"/>
      <w:lvlText w:val="%1、"/>
      <w:lvlJc w:val="left"/>
      <w:pPr>
        <w:pStyle w:val="799"/>
      </w:pPr>
      <w:rPr>
        <w:rFonts w:hint="eastAsia"/>
      </w:rPr>
    </w:lvl>
    <w:lvl w:ilvl="1">
      <w:start w:val="1"/>
      <w:numFmt w:val="bullet"/>
      <w:isLgl w:val="false"/>
      <w:suff w:val="tab"/>
      <w:lvlText w:val="o"/>
      <w:lvlJc w:val="left"/>
      <w:pPr>
        <w:pStyle w:val="799"/>
        <w:ind w:left="1440" w:hanging="360"/>
      </w:pPr>
      <w:rPr>
        <w:rFonts w:ascii="Courier New" w:hAnsi="Courier New" w:eastAsia="Courier New" w:cs="Courier New"/>
      </w:rPr>
    </w:lvl>
    <w:lvl w:ilvl="2">
      <w:start w:val="1"/>
      <w:numFmt w:val="bullet"/>
      <w:isLgl w:val="false"/>
      <w:suff w:val="tab"/>
      <w:lvlText w:val="§"/>
      <w:lvlJc w:val="left"/>
      <w:pPr>
        <w:pStyle w:val="799"/>
        <w:ind w:left="2160" w:hanging="360"/>
      </w:pPr>
      <w:rPr>
        <w:rFonts w:ascii="Wingdings" w:hAnsi="Wingdings" w:eastAsia="Wingdings" w:cs="Wingdings"/>
      </w:rPr>
    </w:lvl>
    <w:lvl w:ilvl="3">
      <w:start w:val="1"/>
      <w:numFmt w:val="bullet"/>
      <w:isLgl w:val="false"/>
      <w:suff w:val="tab"/>
      <w:lvlText w:val="·"/>
      <w:lvlJc w:val="left"/>
      <w:pPr>
        <w:pStyle w:val="799"/>
        <w:ind w:left="2880" w:hanging="360"/>
      </w:pPr>
      <w:rPr>
        <w:rFonts w:ascii="Symbol" w:hAnsi="Symbol" w:eastAsia="Symbol" w:cs="Symbol"/>
      </w:rPr>
    </w:lvl>
    <w:lvl w:ilvl="4">
      <w:start w:val="1"/>
      <w:numFmt w:val="bullet"/>
      <w:isLgl w:val="false"/>
      <w:suff w:val="tab"/>
      <w:lvlText w:val="o"/>
      <w:lvlJc w:val="left"/>
      <w:pPr>
        <w:pStyle w:val="799"/>
        <w:ind w:left="3600" w:hanging="360"/>
      </w:pPr>
      <w:rPr>
        <w:rFonts w:ascii="Courier New" w:hAnsi="Courier New" w:eastAsia="Courier New" w:cs="Courier New"/>
      </w:rPr>
    </w:lvl>
    <w:lvl w:ilvl="5">
      <w:start w:val="1"/>
      <w:numFmt w:val="bullet"/>
      <w:isLgl w:val="false"/>
      <w:suff w:val="tab"/>
      <w:lvlText w:val="§"/>
      <w:lvlJc w:val="left"/>
      <w:pPr>
        <w:pStyle w:val="799"/>
        <w:ind w:left="4320" w:hanging="360"/>
      </w:pPr>
      <w:rPr>
        <w:rFonts w:ascii="Wingdings" w:hAnsi="Wingdings" w:eastAsia="Wingdings" w:cs="Wingdings"/>
      </w:rPr>
    </w:lvl>
    <w:lvl w:ilvl="6">
      <w:start w:val="1"/>
      <w:numFmt w:val="bullet"/>
      <w:isLgl w:val="false"/>
      <w:suff w:val="tab"/>
      <w:lvlText w:val="·"/>
      <w:lvlJc w:val="left"/>
      <w:pPr>
        <w:pStyle w:val="799"/>
        <w:ind w:left="5040" w:hanging="360"/>
      </w:pPr>
      <w:rPr>
        <w:rFonts w:ascii="Symbol" w:hAnsi="Symbol" w:eastAsia="Symbol" w:cs="Symbol"/>
      </w:rPr>
    </w:lvl>
    <w:lvl w:ilvl="7">
      <w:start w:val="1"/>
      <w:numFmt w:val="bullet"/>
      <w:isLgl w:val="false"/>
      <w:suff w:val="tab"/>
      <w:lvlText w:val="o"/>
      <w:lvlJc w:val="left"/>
      <w:pPr>
        <w:pStyle w:val="799"/>
        <w:ind w:left="5760" w:hanging="360"/>
      </w:pPr>
      <w:rPr>
        <w:rFonts w:ascii="Courier New" w:hAnsi="Courier New" w:eastAsia="Courier New" w:cs="Courier New"/>
      </w:rPr>
    </w:lvl>
    <w:lvl w:ilvl="8">
      <w:start w:val="1"/>
      <w:numFmt w:val="bullet"/>
      <w:isLgl w:val="false"/>
      <w:suff w:val="tab"/>
      <w:lvlText w:val="§"/>
      <w:lvlJc w:val="left"/>
      <w:pPr>
        <w:pStyle w:val="799"/>
        <w:ind w:left="6480" w:hanging="360"/>
      </w:pPr>
      <w:rPr>
        <w:rFonts w:ascii="Wingdings" w:hAnsi="Wingdings" w:eastAsia="Wingdings" w:cs="Wingdings"/>
      </w:rPr>
    </w:lvl>
  </w:abstractNum>
  <w:abstractNum w:abstractNumId="2">
    <w:multiLevelType w:val="hybridMultilevel"/>
    <w:lvl w:ilvl="0">
      <w:start w:val="1"/>
      <w:numFmt w:val="decimal"/>
      <w:pStyle w:val="1255"/>
      <w:isLgl w:val="false"/>
      <w:suff w:val="nothing"/>
      <w:lvlText w:val="%1、"/>
      <w:lvlJc w:val="left"/>
      <w:pPr>
        <w:pStyle w:val="799"/>
      </w:pPr>
    </w:lvl>
    <w:lvl w:ilvl="1">
      <w:start w:val="1"/>
      <w:numFmt w:val="bullet"/>
      <w:isLgl w:val="false"/>
      <w:suff w:val="tab"/>
      <w:lvlText w:val="o"/>
      <w:lvlJc w:val="left"/>
      <w:pPr>
        <w:pStyle w:val="799"/>
        <w:ind w:left="1440" w:hanging="360"/>
      </w:pPr>
      <w:rPr>
        <w:rFonts w:ascii="Courier New" w:hAnsi="Courier New" w:eastAsia="Courier New" w:cs="Courier New"/>
      </w:rPr>
    </w:lvl>
    <w:lvl w:ilvl="2">
      <w:start w:val="1"/>
      <w:numFmt w:val="bullet"/>
      <w:isLgl w:val="false"/>
      <w:suff w:val="tab"/>
      <w:lvlText w:val="§"/>
      <w:lvlJc w:val="left"/>
      <w:pPr>
        <w:pStyle w:val="799"/>
        <w:ind w:left="2160" w:hanging="360"/>
      </w:pPr>
      <w:rPr>
        <w:rFonts w:ascii="Wingdings" w:hAnsi="Wingdings" w:eastAsia="Wingdings" w:cs="Wingdings"/>
      </w:rPr>
    </w:lvl>
    <w:lvl w:ilvl="3">
      <w:start w:val="1"/>
      <w:numFmt w:val="bullet"/>
      <w:isLgl w:val="false"/>
      <w:suff w:val="tab"/>
      <w:lvlText w:val="·"/>
      <w:lvlJc w:val="left"/>
      <w:pPr>
        <w:pStyle w:val="799"/>
        <w:ind w:left="2880" w:hanging="360"/>
      </w:pPr>
      <w:rPr>
        <w:rFonts w:ascii="Symbol" w:hAnsi="Symbol" w:eastAsia="Symbol" w:cs="Symbol"/>
      </w:rPr>
    </w:lvl>
    <w:lvl w:ilvl="4">
      <w:start w:val="1"/>
      <w:numFmt w:val="bullet"/>
      <w:isLgl w:val="false"/>
      <w:suff w:val="tab"/>
      <w:lvlText w:val="o"/>
      <w:lvlJc w:val="left"/>
      <w:pPr>
        <w:pStyle w:val="799"/>
        <w:ind w:left="3600" w:hanging="360"/>
      </w:pPr>
      <w:rPr>
        <w:rFonts w:ascii="Courier New" w:hAnsi="Courier New" w:eastAsia="Courier New" w:cs="Courier New"/>
      </w:rPr>
    </w:lvl>
    <w:lvl w:ilvl="5">
      <w:start w:val="1"/>
      <w:numFmt w:val="bullet"/>
      <w:isLgl w:val="false"/>
      <w:suff w:val="tab"/>
      <w:lvlText w:val="§"/>
      <w:lvlJc w:val="left"/>
      <w:pPr>
        <w:pStyle w:val="799"/>
        <w:ind w:left="4320" w:hanging="360"/>
      </w:pPr>
      <w:rPr>
        <w:rFonts w:ascii="Wingdings" w:hAnsi="Wingdings" w:eastAsia="Wingdings" w:cs="Wingdings"/>
      </w:rPr>
    </w:lvl>
    <w:lvl w:ilvl="6">
      <w:start w:val="1"/>
      <w:numFmt w:val="bullet"/>
      <w:isLgl w:val="false"/>
      <w:suff w:val="tab"/>
      <w:lvlText w:val="·"/>
      <w:lvlJc w:val="left"/>
      <w:pPr>
        <w:pStyle w:val="799"/>
        <w:ind w:left="5040" w:hanging="360"/>
      </w:pPr>
      <w:rPr>
        <w:rFonts w:ascii="Symbol" w:hAnsi="Symbol" w:eastAsia="Symbol" w:cs="Symbol"/>
      </w:rPr>
    </w:lvl>
    <w:lvl w:ilvl="7">
      <w:start w:val="1"/>
      <w:numFmt w:val="bullet"/>
      <w:isLgl w:val="false"/>
      <w:suff w:val="tab"/>
      <w:lvlText w:val="o"/>
      <w:lvlJc w:val="left"/>
      <w:pPr>
        <w:pStyle w:val="799"/>
        <w:ind w:left="5760" w:hanging="360"/>
      </w:pPr>
      <w:rPr>
        <w:rFonts w:ascii="Courier New" w:hAnsi="Courier New" w:eastAsia="Courier New" w:cs="Courier New"/>
      </w:rPr>
    </w:lvl>
    <w:lvl w:ilvl="8">
      <w:start w:val="1"/>
      <w:numFmt w:val="bullet"/>
      <w:isLgl w:val="false"/>
      <w:suff w:val="tab"/>
      <w:lvlText w:val="§"/>
      <w:lvlJc w:val="left"/>
      <w:pPr>
        <w:pStyle w:val="799"/>
        <w:ind w:left="6480" w:hanging="360"/>
      </w:pPr>
      <w:rPr>
        <w:rFonts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799"/>
    <w:next w:val="799"/>
    <w:link w:val="1000"/>
    <w:uiPriority w:val="10"/>
    <w:qFormat/>
    <w:pPr>
      <w:contextualSpacing/>
      <w:spacing w:before="300" w:after="200"/>
    </w:pPr>
    <w:rPr>
      <w:sz w:val="48"/>
      <w:szCs w:val="48"/>
    </w:rPr>
  </w:style>
  <w:style w:type="paragraph" w:styleId="35">
    <w:name w:val="Subtitle"/>
    <w:basedOn w:val="799"/>
    <w:next w:val="799"/>
    <w:link w:val="1001"/>
    <w:uiPriority w:val="11"/>
    <w:qFormat/>
    <w:pPr>
      <w:spacing w:before="200" w:after="200"/>
    </w:pPr>
    <w:rPr>
      <w:sz w:val="24"/>
      <w:szCs w:val="24"/>
    </w:rPr>
  </w:style>
  <w:style w:type="paragraph" w:styleId="41">
    <w:name w:val="Header"/>
    <w:basedOn w:val="799"/>
    <w:link w:val="1013"/>
    <w:uiPriority w:val="99"/>
    <w:unhideWhenUsed/>
    <w:pPr>
      <w:spacing w:after="0" w:line="240" w:lineRule="auto"/>
      <w:tabs>
        <w:tab w:val="center" w:pos="7143" w:leader="none"/>
        <w:tab w:val="right" w:pos="14287" w:leader="none"/>
      </w:tabs>
    </w:pPr>
  </w:style>
  <w:style w:type="paragraph" w:styleId="43">
    <w:name w:val="Footer"/>
    <w:basedOn w:val="799"/>
    <w:link w:val="1004"/>
    <w:uiPriority w:val="99"/>
    <w:unhideWhenUsed/>
    <w:pPr>
      <w:spacing w:after="0" w:line="240" w:lineRule="auto"/>
      <w:tabs>
        <w:tab w:val="center" w:pos="7143" w:leader="none"/>
        <w:tab w:val="right" w:pos="14287" w:leader="none"/>
      </w:tabs>
    </w:pPr>
  </w:style>
  <w:style w:type="paragraph" w:styleId="45">
    <w:name w:val="Caption"/>
    <w:basedOn w:val="799"/>
    <w:next w:val="799"/>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99"/>
    <w:link w:val="100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99"/>
    <w:link w:val="100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99"/>
    <w:next w:val="799"/>
    <w:uiPriority w:val="39"/>
    <w:unhideWhenUsed/>
    <w:pPr>
      <w:ind w:left="0" w:right="0" w:firstLine="0"/>
      <w:spacing w:after="57"/>
    </w:pPr>
  </w:style>
  <w:style w:type="paragraph" w:styleId="181">
    <w:name w:val="toc 2"/>
    <w:basedOn w:val="799"/>
    <w:next w:val="799"/>
    <w:uiPriority w:val="39"/>
    <w:unhideWhenUsed/>
    <w:pPr>
      <w:ind w:left="283" w:right="0" w:firstLine="0"/>
      <w:spacing w:after="57"/>
    </w:pPr>
  </w:style>
  <w:style w:type="paragraph" w:styleId="182">
    <w:name w:val="toc 3"/>
    <w:basedOn w:val="799"/>
    <w:next w:val="799"/>
    <w:uiPriority w:val="39"/>
    <w:unhideWhenUsed/>
    <w:pPr>
      <w:ind w:left="567" w:right="0" w:firstLine="0"/>
      <w:spacing w:after="57"/>
    </w:pPr>
  </w:style>
  <w:style w:type="paragraph" w:styleId="183">
    <w:name w:val="toc 4"/>
    <w:basedOn w:val="799"/>
    <w:next w:val="799"/>
    <w:uiPriority w:val="39"/>
    <w:unhideWhenUsed/>
    <w:pPr>
      <w:ind w:left="850" w:right="0" w:firstLine="0"/>
      <w:spacing w:after="57"/>
    </w:pPr>
  </w:style>
  <w:style w:type="paragraph" w:styleId="184">
    <w:name w:val="toc 5"/>
    <w:basedOn w:val="799"/>
    <w:next w:val="799"/>
    <w:uiPriority w:val="39"/>
    <w:unhideWhenUsed/>
    <w:pPr>
      <w:ind w:left="1134" w:right="0" w:firstLine="0"/>
      <w:spacing w:after="57"/>
    </w:pPr>
  </w:style>
  <w:style w:type="paragraph" w:styleId="185">
    <w:name w:val="toc 6"/>
    <w:basedOn w:val="799"/>
    <w:next w:val="799"/>
    <w:uiPriority w:val="39"/>
    <w:unhideWhenUsed/>
    <w:pPr>
      <w:ind w:left="1417" w:right="0" w:firstLine="0"/>
      <w:spacing w:after="57"/>
    </w:pPr>
  </w:style>
  <w:style w:type="paragraph" w:styleId="186">
    <w:name w:val="toc 7"/>
    <w:basedOn w:val="799"/>
    <w:next w:val="799"/>
    <w:uiPriority w:val="39"/>
    <w:unhideWhenUsed/>
    <w:pPr>
      <w:ind w:left="1701" w:right="0" w:firstLine="0"/>
      <w:spacing w:after="57"/>
    </w:pPr>
  </w:style>
  <w:style w:type="paragraph" w:styleId="187">
    <w:name w:val="toc 8"/>
    <w:basedOn w:val="799"/>
    <w:next w:val="799"/>
    <w:uiPriority w:val="39"/>
    <w:unhideWhenUsed/>
    <w:pPr>
      <w:ind w:left="1984" w:right="0" w:firstLine="0"/>
      <w:spacing w:after="57"/>
    </w:pPr>
  </w:style>
  <w:style w:type="paragraph" w:styleId="188">
    <w:name w:val="toc 9"/>
    <w:basedOn w:val="799"/>
    <w:next w:val="799"/>
    <w:uiPriority w:val="39"/>
    <w:unhideWhenUsed/>
    <w:pPr>
      <w:ind w:left="2268" w:right="0" w:firstLine="0"/>
      <w:spacing w:after="57"/>
    </w:pPr>
  </w:style>
  <w:style w:type="paragraph" w:styleId="190">
    <w:name w:val="table of figures"/>
    <w:basedOn w:val="799"/>
    <w:next w:val="799"/>
    <w:uiPriority w:val="99"/>
    <w:unhideWhenUsed/>
    <w:pPr>
      <w:spacing w:after="0" w:afterAutospacing="0"/>
    </w:pPr>
  </w:style>
  <w:style w:type="paragraph" w:styleId="799" w:default="1">
    <w:name w:val="Normal"/>
    <w:next w:val="799"/>
    <w:link w:val="799"/>
    <w:qFormat/>
    <w:pPr>
      <w:jc w:val="both"/>
      <w:widowControl w:val="off"/>
    </w:pPr>
    <w:rPr>
      <w:rFonts w:ascii="Calibri" w:hAnsi="Calibri"/>
      <w:sz w:val="21"/>
      <w:szCs w:val="22"/>
      <w:lang w:eastAsia="zh-CN"/>
    </w:rPr>
  </w:style>
  <w:style w:type="character" w:styleId="800">
    <w:name w:val="默认段落字体"/>
    <w:next w:val="800"/>
    <w:link w:val="799"/>
    <w:uiPriority w:val="1"/>
    <w:unhideWhenUsed/>
    <w:qFormat/>
  </w:style>
  <w:style w:type="table" w:styleId="801">
    <w:name w:val="普通表格"/>
    <w:next w:val="801"/>
    <w:link w:val="799"/>
    <w:uiPriority w:val="99"/>
    <w:unhideWhenUsed/>
    <w:qFormat/>
    <w:tblPr/>
  </w:style>
  <w:style w:type="paragraph" w:styleId="802">
    <w:name w:val="目录 7"/>
    <w:basedOn w:val="799"/>
    <w:next w:val="799"/>
    <w:link w:val="799"/>
    <w:uiPriority w:val="39"/>
    <w:unhideWhenUsed/>
    <w:qFormat/>
    <w:pPr>
      <w:ind w:left="1701"/>
      <w:spacing w:after="57"/>
    </w:pPr>
  </w:style>
  <w:style w:type="paragraph" w:styleId="803">
    <w:name w:val="正文缩进"/>
    <w:basedOn w:val="799"/>
    <w:next w:val="803"/>
    <w:link w:val="799"/>
    <w:qFormat/>
    <w:pPr>
      <w:ind w:firstLine="420"/>
    </w:pPr>
  </w:style>
  <w:style w:type="paragraph" w:styleId="804">
    <w:name w:val="批注文字"/>
    <w:basedOn w:val="799"/>
    <w:next w:val="804"/>
    <w:link w:val="799"/>
    <w:uiPriority w:val="99"/>
    <w:unhideWhenUsed/>
    <w:pPr>
      <w:jc w:val="left"/>
    </w:pPr>
  </w:style>
  <w:style w:type="paragraph" w:styleId="805">
    <w:name w:val="正文文本"/>
    <w:basedOn w:val="799"/>
    <w:next w:val="806"/>
    <w:link w:val="799"/>
    <w:qFormat/>
    <w:rPr>
      <w:rFonts w:ascii="仿宋_GB2312" w:eastAsia="仿宋_GB2312"/>
      <w:sz w:val="30"/>
    </w:rPr>
  </w:style>
  <w:style w:type="paragraph" w:styleId="806">
    <w:name w:val="目录 5"/>
    <w:basedOn w:val="799"/>
    <w:next w:val="799"/>
    <w:link w:val="799"/>
    <w:uiPriority w:val="39"/>
    <w:unhideWhenUsed/>
    <w:qFormat/>
    <w:pPr>
      <w:ind w:left="1134"/>
      <w:spacing w:after="57"/>
    </w:pPr>
  </w:style>
  <w:style w:type="paragraph" w:styleId="807">
    <w:name w:val="目录 3"/>
    <w:basedOn w:val="799"/>
    <w:next w:val="799"/>
    <w:link w:val="799"/>
    <w:uiPriority w:val="39"/>
    <w:unhideWhenUsed/>
    <w:qFormat/>
    <w:pPr>
      <w:ind w:left="567"/>
      <w:spacing w:after="57"/>
    </w:pPr>
  </w:style>
  <w:style w:type="paragraph" w:styleId="808">
    <w:name w:val="目录 8"/>
    <w:basedOn w:val="799"/>
    <w:next w:val="799"/>
    <w:link w:val="799"/>
    <w:uiPriority w:val="39"/>
    <w:unhideWhenUsed/>
    <w:qFormat/>
    <w:pPr>
      <w:ind w:left="1984"/>
      <w:spacing w:after="57"/>
    </w:pPr>
  </w:style>
  <w:style w:type="paragraph" w:styleId="809">
    <w:name w:val="尾注文本"/>
    <w:basedOn w:val="799"/>
    <w:next w:val="809"/>
    <w:link w:val="799"/>
    <w:uiPriority w:val="99"/>
    <w:unhideWhenUsed/>
    <w:qFormat/>
    <w:rPr>
      <w:sz w:val="20"/>
    </w:rPr>
  </w:style>
  <w:style w:type="paragraph" w:styleId="810">
    <w:name w:val="页脚"/>
    <w:basedOn w:val="799"/>
    <w:next w:val="810"/>
    <w:link w:val="799"/>
    <w:uiPriority w:val="99"/>
    <w:pPr>
      <w:jc w:val="left"/>
      <w:tabs>
        <w:tab w:val="center" w:pos="4153" w:leader="none"/>
        <w:tab w:val="right" w:pos="8306" w:leader="none"/>
      </w:tabs>
    </w:pPr>
    <w:rPr>
      <w:sz w:val="18"/>
    </w:rPr>
  </w:style>
  <w:style w:type="paragraph" w:styleId="811">
    <w:name w:val="目录 1"/>
    <w:basedOn w:val="799"/>
    <w:next w:val="799"/>
    <w:link w:val="799"/>
    <w:uiPriority w:val="39"/>
    <w:unhideWhenUsed/>
    <w:qFormat/>
    <w:pPr>
      <w:spacing w:after="57"/>
    </w:pPr>
  </w:style>
  <w:style w:type="paragraph" w:styleId="812">
    <w:name w:val="目录 4"/>
    <w:basedOn w:val="799"/>
    <w:next w:val="799"/>
    <w:link w:val="799"/>
    <w:uiPriority w:val="39"/>
    <w:unhideWhenUsed/>
    <w:qFormat/>
    <w:pPr>
      <w:ind w:left="850"/>
      <w:spacing w:after="57"/>
    </w:pPr>
  </w:style>
  <w:style w:type="paragraph" w:styleId="813">
    <w:name w:val="副标题"/>
    <w:basedOn w:val="799"/>
    <w:next w:val="799"/>
    <w:link w:val="799"/>
    <w:uiPriority w:val="11"/>
    <w:qFormat/>
    <w:pPr>
      <w:spacing w:before="200" w:after="200"/>
    </w:pPr>
    <w:rPr>
      <w:sz w:val="24"/>
      <w:szCs w:val="24"/>
    </w:rPr>
  </w:style>
  <w:style w:type="paragraph" w:styleId="814">
    <w:name w:val="脚注文本"/>
    <w:basedOn w:val="799"/>
    <w:next w:val="814"/>
    <w:link w:val="799"/>
    <w:uiPriority w:val="99"/>
    <w:unhideWhenUsed/>
    <w:qFormat/>
    <w:pPr>
      <w:spacing w:after="40"/>
    </w:pPr>
    <w:rPr>
      <w:sz w:val="18"/>
    </w:rPr>
  </w:style>
  <w:style w:type="paragraph" w:styleId="815">
    <w:name w:val="目录 6"/>
    <w:basedOn w:val="799"/>
    <w:next w:val="799"/>
    <w:link w:val="799"/>
    <w:uiPriority w:val="39"/>
    <w:unhideWhenUsed/>
    <w:qFormat/>
    <w:pPr>
      <w:ind w:left="1417"/>
      <w:spacing w:after="57"/>
    </w:pPr>
  </w:style>
  <w:style w:type="paragraph" w:styleId="816">
    <w:name w:val="图表目录"/>
    <w:basedOn w:val="799"/>
    <w:next w:val="799"/>
    <w:link w:val="799"/>
    <w:uiPriority w:val="99"/>
    <w:unhideWhenUsed/>
    <w:qFormat/>
  </w:style>
  <w:style w:type="paragraph" w:styleId="817">
    <w:name w:val="目录 2"/>
    <w:basedOn w:val="799"/>
    <w:next w:val="799"/>
    <w:link w:val="799"/>
    <w:uiPriority w:val="39"/>
    <w:unhideWhenUsed/>
    <w:qFormat/>
    <w:pPr>
      <w:ind w:left="283"/>
      <w:spacing w:after="57"/>
    </w:pPr>
  </w:style>
  <w:style w:type="paragraph" w:styleId="818">
    <w:name w:val="目录 9"/>
    <w:basedOn w:val="799"/>
    <w:next w:val="799"/>
    <w:link w:val="799"/>
    <w:uiPriority w:val="39"/>
    <w:unhideWhenUsed/>
    <w:qFormat/>
    <w:pPr>
      <w:ind w:left="2268"/>
      <w:spacing w:after="57"/>
    </w:pPr>
  </w:style>
  <w:style w:type="paragraph" w:styleId="819">
    <w:name w:val="普通(网站)"/>
    <w:basedOn w:val="799"/>
    <w:next w:val="819"/>
    <w:link w:val="799"/>
    <w:uiPriority w:val="99"/>
    <w:unhideWhenUsed/>
    <w:qFormat/>
    <w:rPr>
      <w:sz w:val="24"/>
    </w:rPr>
  </w:style>
  <w:style w:type="paragraph" w:styleId="820">
    <w:name w:val="标题"/>
    <w:basedOn w:val="799"/>
    <w:next w:val="799"/>
    <w:link w:val="799"/>
    <w:uiPriority w:val="10"/>
    <w:qFormat/>
    <w:pPr>
      <w:contextualSpacing/>
      <w:spacing w:before="300" w:after="200"/>
    </w:pPr>
    <w:rPr>
      <w:sz w:val="48"/>
      <w:szCs w:val="48"/>
    </w:rPr>
  </w:style>
  <w:style w:type="table" w:styleId="821">
    <w:name w:val="网格型"/>
    <w:next w:val="821"/>
    <w:link w:val="799"/>
    <w:uiPriority w:val="59"/>
    <w:qFormat/>
    <w:tblPr/>
  </w:style>
  <w:style w:type="character" w:styleId="822">
    <w:name w:val="要点"/>
    <w:basedOn w:val="800"/>
    <w:next w:val="822"/>
    <w:link w:val="799"/>
    <w:uiPriority w:val="22"/>
    <w:qFormat/>
    <w:rPr>
      <w:b/>
    </w:rPr>
  </w:style>
  <w:style w:type="character" w:styleId="823">
    <w:name w:val="尾注引用"/>
    <w:next w:val="823"/>
    <w:link w:val="799"/>
    <w:uiPriority w:val="99"/>
    <w:unhideWhenUsed/>
    <w:qFormat/>
    <w:rPr>
      <w:vertAlign w:val="superscript"/>
    </w:rPr>
  </w:style>
  <w:style w:type="character" w:styleId="824">
    <w:name w:val="页码"/>
    <w:basedOn w:val="800"/>
    <w:next w:val="824"/>
    <w:link w:val="799"/>
    <w:qFormat/>
    <w:rPr>
      <w:rFonts w:ascii="Times New Roman" w:hAnsi="Times New Roman" w:eastAsia="宋体"/>
      <w:sz w:val="18"/>
    </w:rPr>
  </w:style>
  <w:style w:type="character" w:styleId="825">
    <w:name w:val="强调"/>
    <w:basedOn w:val="800"/>
    <w:next w:val="825"/>
    <w:link w:val="799"/>
    <w:qFormat/>
    <w:rPr>
      <w:i/>
    </w:rPr>
  </w:style>
  <w:style w:type="character" w:styleId="826">
    <w:name w:val="超链接"/>
    <w:next w:val="826"/>
    <w:link w:val="799"/>
    <w:uiPriority w:val="99"/>
    <w:unhideWhenUsed/>
    <w:qFormat/>
    <w:rPr>
      <w:color w:val="0000ff"/>
      <w:u w:val="single"/>
    </w:rPr>
  </w:style>
  <w:style w:type="character" w:styleId="827">
    <w:name w:val="脚注引用"/>
    <w:next w:val="827"/>
    <w:link w:val="799"/>
    <w:uiPriority w:val="99"/>
    <w:unhideWhenUsed/>
    <w:qFormat/>
    <w:rPr>
      <w:vertAlign w:val="superscript"/>
    </w:rPr>
  </w:style>
  <w:style w:type="table" w:styleId="828">
    <w:name w:val="Plain Table 1"/>
    <w:basedOn w:val="801"/>
    <w:next w:val="828"/>
    <w:link w:val="799"/>
    <w:uiPriority w:val="59"/>
    <w:pPr>
      <w:spacing w:after="0" w:line="240" w:lineRule="auto"/>
    </w:pPr>
    <w:tblPr/>
  </w:style>
  <w:style w:type="table" w:styleId="829">
    <w:name w:val="Plain Table 2"/>
    <w:basedOn w:val="801"/>
    <w:next w:val="829"/>
    <w:link w:val="799"/>
    <w:uiPriority w:val="59"/>
    <w:pPr>
      <w:spacing w:after="0" w:line="240" w:lineRule="auto"/>
    </w:pPr>
    <w:tblPr/>
  </w:style>
  <w:style w:type="table" w:styleId="830">
    <w:name w:val="Plain Table 3"/>
    <w:basedOn w:val="801"/>
    <w:next w:val="830"/>
    <w:link w:val="799"/>
    <w:uiPriority w:val="99"/>
    <w:pPr>
      <w:spacing w:after="0" w:line="240" w:lineRule="auto"/>
    </w:pPr>
    <w:tblPr/>
  </w:style>
  <w:style w:type="table" w:styleId="831">
    <w:name w:val="Plain Table 4"/>
    <w:basedOn w:val="801"/>
    <w:next w:val="831"/>
    <w:link w:val="799"/>
    <w:uiPriority w:val="99"/>
    <w:pPr>
      <w:spacing w:after="0" w:line="240" w:lineRule="auto"/>
    </w:pPr>
    <w:tblPr/>
  </w:style>
  <w:style w:type="table" w:styleId="832">
    <w:name w:val="Plain Table 5"/>
    <w:basedOn w:val="801"/>
    <w:next w:val="832"/>
    <w:link w:val="799"/>
    <w:uiPriority w:val="99"/>
    <w:pPr>
      <w:spacing w:after="0" w:line="240" w:lineRule="auto"/>
    </w:pPr>
    <w:tblPr/>
  </w:style>
  <w:style w:type="table" w:styleId="833">
    <w:name w:val="Grid Table 1 Light"/>
    <w:basedOn w:val="801"/>
    <w:next w:val="833"/>
    <w:link w:val="799"/>
    <w:uiPriority w:val="99"/>
    <w:pPr>
      <w:spacing w:after="0" w:line="240" w:lineRule="auto"/>
    </w:pPr>
    <w:tblPr/>
  </w:style>
  <w:style w:type="table" w:styleId="834">
    <w:name w:val="Grid Table 2"/>
    <w:basedOn w:val="801"/>
    <w:next w:val="834"/>
    <w:link w:val="799"/>
    <w:uiPriority w:val="99"/>
    <w:pPr>
      <w:spacing w:after="0" w:line="240" w:lineRule="auto"/>
    </w:pPr>
    <w:tblPr/>
  </w:style>
  <w:style w:type="table" w:styleId="835">
    <w:name w:val="Grid Table 3"/>
    <w:basedOn w:val="801"/>
    <w:next w:val="835"/>
    <w:link w:val="799"/>
    <w:uiPriority w:val="99"/>
    <w:pPr>
      <w:spacing w:after="0" w:line="240" w:lineRule="auto"/>
    </w:pPr>
    <w:tblPr/>
  </w:style>
  <w:style w:type="table" w:styleId="836">
    <w:name w:val="Grid Table 4"/>
    <w:basedOn w:val="801"/>
    <w:next w:val="836"/>
    <w:link w:val="799"/>
    <w:uiPriority w:val="59"/>
    <w:pPr>
      <w:spacing w:after="0" w:line="240" w:lineRule="auto"/>
    </w:pPr>
    <w:tblPr/>
  </w:style>
  <w:style w:type="table" w:styleId="837">
    <w:name w:val="Grid Table 5 Dark"/>
    <w:basedOn w:val="801"/>
    <w:next w:val="837"/>
    <w:link w:val="799"/>
    <w:uiPriority w:val="99"/>
    <w:pPr>
      <w:spacing w:after="0" w:line="240" w:lineRule="auto"/>
    </w:pPr>
    <w:tblPr/>
  </w:style>
  <w:style w:type="table" w:styleId="838">
    <w:name w:val="Grid Table 6 Colorful"/>
    <w:basedOn w:val="801"/>
    <w:next w:val="838"/>
    <w:link w:val="799"/>
    <w:uiPriority w:val="99"/>
    <w:pPr>
      <w:spacing w:after="0" w:line="240" w:lineRule="auto"/>
    </w:pPr>
    <w:tblPr/>
  </w:style>
  <w:style w:type="table" w:styleId="839">
    <w:name w:val="Grid Table 7 Colorful"/>
    <w:basedOn w:val="801"/>
    <w:next w:val="839"/>
    <w:link w:val="799"/>
    <w:uiPriority w:val="99"/>
    <w:pPr>
      <w:spacing w:after="0" w:line="240" w:lineRule="auto"/>
    </w:pPr>
    <w:tblPr/>
  </w:style>
  <w:style w:type="table" w:styleId="840">
    <w:name w:val="List Table 1 Light"/>
    <w:basedOn w:val="801"/>
    <w:next w:val="840"/>
    <w:link w:val="799"/>
    <w:uiPriority w:val="99"/>
    <w:pPr>
      <w:spacing w:after="0" w:line="240" w:lineRule="auto"/>
    </w:pPr>
    <w:tblPr/>
  </w:style>
  <w:style w:type="table" w:styleId="841">
    <w:name w:val="List Table 2"/>
    <w:basedOn w:val="801"/>
    <w:next w:val="841"/>
    <w:link w:val="799"/>
    <w:uiPriority w:val="99"/>
    <w:pPr>
      <w:spacing w:after="0" w:line="240" w:lineRule="auto"/>
    </w:pPr>
    <w:tblPr/>
  </w:style>
  <w:style w:type="table" w:styleId="842">
    <w:name w:val="List Table 3"/>
    <w:basedOn w:val="801"/>
    <w:next w:val="842"/>
    <w:link w:val="799"/>
    <w:uiPriority w:val="99"/>
    <w:pPr>
      <w:spacing w:after="0" w:line="240" w:lineRule="auto"/>
    </w:pPr>
    <w:tblPr/>
  </w:style>
  <w:style w:type="table" w:styleId="843">
    <w:name w:val="List Table 4"/>
    <w:basedOn w:val="801"/>
    <w:next w:val="843"/>
    <w:link w:val="799"/>
    <w:uiPriority w:val="99"/>
    <w:pPr>
      <w:spacing w:after="0" w:line="240" w:lineRule="auto"/>
    </w:pPr>
    <w:tblPr/>
  </w:style>
  <w:style w:type="table" w:styleId="844">
    <w:name w:val="List Table 5 Dark"/>
    <w:basedOn w:val="801"/>
    <w:next w:val="844"/>
    <w:link w:val="799"/>
    <w:uiPriority w:val="99"/>
    <w:pPr>
      <w:spacing w:after="0" w:line="240" w:lineRule="auto"/>
    </w:pPr>
    <w:tblPr/>
  </w:style>
  <w:style w:type="table" w:styleId="845">
    <w:name w:val="List Table 6 Colorful"/>
    <w:basedOn w:val="801"/>
    <w:next w:val="845"/>
    <w:link w:val="799"/>
    <w:uiPriority w:val="99"/>
    <w:pPr>
      <w:spacing w:after="0" w:line="240" w:lineRule="auto"/>
    </w:pPr>
    <w:tblPr/>
  </w:style>
  <w:style w:type="table" w:styleId="846">
    <w:name w:val="List Table 7 Colorful"/>
    <w:basedOn w:val="801"/>
    <w:next w:val="846"/>
    <w:link w:val="799"/>
    <w:uiPriority w:val="99"/>
    <w:pPr>
      <w:spacing w:after="0" w:line="240" w:lineRule="auto"/>
    </w:pPr>
    <w:tblPr/>
  </w:style>
  <w:style w:type="paragraph" w:styleId="847">
    <w:name w:val="TOC Heading"/>
    <w:next w:val="847"/>
    <w:link w:val="799"/>
    <w:uiPriority w:val="39"/>
    <w:unhideWhenUsed/>
  </w:style>
  <w:style w:type="paragraph" w:styleId="848">
    <w:name w:val="Heading 1"/>
    <w:basedOn w:val="799"/>
    <w:next w:val="799"/>
    <w:link w:val="799"/>
    <w:uiPriority w:val="9"/>
    <w:qFormat/>
    <w:pPr>
      <w:keepLines/>
      <w:keepNext/>
      <w:spacing w:before="480" w:after="200"/>
      <w:outlineLvl w:val="0"/>
    </w:pPr>
    <w:rPr>
      <w:rFonts w:ascii="Arial" w:hAnsi="Arial" w:eastAsia="Arial" w:cs="Arial"/>
      <w:sz w:val="40"/>
      <w:szCs w:val="40"/>
    </w:rPr>
  </w:style>
  <w:style w:type="paragraph" w:styleId="849">
    <w:name w:val="Heading 2"/>
    <w:basedOn w:val="799"/>
    <w:next w:val="803"/>
    <w:link w:val="799"/>
    <w:uiPriority w:val="9"/>
    <w:unhideWhenUsed/>
    <w:qFormat/>
    <w:pPr>
      <w:keepLines/>
      <w:keepNext/>
      <w:spacing w:before="360" w:after="200"/>
      <w:outlineLvl w:val="1"/>
    </w:pPr>
    <w:rPr>
      <w:rFonts w:ascii="Arial" w:hAnsi="Arial" w:eastAsia="Arial" w:cs="Arial"/>
      <w:sz w:val="34"/>
    </w:rPr>
  </w:style>
  <w:style w:type="paragraph" w:styleId="850">
    <w:name w:val="Heading 3"/>
    <w:basedOn w:val="851"/>
    <w:next w:val="853"/>
    <w:link w:val="799"/>
    <w:uiPriority w:val="9"/>
    <w:unhideWhenUsed/>
    <w:qFormat/>
    <w:pPr>
      <w:keepLines/>
      <w:keepNext/>
      <w:spacing w:before="320" w:after="200"/>
      <w:outlineLvl w:val="2"/>
    </w:pPr>
    <w:rPr>
      <w:rFonts w:ascii="Arial" w:hAnsi="Arial" w:eastAsia="Arial" w:cs="Arial"/>
      <w:sz w:val="30"/>
      <w:szCs w:val="30"/>
    </w:rPr>
  </w:style>
  <w:style w:type="paragraph" w:styleId="851">
    <w:name w:val="Normal1"/>
    <w:next w:val="852"/>
    <w:link w:val="799"/>
    <w:qFormat/>
    <w:pPr>
      <w:jc w:val="both"/>
      <w:widowControl w:val="off"/>
    </w:pPr>
    <w:rPr>
      <w:rFonts w:ascii="Calibri" w:hAnsi="Calibri"/>
      <w:sz w:val="21"/>
      <w:szCs w:val="22"/>
      <w:lang w:eastAsia="zh-CN"/>
    </w:rPr>
  </w:style>
  <w:style w:type="paragraph" w:styleId="852">
    <w:name w:val="标题 311"/>
    <w:basedOn w:val="851"/>
    <w:next w:val="853"/>
    <w:link w:val="799"/>
    <w:uiPriority w:val="9"/>
    <w:qFormat/>
    <w:pPr>
      <w:keepLines/>
      <w:keepNext/>
      <w:spacing w:before="320" w:after="200"/>
      <w:outlineLvl w:val="2"/>
    </w:pPr>
    <w:rPr>
      <w:rFonts w:ascii="Arial" w:hAnsi="Arial" w:eastAsia="Arial" w:cs="Arial"/>
      <w:sz w:val="30"/>
      <w:szCs w:val="30"/>
    </w:rPr>
  </w:style>
  <w:style w:type="paragraph" w:styleId="853">
    <w:name w:val="Normal_19"/>
    <w:next w:val="854"/>
    <w:link w:val="799"/>
    <w:qFormat/>
    <w:rPr>
      <w:rFonts w:ascii="黑体" w:hAnsi="黑体" w:eastAsia="黑体" w:cs="黑体"/>
      <w:b/>
      <w:sz w:val="32"/>
      <w:szCs w:val="24"/>
      <w:lang w:eastAsia="zh-CN"/>
    </w:rPr>
  </w:style>
  <w:style w:type="paragraph" w:styleId="854">
    <w:name w:val="脚注文本1"/>
    <w:basedOn w:val="853"/>
    <w:next w:val="854"/>
    <w:link w:val="799"/>
    <w:qFormat/>
    <w:rPr>
      <w:rFonts w:eastAsia="Times New Roman"/>
      <w:sz w:val="18"/>
    </w:rPr>
  </w:style>
  <w:style w:type="paragraph" w:styleId="855">
    <w:name w:val="Heading 4"/>
    <w:basedOn w:val="799"/>
    <w:next w:val="803"/>
    <w:link w:val="799"/>
    <w:uiPriority w:val="9"/>
    <w:unhideWhenUsed/>
    <w:qFormat/>
    <w:pPr>
      <w:keepLines/>
      <w:keepNext/>
      <w:spacing w:before="320" w:after="200"/>
      <w:outlineLvl w:val="3"/>
    </w:pPr>
    <w:rPr>
      <w:rFonts w:ascii="Arial" w:hAnsi="Arial" w:eastAsia="Arial" w:cs="Arial"/>
      <w:b/>
      <w:bCs/>
      <w:sz w:val="26"/>
      <w:szCs w:val="26"/>
    </w:rPr>
  </w:style>
  <w:style w:type="paragraph" w:styleId="856">
    <w:name w:val="Heading 5"/>
    <w:basedOn w:val="799"/>
    <w:next w:val="799"/>
    <w:link w:val="799"/>
    <w:uiPriority w:val="9"/>
    <w:unhideWhenUsed/>
    <w:qFormat/>
    <w:pPr>
      <w:keepLines/>
      <w:keepNext/>
      <w:spacing w:before="320" w:after="200"/>
      <w:outlineLvl w:val="4"/>
    </w:pPr>
    <w:rPr>
      <w:rFonts w:ascii="Arial" w:hAnsi="Arial" w:eastAsia="Arial" w:cs="Arial"/>
      <w:b/>
      <w:bCs/>
      <w:sz w:val="24"/>
      <w:szCs w:val="24"/>
    </w:rPr>
  </w:style>
  <w:style w:type="paragraph" w:styleId="857">
    <w:name w:val="Heading 6"/>
    <w:basedOn w:val="799"/>
    <w:next w:val="799"/>
    <w:link w:val="799"/>
    <w:uiPriority w:val="9"/>
    <w:unhideWhenUsed/>
    <w:qFormat/>
    <w:pPr>
      <w:keepLines/>
      <w:keepNext/>
      <w:spacing w:before="320" w:after="200"/>
      <w:outlineLvl w:val="5"/>
    </w:pPr>
    <w:rPr>
      <w:rFonts w:ascii="Arial" w:hAnsi="Arial" w:eastAsia="Arial" w:cs="Arial"/>
      <w:b/>
      <w:bCs/>
      <w:sz w:val="22"/>
    </w:rPr>
  </w:style>
  <w:style w:type="paragraph" w:styleId="858">
    <w:name w:val="Heading 7"/>
    <w:basedOn w:val="799"/>
    <w:next w:val="799"/>
    <w:link w:val="799"/>
    <w:uiPriority w:val="9"/>
    <w:unhideWhenUsed/>
    <w:qFormat/>
    <w:pPr>
      <w:keepLines/>
      <w:keepNext/>
      <w:spacing w:before="320" w:after="200"/>
      <w:outlineLvl w:val="6"/>
    </w:pPr>
    <w:rPr>
      <w:rFonts w:ascii="Arial" w:hAnsi="Arial" w:eastAsia="Arial" w:cs="Arial"/>
      <w:b/>
      <w:bCs/>
      <w:i/>
      <w:iCs/>
      <w:sz w:val="22"/>
    </w:rPr>
  </w:style>
  <w:style w:type="paragraph" w:styleId="859">
    <w:name w:val="Heading 8"/>
    <w:basedOn w:val="799"/>
    <w:next w:val="799"/>
    <w:link w:val="799"/>
    <w:uiPriority w:val="9"/>
    <w:unhideWhenUsed/>
    <w:qFormat/>
    <w:pPr>
      <w:keepLines/>
      <w:keepNext/>
      <w:spacing w:before="320" w:after="200"/>
      <w:outlineLvl w:val="7"/>
    </w:pPr>
    <w:rPr>
      <w:rFonts w:ascii="Arial" w:hAnsi="Arial" w:eastAsia="Arial" w:cs="Arial"/>
      <w:i/>
      <w:iCs/>
      <w:sz w:val="22"/>
    </w:rPr>
  </w:style>
  <w:style w:type="paragraph" w:styleId="860">
    <w:name w:val="Heading 9"/>
    <w:basedOn w:val="799"/>
    <w:next w:val="799"/>
    <w:link w:val="799"/>
    <w:uiPriority w:val="9"/>
    <w:unhideWhenUsed/>
    <w:qFormat/>
    <w:pPr>
      <w:keepLines/>
      <w:keepNext/>
      <w:spacing w:before="320" w:after="200"/>
      <w:outlineLvl w:val="8"/>
    </w:pPr>
    <w:rPr>
      <w:rFonts w:ascii="Arial" w:hAnsi="Arial" w:eastAsia="Arial" w:cs="Arial"/>
      <w:i/>
      <w:iCs/>
      <w:szCs w:val="21"/>
    </w:rPr>
  </w:style>
  <w:style w:type="paragraph" w:styleId="861">
    <w:name w:val="Caption1"/>
    <w:basedOn w:val="799"/>
    <w:next w:val="799"/>
    <w:link w:val="799"/>
    <w:uiPriority w:val="35"/>
    <w:unhideWhenUsed/>
    <w:qFormat/>
    <w:pPr>
      <w:spacing w:line="276" w:lineRule="auto"/>
    </w:pPr>
    <w:rPr>
      <w:b/>
      <w:bCs/>
      <w:color w:val="4f81bd"/>
      <w:sz w:val="18"/>
      <w:szCs w:val="18"/>
    </w:rPr>
  </w:style>
  <w:style w:type="paragraph" w:styleId="862">
    <w:name w:val="Footer1"/>
    <w:basedOn w:val="799"/>
    <w:next w:val="862"/>
    <w:link w:val="799"/>
    <w:uiPriority w:val="99"/>
    <w:unhideWhenUsed/>
    <w:qFormat/>
    <w:pPr>
      <w:tabs>
        <w:tab w:val="center" w:pos="7143" w:leader="none"/>
        <w:tab w:val="right" w:pos="14287" w:leader="none"/>
      </w:tabs>
    </w:pPr>
  </w:style>
  <w:style w:type="paragraph" w:styleId="863">
    <w:name w:val="Header1"/>
    <w:basedOn w:val="799"/>
    <w:next w:val="863"/>
    <w:link w:val="799"/>
    <w:uiPriority w:val="99"/>
    <w:unhideWhenUsed/>
    <w:qFormat/>
    <w:pPr>
      <w:tabs>
        <w:tab w:val="center" w:pos="7143" w:leader="none"/>
        <w:tab w:val="right" w:pos="14287" w:leader="none"/>
      </w:tabs>
    </w:pPr>
  </w:style>
  <w:style w:type="paragraph" w:styleId="864">
    <w:name w:val="正文缩进1"/>
    <w:basedOn w:val="799"/>
    <w:next w:val="799"/>
    <w:link w:val="799"/>
    <w:qFormat/>
    <w:pPr>
      <w:ind w:firstLine="420"/>
      <w:jc w:val="left"/>
    </w:pPr>
    <w:rPr>
      <w:rFonts w:ascii="宋体"/>
      <w:sz w:val="24"/>
    </w:rPr>
  </w:style>
  <w:style w:type="paragraph" w:styleId="865">
    <w:name w:val="Normal11"/>
    <w:next w:val="866"/>
    <w:link w:val="799"/>
    <w:qFormat/>
    <w:pPr>
      <w:jc w:val="both"/>
      <w:widowControl w:val="off"/>
    </w:pPr>
    <w:rPr>
      <w:szCs w:val="21"/>
      <w:lang w:eastAsia="zh-CN"/>
    </w:rPr>
  </w:style>
  <w:style w:type="paragraph" w:styleId="866">
    <w:name w:val="Body Text First Indent1"/>
    <w:basedOn w:val="867"/>
    <w:next w:val="866"/>
    <w:link w:val="799"/>
    <w:uiPriority w:val="99"/>
    <w:unhideWhenUsed/>
    <w:qFormat/>
    <w:pPr>
      <w:ind w:firstLine="420"/>
    </w:pPr>
  </w:style>
  <w:style w:type="paragraph" w:styleId="867">
    <w:name w:val="Body Text1"/>
    <w:basedOn w:val="868"/>
    <w:next w:val="867"/>
    <w:link w:val="799"/>
    <w:uiPriority w:val="99"/>
    <w:unhideWhenUsed/>
    <w:qFormat/>
    <w:pPr>
      <w:spacing w:after="120"/>
    </w:pPr>
  </w:style>
  <w:style w:type="paragraph" w:styleId="868">
    <w:name w:val="Normal12"/>
    <w:next w:val="866"/>
    <w:link w:val="799"/>
    <w:qFormat/>
    <w:pPr>
      <w:jc w:val="both"/>
      <w:widowControl w:val="off"/>
    </w:pPr>
    <w:rPr>
      <w:szCs w:val="21"/>
      <w:lang w:eastAsia="zh-CN"/>
    </w:rPr>
  </w:style>
  <w:style w:type="table" w:styleId="869">
    <w:name w:val="无格式表格 11"/>
    <w:basedOn w:val="870"/>
    <w:next w:val="869"/>
    <w:link w:val="799"/>
    <w:uiPriority w:val="59"/>
    <w:qFormat/>
    <w:tblPr/>
  </w:style>
  <w:style w:type="table" w:styleId="870">
    <w:name w:val="普通表格1"/>
    <w:next w:val="870"/>
    <w:link w:val="799"/>
    <w:uiPriority w:val="99"/>
    <w:unhideWhenUsed/>
    <w:qFormat/>
    <w:tblPr/>
  </w:style>
  <w:style w:type="table" w:styleId="871">
    <w:name w:val="无格式表格 21"/>
    <w:basedOn w:val="870"/>
    <w:next w:val="871"/>
    <w:link w:val="799"/>
    <w:uiPriority w:val="59"/>
    <w:qFormat/>
    <w:tblPr/>
  </w:style>
  <w:style w:type="table" w:styleId="872">
    <w:name w:val="无格式表格 31"/>
    <w:basedOn w:val="870"/>
    <w:next w:val="872"/>
    <w:link w:val="799"/>
    <w:uiPriority w:val="99"/>
    <w:qFormat/>
    <w:tblPr/>
  </w:style>
  <w:style w:type="table" w:styleId="873">
    <w:name w:val="无格式表格 41"/>
    <w:basedOn w:val="870"/>
    <w:next w:val="873"/>
    <w:link w:val="799"/>
    <w:uiPriority w:val="99"/>
    <w:qFormat/>
    <w:tblPr/>
  </w:style>
  <w:style w:type="table" w:styleId="874">
    <w:name w:val="无格式表格 51"/>
    <w:basedOn w:val="870"/>
    <w:next w:val="874"/>
    <w:link w:val="799"/>
    <w:uiPriority w:val="99"/>
    <w:qFormat/>
    <w:tblPr/>
  </w:style>
  <w:style w:type="table" w:styleId="875">
    <w:name w:val="网格表 1 浅色1"/>
    <w:basedOn w:val="870"/>
    <w:next w:val="875"/>
    <w:link w:val="799"/>
    <w:uiPriority w:val="99"/>
    <w:qFormat/>
    <w:tblPr/>
  </w:style>
  <w:style w:type="table" w:styleId="876">
    <w:name w:val="网格表 21"/>
    <w:basedOn w:val="870"/>
    <w:next w:val="876"/>
    <w:link w:val="799"/>
    <w:uiPriority w:val="99"/>
    <w:qFormat/>
    <w:tblPr/>
  </w:style>
  <w:style w:type="table" w:styleId="877">
    <w:name w:val="网格表 31"/>
    <w:basedOn w:val="870"/>
    <w:next w:val="877"/>
    <w:link w:val="799"/>
    <w:uiPriority w:val="99"/>
    <w:qFormat/>
    <w:tblPr/>
  </w:style>
  <w:style w:type="table" w:styleId="878">
    <w:name w:val="网格表 41"/>
    <w:basedOn w:val="870"/>
    <w:next w:val="878"/>
    <w:link w:val="799"/>
    <w:uiPriority w:val="59"/>
    <w:qFormat/>
    <w:tblPr/>
  </w:style>
  <w:style w:type="table" w:styleId="879">
    <w:name w:val="网格表 5 深色1"/>
    <w:basedOn w:val="870"/>
    <w:next w:val="879"/>
    <w:link w:val="799"/>
    <w:uiPriority w:val="99"/>
    <w:qFormat/>
    <w:tblPr/>
  </w:style>
  <w:style w:type="table" w:styleId="880">
    <w:name w:val="网格表 6 彩色1"/>
    <w:basedOn w:val="870"/>
    <w:next w:val="880"/>
    <w:link w:val="799"/>
    <w:uiPriority w:val="99"/>
    <w:qFormat/>
    <w:tblPr/>
  </w:style>
  <w:style w:type="table" w:styleId="881">
    <w:name w:val="网格表 7 彩色1"/>
    <w:basedOn w:val="870"/>
    <w:next w:val="881"/>
    <w:link w:val="799"/>
    <w:uiPriority w:val="99"/>
    <w:qFormat/>
    <w:tblPr/>
  </w:style>
  <w:style w:type="table" w:styleId="882">
    <w:name w:val="清单表 1 浅色1"/>
    <w:basedOn w:val="870"/>
    <w:next w:val="882"/>
    <w:link w:val="799"/>
    <w:uiPriority w:val="99"/>
    <w:qFormat/>
    <w:tblPr/>
  </w:style>
  <w:style w:type="table" w:styleId="883">
    <w:name w:val="清单表 21"/>
    <w:basedOn w:val="870"/>
    <w:next w:val="883"/>
    <w:link w:val="799"/>
    <w:uiPriority w:val="99"/>
    <w:qFormat/>
    <w:tblPr/>
  </w:style>
  <w:style w:type="table" w:styleId="884">
    <w:name w:val="清单表 31"/>
    <w:basedOn w:val="870"/>
    <w:next w:val="884"/>
    <w:link w:val="799"/>
    <w:uiPriority w:val="99"/>
    <w:qFormat/>
    <w:tblPr/>
  </w:style>
  <w:style w:type="table" w:styleId="885">
    <w:name w:val="清单表 41"/>
    <w:basedOn w:val="870"/>
    <w:next w:val="885"/>
    <w:link w:val="799"/>
    <w:uiPriority w:val="99"/>
    <w:qFormat/>
    <w:tblPr/>
  </w:style>
  <w:style w:type="table" w:styleId="886">
    <w:name w:val="清单表 5 深色1"/>
    <w:basedOn w:val="870"/>
    <w:next w:val="886"/>
    <w:link w:val="799"/>
    <w:uiPriority w:val="99"/>
    <w:qFormat/>
    <w:tblPr/>
  </w:style>
  <w:style w:type="table" w:styleId="887">
    <w:name w:val="清单表 6 彩色1"/>
    <w:basedOn w:val="870"/>
    <w:next w:val="887"/>
    <w:link w:val="799"/>
    <w:uiPriority w:val="99"/>
    <w:qFormat/>
    <w:tblPr/>
  </w:style>
  <w:style w:type="table" w:styleId="888">
    <w:name w:val="清单表 7 彩色1"/>
    <w:basedOn w:val="870"/>
    <w:next w:val="888"/>
    <w:link w:val="799"/>
    <w:uiPriority w:val="99"/>
    <w:qFormat/>
    <w:tblPr/>
  </w:style>
  <w:style w:type="paragraph" w:styleId="889">
    <w:name w:val="TOC 标题1"/>
    <w:next w:val="889"/>
    <w:link w:val="799"/>
    <w:uiPriority w:val="39"/>
    <w:unhideWhenUsed/>
    <w:qFormat/>
    <w:rPr>
      <w:lang w:eastAsia="zh-CN"/>
    </w:rPr>
  </w:style>
  <w:style w:type="paragraph" w:styleId="890">
    <w:name w:val="List Paragraph"/>
    <w:basedOn w:val="799"/>
    <w:next w:val="890"/>
    <w:link w:val="799"/>
    <w:uiPriority w:val="34"/>
    <w:qFormat/>
    <w:pPr>
      <w:contextualSpacing/>
      <w:ind w:left="720"/>
    </w:pPr>
  </w:style>
  <w:style w:type="paragraph" w:styleId="891">
    <w:name w:val="No Spacing"/>
    <w:next w:val="891"/>
    <w:link w:val="799"/>
    <w:uiPriority w:val="1"/>
    <w:qFormat/>
    <w:rPr>
      <w:lang w:eastAsia="zh-CN"/>
    </w:rPr>
  </w:style>
  <w:style w:type="paragraph" w:styleId="892">
    <w:name w:val="Quote"/>
    <w:basedOn w:val="799"/>
    <w:next w:val="799"/>
    <w:link w:val="799"/>
    <w:uiPriority w:val="29"/>
    <w:qFormat/>
    <w:pPr>
      <w:ind w:left="720" w:right="720"/>
    </w:pPr>
    <w:rPr>
      <w:i/>
    </w:rPr>
  </w:style>
  <w:style w:type="paragraph" w:styleId="893">
    <w:name w:val="Intense Quote"/>
    <w:basedOn w:val="799"/>
    <w:next w:val="799"/>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94">
    <w:name w:val="标题 11"/>
    <w:basedOn w:val="799"/>
    <w:next w:val="799"/>
    <w:link w:val="895"/>
    <w:qFormat/>
    <w:pPr>
      <w:keepLines/>
      <w:keepNext/>
      <w:spacing w:before="480" w:after="200"/>
      <w:outlineLvl w:val="0"/>
    </w:pPr>
    <w:rPr>
      <w:rFonts w:ascii="Arial" w:hAnsi="Arial" w:eastAsia="Arial" w:cs="Arial"/>
      <w:sz w:val="40"/>
      <w:szCs w:val="40"/>
    </w:rPr>
  </w:style>
  <w:style w:type="character" w:styleId="895">
    <w:name w:val="标题 1 字符"/>
    <w:next w:val="895"/>
    <w:link w:val="894"/>
    <w:qFormat/>
    <w:rPr>
      <w:rFonts w:ascii="Arial" w:hAnsi="Arial" w:eastAsia="Arial" w:cs="Arial"/>
      <w:sz w:val="40"/>
      <w:szCs w:val="40"/>
    </w:rPr>
  </w:style>
  <w:style w:type="paragraph" w:styleId="896">
    <w:name w:val="标题 2111"/>
    <w:basedOn w:val="799"/>
    <w:next w:val="799"/>
    <w:link w:val="897"/>
    <w:qFormat/>
    <w:pPr>
      <w:keepLines/>
      <w:keepNext/>
      <w:spacing w:before="260" w:after="260" w:line="413" w:lineRule="auto"/>
      <w:outlineLvl w:val="1"/>
    </w:pPr>
    <w:rPr>
      <w:rFonts w:ascii="Arial" w:hAnsi="Arial" w:eastAsia="黑体"/>
      <w:b/>
      <w:sz w:val="32"/>
      <w:szCs w:val="20"/>
    </w:rPr>
  </w:style>
  <w:style w:type="character" w:styleId="897">
    <w:name w:val="标题 2 字符"/>
    <w:next w:val="897"/>
    <w:link w:val="896"/>
    <w:qFormat/>
    <w:rPr>
      <w:rFonts w:ascii="Arial" w:hAnsi="Arial" w:eastAsia="Arial" w:cs="Arial"/>
      <w:sz w:val="34"/>
    </w:rPr>
  </w:style>
  <w:style w:type="paragraph" w:styleId="898">
    <w:name w:val="标题 312"/>
    <w:basedOn w:val="851"/>
    <w:next w:val="853"/>
    <w:link w:val="899"/>
    <w:qFormat/>
    <w:pPr>
      <w:keepLines/>
      <w:keepNext/>
      <w:spacing w:before="320" w:after="200"/>
      <w:outlineLvl w:val="2"/>
    </w:pPr>
    <w:rPr>
      <w:rFonts w:ascii="Arial" w:hAnsi="Arial" w:eastAsia="Arial" w:cs="Arial"/>
      <w:sz w:val="30"/>
      <w:szCs w:val="30"/>
    </w:rPr>
  </w:style>
  <w:style w:type="character" w:styleId="899">
    <w:name w:val="标题 3 字符"/>
    <w:next w:val="899"/>
    <w:link w:val="898"/>
    <w:qFormat/>
    <w:rPr>
      <w:rFonts w:ascii="Arial" w:hAnsi="Arial" w:eastAsia="Arial" w:cs="Arial"/>
      <w:sz w:val="30"/>
      <w:szCs w:val="30"/>
    </w:rPr>
  </w:style>
  <w:style w:type="paragraph" w:styleId="900">
    <w:name w:val="标题 411"/>
    <w:basedOn w:val="799"/>
    <w:next w:val="799"/>
    <w:link w:val="901"/>
    <w:qFormat/>
    <w:pPr>
      <w:jc w:val="center"/>
      <w:keepNext/>
      <w:outlineLvl w:val="3"/>
    </w:pPr>
    <w:rPr>
      <w:rFonts w:eastAsia="新宋体"/>
      <w:sz w:val="30"/>
      <w:szCs w:val="21"/>
    </w:rPr>
  </w:style>
  <w:style w:type="character" w:styleId="901">
    <w:name w:val="标题 4 字符"/>
    <w:next w:val="901"/>
    <w:link w:val="900"/>
    <w:qFormat/>
    <w:rPr>
      <w:rFonts w:ascii="Arial" w:hAnsi="Arial" w:eastAsia="Arial" w:cs="Arial"/>
      <w:b/>
      <w:bCs/>
      <w:sz w:val="26"/>
      <w:szCs w:val="26"/>
    </w:rPr>
  </w:style>
  <w:style w:type="paragraph" w:styleId="902">
    <w:name w:val="标题 51"/>
    <w:basedOn w:val="799"/>
    <w:next w:val="799"/>
    <w:link w:val="903"/>
    <w:qFormat/>
    <w:pPr>
      <w:keepLines/>
      <w:keepNext/>
      <w:spacing w:before="320" w:after="200"/>
      <w:outlineLvl w:val="4"/>
    </w:pPr>
    <w:rPr>
      <w:rFonts w:ascii="Arial" w:hAnsi="Arial" w:eastAsia="Arial" w:cs="Arial"/>
      <w:b/>
      <w:bCs/>
      <w:sz w:val="24"/>
      <w:szCs w:val="24"/>
    </w:rPr>
  </w:style>
  <w:style w:type="character" w:styleId="903">
    <w:name w:val="标题 5 字符"/>
    <w:next w:val="903"/>
    <w:link w:val="902"/>
    <w:qFormat/>
    <w:rPr>
      <w:rFonts w:ascii="Arial" w:hAnsi="Arial" w:eastAsia="Arial" w:cs="Arial"/>
      <w:b/>
      <w:bCs/>
      <w:sz w:val="24"/>
      <w:szCs w:val="24"/>
    </w:rPr>
  </w:style>
  <w:style w:type="paragraph" w:styleId="904">
    <w:name w:val="标题 61"/>
    <w:basedOn w:val="799"/>
    <w:next w:val="799"/>
    <w:link w:val="905"/>
    <w:qFormat/>
    <w:pPr>
      <w:keepLines/>
      <w:keepNext/>
      <w:spacing w:before="320" w:after="200"/>
      <w:outlineLvl w:val="5"/>
    </w:pPr>
    <w:rPr>
      <w:rFonts w:ascii="Arial" w:hAnsi="Arial" w:eastAsia="Arial" w:cs="Arial"/>
      <w:b/>
      <w:bCs/>
      <w:sz w:val="22"/>
    </w:rPr>
  </w:style>
  <w:style w:type="character" w:styleId="905">
    <w:name w:val="标题 6 字符"/>
    <w:next w:val="905"/>
    <w:link w:val="904"/>
    <w:qFormat/>
    <w:rPr>
      <w:rFonts w:ascii="Arial" w:hAnsi="Arial" w:eastAsia="Arial" w:cs="Arial"/>
      <w:b/>
      <w:bCs/>
      <w:sz w:val="22"/>
      <w:szCs w:val="22"/>
    </w:rPr>
  </w:style>
  <w:style w:type="paragraph" w:styleId="906">
    <w:name w:val="标题 71"/>
    <w:basedOn w:val="799"/>
    <w:next w:val="799"/>
    <w:link w:val="907"/>
    <w:qFormat/>
    <w:pPr>
      <w:keepLines/>
      <w:keepNext/>
      <w:spacing w:before="320" w:after="200"/>
      <w:outlineLvl w:val="6"/>
    </w:pPr>
    <w:rPr>
      <w:rFonts w:ascii="Arial" w:hAnsi="Arial" w:eastAsia="Arial" w:cs="Arial"/>
      <w:b/>
      <w:bCs/>
      <w:i/>
      <w:iCs/>
      <w:sz w:val="22"/>
    </w:rPr>
  </w:style>
  <w:style w:type="character" w:styleId="907">
    <w:name w:val="标题 7 字符"/>
    <w:next w:val="907"/>
    <w:link w:val="906"/>
    <w:qFormat/>
    <w:rPr>
      <w:rFonts w:ascii="Arial" w:hAnsi="Arial" w:eastAsia="Arial" w:cs="Arial"/>
      <w:b/>
      <w:bCs/>
      <w:i/>
      <w:iCs/>
      <w:sz w:val="22"/>
      <w:szCs w:val="22"/>
    </w:rPr>
  </w:style>
  <w:style w:type="paragraph" w:styleId="908">
    <w:name w:val="标题 81"/>
    <w:basedOn w:val="799"/>
    <w:next w:val="799"/>
    <w:link w:val="909"/>
    <w:qFormat/>
    <w:pPr>
      <w:keepLines/>
      <w:keepNext/>
      <w:spacing w:before="320" w:after="200"/>
      <w:outlineLvl w:val="7"/>
    </w:pPr>
    <w:rPr>
      <w:rFonts w:ascii="Arial" w:hAnsi="Arial" w:eastAsia="Arial" w:cs="Arial"/>
      <w:i/>
      <w:iCs/>
      <w:sz w:val="22"/>
    </w:rPr>
  </w:style>
  <w:style w:type="character" w:styleId="909">
    <w:name w:val="标题 8 字符"/>
    <w:next w:val="909"/>
    <w:link w:val="908"/>
    <w:qFormat/>
    <w:rPr>
      <w:rFonts w:ascii="Arial" w:hAnsi="Arial" w:eastAsia="Arial" w:cs="Arial"/>
      <w:i/>
      <w:iCs/>
      <w:sz w:val="22"/>
      <w:szCs w:val="22"/>
    </w:rPr>
  </w:style>
  <w:style w:type="paragraph" w:styleId="910">
    <w:name w:val="标题 91"/>
    <w:basedOn w:val="799"/>
    <w:next w:val="799"/>
    <w:link w:val="911"/>
    <w:qFormat/>
    <w:pPr>
      <w:keepLines/>
      <w:keepNext/>
      <w:spacing w:before="320" w:after="200"/>
      <w:outlineLvl w:val="8"/>
    </w:pPr>
    <w:rPr>
      <w:rFonts w:ascii="Arial" w:hAnsi="Arial" w:eastAsia="Arial" w:cs="Arial"/>
      <w:i/>
      <w:iCs/>
      <w:szCs w:val="21"/>
    </w:rPr>
  </w:style>
  <w:style w:type="character" w:styleId="911">
    <w:name w:val="标题 9 字符"/>
    <w:next w:val="911"/>
    <w:link w:val="910"/>
    <w:qFormat/>
    <w:rPr>
      <w:rFonts w:ascii="Arial" w:hAnsi="Arial" w:eastAsia="Arial" w:cs="Arial"/>
      <w:i/>
      <w:iCs/>
      <w:sz w:val="21"/>
      <w:szCs w:val="21"/>
    </w:rPr>
  </w:style>
  <w:style w:type="character" w:styleId="912">
    <w:name w:val="默认段落字体1"/>
    <w:next w:val="912"/>
    <w:link w:val="799"/>
    <w:uiPriority w:val="1"/>
    <w:unhideWhenUsed/>
    <w:qFormat/>
  </w:style>
  <w:style w:type="paragraph" w:styleId="913">
    <w:name w:val="列表 31"/>
    <w:basedOn w:val="799"/>
    <w:next w:val="913"/>
    <w:link w:val="799"/>
    <w:qFormat/>
    <w:pPr>
      <w:ind w:left="100" w:hanging="200"/>
    </w:pPr>
    <w:rPr>
      <w:rFonts w:ascii="Times New Roman" w:hAnsi="Times New Roman"/>
      <w:szCs w:val="21"/>
    </w:rPr>
  </w:style>
  <w:style w:type="paragraph" w:styleId="914">
    <w:name w:val="目录 71"/>
    <w:basedOn w:val="799"/>
    <w:next w:val="799"/>
    <w:link w:val="799"/>
    <w:unhideWhenUsed/>
    <w:qFormat/>
    <w:pPr>
      <w:ind w:left="1701"/>
      <w:spacing w:after="57"/>
    </w:pPr>
  </w:style>
  <w:style w:type="paragraph" w:styleId="915">
    <w:name w:val="正文缩进11"/>
    <w:basedOn w:val="799"/>
    <w:next w:val="915"/>
    <w:link w:val="916"/>
    <w:qFormat/>
    <w:pPr>
      <w:ind w:firstLine="420"/>
    </w:pPr>
    <w:rPr>
      <w:rFonts w:ascii="宋体"/>
      <w:color w:val="000000"/>
      <w:sz w:val="24"/>
      <w:szCs w:val="20"/>
    </w:rPr>
  </w:style>
  <w:style w:type="character" w:styleId="916">
    <w:name w:val="正文缩进 字符"/>
    <w:next w:val="916"/>
    <w:link w:val="915"/>
    <w:qFormat/>
    <w:rPr>
      <w:rFonts w:ascii="宋体" w:hAnsi="Calibri"/>
      <w:color w:val="000000"/>
      <w:sz w:val="24"/>
    </w:rPr>
  </w:style>
  <w:style w:type="paragraph" w:styleId="917">
    <w:name w:val="题注1"/>
    <w:basedOn w:val="799"/>
    <w:next w:val="799"/>
    <w:link w:val="799"/>
    <w:uiPriority w:val="35"/>
    <w:qFormat/>
    <w:pPr>
      <w:spacing w:line="276" w:lineRule="auto"/>
    </w:pPr>
    <w:rPr>
      <w:b/>
      <w:bCs/>
      <w:color w:val="5b9bd5"/>
      <w:sz w:val="18"/>
      <w:szCs w:val="18"/>
    </w:rPr>
  </w:style>
  <w:style w:type="paragraph" w:styleId="918">
    <w:name w:val="文档结构图1"/>
    <w:basedOn w:val="799"/>
    <w:next w:val="918"/>
    <w:link w:val="919"/>
    <w:semiHidden/>
    <w:qFormat/>
    <w:pPr>
      <w:shd w:val="clear" w:color="auto" w:fill="000080"/>
    </w:pPr>
    <w:rPr>
      <w:rFonts w:ascii="Times New Roman" w:hAnsi="Times New Roman"/>
      <w:szCs w:val="21"/>
    </w:rPr>
  </w:style>
  <w:style w:type="character" w:styleId="919">
    <w:name w:val="文档结构图 字符"/>
    <w:next w:val="919"/>
    <w:link w:val="918"/>
    <w:semiHidden/>
    <w:qFormat/>
    <w:rPr>
      <w:sz w:val="21"/>
      <w:szCs w:val="21"/>
      <w:shd w:val="clear" w:color="auto" w:fill="000080"/>
    </w:rPr>
  </w:style>
  <w:style w:type="paragraph" w:styleId="920">
    <w:name w:val="批注文字11"/>
    <w:basedOn w:val="799"/>
    <w:next w:val="920"/>
    <w:link w:val="921"/>
    <w:semiHidden/>
    <w:qFormat/>
    <w:pPr>
      <w:jc w:val="left"/>
    </w:pPr>
    <w:rPr>
      <w:rFonts w:ascii="Times New Roman" w:hAnsi="Times New Roman"/>
      <w:szCs w:val="21"/>
    </w:rPr>
  </w:style>
  <w:style w:type="character" w:styleId="921">
    <w:name w:val="批注文字 字符"/>
    <w:next w:val="921"/>
    <w:link w:val="920"/>
    <w:semiHidden/>
    <w:qFormat/>
    <w:rPr>
      <w:sz w:val="21"/>
      <w:szCs w:val="21"/>
    </w:rPr>
  </w:style>
  <w:style w:type="paragraph" w:styleId="922">
    <w:name w:val="正文文本 31"/>
    <w:basedOn w:val="799"/>
    <w:next w:val="922"/>
    <w:link w:val="923"/>
    <w:qFormat/>
    <w:rPr>
      <w:rFonts w:ascii="仿宋_GB2312" w:hAnsi="Arial" w:eastAsia="仿宋_GB2312"/>
      <w:sz w:val="32"/>
      <w:szCs w:val="32"/>
    </w:rPr>
  </w:style>
  <w:style w:type="character" w:styleId="923">
    <w:name w:val="正文文本 3 字符"/>
    <w:next w:val="923"/>
    <w:link w:val="922"/>
    <w:qFormat/>
    <w:rPr>
      <w:rFonts w:ascii="仿宋_GB2312" w:hAnsi="Arial" w:eastAsia="仿宋_GB2312"/>
      <w:sz w:val="32"/>
      <w:szCs w:val="32"/>
    </w:rPr>
  </w:style>
  <w:style w:type="paragraph" w:styleId="924">
    <w:name w:val="正文文本111"/>
    <w:basedOn w:val="799"/>
    <w:next w:val="924"/>
    <w:link w:val="799"/>
    <w:semiHidden/>
    <w:qFormat/>
    <w:rPr>
      <w:rFonts w:ascii="仿宋" w:hAnsi="仿宋" w:eastAsia="仿宋" w:cs="仿宋"/>
      <w:sz w:val="32"/>
      <w:szCs w:val="32"/>
      <w:lang w:eastAsia="en-US"/>
    </w:rPr>
  </w:style>
  <w:style w:type="paragraph" w:styleId="925">
    <w:name w:val="正文文本缩进11"/>
    <w:basedOn w:val="799"/>
    <w:next w:val="925"/>
    <w:link w:val="926"/>
    <w:qFormat/>
    <w:pPr>
      <w:ind w:firstLine="225"/>
    </w:pPr>
    <w:rPr>
      <w:rFonts w:ascii="仿宋_GB2312" w:eastAsia="仿宋_GB2312"/>
      <w:sz w:val="32"/>
    </w:rPr>
  </w:style>
  <w:style w:type="character" w:styleId="926">
    <w:name w:val="正文文本缩进 字符1"/>
    <w:next w:val="926"/>
    <w:link w:val="925"/>
    <w:qFormat/>
    <w:rPr>
      <w:rFonts w:ascii="仿宋_GB2312" w:hAnsi="Calibri" w:eastAsia="仿宋_GB2312"/>
      <w:sz w:val="32"/>
      <w:szCs w:val="22"/>
    </w:rPr>
  </w:style>
  <w:style w:type="paragraph" w:styleId="927">
    <w:name w:val="列表 21"/>
    <w:basedOn w:val="799"/>
    <w:next w:val="927"/>
    <w:link w:val="799"/>
    <w:qFormat/>
    <w:pPr>
      <w:ind w:left="100" w:hanging="200"/>
    </w:pPr>
    <w:rPr>
      <w:rFonts w:ascii="Times New Roman" w:hAnsi="Times New Roman"/>
      <w:szCs w:val="21"/>
    </w:rPr>
  </w:style>
  <w:style w:type="paragraph" w:styleId="928">
    <w:name w:val="目录 51"/>
    <w:basedOn w:val="799"/>
    <w:next w:val="799"/>
    <w:link w:val="799"/>
    <w:unhideWhenUsed/>
    <w:qFormat/>
    <w:pPr>
      <w:ind w:left="1134"/>
      <w:spacing w:after="57"/>
    </w:pPr>
  </w:style>
  <w:style w:type="paragraph" w:styleId="929">
    <w:name w:val="目录 31"/>
    <w:basedOn w:val="799"/>
    <w:next w:val="799"/>
    <w:link w:val="799"/>
    <w:unhideWhenUsed/>
    <w:qFormat/>
    <w:pPr>
      <w:ind w:left="567"/>
      <w:spacing w:after="57"/>
    </w:pPr>
  </w:style>
  <w:style w:type="paragraph" w:styleId="930">
    <w:name w:val="纯文本11"/>
    <w:basedOn w:val="799"/>
    <w:next w:val="930"/>
    <w:link w:val="931"/>
    <w:qFormat/>
    <w:rPr>
      <w:rFonts w:ascii="宋体" w:hAnsi="Courier New" w:cs="Courier New"/>
      <w:szCs w:val="21"/>
    </w:rPr>
  </w:style>
  <w:style w:type="character" w:styleId="931">
    <w:name w:val="纯文本 字符"/>
    <w:next w:val="931"/>
    <w:link w:val="930"/>
    <w:qFormat/>
    <w:rPr>
      <w:rFonts w:ascii="宋体" w:hAnsi="Courier New" w:cs="Courier New"/>
      <w:sz w:val="21"/>
      <w:szCs w:val="21"/>
    </w:rPr>
  </w:style>
  <w:style w:type="paragraph" w:styleId="932">
    <w:name w:val="目录 81"/>
    <w:basedOn w:val="799"/>
    <w:next w:val="799"/>
    <w:link w:val="799"/>
    <w:unhideWhenUsed/>
    <w:qFormat/>
    <w:pPr>
      <w:ind w:left="1984"/>
      <w:spacing w:after="57"/>
    </w:pPr>
  </w:style>
  <w:style w:type="paragraph" w:styleId="933">
    <w:name w:val="日期1"/>
    <w:basedOn w:val="799"/>
    <w:next w:val="799"/>
    <w:link w:val="934"/>
    <w:qFormat/>
    <w:rPr>
      <w:rFonts w:ascii="Times New Roman" w:hAnsi="Times New Roman"/>
      <w:sz w:val="24"/>
      <w:szCs w:val="24"/>
    </w:rPr>
  </w:style>
  <w:style w:type="character" w:styleId="934">
    <w:name w:val="日期 字符"/>
    <w:next w:val="934"/>
    <w:link w:val="933"/>
    <w:qFormat/>
    <w:rPr>
      <w:sz w:val="24"/>
      <w:szCs w:val="24"/>
    </w:rPr>
  </w:style>
  <w:style w:type="paragraph" w:styleId="935">
    <w:name w:val="正文文本缩进 21"/>
    <w:basedOn w:val="799"/>
    <w:next w:val="935"/>
    <w:link w:val="936"/>
    <w:qFormat/>
    <w:pPr>
      <w:ind w:left="630" w:firstLine="645"/>
    </w:pPr>
    <w:rPr>
      <w:rFonts w:ascii="Arial" w:hAnsi="Arial" w:eastAsia="仿宋_GB2312" w:cs="Arial"/>
      <w:sz w:val="32"/>
      <w:szCs w:val="32"/>
    </w:rPr>
  </w:style>
  <w:style w:type="character" w:styleId="936">
    <w:name w:val="正文文本缩进 2 字符"/>
    <w:next w:val="936"/>
    <w:link w:val="935"/>
    <w:qFormat/>
    <w:rPr>
      <w:rFonts w:ascii="Arial" w:hAnsi="Arial" w:eastAsia="仿宋_GB2312" w:cs="Arial"/>
      <w:sz w:val="32"/>
      <w:szCs w:val="32"/>
    </w:rPr>
  </w:style>
  <w:style w:type="paragraph" w:styleId="937">
    <w:name w:val="尾注文本1"/>
    <w:basedOn w:val="799"/>
    <w:next w:val="937"/>
    <w:link w:val="938"/>
    <w:uiPriority w:val="99"/>
    <w:unhideWhenUsed/>
    <w:qFormat/>
    <w:rPr>
      <w:sz w:val="20"/>
    </w:rPr>
  </w:style>
  <w:style w:type="character" w:styleId="938">
    <w:name w:val="尾注文本 字符"/>
    <w:next w:val="938"/>
    <w:link w:val="937"/>
    <w:uiPriority w:val="99"/>
    <w:qFormat/>
    <w:rPr>
      <w:sz w:val="20"/>
    </w:rPr>
  </w:style>
  <w:style w:type="paragraph" w:styleId="939">
    <w:name w:val="批注框文本1"/>
    <w:basedOn w:val="799"/>
    <w:next w:val="939"/>
    <w:link w:val="940"/>
    <w:qFormat/>
    <w:rPr>
      <w:rFonts w:ascii="Times New Roman" w:hAnsi="Times New Roman"/>
      <w:sz w:val="18"/>
      <w:szCs w:val="18"/>
    </w:rPr>
  </w:style>
  <w:style w:type="character" w:styleId="940">
    <w:name w:val="批注框文本 字符"/>
    <w:next w:val="940"/>
    <w:link w:val="939"/>
    <w:qFormat/>
    <w:rPr>
      <w:sz w:val="18"/>
      <w:szCs w:val="18"/>
    </w:rPr>
  </w:style>
  <w:style w:type="paragraph" w:styleId="941">
    <w:name w:val="页脚111"/>
    <w:basedOn w:val="799"/>
    <w:next w:val="941"/>
    <w:link w:val="942"/>
    <w:uiPriority w:val="99"/>
    <w:qFormat/>
    <w:pPr>
      <w:jc w:val="left"/>
      <w:tabs>
        <w:tab w:val="center" w:pos="4153" w:leader="none"/>
        <w:tab w:val="right" w:pos="8306" w:leader="none"/>
      </w:tabs>
    </w:pPr>
    <w:rPr>
      <w:sz w:val="18"/>
      <w:szCs w:val="18"/>
    </w:rPr>
  </w:style>
  <w:style w:type="character" w:styleId="942">
    <w:name w:val="页脚 字符"/>
    <w:next w:val="942"/>
    <w:link w:val="941"/>
    <w:uiPriority w:val="99"/>
    <w:qFormat/>
  </w:style>
  <w:style w:type="paragraph" w:styleId="943">
    <w:name w:val="页眉1"/>
    <w:basedOn w:val="799"/>
    <w:next w:val="943"/>
    <w:link w:val="944"/>
    <w:qFormat/>
    <w:pPr>
      <w:jc w:val="center"/>
      <w:tabs>
        <w:tab w:val="center" w:pos="4153" w:leader="none"/>
        <w:tab w:val="right" w:pos="8306" w:leader="none"/>
      </w:tabs>
    </w:pPr>
    <w:rPr>
      <w:sz w:val="18"/>
      <w:szCs w:val="18"/>
    </w:rPr>
  </w:style>
  <w:style w:type="character" w:styleId="944">
    <w:name w:val="页眉 字符"/>
    <w:next w:val="944"/>
    <w:link w:val="943"/>
    <w:qFormat/>
    <w:rPr>
      <w:rFonts w:ascii="Calibri" w:hAnsi="Calibri"/>
      <w:sz w:val="18"/>
      <w:szCs w:val="18"/>
    </w:rPr>
  </w:style>
  <w:style w:type="paragraph" w:styleId="945">
    <w:name w:val="目录 11"/>
    <w:basedOn w:val="799"/>
    <w:next w:val="799"/>
    <w:link w:val="799"/>
    <w:qFormat/>
    <w:pPr>
      <w:jc w:val="left"/>
      <w:spacing w:before="120" w:after="120"/>
    </w:pPr>
    <w:rPr>
      <w:rFonts w:cs="Calibri"/>
      <w:b/>
      <w:bCs/>
      <w:caps/>
      <w:sz w:val="20"/>
      <w:szCs w:val="20"/>
    </w:rPr>
  </w:style>
  <w:style w:type="paragraph" w:styleId="946">
    <w:name w:val="目录 41"/>
    <w:basedOn w:val="799"/>
    <w:next w:val="799"/>
    <w:link w:val="799"/>
    <w:unhideWhenUsed/>
    <w:qFormat/>
    <w:pPr>
      <w:ind w:left="850"/>
      <w:spacing w:after="57"/>
    </w:pPr>
  </w:style>
  <w:style w:type="paragraph" w:styleId="947">
    <w:name w:val="副标题1"/>
    <w:basedOn w:val="799"/>
    <w:next w:val="799"/>
    <w:link w:val="948"/>
    <w:uiPriority w:val="11"/>
    <w:qFormat/>
    <w:pPr>
      <w:spacing w:before="200" w:after="200"/>
    </w:pPr>
    <w:rPr>
      <w:sz w:val="24"/>
      <w:szCs w:val="24"/>
    </w:rPr>
  </w:style>
  <w:style w:type="character" w:styleId="948">
    <w:name w:val="副标题 字符"/>
    <w:next w:val="948"/>
    <w:link w:val="947"/>
    <w:uiPriority w:val="11"/>
    <w:qFormat/>
    <w:rPr>
      <w:sz w:val="24"/>
      <w:szCs w:val="24"/>
    </w:rPr>
  </w:style>
  <w:style w:type="paragraph" w:styleId="949">
    <w:name w:val="列表1"/>
    <w:basedOn w:val="799"/>
    <w:next w:val="949"/>
    <w:link w:val="799"/>
    <w:qFormat/>
    <w:pPr>
      <w:ind w:left="200" w:hanging="200"/>
    </w:pPr>
    <w:rPr>
      <w:rFonts w:ascii="Times New Roman" w:hAnsi="Times New Roman"/>
      <w:szCs w:val="21"/>
    </w:rPr>
  </w:style>
  <w:style w:type="paragraph" w:styleId="950">
    <w:name w:val="脚注文本11"/>
    <w:basedOn w:val="799"/>
    <w:next w:val="950"/>
    <w:link w:val="951"/>
    <w:uiPriority w:val="99"/>
    <w:unhideWhenUsed/>
    <w:qFormat/>
    <w:pPr>
      <w:spacing w:after="40"/>
    </w:pPr>
    <w:rPr>
      <w:sz w:val="18"/>
    </w:rPr>
  </w:style>
  <w:style w:type="character" w:styleId="951">
    <w:name w:val="脚注文本 字符"/>
    <w:next w:val="951"/>
    <w:link w:val="950"/>
    <w:uiPriority w:val="99"/>
    <w:qFormat/>
    <w:rPr>
      <w:sz w:val="18"/>
    </w:rPr>
  </w:style>
  <w:style w:type="paragraph" w:styleId="952">
    <w:name w:val="目录 61"/>
    <w:basedOn w:val="799"/>
    <w:next w:val="799"/>
    <w:link w:val="799"/>
    <w:unhideWhenUsed/>
    <w:qFormat/>
    <w:pPr>
      <w:ind w:left="1417"/>
      <w:spacing w:after="57"/>
    </w:pPr>
  </w:style>
  <w:style w:type="paragraph" w:styleId="953">
    <w:name w:val="正文文本缩进 31"/>
    <w:basedOn w:val="799"/>
    <w:next w:val="953"/>
    <w:link w:val="954"/>
    <w:qFormat/>
    <w:pPr>
      <w:ind w:left="645" w:firstLine="645"/>
    </w:pPr>
    <w:rPr>
      <w:rFonts w:ascii="Arial" w:hAnsi="Arial" w:eastAsia="仿宋_GB2312" w:cs="Arial"/>
      <w:color w:val="ffff00"/>
      <w:sz w:val="32"/>
      <w:szCs w:val="32"/>
    </w:rPr>
  </w:style>
  <w:style w:type="character" w:styleId="954">
    <w:name w:val="正文文本缩进 3 字符"/>
    <w:next w:val="954"/>
    <w:link w:val="953"/>
    <w:qFormat/>
    <w:rPr>
      <w:rFonts w:ascii="Arial" w:hAnsi="Arial" w:eastAsia="仿宋_GB2312" w:cs="Arial"/>
      <w:color w:val="ffff00"/>
      <w:sz w:val="32"/>
      <w:szCs w:val="32"/>
    </w:rPr>
  </w:style>
  <w:style w:type="paragraph" w:styleId="955">
    <w:name w:val="图表目录1"/>
    <w:basedOn w:val="799"/>
    <w:next w:val="799"/>
    <w:link w:val="799"/>
    <w:unhideWhenUsed/>
    <w:qFormat/>
  </w:style>
  <w:style w:type="paragraph" w:styleId="956">
    <w:name w:val="目录 21"/>
    <w:basedOn w:val="799"/>
    <w:next w:val="799"/>
    <w:link w:val="799"/>
    <w:qFormat/>
    <w:pPr>
      <w:ind w:left="210"/>
      <w:jc w:val="left"/>
    </w:pPr>
    <w:rPr>
      <w:rFonts w:cs="Calibri"/>
      <w:smallCaps/>
      <w:sz w:val="20"/>
      <w:szCs w:val="20"/>
    </w:rPr>
  </w:style>
  <w:style w:type="paragraph" w:styleId="957">
    <w:name w:val="目录 91"/>
    <w:basedOn w:val="799"/>
    <w:next w:val="799"/>
    <w:link w:val="799"/>
    <w:unhideWhenUsed/>
    <w:qFormat/>
    <w:pPr>
      <w:ind w:left="2268"/>
      <w:spacing w:after="57"/>
    </w:pPr>
  </w:style>
  <w:style w:type="paragraph" w:styleId="958">
    <w:name w:val="正文文本 21"/>
    <w:basedOn w:val="799"/>
    <w:next w:val="958"/>
    <w:link w:val="959"/>
    <w:qFormat/>
    <w:pPr>
      <w:jc w:val="center"/>
      <w:widowControl/>
    </w:pPr>
    <w:rPr>
      <w:rFonts w:ascii="楷体_GB2312" w:hAnsi="Times New Roman" w:eastAsia="楷体_GB2312"/>
      <w:sz w:val="28"/>
      <w:szCs w:val="28"/>
    </w:rPr>
  </w:style>
  <w:style w:type="character" w:styleId="959">
    <w:name w:val="正文文本 2 字符"/>
    <w:next w:val="959"/>
    <w:link w:val="958"/>
    <w:qFormat/>
    <w:rPr>
      <w:rFonts w:ascii="楷体_GB2312" w:eastAsia="楷体_GB2312"/>
      <w:sz w:val="28"/>
      <w:szCs w:val="28"/>
    </w:rPr>
  </w:style>
  <w:style w:type="paragraph" w:styleId="960">
    <w:name w:val="HTML 预设格式1"/>
    <w:basedOn w:val="799"/>
    <w:next w:val="960"/>
    <w:link w:val="96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61">
    <w:name w:val="HTML 预设格式 字符"/>
    <w:next w:val="961"/>
    <w:link w:val="960"/>
    <w:uiPriority w:val="99"/>
    <w:qFormat/>
    <w:rPr>
      <w:rFonts w:ascii="宋体" w:hAnsi="宋体"/>
      <w:sz w:val="24"/>
      <w:szCs w:val="24"/>
    </w:rPr>
  </w:style>
  <w:style w:type="paragraph" w:styleId="962">
    <w:name w:val="普通(网站)1111"/>
    <w:basedOn w:val="799"/>
    <w:next w:val="962"/>
    <w:link w:val="799"/>
    <w:uiPriority w:val="99"/>
    <w:qFormat/>
    <w:pPr>
      <w:jc w:val="left"/>
      <w:spacing w:before="100" w:beforeAutospacing="1" w:after="100" w:afterAutospacing="1"/>
      <w:widowControl/>
    </w:pPr>
    <w:rPr>
      <w:rFonts w:ascii="宋体" w:hAnsi="宋体" w:cs="宋体"/>
      <w:sz w:val="24"/>
      <w:szCs w:val="24"/>
    </w:rPr>
  </w:style>
  <w:style w:type="paragraph" w:styleId="963">
    <w:name w:val="索引 11"/>
    <w:basedOn w:val="799"/>
    <w:next w:val="799"/>
    <w:link w:val="799"/>
    <w:semiHidden/>
    <w:qFormat/>
    <w:pPr>
      <w:spacing w:line="240" w:lineRule="atLeast"/>
    </w:pPr>
    <w:rPr>
      <w:rFonts w:ascii="Times New Roman" w:hAnsi="Times New Roman"/>
      <w:b/>
      <w:bCs/>
      <w:szCs w:val="21"/>
    </w:rPr>
  </w:style>
  <w:style w:type="paragraph" w:styleId="964">
    <w:name w:val="标题11"/>
    <w:basedOn w:val="799"/>
    <w:next w:val="799"/>
    <w:link w:val="965"/>
    <w:uiPriority w:val="10"/>
    <w:qFormat/>
    <w:pPr>
      <w:contextualSpacing/>
      <w:spacing w:before="300" w:after="200"/>
    </w:pPr>
    <w:rPr>
      <w:sz w:val="48"/>
      <w:szCs w:val="48"/>
    </w:rPr>
  </w:style>
  <w:style w:type="character" w:styleId="965">
    <w:name w:val="标题 字符"/>
    <w:next w:val="965"/>
    <w:link w:val="964"/>
    <w:uiPriority w:val="10"/>
    <w:qFormat/>
    <w:rPr>
      <w:sz w:val="48"/>
      <w:szCs w:val="48"/>
    </w:rPr>
  </w:style>
  <w:style w:type="paragraph" w:styleId="966">
    <w:name w:val="批注主题1"/>
    <w:basedOn w:val="920"/>
    <w:next w:val="920"/>
    <w:link w:val="967"/>
    <w:semiHidden/>
    <w:qFormat/>
    <w:rPr>
      <w:b/>
      <w:bCs/>
    </w:rPr>
  </w:style>
  <w:style w:type="character" w:styleId="967">
    <w:name w:val="批注主题 字符"/>
    <w:next w:val="967"/>
    <w:link w:val="966"/>
    <w:semiHidden/>
    <w:qFormat/>
    <w:rPr>
      <w:b/>
      <w:bCs/>
      <w:sz w:val="21"/>
      <w:szCs w:val="21"/>
    </w:rPr>
  </w:style>
  <w:style w:type="paragraph" w:styleId="968">
    <w:name w:val="正文首行缩进 211"/>
    <w:basedOn w:val="925"/>
    <w:next w:val="968"/>
    <w:link w:val="969"/>
    <w:qFormat/>
    <w:pPr>
      <w:ind w:firstLine="420"/>
      <w:spacing w:line="360" w:lineRule="auto"/>
    </w:pPr>
    <w:rPr>
      <w:rFonts w:ascii="宋体" w:hAnsi="宋体" w:eastAsia="宋体"/>
      <w:sz w:val="21"/>
      <w:szCs w:val="20"/>
    </w:rPr>
  </w:style>
  <w:style w:type="character" w:styleId="969">
    <w:name w:val="正文文本首行缩进 2 字符"/>
    <w:next w:val="969"/>
    <w:link w:val="968"/>
    <w:qFormat/>
    <w:rPr>
      <w:rFonts w:ascii="宋体" w:hAnsi="宋体" w:eastAsia="仿宋_GB2312"/>
      <w:sz w:val="21"/>
      <w:szCs w:val="22"/>
    </w:rPr>
  </w:style>
  <w:style w:type="table" w:styleId="970">
    <w:name w:val="网格型1"/>
    <w:basedOn w:val="870"/>
    <w:next w:val="970"/>
    <w:link w:val="799"/>
    <w:qFormat/>
    <w:pPr>
      <w:jc w:val="both"/>
      <w:widowControl w:val="off"/>
    </w:pPr>
    <w:tblPr/>
  </w:style>
  <w:style w:type="character" w:styleId="971">
    <w:name w:val="要点1"/>
    <w:next w:val="971"/>
    <w:link w:val="799"/>
    <w:qFormat/>
    <w:rPr>
      <w:b/>
      <w:bCs/>
    </w:rPr>
  </w:style>
  <w:style w:type="character" w:styleId="972">
    <w:name w:val="尾注引用1"/>
    <w:next w:val="972"/>
    <w:link w:val="799"/>
    <w:uiPriority w:val="99"/>
    <w:unhideWhenUsed/>
    <w:qFormat/>
    <w:rPr>
      <w:vertAlign w:val="superscript"/>
    </w:rPr>
  </w:style>
  <w:style w:type="character" w:styleId="973">
    <w:name w:val="页码11"/>
    <w:next w:val="973"/>
    <w:link w:val="799"/>
    <w:qFormat/>
  </w:style>
  <w:style w:type="character" w:styleId="974">
    <w:name w:val="已访问的超链接1"/>
    <w:next w:val="974"/>
    <w:link w:val="799"/>
    <w:qFormat/>
    <w:rPr>
      <w:color w:val="800080"/>
      <w:u w:val="single"/>
    </w:rPr>
  </w:style>
  <w:style w:type="character" w:styleId="975">
    <w:name w:val="超链接1"/>
    <w:next w:val="975"/>
    <w:link w:val="799"/>
    <w:qFormat/>
    <w:rPr>
      <w:color w:val="0000ff"/>
      <w:u w:val="single"/>
    </w:rPr>
  </w:style>
  <w:style w:type="character" w:styleId="976">
    <w:name w:val="批注引用1"/>
    <w:next w:val="976"/>
    <w:link w:val="799"/>
    <w:semiHidden/>
    <w:qFormat/>
    <w:rPr>
      <w:sz w:val="21"/>
      <w:szCs w:val="21"/>
    </w:rPr>
  </w:style>
  <w:style w:type="character" w:styleId="977">
    <w:name w:val="脚注引用1"/>
    <w:next w:val="977"/>
    <w:link w:val="799"/>
    <w:uiPriority w:val="99"/>
    <w:unhideWhenUsed/>
    <w:qFormat/>
    <w:rPr>
      <w:vertAlign w:val="superscript"/>
    </w:rPr>
  </w:style>
  <w:style w:type="character" w:styleId="978">
    <w:name w:val="16"/>
    <w:next w:val="978"/>
    <w:link w:val="799"/>
    <w:qFormat/>
    <w:rPr>
      <w:rFonts w:ascii="Calibri" w:hAnsi="Calibri" w:eastAsia="宋体" w:cs="Times New Roman"/>
      <w:sz w:val="21"/>
      <w:szCs w:val="22"/>
      <w:lang w:val="en-US" w:eastAsia="zh-CN" w:bidi="ar-SA"/>
    </w:rPr>
  </w:style>
  <w:style w:type="paragraph" w:styleId="979">
    <w:name w:val="正文首行缩进 21"/>
    <w:basedOn w:val="980"/>
    <w:next w:val="799"/>
    <w:link w:val="799"/>
    <w:qFormat/>
    <w:pPr>
      <w:ind w:firstLine="420"/>
      <w:spacing w:line="360" w:lineRule="auto"/>
    </w:pPr>
    <w:rPr>
      <w:rFonts w:ascii="宋体" w:hAnsi="宋体" w:eastAsia="宋体"/>
      <w:sz w:val="21"/>
      <w:szCs w:val="20"/>
    </w:rPr>
  </w:style>
  <w:style w:type="paragraph" w:styleId="980">
    <w:name w:val="正文文本缩进1"/>
    <w:basedOn w:val="799"/>
    <w:next w:val="981"/>
    <w:link w:val="799"/>
    <w:qFormat/>
    <w:pPr>
      <w:ind w:firstLine="645"/>
    </w:pPr>
    <w:rPr>
      <w:rFonts w:ascii="楷体_GB2312" w:eastAsia="楷体_GB2312"/>
      <w:sz w:val="32"/>
      <w:szCs w:val="32"/>
    </w:rPr>
  </w:style>
  <w:style w:type="paragraph" w:styleId="981">
    <w:name w:val="寄信人地址1"/>
    <w:basedOn w:val="799"/>
    <w:next w:val="981"/>
    <w:link w:val="799"/>
    <w:qFormat/>
    <w:rPr>
      <w:rFonts w:ascii="Arial" w:hAnsi="Arial"/>
    </w:rPr>
  </w:style>
  <w:style w:type="paragraph" w:styleId="982">
    <w:name w:val="标题 41"/>
    <w:basedOn w:val="983"/>
    <w:next w:val="799"/>
    <w:link w:val="799"/>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83">
    <w:name w:val="Normal_20"/>
    <w:next w:val="984"/>
    <w:link w:val="799"/>
    <w:qFormat/>
    <w:rPr>
      <w:rFonts w:ascii="黑体" w:hAnsi="黑体" w:eastAsia="黑体" w:cs="黑体"/>
      <w:b/>
      <w:sz w:val="32"/>
      <w:szCs w:val="24"/>
      <w:lang w:eastAsia="zh-CN"/>
    </w:rPr>
  </w:style>
  <w:style w:type="paragraph" w:styleId="984">
    <w:name w:val="Body Text First Indent_2"/>
    <w:basedOn w:val="983"/>
    <w:next w:val="984"/>
    <w:link w:val="799"/>
    <w:qFormat/>
    <w:pPr>
      <w:ind w:firstLine="100"/>
      <w:spacing w:after="120"/>
    </w:pPr>
  </w:style>
  <w:style w:type="paragraph" w:styleId="985">
    <w:name w:val="TOC 标题112"/>
    <w:next w:val="985"/>
    <w:link w:val="799"/>
    <w:uiPriority w:val="39"/>
    <w:unhideWhenUsed/>
    <w:qFormat/>
    <w:rPr>
      <w:lang w:eastAsia="zh-CN"/>
    </w:rPr>
  </w:style>
  <w:style w:type="paragraph" w:styleId="986">
    <w:name w:val="TOC 标题111"/>
    <w:next w:val="986"/>
    <w:link w:val="799"/>
    <w:uiPriority w:val="39"/>
    <w:unhideWhenUsed/>
    <w:qFormat/>
    <w:rPr>
      <w:lang w:eastAsia="zh-CN"/>
    </w:rPr>
  </w:style>
  <w:style w:type="paragraph" w:styleId="987">
    <w:name w:val="Normal_21"/>
    <w:basedOn w:val="988"/>
    <w:next w:val="988"/>
    <w:link w:val="799"/>
    <w:qFormat/>
    <w:rPr>
      <w:rFonts w:ascii="Times New Roman" w:hAnsi="Times New Roman"/>
      <w:szCs w:val="24"/>
    </w:rPr>
  </w:style>
  <w:style w:type="paragraph" w:styleId="988">
    <w:name w:val="正文_16"/>
    <w:next w:val="988"/>
    <w:link w:val="799"/>
    <w:qFormat/>
    <w:pPr>
      <w:jc w:val="both"/>
      <w:widowControl w:val="off"/>
    </w:pPr>
    <w:rPr>
      <w:rFonts w:ascii="Calibri" w:hAnsi="Calibri"/>
      <w:sz w:val="21"/>
      <w:szCs w:val="22"/>
      <w:lang w:eastAsia="zh-CN"/>
    </w:rPr>
  </w:style>
  <w:style w:type="paragraph" w:styleId="989">
    <w:name w:val="正文_17"/>
    <w:next w:val="990"/>
    <w:link w:val="799"/>
    <w:qFormat/>
    <w:pPr>
      <w:jc w:val="both"/>
      <w:widowControl w:val="off"/>
    </w:pPr>
    <w:rPr>
      <w:sz w:val="21"/>
      <w:szCs w:val="22"/>
      <w:lang w:eastAsia="zh-CN"/>
    </w:rPr>
  </w:style>
  <w:style w:type="paragraph" w:styleId="990">
    <w:name w:val="标题 4_1"/>
    <w:basedOn w:val="989"/>
    <w:next w:val="989"/>
    <w:link w:val="799"/>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91">
    <w:name w:val="Heading 1 Char"/>
    <w:next w:val="991"/>
    <w:link w:val="799"/>
    <w:uiPriority w:val="9"/>
    <w:qFormat/>
    <w:rPr>
      <w:rFonts w:ascii="Arial" w:hAnsi="Arial" w:eastAsia="Arial" w:cs="Arial"/>
      <w:sz w:val="40"/>
      <w:szCs w:val="40"/>
    </w:rPr>
  </w:style>
  <w:style w:type="character" w:styleId="992">
    <w:name w:val="Heading 2 Char"/>
    <w:next w:val="992"/>
    <w:link w:val="799"/>
    <w:uiPriority w:val="9"/>
    <w:qFormat/>
    <w:rPr>
      <w:rFonts w:ascii="Arial" w:hAnsi="Arial" w:eastAsia="Arial" w:cs="Arial"/>
      <w:sz w:val="34"/>
    </w:rPr>
  </w:style>
  <w:style w:type="character" w:styleId="993">
    <w:name w:val="Heading 3 Char"/>
    <w:next w:val="993"/>
    <w:link w:val="799"/>
    <w:uiPriority w:val="9"/>
    <w:qFormat/>
    <w:rPr>
      <w:rFonts w:ascii="Arial" w:hAnsi="Arial" w:eastAsia="Arial" w:cs="Arial"/>
      <w:sz w:val="30"/>
      <w:szCs w:val="30"/>
    </w:rPr>
  </w:style>
  <w:style w:type="character" w:styleId="994">
    <w:name w:val="Heading 4 Char"/>
    <w:next w:val="994"/>
    <w:link w:val="799"/>
    <w:uiPriority w:val="9"/>
    <w:qFormat/>
    <w:rPr>
      <w:rFonts w:ascii="Arial" w:hAnsi="Arial" w:eastAsia="Arial" w:cs="Arial"/>
      <w:b/>
      <w:bCs/>
      <w:sz w:val="26"/>
      <w:szCs w:val="26"/>
    </w:rPr>
  </w:style>
  <w:style w:type="character" w:styleId="995">
    <w:name w:val="Heading 5 Char"/>
    <w:next w:val="995"/>
    <w:link w:val="799"/>
    <w:uiPriority w:val="9"/>
    <w:qFormat/>
    <w:rPr>
      <w:rFonts w:ascii="Arial" w:hAnsi="Arial" w:eastAsia="Arial" w:cs="Arial"/>
      <w:b/>
      <w:bCs/>
      <w:sz w:val="24"/>
      <w:szCs w:val="24"/>
    </w:rPr>
  </w:style>
  <w:style w:type="character" w:styleId="996">
    <w:name w:val="Heading 6 Char"/>
    <w:next w:val="996"/>
    <w:link w:val="799"/>
    <w:uiPriority w:val="9"/>
    <w:qFormat/>
    <w:rPr>
      <w:rFonts w:ascii="Arial" w:hAnsi="Arial" w:eastAsia="Arial" w:cs="Arial"/>
      <w:b/>
      <w:bCs/>
      <w:sz w:val="22"/>
      <w:szCs w:val="22"/>
    </w:rPr>
  </w:style>
  <w:style w:type="character" w:styleId="997">
    <w:name w:val="Heading 7 Char"/>
    <w:next w:val="997"/>
    <w:link w:val="799"/>
    <w:uiPriority w:val="9"/>
    <w:qFormat/>
    <w:rPr>
      <w:rFonts w:ascii="Arial" w:hAnsi="Arial" w:eastAsia="Arial" w:cs="Arial"/>
      <w:b/>
      <w:bCs/>
      <w:i/>
      <w:iCs/>
      <w:sz w:val="22"/>
      <w:szCs w:val="22"/>
    </w:rPr>
  </w:style>
  <w:style w:type="character" w:styleId="998">
    <w:name w:val="Heading 8 Char"/>
    <w:next w:val="998"/>
    <w:link w:val="799"/>
    <w:uiPriority w:val="9"/>
    <w:qFormat/>
    <w:rPr>
      <w:rFonts w:ascii="Arial" w:hAnsi="Arial" w:eastAsia="Arial" w:cs="Arial"/>
      <w:i/>
      <w:iCs/>
      <w:sz w:val="22"/>
      <w:szCs w:val="22"/>
    </w:rPr>
  </w:style>
  <w:style w:type="character" w:styleId="999">
    <w:name w:val="Heading 9 Char"/>
    <w:next w:val="999"/>
    <w:link w:val="799"/>
    <w:uiPriority w:val="9"/>
    <w:qFormat/>
    <w:rPr>
      <w:rFonts w:ascii="Arial" w:hAnsi="Arial" w:eastAsia="Arial" w:cs="Arial"/>
      <w:i/>
      <w:iCs/>
      <w:sz w:val="21"/>
      <w:szCs w:val="21"/>
    </w:rPr>
  </w:style>
  <w:style w:type="character" w:styleId="1000">
    <w:name w:val="Title Char"/>
    <w:next w:val="1000"/>
    <w:link w:val="799"/>
    <w:uiPriority w:val="10"/>
    <w:qFormat/>
    <w:rPr>
      <w:sz w:val="48"/>
      <w:szCs w:val="48"/>
    </w:rPr>
  </w:style>
  <w:style w:type="character" w:styleId="1001">
    <w:name w:val="Subtitle Char"/>
    <w:next w:val="1001"/>
    <w:link w:val="799"/>
    <w:uiPriority w:val="11"/>
    <w:qFormat/>
    <w:rPr>
      <w:sz w:val="24"/>
      <w:szCs w:val="24"/>
    </w:rPr>
  </w:style>
  <w:style w:type="character" w:styleId="1002">
    <w:name w:val="Quote Char"/>
    <w:next w:val="1002"/>
    <w:link w:val="799"/>
    <w:uiPriority w:val="29"/>
    <w:qFormat/>
    <w:rPr>
      <w:i/>
    </w:rPr>
  </w:style>
  <w:style w:type="character" w:styleId="1003">
    <w:name w:val="Intense Quote Char"/>
    <w:next w:val="1003"/>
    <w:link w:val="799"/>
    <w:uiPriority w:val="30"/>
    <w:qFormat/>
    <w:rPr>
      <w:i/>
    </w:rPr>
  </w:style>
  <w:style w:type="character" w:styleId="1004">
    <w:name w:val="Caption Char"/>
    <w:next w:val="1004"/>
    <w:link w:val="799"/>
    <w:uiPriority w:val="99"/>
    <w:qFormat/>
  </w:style>
  <w:style w:type="character" w:styleId="1005">
    <w:name w:val="Footnote Text Char"/>
    <w:next w:val="1005"/>
    <w:link w:val="799"/>
    <w:uiPriority w:val="99"/>
    <w:qFormat/>
    <w:rPr>
      <w:sz w:val="18"/>
    </w:rPr>
  </w:style>
  <w:style w:type="character" w:styleId="1006">
    <w:name w:val="Endnote Text Char"/>
    <w:next w:val="1006"/>
    <w:link w:val="799"/>
    <w:uiPriority w:val="99"/>
    <w:qFormat/>
    <w:rPr>
      <w:sz w:val="20"/>
    </w:rPr>
  </w:style>
  <w:style w:type="paragraph" w:styleId="1007">
    <w:name w:val="列表段落1"/>
    <w:basedOn w:val="799"/>
    <w:next w:val="1007"/>
    <w:link w:val="799"/>
    <w:qFormat/>
    <w:pPr>
      <w:contextualSpacing/>
      <w:ind w:left="720"/>
    </w:pPr>
  </w:style>
  <w:style w:type="paragraph" w:styleId="1008">
    <w:name w:val="无间隔1"/>
    <w:next w:val="1008"/>
    <w:link w:val="799"/>
    <w:uiPriority w:val="99"/>
    <w:qFormat/>
    <w:rPr>
      <w:lang w:eastAsia="zh-CN"/>
    </w:rPr>
  </w:style>
  <w:style w:type="paragraph" w:styleId="1009">
    <w:name w:val="引用1"/>
    <w:basedOn w:val="799"/>
    <w:next w:val="799"/>
    <w:link w:val="1010"/>
    <w:uiPriority w:val="29"/>
    <w:qFormat/>
    <w:pPr>
      <w:ind w:left="720" w:right="720"/>
    </w:pPr>
    <w:rPr>
      <w:i/>
    </w:rPr>
  </w:style>
  <w:style w:type="character" w:styleId="1010">
    <w:name w:val="引用 字符"/>
    <w:next w:val="1010"/>
    <w:link w:val="1009"/>
    <w:uiPriority w:val="29"/>
    <w:qFormat/>
    <w:rPr>
      <w:i/>
    </w:rPr>
  </w:style>
  <w:style w:type="paragraph" w:styleId="1011">
    <w:name w:val="明显引用1"/>
    <w:basedOn w:val="799"/>
    <w:next w:val="799"/>
    <w:link w:val="10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2">
    <w:name w:val="明显引用 字符"/>
    <w:next w:val="1012"/>
    <w:link w:val="1011"/>
    <w:uiPriority w:val="30"/>
    <w:qFormat/>
    <w:rPr>
      <w:i/>
    </w:rPr>
  </w:style>
  <w:style w:type="character" w:styleId="1013">
    <w:name w:val="Header Char"/>
    <w:next w:val="1013"/>
    <w:link w:val="799"/>
    <w:uiPriority w:val="99"/>
    <w:qFormat/>
  </w:style>
  <w:style w:type="character" w:styleId="1014">
    <w:name w:val="Footer Char"/>
    <w:next w:val="1014"/>
    <w:link w:val="799"/>
    <w:uiPriority w:val="99"/>
    <w:qFormat/>
  </w:style>
  <w:style w:type="table" w:styleId="1015">
    <w:name w:val="Table Grid Light"/>
    <w:basedOn w:val="870"/>
    <w:next w:val="1015"/>
    <w:link w:val="799"/>
    <w:uiPriority w:val="59"/>
    <w:qFormat/>
    <w:tblPr/>
  </w:style>
  <w:style w:type="table" w:styleId="1016">
    <w:name w:val="Grid Table 1 Light - Accent 1"/>
    <w:basedOn w:val="870"/>
    <w:next w:val="1016"/>
    <w:link w:val="799"/>
    <w:uiPriority w:val="99"/>
    <w:qFormat/>
    <w:tblPr/>
  </w:style>
  <w:style w:type="table" w:styleId="1017">
    <w:name w:val="Grid Table 1 Light - Accent 2"/>
    <w:basedOn w:val="870"/>
    <w:next w:val="1017"/>
    <w:link w:val="799"/>
    <w:uiPriority w:val="99"/>
    <w:qFormat/>
    <w:tblPr/>
  </w:style>
  <w:style w:type="table" w:styleId="1018">
    <w:name w:val="Grid Table 1 Light - Accent 3"/>
    <w:basedOn w:val="870"/>
    <w:next w:val="1018"/>
    <w:link w:val="799"/>
    <w:uiPriority w:val="99"/>
    <w:qFormat/>
    <w:tblPr/>
  </w:style>
  <w:style w:type="table" w:styleId="1019">
    <w:name w:val="Grid Table 1 Light - Accent 4"/>
    <w:basedOn w:val="870"/>
    <w:next w:val="1019"/>
    <w:link w:val="799"/>
    <w:uiPriority w:val="99"/>
    <w:qFormat/>
    <w:tblPr/>
  </w:style>
  <w:style w:type="table" w:styleId="1020">
    <w:name w:val="Grid Table 1 Light - Accent 5"/>
    <w:basedOn w:val="870"/>
    <w:next w:val="1020"/>
    <w:link w:val="799"/>
    <w:uiPriority w:val="99"/>
    <w:qFormat/>
    <w:tblPr/>
  </w:style>
  <w:style w:type="table" w:styleId="1021">
    <w:name w:val="Grid Table 1 Light - Accent 6"/>
    <w:basedOn w:val="870"/>
    <w:next w:val="1021"/>
    <w:link w:val="799"/>
    <w:uiPriority w:val="99"/>
    <w:qFormat/>
    <w:tblPr/>
  </w:style>
  <w:style w:type="table" w:styleId="1022">
    <w:name w:val="Grid Table 2 - Accent 1"/>
    <w:basedOn w:val="870"/>
    <w:next w:val="1022"/>
    <w:link w:val="799"/>
    <w:uiPriority w:val="99"/>
    <w:qFormat/>
    <w:tblPr/>
  </w:style>
  <w:style w:type="table" w:styleId="1023">
    <w:name w:val="Grid Table 2 - Accent 2"/>
    <w:basedOn w:val="870"/>
    <w:next w:val="1023"/>
    <w:link w:val="799"/>
    <w:uiPriority w:val="99"/>
    <w:qFormat/>
    <w:tblPr/>
  </w:style>
  <w:style w:type="table" w:styleId="1024">
    <w:name w:val="Grid Table 2 - Accent 3"/>
    <w:basedOn w:val="870"/>
    <w:next w:val="1024"/>
    <w:link w:val="799"/>
    <w:uiPriority w:val="99"/>
    <w:qFormat/>
    <w:tblPr/>
  </w:style>
  <w:style w:type="table" w:styleId="1025">
    <w:name w:val="Grid Table 2 - Accent 4"/>
    <w:basedOn w:val="870"/>
    <w:next w:val="1025"/>
    <w:link w:val="799"/>
    <w:uiPriority w:val="99"/>
    <w:qFormat/>
    <w:tblPr/>
  </w:style>
  <w:style w:type="table" w:styleId="1026">
    <w:name w:val="Grid Table 2 - Accent 5"/>
    <w:basedOn w:val="870"/>
    <w:next w:val="1026"/>
    <w:link w:val="799"/>
    <w:uiPriority w:val="99"/>
    <w:qFormat/>
    <w:tblPr/>
  </w:style>
  <w:style w:type="table" w:styleId="1027">
    <w:name w:val="Grid Table 2 - Accent 6"/>
    <w:basedOn w:val="870"/>
    <w:next w:val="1027"/>
    <w:link w:val="799"/>
    <w:uiPriority w:val="99"/>
    <w:qFormat/>
    <w:tblPr/>
  </w:style>
  <w:style w:type="table" w:styleId="1028">
    <w:name w:val="Grid Table 3 - Accent 1"/>
    <w:basedOn w:val="870"/>
    <w:next w:val="1028"/>
    <w:link w:val="799"/>
    <w:uiPriority w:val="99"/>
    <w:qFormat/>
    <w:tblPr/>
  </w:style>
  <w:style w:type="table" w:styleId="1029">
    <w:name w:val="Grid Table 3 - Accent 2"/>
    <w:basedOn w:val="870"/>
    <w:next w:val="1029"/>
    <w:link w:val="799"/>
    <w:uiPriority w:val="99"/>
    <w:qFormat/>
    <w:tblPr/>
  </w:style>
  <w:style w:type="table" w:styleId="1030">
    <w:name w:val="Grid Table 3 - Accent 3"/>
    <w:basedOn w:val="870"/>
    <w:next w:val="1030"/>
    <w:link w:val="799"/>
    <w:uiPriority w:val="99"/>
    <w:qFormat/>
    <w:tblPr/>
  </w:style>
  <w:style w:type="table" w:styleId="1031">
    <w:name w:val="Grid Table 3 - Accent 4"/>
    <w:basedOn w:val="870"/>
    <w:next w:val="1031"/>
    <w:link w:val="799"/>
    <w:uiPriority w:val="99"/>
    <w:qFormat/>
    <w:tblPr/>
  </w:style>
  <w:style w:type="table" w:styleId="1032">
    <w:name w:val="Grid Table 3 - Accent 5"/>
    <w:basedOn w:val="870"/>
    <w:next w:val="1032"/>
    <w:link w:val="799"/>
    <w:uiPriority w:val="99"/>
    <w:qFormat/>
    <w:tblPr/>
  </w:style>
  <w:style w:type="table" w:styleId="1033">
    <w:name w:val="Grid Table 3 - Accent 6"/>
    <w:basedOn w:val="870"/>
    <w:next w:val="1033"/>
    <w:link w:val="799"/>
    <w:uiPriority w:val="99"/>
    <w:qFormat/>
    <w:tblPr/>
  </w:style>
  <w:style w:type="table" w:styleId="1034">
    <w:name w:val="Grid Table 4 - Accent 1"/>
    <w:basedOn w:val="870"/>
    <w:next w:val="1034"/>
    <w:link w:val="799"/>
    <w:uiPriority w:val="59"/>
    <w:qFormat/>
    <w:tblPr/>
  </w:style>
  <w:style w:type="table" w:styleId="1035">
    <w:name w:val="Grid Table 4 - Accent 2"/>
    <w:basedOn w:val="870"/>
    <w:next w:val="1035"/>
    <w:link w:val="799"/>
    <w:uiPriority w:val="59"/>
    <w:qFormat/>
    <w:tblPr/>
  </w:style>
  <w:style w:type="table" w:styleId="1036">
    <w:name w:val="Grid Table 4 - Accent 3"/>
    <w:basedOn w:val="870"/>
    <w:next w:val="1036"/>
    <w:link w:val="799"/>
    <w:uiPriority w:val="59"/>
    <w:qFormat/>
    <w:tblPr/>
  </w:style>
  <w:style w:type="table" w:styleId="1037">
    <w:name w:val="Grid Table 4 - Accent 4"/>
    <w:basedOn w:val="870"/>
    <w:next w:val="1037"/>
    <w:link w:val="799"/>
    <w:uiPriority w:val="59"/>
    <w:qFormat/>
    <w:tblPr/>
  </w:style>
  <w:style w:type="table" w:styleId="1038">
    <w:name w:val="Grid Table 4 - Accent 5"/>
    <w:basedOn w:val="870"/>
    <w:next w:val="1038"/>
    <w:link w:val="799"/>
    <w:uiPriority w:val="59"/>
    <w:qFormat/>
    <w:tblPr/>
  </w:style>
  <w:style w:type="table" w:styleId="1039">
    <w:name w:val="Grid Table 4 - Accent 6"/>
    <w:basedOn w:val="870"/>
    <w:next w:val="1039"/>
    <w:link w:val="799"/>
    <w:uiPriority w:val="59"/>
    <w:qFormat/>
    <w:tblPr/>
  </w:style>
  <w:style w:type="table" w:styleId="1040">
    <w:name w:val="Grid Table 5 Dark- Accent 1"/>
    <w:basedOn w:val="870"/>
    <w:next w:val="1040"/>
    <w:link w:val="799"/>
    <w:uiPriority w:val="99"/>
    <w:qFormat/>
    <w:tblPr/>
  </w:style>
  <w:style w:type="table" w:styleId="1041">
    <w:name w:val="Grid Table 5 Dark - Accent 2"/>
    <w:basedOn w:val="870"/>
    <w:next w:val="1041"/>
    <w:link w:val="799"/>
    <w:uiPriority w:val="99"/>
    <w:qFormat/>
    <w:tblPr/>
  </w:style>
  <w:style w:type="table" w:styleId="1042">
    <w:name w:val="Grid Table 5 Dark - Accent 3"/>
    <w:basedOn w:val="870"/>
    <w:next w:val="1042"/>
    <w:link w:val="799"/>
    <w:uiPriority w:val="99"/>
    <w:qFormat/>
    <w:tblPr/>
  </w:style>
  <w:style w:type="table" w:styleId="1043">
    <w:name w:val="Grid Table 5 Dark- Accent 4"/>
    <w:basedOn w:val="870"/>
    <w:next w:val="1043"/>
    <w:link w:val="799"/>
    <w:uiPriority w:val="99"/>
    <w:qFormat/>
    <w:tblPr/>
  </w:style>
  <w:style w:type="table" w:styleId="1044">
    <w:name w:val="Grid Table 5 Dark - Accent 5"/>
    <w:basedOn w:val="870"/>
    <w:next w:val="1044"/>
    <w:link w:val="799"/>
    <w:uiPriority w:val="99"/>
    <w:qFormat/>
    <w:tblPr/>
  </w:style>
  <w:style w:type="table" w:styleId="1045">
    <w:name w:val="Grid Table 5 Dark - Accent 6"/>
    <w:basedOn w:val="870"/>
    <w:next w:val="1045"/>
    <w:link w:val="799"/>
    <w:uiPriority w:val="99"/>
    <w:qFormat/>
    <w:tblPr/>
  </w:style>
  <w:style w:type="table" w:styleId="1046">
    <w:name w:val="Grid Table 6 Colorful - Accent 1"/>
    <w:basedOn w:val="870"/>
    <w:next w:val="1046"/>
    <w:link w:val="799"/>
    <w:uiPriority w:val="99"/>
    <w:qFormat/>
    <w:tblPr/>
  </w:style>
  <w:style w:type="table" w:styleId="1047">
    <w:name w:val="Grid Table 6 Colorful - Accent 2"/>
    <w:basedOn w:val="870"/>
    <w:next w:val="1047"/>
    <w:link w:val="799"/>
    <w:uiPriority w:val="99"/>
    <w:qFormat/>
    <w:tblPr/>
  </w:style>
  <w:style w:type="table" w:styleId="1048">
    <w:name w:val="Grid Table 6 Colorful - Accent 3"/>
    <w:basedOn w:val="870"/>
    <w:next w:val="1048"/>
    <w:link w:val="799"/>
    <w:uiPriority w:val="99"/>
    <w:qFormat/>
    <w:tblPr/>
  </w:style>
  <w:style w:type="table" w:styleId="1049">
    <w:name w:val="Grid Table 6 Colorful - Accent 4"/>
    <w:basedOn w:val="870"/>
    <w:next w:val="1049"/>
    <w:link w:val="799"/>
    <w:uiPriority w:val="99"/>
    <w:qFormat/>
    <w:tblPr/>
  </w:style>
  <w:style w:type="table" w:styleId="1050">
    <w:name w:val="Grid Table 6 Colorful - Accent 5"/>
    <w:basedOn w:val="870"/>
    <w:next w:val="1050"/>
    <w:link w:val="799"/>
    <w:uiPriority w:val="99"/>
    <w:qFormat/>
    <w:tblPr/>
  </w:style>
  <w:style w:type="table" w:styleId="1051">
    <w:name w:val="Grid Table 6 Colorful - Accent 6"/>
    <w:basedOn w:val="870"/>
    <w:next w:val="1051"/>
    <w:link w:val="799"/>
    <w:uiPriority w:val="99"/>
    <w:qFormat/>
    <w:tblPr/>
  </w:style>
  <w:style w:type="table" w:styleId="1052">
    <w:name w:val="Grid Table 7 Colorful - Accent 1"/>
    <w:basedOn w:val="870"/>
    <w:next w:val="1052"/>
    <w:link w:val="799"/>
    <w:uiPriority w:val="99"/>
    <w:qFormat/>
    <w:tblPr/>
  </w:style>
  <w:style w:type="table" w:styleId="1053">
    <w:name w:val="Grid Table 7 Colorful - Accent 2"/>
    <w:basedOn w:val="870"/>
    <w:next w:val="1053"/>
    <w:link w:val="799"/>
    <w:uiPriority w:val="99"/>
    <w:qFormat/>
    <w:tblPr/>
  </w:style>
  <w:style w:type="table" w:styleId="1054">
    <w:name w:val="Grid Table 7 Colorful - Accent 3"/>
    <w:basedOn w:val="870"/>
    <w:next w:val="1054"/>
    <w:link w:val="799"/>
    <w:uiPriority w:val="99"/>
    <w:qFormat/>
    <w:tblPr/>
  </w:style>
  <w:style w:type="table" w:styleId="1055">
    <w:name w:val="Grid Table 7 Colorful - Accent 4"/>
    <w:basedOn w:val="870"/>
    <w:next w:val="1055"/>
    <w:link w:val="799"/>
    <w:uiPriority w:val="99"/>
    <w:qFormat/>
    <w:tblPr/>
  </w:style>
  <w:style w:type="table" w:styleId="1056">
    <w:name w:val="Grid Table 7 Colorful - Accent 5"/>
    <w:basedOn w:val="870"/>
    <w:next w:val="1056"/>
    <w:link w:val="799"/>
    <w:uiPriority w:val="99"/>
    <w:qFormat/>
    <w:tblPr/>
  </w:style>
  <w:style w:type="table" w:styleId="1057">
    <w:name w:val="Grid Table 7 Colorful - Accent 6"/>
    <w:basedOn w:val="870"/>
    <w:next w:val="1057"/>
    <w:link w:val="799"/>
    <w:uiPriority w:val="99"/>
    <w:qFormat/>
    <w:tblPr/>
  </w:style>
  <w:style w:type="table" w:styleId="1058">
    <w:name w:val="List Table 1 Light - Accent 1"/>
    <w:basedOn w:val="870"/>
    <w:next w:val="1058"/>
    <w:link w:val="799"/>
    <w:uiPriority w:val="99"/>
    <w:qFormat/>
    <w:tblPr/>
  </w:style>
  <w:style w:type="table" w:styleId="1059">
    <w:name w:val="List Table 1 Light - Accent 2"/>
    <w:basedOn w:val="870"/>
    <w:next w:val="1059"/>
    <w:link w:val="799"/>
    <w:uiPriority w:val="99"/>
    <w:qFormat/>
    <w:tblPr/>
  </w:style>
  <w:style w:type="table" w:styleId="1060">
    <w:name w:val="List Table 1 Light - Accent 3"/>
    <w:basedOn w:val="870"/>
    <w:next w:val="1060"/>
    <w:link w:val="799"/>
    <w:uiPriority w:val="99"/>
    <w:qFormat/>
    <w:tblPr/>
  </w:style>
  <w:style w:type="table" w:styleId="1061">
    <w:name w:val="List Table 1 Light - Accent 4"/>
    <w:basedOn w:val="870"/>
    <w:next w:val="1061"/>
    <w:link w:val="799"/>
    <w:uiPriority w:val="99"/>
    <w:qFormat/>
    <w:tblPr/>
  </w:style>
  <w:style w:type="table" w:styleId="1062">
    <w:name w:val="List Table 1 Light - Accent 5"/>
    <w:basedOn w:val="870"/>
    <w:next w:val="1062"/>
    <w:link w:val="799"/>
    <w:uiPriority w:val="99"/>
    <w:qFormat/>
    <w:tblPr/>
  </w:style>
  <w:style w:type="table" w:styleId="1063">
    <w:name w:val="List Table 1 Light - Accent 6"/>
    <w:basedOn w:val="870"/>
    <w:next w:val="1063"/>
    <w:link w:val="799"/>
    <w:uiPriority w:val="99"/>
    <w:qFormat/>
    <w:tblPr/>
  </w:style>
  <w:style w:type="table" w:styleId="1064">
    <w:name w:val="List Table 2 - Accent 1"/>
    <w:basedOn w:val="870"/>
    <w:next w:val="1064"/>
    <w:link w:val="799"/>
    <w:uiPriority w:val="99"/>
    <w:qFormat/>
    <w:tblPr/>
  </w:style>
  <w:style w:type="table" w:styleId="1065">
    <w:name w:val="List Table 2 - Accent 2"/>
    <w:basedOn w:val="870"/>
    <w:next w:val="1065"/>
    <w:link w:val="799"/>
    <w:uiPriority w:val="99"/>
    <w:qFormat/>
    <w:tblPr/>
  </w:style>
  <w:style w:type="table" w:styleId="1066">
    <w:name w:val="List Table 2 - Accent 3"/>
    <w:basedOn w:val="870"/>
    <w:next w:val="1066"/>
    <w:link w:val="799"/>
    <w:uiPriority w:val="99"/>
    <w:qFormat/>
    <w:tblPr/>
  </w:style>
  <w:style w:type="table" w:styleId="1067">
    <w:name w:val="List Table 2 - Accent 4"/>
    <w:basedOn w:val="870"/>
    <w:next w:val="1067"/>
    <w:link w:val="799"/>
    <w:uiPriority w:val="99"/>
    <w:qFormat/>
    <w:tblPr/>
  </w:style>
  <w:style w:type="table" w:styleId="1068">
    <w:name w:val="List Table 2 - Accent 5"/>
    <w:basedOn w:val="870"/>
    <w:next w:val="1068"/>
    <w:link w:val="799"/>
    <w:uiPriority w:val="99"/>
    <w:qFormat/>
    <w:tblPr/>
  </w:style>
  <w:style w:type="table" w:styleId="1069">
    <w:name w:val="List Table 2 - Accent 6"/>
    <w:basedOn w:val="870"/>
    <w:next w:val="1069"/>
    <w:link w:val="799"/>
    <w:uiPriority w:val="99"/>
    <w:qFormat/>
    <w:tblPr/>
  </w:style>
  <w:style w:type="table" w:styleId="1070">
    <w:name w:val="List Table 3 - Accent 1"/>
    <w:basedOn w:val="870"/>
    <w:next w:val="1070"/>
    <w:link w:val="799"/>
    <w:uiPriority w:val="99"/>
    <w:qFormat/>
    <w:tblPr/>
  </w:style>
  <w:style w:type="table" w:styleId="1071">
    <w:name w:val="List Table 3 - Accent 2"/>
    <w:basedOn w:val="870"/>
    <w:next w:val="1071"/>
    <w:link w:val="799"/>
    <w:uiPriority w:val="99"/>
    <w:qFormat/>
    <w:tblPr/>
  </w:style>
  <w:style w:type="table" w:styleId="1072">
    <w:name w:val="List Table 3 - Accent 3"/>
    <w:basedOn w:val="870"/>
    <w:next w:val="1072"/>
    <w:link w:val="799"/>
    <w:uiPriority w:val="99"/>
    <w:qFormat/>
    <w:tblPr/>
  </w:style>
  <w:style w:type="table" w:styleId="1073">
    <w:name w:val="List Table 3 - Accent 4"/>
    <w:basedOn w:val="870"/>
    <w:next w:val="1073"/>
    <w:link w:val="799"/>
    <w:uiPriority w:val="99"/>
    <w:qFormat/>
    <w:tblPr/>
  </w:style>
  <w:style w:type="table" w:styleId="1074">
    <w:name w:val="List Table 3 - Accent 5"/>
    <w:basedOn w:val="870"/>
    <w:next w:val="1074"/>
    <w:link w:val="799"/>
    <w:uiPriority w:val="99"/>
    <w:qFormat/>
    <w:tblPr/>
  </w:style>
  <w:style w:type="table" w:styleId="1075">
    <w:name w:val="List Table 3 - Accent 6"/>
    <w:basedOn w:val="870"/>
    <w:next w:val="1075"/>
    <w:link w:val="799"/>
    <w:uiPriority w:val="99"/>
    <w:qFormat/>
    <w:tblPr/>
  </w:style>
  <w:style w:type="table" w:styleId="1076">
    <w:name w:val="List Table 4 - Accent 1"/>
    <w:basedOn w:val="870"/>
    <w:next w:val="1076"/>
    <w:link w:val="799"/>
    <w:uiPriority w:val="99"/>
    <w:qFormat/>
    <w:tblPr/>
  </w:style>
  <w:style w:type="table" w:styleId="1077">
    <w:name w:val="List Table 4 - Accent 2"/>
    <w:basedOn w:val="870"/>
    <w:next w:val="1077"/>
    <w:link w:val="799"/>
    <w:uiPriority w:val="99"/>
    <w:qFormat/>
    <w:tblPr/>
  </w:style>
  <w:style w:type="table" w:styleId="1078">
    <w:name w:val="List Table 4 - Accent 3"/>
    <w:basedOn w:val="870"/>
    <w:next w:val="1078"/>
    <w:link w:val="799"/>
    <w:uiPriority w:val="99"/>
    <w:qFormat/>
    <w:tblPr/>
  </w:style>
  <w:style w:type="table" w:styleId="1079">
    <w:name w:val="List Table 4 - Accent 4"/>
    <w:basedOn w:val="870"/>
    <w:next w:val="1079"/>
    <w:link w:val="799"/>
    <w:uiPriority w:val="99"/>
    <w:qFormat/>
    <w:tblPr/>
  </w:style>
  <w:style w:type="table" w:styleId="1080">
    <w:name w:val="List Table 4 - Accent 5"/>
    <w:basedOn w:val="870"/>
    <w:next w:val="1080"/>
    <w:link w:val="799"/>
    <w:uiPriority w:val="99"/>
    <w:qFormat/>
    <w:tblPr/>
  </w:style>
  <w:style w:type="table" w:styleId="1081">
    <w:name w:val="List Table 4 - Accent 6"/>
    <w:basedOn w:val="870"/>
    <w:next w:val="1081"/>
    <w:link w:val="799"/>
    <w:uiPriority w:val="99"/>
    <w:qFormat/>
    <w:tblPr/>
  </w:style>
  <w:style w:type="table" w:styleId="1082">
    <w:name w:val="List Table 5 Dark - Accent 1"/>
    <w:basedOn w:val="870"/>
    <w:next w:val="1082"/>
    <w:link w:val="799"/>
    <w:uiPriority w:val="99"/>
    <w:qFormat/>
    <w:tblPr/>
  </w:style>
  <w:style w:type="table" w:styleId="1083">
    <w:name w:val="List Table 5 Dark - Accent 2"/>
    <w:basedOn w:val="870"/>
    <w:next w:val="1083"/>
    <w:link w:val="799"/>
    <w:uiPriority w:val="99"/>
    <w:qFormat/>
    <w:tblPr/>
  </w:style>
  <w:style w:type="table" w:styleId="1084">
    <w:name w:val="List Table 5 Dark - Accent 3"/>
    <w:basedOn w:val="870"/>
    <w:next w:val="1084"/>
    <w:link w:val="799"/>
    <w:uiPriority w:val="99"/>
    <w:qFormat/>
    <w:tblPr/>
  </w:style>
  <w:style w:type="table" w:styleId="1085">
    <w:name w:val="List Table 5 Dark - Accent 4"/>
    <w:basedOn w:val="870"/>
    <w:next w:val="1085"/>
    <w:link w:val="799"/>
    <w:uiPriority w:val="99"/>
    <w:qFormat/>
    <w:tblPr/>
  </w:style>
  <w:style w:type="table" w:styleId="1086">
    <w:name w:val="List Table 5 Dark - Accent 5"/>
    <w:basedOn w:val="870"/>
    <w:next w:val="1086"/>
    <w:link w:val="799"/>
    <w:uiPriority w:val="99"/>
    <w:qFormat/>
    <w:tblPr/>
  </w:style>
  <w:style w:type="table" w:styleId="1087">
    <w:name w:val="List Table 5 Dark - Accent 6"/>
    <w:basedOn w:val="870"/>
    <w:next w:val="1087"/>
    <w:link w:val="799"/>
    <w:uiPriority w:val="99"/>
    <w:qFormat/>
    <w:tblPr/>
  </w:style>
  <w:style w:type="table" w:styleId="1088">
    <w:name w:val="List Table 6 Colorful - Accent 1"/>
    <w:basedOn w:val="870"/>
    <w:next w:val="1088"/>
    <w:link w:val="799"/>
    <w:uiPriority w:val="99"/>
    <w:qFormat/>
    <w:tblPr/>
  </w:style>
  <w:style w:type="table" w:styleId="1089">
    <w:name w:val="List Table 6 Colorful - Accent 2"/>
    <w:basedOn w:val="870"/>
    <w:next w:val="1089"/>
    <w:link w:val="799"/>
    <w:uiPriority w:val="99"/>
    <w:qFormat/>
    <w:tblPr/>
  </w:style>
  <w:style w:type="table" w:styleId="1090">
    <w:name w:val="List Table 6 Colorful - Accent 3"/>
    <w:basedOn w:val="870"/>
    <w:next w:val="1090"/>
    <w:link w:val="799"/>
    <w:uiPriority w:val="99"/>
    <w:qFormat/>
    <w:tblPr/>
  </w:style>
  <w:style w:type="table" w:styleId="1091">
    <w:name w:val="List Table 6 Colorful - Accent 4"/>
    <w:basedOn w:val="870"/>
    <w:next w:val="1091"/>
    <w:link w:val="799"/>
    <w:uiPriority w:val="99"/>
    <w:qFormat/>
    <w:tblPr/>
  </w:style>
  <w:style w:type="table" w:styleId="1092">
    <w:name w:val="List Table 6 Colorful - Accent 5"/>
    <w:basedOn w:val="870"/>
    <w:next w:val="1092"/>
    <w:link w:val="799"/>
    <w:uiPriority w:val="99"/>
    <w:qFormat/>
    <w:tblPr/>
  </w:style>
  <w:style w:type="table" w:styleId="1093">
    <w:name w:val="List Table 6 Colorful - Accent 6"/>
    <w:basedOn w:val="870"/>
    <w:next w:val="1093"/>
    <w:link w:val="799"/>
    <w:uiPriority w:val="99"/>
    <w:qFormat/>
    <w:tblPr/>
  </w:style>
  <w:style w:type="table" w:styleId="1094">
    <w:name w:val="List Table 7 Colorful - Accent 1"/>
    <w:basedOn w:val="870"/>
    <w:next w:val="1094"/>
    <w:link w:val="799"/>
    <w:uiPriority w:val="99"/>
    <w:qFormat/>
    <w:tblPr/>
  </w:style>
  <w:style w:type="table" w:styleId="1095">
    <w:name w:val="List Table 7 Colorful - Accent 2"/>
    <w:basedOn w:val="870"/>
    <w:next w:val="1095"/>
    <w:link w:val="799"/>
    <w:uiPriority w:val="99"/>
    <w:qFormat/>
    <w:tblPr/>
  </w:style>
  <w:style w:type="table" w:styleId="1096">
    <w:name w:val="List Table 7 Colorful - Accent 3"/>
    <w:basedOn w:val="870"/>
    <w:next w:val="1096"/>
    <w:link w:val="799"/>
    <w:uiPriority w:val="99"/>
    <w:qFormat/>
    <w:tblPr/>
  </w:style>
  <w:style w:type="table" w:styleId="1097">
    <w:name w:val="List Table 7 Colorful - Accent 4"/>
    <w:basedOn w:val="870"/>
    <w:next w:val="1097"/>
    <w:link w:val="799"/>
    <w:uiPriority w:val="99"/>
    <w:qFormat/>
    <w:tblPr/>
  </w:style>
  <w:style w:type="table" w:styleId="1098">
    <w:name w:val="List Table 7 Colorful - Accent 5"/>
    <w:basedOn w:val="870"/>
    <w:next w:val="1098"/>
    <w:link w:val="799"/>
    <w:uiPriority w:val="99"/>
    <w:qFormat/>
    <w:tblPr/>
  </w:style>
  <w:style w:type="table" w:styleId="1099">
    <w:name w:val="List Table 7 Colorful - Accent 6"/>
    <w:basedOn w:val="870"/>
    <w:next w:val="1099"/>
    <w:link w:val="799"/>
    <w:uiPriority w:val="99"/>
    <w:qFormat/>
    <w:tblPr/>
  </w:style>
  <w:style w:type="table" w:styleId="1100">
    <w:name w:val="Lined - Accent"/>
    <w:basedOn w:val="870"/>
    <w:next w:val="1100"/>
    <w:link w:val="799"/>
    <w:uiPriority w:val="99"/>
    <w:qFormat/>
    <w:rPr>
      <w:color w:val="404040"/>
    </w:rPr>
    <w:tblPr/>
  </w:style>
  <w:style w:type="table" w:styleId="1101">
    <w:name w:val="Lined - Accent 1"/>
    <w:basedOn w:val="870"/>
    <w:next w:val="1101"/>
    <w:link w:val="799"/>
    <w:uiPriority w:val="99"/>
    <w:qFormat/>
    <w:rPr>
      <w:color w:val="404040"/>
    </w:rPr>
    <w:tblPr/>
  </w:style>
  <w:style w:type="table" w:styleId="1102">
    <w:name w:val="Lined - Accent 2"/>
    <w:basedOn w:val="870"/>
    <w:next w:val="1102"/>
    <w:link w:val="799"/>
    <w:uiPriority w:val="99"/>
    <w:qFormat/>
    <w:rPr>
      <w:color w:val="404040"/>
    </w:rPr>
    <w:tblPr/>
  </w:style>
  <w:style w:type="table" w:styleId="1103">
    <w:name w:val="Lined - Accent 3"/>
    <w:basedOn w:val="870"/>
    <w:next w:val="1103"/>
    <w:link w:val="799"/>
    <w:uiPriority w:val="99"/>
    <w:qFormat/>
    <w:rPr>
      <w:color w:val="404040"/>
    </w:rPr>
    <w:tblPr/>
  </w:style>
  <w:style w:type="table" w:styleId="1104">
    <w:name w:val="Lined - Accent 4"/>
    <w:basedOn w:val="870"/>
    <w:next w:val="1104"/>
    <w:link w:val="799"/>
    <w:uiPriority w:val="99"/>
    <w:qFormat/>
    <w:rPr>
      <w:color w:val="404040"/>
    </w:rPr>
    <w:tblPr/>
  </w:style>
  <w:style w:type="table" w:styleId="1105">
    <w:name w:val="Lined - Accent 5"/>
    <w:basedOn w:val="870"/>
    <w:next w:val="1105"/>
    <w:link w:val="799"/>
    <w:uiPriority w:val="99"/>
    <w:qFormat/>
    <w:rPr>
      <w:color w:val="404040"/>
    </w:rPr>
    <w:tblPr/>
  </w:style>
  <w:style w:type="table" w:styleId="1106">
    <w:name w:val="Lined - Accent 6"/>
    <w:basedOn w:val="870"/>
    <w:next w:val="1106"/>
    <w:link w:val="799"/>
    <w:uiPriority w:val="99"/>
    <w:qFormat/>
    <w:rPr>
      <w:color w:val="404040"/>
    </w:rPr>
    <w:tblPr/>
  </w:style>
  <w:style w:type="table" w:styleId="1107">
    <w:name w:val="Bordered &amp; Lined - Accent"/>
    <w:basedOn w:val="870"/>
    <w:next w:val="1107"/>
    <w:link w:val="799"/>
    <w:uiPriority w:val="99"/>
    <w:qFormat/>
    <w:rPr>
      <w:color w:val="404040"/>
    </w:rPr>
    <w:tblPr/>
  </w:style>
  <w:style w:type="table" w:styleId="1108">
    <w:name w:val="Bordered &amp; Lined - Accent 1"/>
    <w:basedOn w:val="870"/>
    <w:next w:val="1108"/>
    <w:link w:val="799"/>
    <w:uiPriority w:val="99"/>
    <w:qFormat/>
    <w:rPr>
      <w:color w:val="404040"/>
    </w:rPr>
    <w:tblPr/>
  </w:style>
  <w:style w:type="table" w:styleId="1109">
    <w:name w:val="Bordered &amp; Lined - Accent 2"/>
    <w:basedOn w:val="870"/>
    <w:next w:val="1109"/>
    <w:link w:val="799"/>
    <w:uiPriority w:val="99"/>
    <w:qFormat/>
    <w:rPr>
      <w:color w:val="404040"/>
    </w:rPr>
    <w:tblPr/>
  </w:style>
  <w:style w:type="table" w:styleId="1110">
    <w:name w:val="Bordered &amp; Lined - Accent 3"/>
    <w:basedOn w:val="870"/>
    <w:next w:val="1110"/>
    <w:link w:val="799"/>
    <w:uiPriority w:val="99"/>
    <w:qFormat/>
    <w:rPr>
      <w:color w:val="404040"/>
    </w:rPr>
    <w:tblPr/>
  </w:style>
  <w:style w:type="table" w:styleId="1111">
    <w:name w:val="Bordered &amp; Lined - Accent 4"/>
    <w:basedOn w:val="870"/>
    <w:next w:val="1111"/>
    <w:link w:val="799"/>
    <w:uiPriority w:val="99"/>
    <w:qFormat/>
    <w:rPr>
      <w:color w:val="404040"/>
    </w:rPr>
    <w:tblPr/>
  </w:style>
  <w:style w:type="table" w:styleId="1112">
    <w:name w:val="Bordered &amp; Lined - Accent 5"/>
    <w:basedOn w:val="870"/>
    <w:next w:val="1112"/>
    <w:link w:val="799"/>
    <w:uiPriority w:val="99"/>
    <w:qFormat/>
    <w:rPr>
      <w:color w:val="404040"/>
    </w:rPr>
    <w:tblPr/>
  </w:style>
  <w:style w:type="table" w:styleId="1113">
    <w:name w:val="Bordered &amp; Lined - Accent 6"/>
    <w:basedOn w:val="870"/>
    <w:next w:val="1113"/>
    <w:link w:val="799"/>
    <w:uiPriority w:val="99"/>
    <w:qFormat/>
    <w:rPr>
      <w:color w:val="404040"/>
    </w:rPr>
    <w:tblPr/>
  </w:style>
  <w:style w:type="table" w:styleId="1114">
    <w:name w:val="Bordered"/>
    <w:basedOn w:val="870"/>
    <w:next w:val="1114"/>
    <w:link w:val="799"/>
    <w:uiPriority w:val="99"/>
    <w:qFormat/>
    <w:tblPr/>
  </w:style>
  <w:style w:type="table" w:styleId="1115">
    <w:name w:val="Bordered - Accent 1"/>
    <w:basedOn w:val="870"/>
    <w:next w:val="1115"/>
    <w:link w:val="799"/>
    <w:uiPriority w:val="99"/>
    <w:qFormat/>
    <w:tblPr/>
  </w:style>
  <w:style w:type="table" w:styleId="1116">
    <w:name w:val="Bordered - Accent 2"/>
    <w:basedOn w:val="870"/>
    <w:next w:val="1116"/>
    <w:link w:val="799"/>
    <w:uiPriority w:val="99"/>
    <w:qFormat/>
    <w:tblPr/>
  </w:style>
  <w:style w:type="table" w:styleId="1117">
    <w:name w:val="Bordered - Accent 3"/>
    <w:basedOn w:val="870"/>
    <w:next w:val="1117"/>
    <w:link w:val="799"/>
    <w:uiPriority w:val="99"/>
    <w:qFormat/>
    <w:tblPr/>
  </w:style>
  <w:style w:type="table" w:styleId="1118">
    <w:name w:val="Bordered - Accent 4"/>
    <w:basedOn w:val="870"/>
    <w:next w:val="1118"/>
    <w:link w:val="799"/>
    <w:uiPriority w:val="99"/>
    <w:qFormat/>
    <w:tblPr/>
  </w:style>
  <w:style w:type="table" w:styleId="1119">
    <w:name w:val="Bordered - Accent 5"/>
    <w:basedOn w:val="870"/>
    <w:next w:val="1119"/>
    <w:link w:val="799"/>
    <w:uiPriority w:val="99"/>
    <w:qFormat/>
    <w:tblPr/>
  </w:style>
  <w:style w:type="table" w:styleId="1120">
    <w:name w:val="Bordered - Accent 6"/>
    <w:basedOn w:val="870"/>
    <w:next w:val="1120"/>
    <w:link w:val="799"/>
    <w:uiPriority w:val="99"/>
    <w:qFormat/>
    <w:tblPr/>
  </w:style>
  <w:style w:type="paragraph" w:styleId="1121">
    <w:name w:val="TOC 标题11"/>
    <w:next w:val="1121"/>
    <w:link w:val="799"/>
    <w:uiPriority w:val="39"/>
    <w:unhideWhenUsed/>
    <w:qFormat/>
    <w:rPr>
      <w:lang w:eastAsia="zh-CN"/>
    </w:rPr>
  </w:style>
  <w:style w:type="paragraph" w:styleId="1122">
    <w:name w:val="Normal_0"/>
    <w:next w:val="1122"/>
    <w:link w:val="799"/>
    <w:qFormat/>
    <w:rPr>
      <w:rFonts w:ascii="黑体" w:hAnsi="黑体" w:eastAsia="黑体"/>
      <w:b/>
      <w:sz w:val="32"/>
      <w:szCs w:val="24"/>
      <w:lang w:eastAsia="zh-CN"/>
    </w:rPr>
  </w:style>
  <w:style w:type="paragraph" w:styleId="1123">
    <w:name w:val="正文1"/>
    <w:next w:val="866"/>
    <w:link w:val="799"/>
    <w:qFormat/>
    <w:rPr>
      <w:rFonts w:eastAsia="Times New Roman"/>
      <w:sz w:val="24"/>
      <w:szCs w:val="24"/>
      <w:lang w:eastAsia="zh-CN"/>
    </w:rPr>
  </w:style>
  <w:style w:type="paragraph" w:styleId="1124">
    <w:name w:val="Normal_0_3"/>
    <w:next w:val="1124"/>
    <w:link w:val="799"/>
    <w:qFormat/>
    <w:rPr>
      <w:rFonts w:ascii="黑体" w:hAnsi="黑体" w:eastAsia="黑体" w:cs="黑体"/>
      <w:b/>
      <w:sz w:val="32"/>
      <w:szCs w:val="24"/>
      <w:lang w:eastAsia="zh-CN"/>
    </w:rPr>
  </w:style>
  <w:style w:type="paragraph" w:styleId="1125">
    <w:name w:val="正文首行缩进 2_0"/>
    <w:basedOn w:val="1126"/>
    <w:next w:val="1125"/>
    <w:link w:val="799"/>
    <w:qFormat/>
    <w:pPr>
      <w:ind w:left="200" w:firstLine="200"/>
      <w:spacing w:after="120"/>
    </w:pPr>
    <w:rPr>
      <w:rFonts w:ascii="Times New Roman" w:hAnsi="Times New Roman"/>
      <w:sz w:val="24"/>
      <w:szCs w:val="24"/>
    </w:rPr>
  </w:style>
  <w:style w:type="paragraph" w:styleId="1126">
    <w:name w:val="正文文本缩进_0"/>
    <w:basedOn w:val="1127"/>
    <w:next w:val="1126"/>
    <w:link w:val="799"/>
    <w:qFormat/>
    <w:pPr>
      <w:ind w:firstLine="225"/>
    </w:pPr>
    <w:rPr>
      <w:rFonts w:ascii="仿宋_GB2312" w:eastAsia="仿宋_GB2312"/>
      <w:sz w:val="32"/>
    </w:rPr>
  </w:style>
  <w:style w:type="paragraph" w:styleId="1127">
    <w:name w:val="正文_2"/>
    <w:next w:val="1127"/>
    <w:link w:val="799"/>
    <w:qFormat/>
    <w:pPr>
      <w:jc w:val="both"/>
      <w:widowControl w:val="off"/>
    </w:pPr>
    <w:rPr>
      <w:rFonts w:ascii="Calibri" w:hAnsi="Calibri"/>
      <w:sz w:val="21"/>
      <w:szCs w:val="22"/>
      <w:lang w:eastAsia="zh-CN"/>
    </w:rPr>
  </w:style>
  <w:style w:type="paragraph" w:styleId="1128">
    <w:name w:val="Normal_0_2"/>
    <w:next w:val="1129"/>
    <w:link w:val="799"/>
    <w:qFormat/>
    <w:rPr>
      <w:rFonts w:ascii="黑体" w:hAnsi="黑体" w:eastAsia="黑体" w:cs="黑体"/>
      <w:b/>
      <w:sz w:val="32"/>
      <w:szCs w:val="24"/>
      <w:lang w:eastAsia="zh-CN"/>
    </w:rPr>
  </w:style>
  <w:style w:type="paragraph" w:styleId="1129">
    <w:name w:val="Body Text First Indent_1"/>
    <w:basedOn w:val="868"/>
    <w:next w:val="1129"/>
    <w:link w:val="799"/>
    <w:uiPriority w:val="99"/>
    <w:unhideWhenUsed/>
    <w:qFormat/>
    <w:pPr>
      <w:ind w:firstLine="420"/>
      <w:spacing w:after="120"/>
    </w:pPr>
    <w:rPr>
      <w:rFonts w:eastAsia="Times New Roman"/>
    </w:rPr>
  </w:style>
  <w:style w:type="paragraph" w:styleId="1130">
    <w:name w:val="Normal_1_2"/>
    <w:next w:val="1130"/>
    <w:link w:val="799"/>
    <w:qFormat/>
    <w:rPr>
      <w:rFonts w:eastAsia="Times New Roman"/>
      <w:sz w:val="24"/>
      <w:szCs w:val="24"/>
      <w:lang w:eastAsia="zh-CN"/>
    </w:rPr>
  </w:style>
  <w:style w:type="paragraph" w:styleId="1131">
    <w:name w:val="Normal_0_1"/>
    <w:next w:val="1132"/>
    <w:link w:val="799"/>
    <w:qFormat/>
    <w:rPr>
      <w:rFonts w:ascii="黑体" w:hAnsi="黑体" w:eastAsia="黑体" w:cs="黑体"/>
      <w:b/>
      <w:sz w:val="32"/>
      <w:szCs w:val="24"/>
      <w:lang w:eastAsia="zh-CN"/>
    </w:rPr>
  </w:style>
  <w:style w:type="paragraph" w:styleId="1132">
    <w:name w:val="Body Text First Indent_0"/>
    <w:basedOn w:val="1133"/>
    <w:next w:val="1132"/>
    <w:link w:val="799"/>
    <w:uiPriority w:val="99"/>
    <w:unhideWhenUsed/>
    <w:qFormat/>
    <w:pPr>
      <w:ind w:firstLine="420"/>
      <w:spacing w:after="120"/>
    </w:pPr>
  </w:style>
  <w:style w:type="paragraph" w:styleId="1133">
    <w:name w:val="正文3"/>
    <w:next w:val="1134"/>
    <w:link w:val="799"/>
    <w:qFormat/>
    <w:rPr>
      <w:rFonts w:eastAsia="Times New Roman"/>
      <w:sz w:val="24"/>
      <w:szCs w:val="24"/>
      <w:lang w:eastAsia="zh-CN"/>
    </w:rPr>
  </w:style>
  <w:style w:type="paragraph" w:styleId="1134">
    <w:name w:val="标题 31"/>
    <w:basedOn w:val="1133"/>
    <w:next w:val="1135"/>
    <w:link w:val="799"/>
    <w:qFormat/>
    <w:pPr>
      <w:keepLines/>
      <w:keepNext/>
      <w:spacing w:before="260" w:after="260" w:line="413" w:lineRule="auto"/>
      <w:outlineLvl w:val="2"/>
    </w:pPr>
    <w:rPr>
      <w:b/>
      <w:sz w:val="32"/>
      <w:szCs w:val="20"/>
    </w:rPr>
  </w:style>
  <w:style w:type="paragraph" w:styleId="1135">
    <w:name w:val="正文2"/>
    <w:next w:val="1134"/>
    <w:link w:val="799"/>
    <w:qFormat/>
    <w:pPr>
      <w:jc w:val="both"/>
      <w:widowControl w:val="off"/>
    </w:pPr>
    <w:rPr>
      <w:rFonts w:ascii="Calibri" w:hAnsi="Calibri"/>
      <w:lang w:eastAsia="zh-CN"/>
    </w:rPr>
  </w:style>
  <w:style w:type="paragraph" w:styleId="1136">
    <w:name w:val="正文首行缩进3"/>
    <w:basedOn w:val="1123"/>
    <w:next w:val="1136"/>
    <w:link w:val="799"/>
    <w:uiPriority w:val="99"/>
    <w:unhideWhenUsed/>
    <w:qFormat/>
    <w:pPr>
      <w:ind w:firstLine="420"/>
      <w:spacing w:after="120"/>
    </w:pPr>
    <w:rPr>
      <w:sz w:val="20"/>
    </w:rPr>
  </w:style>
  <w:style w:type="paragraph" w:styleId="1137">
    <w:name w:val="Normal_1_1"/>
    <w:next w:val="1137"/>
    <w:link w:val="799"/>
    <w:qFormat/>
    <w:rPr>
      <w:rFonts w:ascii="黑体" w:hAnsi="黑体" w:eastAsia="黑体" w:cs="黑体"/>
      <w:b/>
      <w:sz w:val="32"/>
      <w:szCs w:val="24"/>
      <w:lang w:eastAsia="zh-CN"/>
    </w:rPr>
  </w:style>
  <w:style w:type="paragraph" w:styleId="1138">
    <w:name w:val="正文_0_1"/>
    <w:next w:val="1138"/>
    <w:link w:val="799"/>
    <w:qFormat/>
    <w:pPr>
      <w:jc w:val="both"/>
      <w:widowControl w:val="off"/>
    </w:pPr>
    <w:rPr>
      <w:rFonts w:ascii="Calibri" w:hAnsi="Calibri"/>
      <w:sz w:val="21"/>
      <w:szCs w:val="22"/>
      <w:lang w:eastAsia="zh-CN"/>
    </w:rPr>
  </w:style>
  <w:style w:type="paragraph" w:styleId="1139">
    <w:name w:val="正文_1_1"/>
    <w:next w:val="1139"/>
    <w:link w:val="799"/>
    <w:qFormat/>
    <w:pPr>
      <w:jc w:val="both"/>
      <w:widowControl w:val="off"/>
    </w:pPr>
    <w:rPr>
      <w:rFonts w:ascii="Calibri" w:hAnsi="Calibri"/>
      <w:sz w:val="21"/>
      <w:szCs w:val="22"/>
      <w:lang w:eastAsia="zh-CN"/>
    </w:rPr>
  </w:style>
  <w:style w:type="paragraph" w:styleId="1140">
    <w:name w:val="Normal_2_0"/>
    <w:next w:val="1140"/>
    <w:link w:val="799"/>
    <w:qFormat/>
    <w:rPr>
      <w:rFonts w:ascii="黑体" w:hAnsi="黑体" w:eastAsia="黑体" w:cs="黑体"/>
      <w:b/>
      <w:sz w:val="32"/>
      <w:szCs w:val="24"/>
      <w:lang w:eastAsia="zh-CN"/>
    </w:rPr>
  </w:style>
  <w:style w:type="paragraph" w:styleId="1141">
    <w:name w:val="Normal_3_0"/>
    <w:next w:val="1141"/>
    <w:link w:val="799"/>
    <w:qFormat/>
    <w:pPr>
      <w:jc w:val="both"/>
      <w:widowControl w:val="off"/>
    </w:pPr>
    <w:rPr>
      <w:rFonts w:ascii="Calibri" w:hAnsi="Calibri"/>
      <w:sz w:val="21"/>
      <w:szCs w:val="22"/>
      <w:lang w:eastAsia="zh-CN"/>
    </w:rPr>
  </w:style>
  <w:style w:type="paragraph" w:styleId="1142">
    <w:name w:val="Normal_4_0"/>
    <w:next w:val="1142"/>
    <w:link w:val="799"/>
    <w:qFormat/>
    <w:rPr>
      <w:rFonts w:ascii="黑体" w:hAnsi="黑体" w:eastAsia="黑体" w:cs="黑体"/>
      <w:b/>
      <w:sz w:val="32"/>
      <w:szCs w:val="24"/>
      <w:lang w:eastAsia="zh-CN"/>
    </w:rPr>
  </w:style>
  <w:style w:type="paragraph" w:styleId="1143">
    <w:name w:val="Normal_5_0"/>
    <w:next w:val="1143"/>
    <w:link w:val="799"/>
    <w:qFormat/>
    <w:pPr>
      <w:jc w:val="both"/>
      <w:widowControl w:val="off"/>
    </w:pPr>
    <w:rPr>
      <w:rFonts w:ascii="Calibri" w:hAnsi="Calibri"/>
      <w:sz w:val="21"/>
      <w:szCs w:val="22"/>
      <w:lang w:eastAsia="zh-CN"/>
    </w:rPr>
  </w:style>
  <w:style w:type="paragraph" w:styleId="1144">
    <w:name w:val="Normal_6_0"/>
    <w:next w:val="1144"/>
    <w:link w:val="799"/>
    <w:qFormat/>
    <w:rPr>
      <w:rFonts w:ascii="黑体" w:hAnsi="黑体" w:eastAsia="黑体" w:cs="黑体"/>
      <w:b/>
      <w:sz w:val="32"/>
      <w:szCs w:val="24"/>
      <w:lang w:eastAsia="zh-CN"/>
    </w:rPr>
  </w:style>
  <w:style w:type="paragraph" w:styleId="1145">
    <w:name w:val="正文_1_0_0"/>
    <w:next w:val="1145"/>
    <w:link w:val="799"/>
    <w:qFormat/>
    <w:pPr>
      <w:jc w:val="both"/>
      <w:widowControl w:val="off"/>
    </w:pPr>
    <w:rPr>
      <w:sz w:val="21"/>
      <w:lang w:eastAsia="zh-CN"/>
    </w:rPr>
  </w:style>
  <w:style w:type="paragraph" w:styleId="1146">
    <w:name w:val="正文_0_0_0_0"/>
    <w:next w:val="1146"/>
    <w:link w:val="799"/>
    <w:qFormat/>
    <w:pPr>
      <w:jc w:val="both"/>
      <w:widowControl w:val="off"/>
    </w:pPr>
    <w:rPr>
      <w:sz w:val="21"/>
      <w:szCs w:val="24"/>
      <w:lang w:eastAsia="zh-CN"/>
    </w:rPr>
  </w:style>
  <w:style w:type="paragraph" w:styleId="1147">
    <w:name w:val="正文_1_0_0_0"/>
    <w:next w:val="1147"/>
    <w:link w:val="799"/>
    <w:qFormat/>
    <w:pPr>
      <w:jc w:val="both"/>
      <w:widowControl w:val="off"/>
    </w:pPr>
    <w:rPr>
      <w:sz w:val="21"/>
      <w:lang w:eastAsia="zh-CN"/>
    </w:rPr>
  </w:style>
  <w:style w:type="paragraph" w:styleId="1148">
    <w:name w:val="Normal_7_0"/>
    <w:next w:val="1148"/>
    <w:link w:val="799"/>
    <w:qFormat/>
    <w:rPr>
      <w:rFonts w:ascii="黑体" w:hAnsi="黑体" w:eastAsia="黑体" w:cs="黑体"/>
      <w:b/>
      <w:sz w:val="32"/>
      <w:szCs w:val="24"/>
      <w:lang w:eastAsia="zh-CN"/>
    </w:rPr>
  </w:style>
  <w:style w:type="paragraph" w:styleId="1149">
    <w:name w:val="Normal_8_0"/>
    <w:next w:val="1149"/>
    <w:link w:val="799"/>
    <w:qFormat/>
    <w:rPr>
      <w:rFonts w:eastAsia="Times New Roman"/>
      <w:sz w:val="24"/>
      <w:szCs w:val="24"/>
      <w:lang w:eastAsia="zh-CN"/>
    </w:rPr>
  </w:style>
  <w:style w:type="paragraph" w:styleId="1150">
    <w:name w:val="Normal_9_0"/>
    <w:next w:val="1150"/>
    <w:link w:val="799"/>
    <w:qFormat/>
    <w:rPr>
      <w:rFonts w:eastAsia="Times New Roman"/>
      <w:sz w:val="24"/>
      <w:szCs w:val="24"/>
      <w:lang w:eastAsia="zh-CN"/>
    </w:rPr>
  </w:style>
  <w:style w:type="paragraph" w:styleId="1151">
    <w:name w:val="Normal_10_0"/>
    <w:next w:val="1151"/>
    <w:link w:val="799"/>
    <w:qFormat/>
    <w:rPr>
      <w:rFonts w:ascii="黑体" w:hAnsi="黑体" w:eastAsia="黑体" w:cs="黑体"/>
      <w:b/>
      <w:sz w:val="32"/>
      <w:szCs w:val="24"/>
      <w:lang w:eastAsia="zh-CN"/>
    </w:rPr>
  </w:style>
  <w:style w:type="paragraph" w:styleId="1152">
    <w:name w:val="正文_3"/>
    <w:next w:val="1152"/>
    <w:link w:val="799"/>
    <w:qFormat/>
    <w:pPr>
      <w:jc w:val="both"/>
      <w:widowControl w:val="off"/>
    </w:pPr>
    <w:rPr>
      <w:rFonts w:ascii="Calibri" w:hAnsi="Calibri"/>
      <w:sz w:val="21"/>
      <w:szCs w:val="22"/>
      <w:lang w:eastAsia="zh-CN"/>
    </w:rPr>
  </w:style>
  <w:style w:type="paragraph" w:styleId="1153">
    <w:name w:val="正文首行缩进 2_1"/>
    <w:basedOn w:val="1154"/>
    <w:next w:val="1156"/>
    <w:link w:val="799"/>
    <w:qFormat/>
    <w:pPr>
      <w:ind w:left="200" w:firstLine="200"/>
      <w:spacing w:after="120"/>
    </w:pPr>
    <w:rPr>
      <w:rFonts w:ascii="Times New Roman"/>
      <w:szCs w:val="24"/>
    </w:rPr>
  </w:style>
  <w:style w:type="paragraph" w:styleId="1154">
    <w:name w:val="正文文本缩进_1"/>
    <w:basedOn w:val="1155"/>
    <w:next w:val="1153"/>
    <w:link w:val="799"/>
    <w:qFormat/>
    <w:pPr>
      <w:ind w:firstLine="225"/>
    </w:pPr>
    <w:rPr>
      <w:rFonts w:ascii="仿宋_GB2312" w:eastAsia="仿宋_GB2312"/>
      <w:sz w:val="32"/>
    </w:rPr>
  </w:style>
  <w:style w:type="paragraph" w:styleId="1155">
    <w:name w:val="正文_18"/>
    <w:next w:val="799"/>
    <w:link w:val="799"/>
    <w:qFormat/>
    <w:pPr>
      <w:jc w:val="both"/>
      <w:widowControl w:val="off"/>
    </w:pPr>
    <w:rPr>
      <w:rFonts w:ascii="Calibri" w:hAnsi="Calibri"/>
      <w:sz w:val="21"/>
      <w:szCs w:val="22"/>
      <w:lang w:eastAsia="zh-CN"/>
    </w:rPr>
  </w:style>
  <w:style w:type="paragraph" w:styleId="1156">
    <w:name w:val="xl53_0"/>
    <w:next w:val="1152"/>
    <w:link w:val="799"/>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eastAsia="zh-CN"/>
    </w:rPr>
  </w:style>
  <w:style w:type="paragraph" w:styleId="1157">
    <w:name w:val="正文_4_0"/>
    <w:next w:val="1157"/>
    <w:link w:val="799"/>
    <w:qFormat/>
    <w:pPr>
      <w:jc w:val="both"/>
      <w:widowControl w:val="off"/>
    </w:pPr>
    <w:rPr>
      <w:rFonts w:ascii="Calibri" w:hAnsi="Calibri"/>
      <w:sz w:val="21"/>
      <w:szCs w:val="22"/>
      <w:lang w:eastAsia="zh-CN"/>
    </w:rPr>
  </w:style>
  <w:style w:type="paragraph" w:styleId="1158">
    <w:name w:val="Normal_11_0"/>
    <w:next w:val="1158"/>
    <w:link w:val="799"/>
    <w:qFormat/>
    <w:rPr>
      <w:rFonts w:ascii="黑体" w:hAnsi="黑体" w:eastAsia="黑体" w:cs="黑体"/>
      <w:b/>
      <w:sz w:val="32"/>
      <w:szCs w:val="24"/>
      <w:lang w:eastAsia="zh-CN"/>
    </w:rPr>
  </w:style>
  <w:style w:type="paragraph" w:styleId="1159">
    <w:name w:val="Normal_12_0"/>
    <w:next w:val="1159"/>
    <w:link w:val="799"/>
    <w:qFormat/>
    <w:pPr>
      <w:jc w:val="both"/>
      <w:widowControl w:val="off"/>
    </w:pPr>
    <w:rPr>
      <w:rFonts w:ascii="Calibri" w:hAnsi="Calibri"/>
      <w:sz w:val="21"/>
      <w:szCs w:val="22"/>
      <w:lang w:eastAsia="zh-CN"/>
    </w:rPr>
  </w:style>
  <w:style w:type="paragraph" w:styleId="1160">
    <w:name w:val="正文_9_0"/>
    <w:next w:val="1160"/>
    <w:link w:val="799"/>
    <w:qFormat/>
    <w:pPr>
      <w:jc w:val="both"/>
      <w:widowControl w:val="off"/>
    </w:pPr>
    <w:rPr>
      <w:rFonts w:ascii="Calibri" w:hAnsi="Calibri"/>
      <w:sz w:val="21"/>
      <w:szCs w:val="22"/>
      <w:lang w:eastAsia="zh-CN"/>
    </w:rPr>
  </w:style>
  <w:style w:type="paragraph" w:styleId="1161">
    <w:name w:val="正文_8_1"/>
    <w:next w:val="1161"/>
    <w:link w:val="799"/>
    <w:qFormat/>
    <w:pPr>
      <w:jc w:val="both"/>
      <w:widowControl w:val="off"/>
    </w:pPr>
    <w:rPr>
      <w:rFonts w:ascii="Calibri" w:hAnsi="Calibri"/>
      <w:sz w:val="21"/>
      <w:szCs w:val="22"/>
      <w:lang w:eastAsia="zh-CN"/>
    </w:rPr>
  </w:style>
  <w:style w:type="paragraph" w:styleId="1162">
    <w:name w:val="正文_1_0_0_0_0"/>
    <w:next w:val="1162"/>
    <w:link w:val="799"/>
    <w:qFormat/>
    <w:pPr>
      <w:jc w:val="both"/>
      <w:widowControl w:val="off"/>
    </w:pPr>
    <w:rPr>
      <w:sz w:val="21"/>
      <w:lang w:eastAsia="zh-CN"/>
    </w:rPr>
  </w:style>
  <w:style w:type="paragraph" w:styleId="1163">
    <w:name w:val="列出段落_2"/>
    <w:basedOn w:val="1161"/>
    <w:next w:val="1163"/>
    <w:link w:val="799"/>
    <w:uiPriority w:val="34"/>
    <w:qFormat/>
    <w:pPr>
      <w:ind w:firstLine="420"/>
    </w:pPr>
  </w:style>
  <w:style w:type="paragraph" w:styleId="1164">
    <w:name w:val="Normal_13_0"/>
    <w:next w:val="1164"/>
    <w:link w:val="799"/>
    <w:qFormat/>
    <w:rPr>
      <w:rFonts w:ascii="黑体" w:hAnsi="黑体" w:eastAsia="黑体" w:cs="黑体"/>
      <w:b/>
      <w:sz w:val="32"/>
      <w:szCs w:val="24"/>
      <w:lang w:eastAsia="zh-CN"/>
    </w:rPr>
  </w:style>
  <w:style w:type="paragraph" w:styleId="1165">
    <w:name w:val="正文_7_1_0"/>
    <w:next w:val="1165"/>
    <w:link w:val="799"/>
    <w:qFormat/>
    <w:pPr>
      <w:jc w:val="both"/>
      <w:widowControl w:val="off"/>
    </w:pPr>
    <w:rPr>
      <w:rFonts w:ascii="Calibri" w:hAnsi="Calibri"/>
      <w:sz w:val="21"/>
      <w:szCs w:val="22"/>
      <w:lang w:eastAsia="zh-CN"/>
    </w:rPr>
  </w:style>
  <w:style w:type="paragraph" w:styleId="1166">
    <w:name w:val="纯文本_0_0"/>
    <w:basedOn w:val="1165"/>
    <w:next w:val="1166"/>
    <w:link w:val="799"/>
    <w:unhideWhenUsed/>
    <w:qFormat/>
    <w:rPr>
      <w:rFonts w:ascii="宋体" w:hAnsi="Courier New"/>
      <w:szCs w:val="21"/>
    </w:rPr>
  </w:style>
  <w:style w:type="paragraph" w:styleId="1167">
    <w:name w:val="正文_8_0"/>
    <w:next w:val="1167"/>
    <w:link w:val="799"/>
    <w:qFormat/>
    <w:pPr>
      <w:jc w:val="both"/>
      <w:widowControl w:val="off"/>
    </w:pPr>
    <w:rPr>
      <w:rFonts w:ascii="Calibri" w:hAnsi="Calibri"/>
      <w:sz w:val="21"/>
      <w:szCs w:val="22"/>
      <w:lang w:eastAsia="zh-CN"/>
    </w:rPr>
  </w:style>
  <w:style w:type="paragraph" w:styleId="1168">
    <w:name w:val="Normal_14_0"/>
    <w:next w:val="1168"/>
    <w:link w:val="799"/>
    <w:qFormat/>
    <w:rPr>
      <w:rFonts w:ascii="黑体" w:hAnsi="黑体" w:eastAsia="黑体" w:cs="黑体"/>
      <w:b/>
      <w:sz w:val="32"/>
      <w:szCs w:val="24"/>
      <w:lang w:eastAsia="zh-CN"/>
    </w:rPr>
  </w:style>
  <w:style w:type="paragraph" w:styleId="1169">
    <w:name w:val="正文_6_0"/>
    <w:next w:val="1169"/>
    <w:link w:val="799"/>
    <w:qFormat/>
    <w:pPr>
      <w:jc w:val="both"/>
      <w:widowControl w:val="off"/>
    </w:pPr>
    <w:rPr>
      <w:rFonts w:ascii="Calibri" w:hAnsi="Calibri"/>
      <w:sz w:val="21"/>
      <w:szCs w:val="22"/>
      <w:lang w:eastAsia="zh-CN"/>
    </w:rPr>
  </w:style>
  <w:style w:type="paragraph" w:styleId="1170">
    <w:name w:val="Normal_15_0"/>
    <w:next w:val="1170"/>
    <w:link w:val="799"/>
    <w:qFormat/>
    <w:rPr>
      <w:rFonts w:ascii="黑体" w:hAnsi="黑体" w:eastAsia="黑体" w:cs="黑体"/>
      <w:b/>
      <w:sz w:val="32"/>
      <w:szCs w:val="24"/>
      <w:lang w:eastAsia="zh-CN"/>
    </w:rPr>
  </w:style>
  <w:style w:type="paragraph" w:styleId="1171">
    <w:name w:val="正文_7_0"/>
    <w:next w:val="1171"/>
    <w:link w:val="799"/>
    <w:qFormat/>
    <w:pPr>
      <w:jc w:val="both"/>
      <w:widowControl w:val="off"/>
    </w:pPr>
    <w:rPr>
      <w:rFonts w:ascii="Calibri" w:hAnsi="Calibri"/>
      <w:sz w:val="21"/>
      <w:szCs w:val="22"/>
      <w:lang w:eastAsia="zh-CN"/>
    </w:rPr>
  </w:style>
  <w:style w:type="paragraph" w:styleId="1172">
    <w:name w:val="正文_9_1"/>
    <w:next w:val="1172"/>
    <w:link w:val="799"/>
    <w:qFormat/>
    <w:pPr>
      <w:jc w:val="both"/>
      <w:widowControl w:val="off"/>
    </w:pPr>
    <w:rPr>
      <w:sz w:val="21"/>
      <w:szCs w:val="24"/>
      <w:lang w:eastAsia="zh-CN"/>
    </w:rPr>
  </w:style>
  <w:style w:type="paragraph" w:styleId="1173">
    <w:name w:val="Normal_16_0"/>
    <w:next w:val="1173"/>
    <w:link w:val="799"/>
    <w:qFormat/>
    <w:rPr>
      <w:rFonts w:ascii="黑体" w:hAnsi="黑体" w:eastAsia="黑体" w:cs="黑体"/>
      <w:b/>
      <w:sz w:val="32"/>
      <w:szCs w:val="24"/>
      <w:lang w:eastAsia="zh-CN"/>
    </w:rPr>
  </w:style>
  <w:style w:type="paragraph" w:styleId="1174">
    <w:name w:val="正文_10_0"/>
    <w:next w:val="1174"/>
    <w:link w:val="799"/>
    <w:qFormat/>
    <w:pPr>
      <w:jc w:val="both"/>
      <w:widowControl w:val="off"/>
    </w:pPr>
    <w:rPr>
      <w:sz w:val="21"/>
      <w:szCs w:val="24"/>
      <w:lang w:eastAsia="zh-CN"/>
    </w:rPr>
  </w:style>
  <w:style w:type="paragraph" w:styleId="1175">
    <w:name w:val="Normal_17_0"/>
    <w:next w:val="1175"/>
    <w:link w:val="799"/>
    <w:qFormat/>
    <w:rPr>
      <w:rFonts w:ascii="黑体" w:hAnsi="黑体" w:eastAsia="黑体" w:cs="黑体"/>
      <w:b/>
      <w:sz w:val="32"/>
      <w:szCs w:val="24"/>
      <w:lang w:eastAsia="zh-CN"/>
    </w:rPr>
  </w:style>
  <w:style w:type="paragraph" w:styleId="1176">
    <w:name w:val="正文_10_0_0"/>
    <w:next w:val="1176"/>
    <w:link w:val="799"/>
    <w:qFormat/>
    <w:pPr>
      <w:jc w:val="both"/>
      <w:widowControl w:val="off"/>
    </w:pPr>
    <w:rPr>
      <w:sz w:val="21"/>
      <w:szCs w:val="24"/>
      <w:lang w:eastAsia="zh-CN"/>
    </w:rPr>
  </w:style>
  <w:style w:type="paragraph" w:styleId="1177">
    <w:name w:val="Normal_18_0"/>
    <w:next w:val="1177"/>
    <w:link w:val="799"/>
    <w:qFormat/>
    <w:rPr>
      <w:rFonts w:ascii="黑体" w:hAnsi="黑体" w:eastAsia="黑体" w:cs="黑体"/>
      <w:b/>
      <w:sz w:val="32"/>
      <w:szCs w:val="24"/>
      <w:lang w:eastAsia="zh-CN"/>
    </w:rPr>
  </w:style>
  <w:style w:type="paragraph" w:styleId="1178">
    <w:name w:val="正文_12_0"/>
    <w:next w:val="1178"/>
    <w:link w:val="799"/>
    <w:qFormat/>
    <w:pPr>
      <w:jc w:val="both"/>
      <w:widowControl w:val="off"/>
    </w:pPr>
    <w:rPr>
      <w:rFonts w:ascii="Calibri" w:hAnsi="Calibri"/>
      <w:sz w:val="21"/>
      <w:szCs w:val="22"/>
      <w:lang w:eastAsia="zh-CN"/>
    </w:rPr>
  </w:style>
  <w:style w:type="paragraph" w:styleId="1179">
    <w:name w:val="正文_9_1_0"/>
    <w:next w:val="1179"/>
    <w:link w:val="799"/>
    <w:qFormat/>
    <w:pPr>
      <w:jc w:val="both"/>
      <w:widowControl w:val="off"/>
    </w:pPr>
    <w:rPr>
      <w:sz w:val="21"/>
      <w:szCs w:val="24"/>
      <w:lang w:eastAsia="zh-CN"/>
    </w:rPr>
  </w:style>
  <w:style w:type="paragraph" w:styleId="1180">
    <w:name w:val="Normal_14_0_0"/>
    <w:next w:val="1180"/>
    <w:link w:val="799"/>
    <w:qFormat/>
    <w:rPr>
      <w:rFonts w:ascii="黑体" w:hAnsi="黑体" w:eastAsia="黑体"/>
      <w:b/>
      <w:sz w:val="32"/>
      <w:szCs w:val="24"/>
      <w:lang w:eastAsia="zh-CN"/>
    </w:rPr>
  </w:style>
  <w:style w:type="paragraph" w:styleId="1181">
    <w:name w:val="正文_12_0_0"/>
    <w:next w:val="1181"/>
    <w:link w:val="799"/>
    <w:qFormat/>
    <w:pPr>
      <w:jc w:val="both"/>
      <w:widowControl w:val="off"/>
    </w:pPr>
    <w:rPr>
      <w:sz w:val="21"/>
      <w:szCs w:val="24"/>
      <w:lang w:eastAsia="zh-CN"/>
    </w:rPr>
  </w:style>
  <w:style w:type="paragraph" w:styleId="1182">
    <w:name w:val="正文_12_0_0_0"/>
    <w:next w:val="1182"/>
    <w:link w:val="799"/>
    <w:qFormat/>
    <w:pPr>
      <w:jc w:val="both"/>
      <w:widowControl w:val="off"/>
    </w:pPr>
    <w:rPr>
      <w:sz w:val="21"/>
      <w:szCs w:val="24"/>
      <w:lang w:eastAsia="zh-CN"/>
    </w:rPr>
  </w:style>
  <w:style w:type="paragraph" w:styleId="1183">
    <w:name w:val="正文_13_0"/>
    <w:next w:val="1183"/>
    <w:link w:val="799"/>
    <w:qFormat/>
    <w:pPr>
      <w:jc w:val="both"/>
      <w:widowControl w:val="off"/>
    </w:pPr>
    <w:rPr>
      <w:rFonts w:ascii="Calibri" w:hAnsi="Calibri"/>
      <w:sz w:val="21"/>
      <w:szCs w:val="22"/>
      <w:lang w:eastAsia="zh-CN"/>
    </w:rPr>
  </w:style>
  <w:style w:type="paragraph" w:styleId="1184">
    <w:name w:val="正文_13_0_0"/>
    <w:next w:val="1184"/>
    <w:link w:val="799"/>
    <w:qFormat/>
    <w:pPr>
      <w:jc w:val="both"/>
      <w:widowControl w:val="off"/>
    </w:pPr>
    <w:rPr>
      <w:sz w:val="21"/>
      <w:szCs w:val="24"/>
      <w:lang w:eastAsia="zh-CN"/>
    </w:rPr>
  </w:style>
  <w:style w:type="paragraph" w:styleId="1185">
    <w:name w:val="正文_14_0"/>
    <w:next w:val="1185"/>
    <w:link w:val="799"/>
    <w:qFormat/>
    <w:pPr>
      <w:jc w:val="both"/>
      <w:widowControl w:val="off"/>
    </w:pPr>
    <w:rPr>
      <w:rFonts w:ascii="Calibri" w:hAnsi="Calibri"/>
      <w:sz w:val="21"/>
      <w:szCs w:val="22"/>
      <w:lang w:eastAsia="zh-CN"/>
    </w:rPr>
  </w:style>
  <w:style w:type="paragraph" w:styleId="1186">
    <w:name w:val="正文_14_0_0"/>
    <w:next w:val="1186"/>
    <w:link w:val="799"/>
    <w:qFormat/>
    <w:pPr>
      <w:jc w:val="both"/>
      <w:widowControl w:val="off"/>
    </w:pPr>
    <w:rPr>
      <w:sz w:val="21"/>
      <w:szCs w:val="24"/>
      <w:lang w:eastAsia="zh-CN"/>
    </w:rPr>
  </w:style>
  <w:style w:type="paragraph" w:styleId="1187">
    <w:name w:val="Normal Indent_0"/>
    <w:basedOn w:val="983"/>
    <w:next w:val="1187"/>
    <w:link w:val="799"/>
    <w:qFormat/>
    <w:pPr>
      <w:ind w:firstLine="420"/>
    </w:pPr>
    <w:rPr>
      <w:rFonts w:ascii="宋体" w:eastAsia="Times New Roman"/>
      <w:color w:val="000000"/>
      <w:sz w:val="24"/>
      <w:szCs w:val="20"/>
    </w:rPr>
  </w:style>
  <w:style w:type="paragraph" w:styleId="1188">
    <w:name w:val="Heading 3_0"/>
    <w:basedOn w:val="983"/>
    <w:next w:val="983"/>
    <w:link w:val="799"/>
    <w:qFormat/>
    <w:pPr>
      <w:keepLines/>
      <w:keepNext/>
      <w:spacing w:before="260" w:after="260" w:line="413" w:lineRule="auto"/>
      <w:outlineLvl w:val="2"/>
    </w:pPr>
    <w:rPr>
      <w:rFonts w:ascii="Times New Roman" w:hAnsi="Times New Roman" w:eastAsia="Times New Roman"/>
      <w:szCs w:val="20"/>
    </w:rPr>
  </w:style>
  <w:style w:type="paragraph" w:styleId="1189">
    <w:name w:val="正文_15_0"/>
    <w:next w:val="1189"/>
    <w:link w:val="799"/>
    <w:qFormat/>
    <w:pPr>
      <w:jc w:val="both"/>
      <w:widowControl w:val="off"/>
    </w:pPr>
    <w:rPr>
      <w:rFonts w:ascii="Calibri" w:hAnsi="Calibri"/>
      <w:sz w:val="21"/>
      <w:szCs w:val="22"/>
      <w:lang w:eastAsia="zh-CN"/>
    </w:rPr>
  </w:style>
  <w:style w:type="paragraph" w:styleId="1190">
    <w:name w:val="正文21"/>
    <w:basedOn w:val="799"/>
    <w:next w:val="1190"/>
    <w:link w:val="799"/>
    <w:qFormat/>
    <w:pPr>
      <w:ind w:firstLine="510"/>
      <w:spacing w:before="156" w:line="360" w:lineRule="auto"/>
    </w:pPr>
    <w:rPr>
      <w:sz w:val="24"/>
      <w:szCs w:val="20"/>
    </w:rPr>
  </w:style>
  <w:style w:type="paragraph" w:styleId="1191">
    <w:name w:val="Default"/>
    <w:next w:val="1191"/>
    <w:link w:val="799"/>
    <w:qFormat/>
    <w:pPr>
      <w:widowControl w:val="off"/>
    </w:pPr>
    <w:rPr>
      <w:rFonts w:ascii="宋体" w:cs="宋体"/>
      <w:color w:val="000000"/>
      <w:sz w:val="24"/>
      <w:szCs w:val="24"/>
      <w:lang w:eastAsia="zh-CN"/>
    </w:rPr>
  </w:style>
  <w:style w:type="paragraph" w:styleId="1192">
    <w:name w:val="正文_0_2_0"/>
    <w:next w:val="1192"/>
    <w:link w:val="799"/>
    <w:qFormat/>
    <w:pPr>
      <w:jc w:val="both"/>
      <w:widowControl w:val="off"/>
    </w:pPr>
    <w:rPr>
      <w:szCs w:val="24"/>
      <w:lang w:eastAsia="zh-CN"/>
    </w:rPr>
  </w:style>
  <w:style w:type="paragraph" w:styleId="1193">
    <w:name w:val="Normal_19_1_0"/>
    <w:next w:val="1194"/>
    <w:link w:val="799"/>
    <w:qFormat/>
    <w:pPr>
      <w:jc w:val="both"/>
      <w:widowControl w:val="off"/>
    </w:pPr>
    <w:rPr>
      <w:rFonts w:ascii="Calibri" w:hAnsi="Calibri"/>
      <w:szCs w:val="24"/>
      <w:lang w:eastAsia="zh-CN"/>
    </w:rPr>
  </w:style>
  <w:style w:type="paragraph" w:styleId="1194">
    <w:name w:val="正文_16_0"/>
    <w:basedOn w:val="1155"/>
    <w:next w:val="1194"/>
    <w:link w:val="799"/>
    <w:qFormat/>
    <w:rPr>
      <w:rFonts w:ascii="Times New Roman" w:hAnsi="Times New Roman"/>
    </w:rPr>
  </w:style>
  <w:style w:type="paragraph" w:styleId="1195">
    <w:name w:val="Normal_19_0"/>
    <w:basedOn w:val="1135"/>
    <w:next w:val="1195"/>
    <w:link w:val="799"/>
    <w:qFormat/>
    <w:rPr>
      <w:szCs w:val="24"/>
    </w:rPr>
  </w:style>
  <w:style w:type="paragraph" w:styleId="1196">
    <w:name w:val="Body Text First Indent_1_0"/>
    <w:basedOn w:val="1195"/>
    <w:next w:val="1196"/>
    <w:link w:val="799"/>
    <w:qFormat/>
    <w:pPr>
      <w:ind w:firstLine="100"/>
      <w:spacing w:after="120"/>
    </w:pPr>
  </w:style>
  <w:style w:type="paragraph" w:styleId="1197">
    <w:name w:val="Body Text_0"/>
    <w:basedOn w:val="1195"/>
    <w:next w:val="1197"/>
    <w:link w:val="799"/>
    <w:qFormat/>
    <w:pPr>
      <w:spacing w:line="60" w:lineRule="auto"/>
    </w:pPr>
    <w:rPr>
      <w:rFonts w:ascii="仿宋_GB2312" w:eastAsia="仿宋_GB2312"/>
      <w:sz w:val="32"/>
    </w:rPr>
  </w:style>
  <w:style w:type="paragraph" w:styleId="1198">
    <w:name w:val="Normal_19_1"/>
    <w:next w:val="983"/>
    <w:link w:val="799"/>
    <w:qFormat/>
    <w:pPr>
      <w:jc w:val="both"/>
      <w:widowControl w:val="off"/>
    </w:pPr>
    <w:rPr>
      <w:rFonts w:ascii="Calibri" w:hAnsi="Calibri"/>
      <w:szCs w:val="24"/>
      <w:lang w:eastAsia="zh-CN"/>
    </w:rPr>
  </w:style>
  <w:style w:type="paragraph" w:styleId="1199">
    <w:name w:val="正文_6_0_0"/>
    <w:next w:val="1199"/>
    <w:link w:val="799"/>
    <w:qFormat/>
    <w:pPr>
      <w:jc w:val="both"/>
      <w:widowControl w:val="off"/>
    </w:pPr>
    <w:rPr>
      <w:rFonts w:ascii="Calibri" w:hAnsi="Calibri"/>
      <w:lang w:eastAsia="zh-CN"/>
    </w:rPr>
  </w:style>
  <w:style w:type="paragraph" w:styleId="1200">
    <w:name w:val="正文_7_1"/>
    <w:next w:val="1200"/>
    <w:link w:val="799"/>
    <w:qFormat/>
    <w:pPr>
      <w:jc w:val="both"/>
      <w:widowControl w:val="off"/>
    </w:pPr>
    <w:rPr>
      <w:rFonts w:ascii="Calibri" w:hAnsi="Calibri"/>
      <w:lang w:eastAsia="zh-CN"/>
    </w:rPr>
  </w:style>
  <w:style w:type="paragraph" w:styleId="1201">
    <w:name w:val="正文1_1"/>
    <w:basedOn w:val="1149"/>
    <w:next w:val="1201"/>
    <w:link w:val="799"/>
    <w:qFormat/>
    <w:pPr>
      <w:jc w:val="both"/>
      <w:widowControl w:val="off"/>
    </w:pPr>
    <w:rPr>
      <w:sz w:val="20"/>
      <w:szCs w:val="20"/>
    </w:rPr>
  </w:style>
  <w:style w:type="paragraph" w:styleId="1202">
    <w:name w:val="Normal_8_0_0"/>
    <w:next w:val="1202"/>
    <w:link w:val="799"/>
    <w:qFormat/>
    <w:rPr>
      <w:rFonts w:eastAsia="Times New Roman"/>
      <w:sz w:val="24"/>
      <w:szCs w:val="24"/>
      <w:lang w:eastAsia="zh-CN"/>
    </w:rPr>
  </w:style>
  <w:style w:type="paragraph" w:styleId="1203">
    <w:name w:val="Normal_8_0_0_0"/>
    <w:next w:val="1203"/>
    <w:link w:val="799"/>
    <w:qFormat/>
    <w:pPr>
      <w:jc w:val="both"/>
      <w:widowControl w:val="off"/>
    </w:pPr>
    <w:rPr>
      <w:rFonts w:ascii="Calibri" w:hAnsi="Calibri"/>
      <w:lang w:eastAsia="zh-CN"/>
    </w:rPr>
  </w:style>
  <w:style w:type="paragraph" w:styleId="1204">
    <w:name w:val="Normal_16_1"/>
    <w:next w:val="1204"/>
    <w:link w:val="799"/>
    <w:qFormat/>
    <w:rPr>
      <w:rFonts w:ascii="黑体" w:hAnsi="黑体" w:eastAsia="黑体"/>
      <w:b/>
      <w:sz w:val="32"/>
      <w:szCs w:val="24"/>
      <w:lang w:eastAsia="zh-CN"/>
    </w:rPr>
  </w:style>
  <w:style w:type="paragraph" w:styleId="1205">
    <w:name w:val="Normal_19_0_1"/>
    <w:next w:val="1205"/>
    <w:link w:val="799"/>
    <w:qFormat/>
    <w:rPr>
      <w:rFonts w:ascii="Tahoma" w:hAnsi="Tahoma" w:eastAsia="微软雅黑"/>
      <w:lang w:eastAsia="zh-CN"/>
    </w:rPr>
  </w:style>
  <w:style w:type="paragraph" w:styleId="1206">
    <w:name w:val="Normal_16_0_0"/>
    <w:next w:val="1206"/>
    <w:link w:val="799"/>
    <w:qFormat/>
    <w:pPr>
      <w:jc w:val="both"/>
      <w:widowControl w:val="off"/>
    </w:pPr>
    <w:rPr>
      <w:rFonts w:ascii="Calibri" w:hAnsi="Calibri"/>
      <w:lang w:eastAsia="zh-CN"/>
    </w:rPr>
  </w:style>
  <w:style w:type="paragraph" w:styleId="1207">
    <w:name w:val="Normal_22_0"/>
    <w:next w:val="1207"/>
    <w:link w:val="799"/>
    <w:qFormat/>
    <w:pPr>
      <w:jc w:val="both"/>
      <w:widowControl w:val="off"/>
    </w:pPr>
    <w:rPr>
      <w:rFonts w:ascii="Calibri" w:hAnsi="Calibri"/>
      <w:szCs w:val="24"/>
      <w:lang w:eastAsia="zh-CN"/>
    </w:rPr>
  </w:style>
  <w:style w:type="paragraph" w:styleId="1208">
    <w:name w:val="Normal_17_0_0"/>
    <w:next w:val="1208"/>
    <w:link w:val="799"/>
    <w:qFormat/>
    <w:rPr>
      <w:rFonts w:ascii="黑体" w:hAnsi="黑体" w:eastAsia="黑体"/>
      <w:b/>
      <w:sz w:val="32"/>
      <w:szCs w:val="24"/>
      <w:lang w:eastAsia="zh-CN"/>
    </w:rPr>
  </w:style>
  <w:style w:type="paragraph" w:styleId="1209">
    <w:name w:val="Normal_19_0_1_0"/>
    <w:next w:val="1209"/>
    <w:link w:val="799"/>
    <w:qFormat/>
    <w:rPr>
      <w:rFonts w:ascii="Tahoma" w:hAnsi="Tahoma" w:eastAsia="微软雅黑"/>
      <w:lang w:eastAsia="zh-CN"/>
    </w:rPr>
  </w:style>
  <w:style w:type="paragraph" w:styleId="1210">
    <w:name w:val="Normal_19_3"/>
    <w:next w:val="1211"/>
    <w:link w:val="799"/>
    <w:qFormat/>
    <w:pPr>
      <w:jc w:val="both"/>
      <w:widowControl w:val="off"/>
    </w:pPr>
    <w:rPr>
      <w:rFonts w:ascii="Calibri" w:hAnsi="Calibri" w:eastAsia="Times New Roman"/>
      <w:szCs w:val="24"/>
      <w:lang w:eastAsia="zh-CN"/>
    </w:rPr>
  </w:style>
  <w:style w:type="paragraph" w:styleId="1211">
    <w:name w:val="正文_17_0"/>
    <w:next w:val="1211"/>
    <w:link w:val="799"/>
    <w:qFormat/>
    <w:pPr>
      <w:jc w:val="both"/>
      <w:widowControl w:val="off"/>
    </w:pPr>
    <w:rPr>
      <w:rFonts w:ascii="Calibri" w:hAnsi="Calibri"/>
      <w:sz w:val="21"/>
      <w:szCs w:val="22"/>
      <w:lang w:eastAsia="zh-CN"/>
    </w:rPr>
  </w:style>
  <w:style w:type="paragraph" w:styleId="1212">
    <w:name w:val="Normal_22_0_0"/>
    <w:next w:val="1212"/>
    <w:link w:val="799"/>
    <w:qFormat/>
    <w:pPr>
      <w:jc w:val="both"/>
      <w:widowControl w:val="off"/>
    </w:pPr>
    <w:rPr>
      <w:rFonts w:ascii="Calibri" w:hAnsi="Calibri"/>
      <w:szCs w:val="24"/>
      <w:lang w:eastAsia="zh-CN"/>
    </w:rPr>
  </w:style>
  <w:style w:type="character" w:styleId="1213">
    <w:name w:val="custom-tag-placeholder-class"/>
    <w:next w:val="1213"/>
    <w:link w:val="799"/>
    <w:qFormat/>
  </w:style>
  <w:style w:type="paragraph" w:styleId="1214">
    <w:name w:val="Normal_19_0_0"/>
    <w:basedOn w:val="983"/>
    <w:next w:val="1215"/>
    <w:link w:val="799"/>
    <w:qFormat/>
    <w:rPr>
      <w:rFonts w:ascii="Calibri" w:hAnsi="Calibri" w:eastAsia="Times New Roman"/>
      <w:sz w:val="24"/>
    </w:rPr>
  </w:style>
  <w:style w:type="paragraph" w:styleId="1215">
    <w:name w:val="Body Text First Indent_1_0_0"/>
    <w:basedOn w:val="1214"/>
    <w:next w:val="1215"/>
    <w:link w:val="799"/>
    <w:qFormat/>
    <w:pPr>
      <w:ind w:firstLine="100"/>
      <w:spacing w:after="120"/>
    </w:pPr>
  </w:style>
  <w:style w:type="paragraph" w:styleId="1216">
    <w:name w:val="正文首行缩进1"/>
    <w:basedOn w:val="1217"/>
    <w:next w:val="1216"/>
    <w:link w:val="799"/>
    <w:qFormat/>
    <w:pPr>
      <w:ind w:firstLine="100"/>
      <w:spacing w:after="120" w:line="240" w:lineRule="auto"/>
    </w:pPr>
    <w:rPr>
      <w:rFonts w:ascii="Times New Roman" w:hAnsi="Times New Roman" w:eastAsia="宋体"/>
      <w:sz w:val="21"/>
    </w:rPr>
  </w:style>
  <w:style w:type="paragraph" w:styleId="1217">
    <w:name w:val="正文文本1"/>
    <w:basedOn w:val="799"/>
    <w:next w:val="1217"/>
    <w:link w:val="799"/>
    <w:qFormat/>
    <w:pPr>
      <w:spacing w:line="60" w:lineRule="auto"/>
    </w:pPr>
    <w:rPr>
      <w:rFonts w:ascii="仿宋_GB2312" w:eastAsia="仿宋_GB2312"/>
      <w:sz w:val="32"/>
    </w:rPr>
  </w:style>
  <w:style w:type="paragraph" w:styleId="1218">
    <w:name w:val="正文_2_0"/>
    <w:next w:val="1218"/>
    <w:link w:val="799"/>
    <w:qFormat/>
    <w:pPr>
      <w:jc w:val="both"/>
      <w:widowControl w:val="off"/>
    </w:pPr>
    <w:rPr>
      <w:rFonts w:ascii="Calibri" w:hAnsi="Calibri"/>
      <w:sz w:val="21"/>
      <w:szCs w:val="22"/>
      <w:lang w:eastAsia="zh-CN"/>
    </w:rPr>
  </w:style>
  <w:style w:type="paragraph" w:styleId="1219">
    <w:name w:val="List Paragraph_0"/>
    <w:basedOn w:val="1127"/>
    <w:next w:val="1219"/>
    <w:link w:val="799"/>
    <w:qFormat/>
    <w:pPr>
      <w:ind w:firstLine="420"/>
    </w:pPr>
  </w:style>
  <w:style w:type="paragraph" w:styleId="1220">
    <w:name w:val="纯文本_1"/>
    <w:basedOn w:val="1218"/>
    <w:next w:val="1220"/>
    <w:link w:val="799"/>
    <w:qFormat/>
    <w:rPr>
      <w:rFonts w:ascii="宋体" w:hAnsi="Times New Roman"/>
      <w:sz w:val="20"/>
      <w:szCs w:val="21"/>
    </w:rPr>
  </w:style>
  <w:style w:type="paragraph" w:styleId="1221">
    <w:name w:val="正文_16_0_0"/>
    <w:next w:val="989"/>
    <w:link w:val="799"/>
    <w:qFormat/>
    <w:pPr>
      <w:jc w:val="both"/>
      <w:widowControl w:val="off"/>
    </w:pPr>
    <w:rPr>
      <w:rFonts w:ascii="Calibri" w:hAnsi="Calibri"/>
      <w:sz w:val="21"/>
      <w:szCs w:val="22"/>
      <w:lang w:eastAsia="zh-CN"/>
    </w:rPr>
  </w:style>
  <w:style w:type="paragraph" w:styleId="1222">
    <w:name w:val="正文_11_0"/>
    <w:basedOn w:val="989"/>
    <w:next w:val="1222"/>
    <w:link w:val="799"/>
    <w:qFormat/>
    <w:rPr>
      <w:rFonts w:ascii="Calibri" w:hAnsi="Calibri"/>
      <w:szCs w:val="20"/>
    </w:rPr>
  </w:style>
  <w:style w:type="paragraph" w:styleId="1223">
    <w:name w:val="Normal_19_0_0_0"/>
    <w:basedOn w:val="851"/>
    <w:next w:val="1223"/>
    <w:link w:val="799"/>
    <w:qFormat/>
    <w:rPr>
      <w:rFonts w:cs="黑体"/>
      <w:szCs w:val="24"/>
    </w:rPr>
  </w:style>
  <w:style w:type="paragraph" w:styleId="1224">
    <w:name w:val="无间隔11"/>
    <w:basedOn w:val="1133"/>
    <w:next w:val="1224"/>
    <w:link w:val="799"/>
    <w:qFormat/>
    <w:rPr>
      <w:rFonts w:ascii="Calibri" w:hAnsi="Calibri" w:cs="Calibri"/>
    </w:rPr>
  </w:style>
  <w:style w:type="paragraph" w:styleId="1225">
    <w:name w:val="标题 313"/>
    <w:basedOn w:val="1133"/>
    <w:next w:val="1133"/>
    <w:link w:val="799"/>
    <w:qFormat/>
    <w:pPr>
      <w:keepLines/>
      <w:keepNext/>
      <w:spacing w:before="260" w:after="260" w:line="413" w:lineRule="auto"/>
      <w:outlineLvl w:val="2"/>
    </w:pPr>
    <w:rPr>
      <w:b/>
      <w:sz w:val="32"/>
      <w:szCs w:val="20"/>
    </w:rPr>
  </w:style>
  <w:style w:type="character" w:styleId="1226">
    <w:name w:val="标题 2 Char_0"/>
    <w:next w:val="1226"/>
    <w:link w:val="1227"/>
    <w:qFormat/>
    <w:rPr>
      <w:rFonts w:ascii="Arial" w:hAnsi="Arial" w:eastAsia="黑体"/>
      <w:b/>
      <w:sz w:val="32"/>
      <w:szCs w:val="22"/>
    </w:rPr>
  </w:style>
  <w:style w:type="paragraph" w:styleId="1227">
    <w:name w:val="标题 21"/>
    <w:basedOn w:val="853"/>
    <w:next w:val="853"/>
    <w:link w:val="1226"/>
    <w:unhideWhenUsed/>
    <w:qFormat/>
    <w:pPr>
      <w:keepLines/>
      <w:keepNext/>
      <w:spacing w:before="260" w:after="260" w:line="413" w:lineRule="auto"/>
      <w:outlineLvl w:val="1"/>
    </w:pPr>
    <w:rPr>
      <w:rFonts w:ascii="Arial" w:hAnsi="Arial"/>
      <w:szCs w:val="22"/>
    </w:rPr>
  </w:style>
  <w:style w:type="paragraph" w:styleId="1228">
    <w:name w:val="Normal_19_1_0_0"/>
    <w:next w:val="1229"/>
    <w:link w:val="799"/>
    <w:qFormat/>
    <w:pPr>
      <w:jc w:val="both"/>
      <w:widowControl w:val="off"/>
    </w:pPr>
    <w:rPr>
      <w:rFonts w:ascii="Calibri" w:hAnsi="Calibri"/>
      <w:sz w:val="21"/>
      <w:szCs w:val="24"/>
      <w:lang w:eastAsia="zh-CN"/>
    </w:rPr>
  </w:style>
  <w:style w:type="paragraph" w:styleId="1229">
    <w:name w:val="正文_16_0_1"/>
    <w:next w:val="1229"/>
    <w:link w:val="799"/>
    <w:qFormat/>
    <w:pPr>
      <w:jc w:val="both"/>
      <w:widowControl w:val="off"/>
    </w:pPr>
    <w:rPr>
      <w:sz w:val="21"/>
      <w:szCs w:val="22"/>
      <w:lang w:eastAsia="zh-CN"/>
    </w:rPr>
  </w:style>
  <w:style w:type="paragraph" w:styleId="1230">
    <w:name w:val="正文1_0_0"/>
    <w:basedOn w:val="853"/>
    <w:next w:val="1230"/>
    <w:link w:val="799"/>
    <w:qFormat/>
    <w:pPr>
      <w:ind w:left="357" w:firstLine="420"/>
      <w:spacing w:line="360" w:lineRule="auto"/>
    </w:pPr>
    <w:rPr>
      <w:rFonts w:eastAsia="Times New Roman" w:cs="Arial"/>
    </w:rPr>
  </w:style>
  <w:style w:type="paragraph" w:styleId="1231">
    <w:name w:val="普通正文"/>
    <w:basedOn w:val="799"/>
    <w:next w:val="1231"/>
    <w:link w:val="799"/>
    <w:qFormat/>
    <w:pPr>
      <w:ind w:firstLine="480"/>
      <w:jc w:val="left"/>
      <w:spacing w:before="120" w:after="120" w:line="360" w:lineRule="auto"/>
    </w:pPr>
    <w:rPr>
      <w:rFonts w:ascii="Arial" w:hAnsi="Arial"/>
      <w:sz w:val="24"/>
      <w:szCs w:val="24"/>
    </w:rPr>
  </w:style>
  <w:style w:type="paragraph" w:styleId="1232">
    <w:name w:val="正文空2字"/>
    <w:basedOn w:val="1233"/>
    <w:next w:val="1232"/>
    <w:link w:val="799"/>
    <w:uiPriority w:val="99"/>
    <w:qFormat/>
    <w:pPr>
      <w:ind w:firstLine="640"/>
      <w:spacing w:line="560" w:lineRule="exact"/>
      <w:widowControl w:val="off"/>
    </w:pPr>
    <w:rPr>
      <w:rFonts w:ascii="仿宋_GB2312" w:hAnsi="仿宋_GB2312" w:cs="仿宋_GB2312"/>
      <w:lang w:val="zh-TW"/>
    </w:rPr>
  </w:style>
  <w:style w:type="paragraph" w:styleId="1233">
    <w:name w:val="左对齐正文"/>
    <w:next w:val="1233"/>
    <w:link w:val="799"/>
    <w:uiPriority w:val="99"/>
    <w:qFormat/>
    <w:rPr>
      <w:rFonts w:ascii="Calibri" w:hAnsi="Calibri" w:eastAsia="仿宋_GB2312" w:cs="Calibri"/>
      <w:sz w:val="32"/>
      <w:szCs w:val="32"/>
      <w:lang w:eastAsia="zh-CN"/>
    </w:rPr>
  </w:style>
  <w:style w:type="paragraph" w:styleId="1234">
    <w:name w:val="普通(网站)1"/>
    <w:basedOn w:val="799"/>
    <w:next w:val="1234"/>
    <w:link w:val="799"/>
    <w:qFormat/>
    <w:rPr>
      <w:sz w:val="24"/>
    </w:rPr>
  </w:style>
  <w:style w:type="paragraph" w:styleId="1235">
    <w:name w:val="正文文本_0"/>
    <w:basedOn w:val="1127"/>
    <w:next w:val="1236"/>
    <w:link w:val="799"/>
    <w:qFormat/>
    <w:pPr>
      <w:spacing w:line="60" w:lineRule="auto"/>
    </w:pPr>
    <w:rPr>
      <w:rFonts w:ascii="仿宋_GB2312" w:eastAsia="仿宋_GB2312"/>
      <w:sz w:val="32"/>
    </w:rPr>
  </w:style>
  <w:style w:type="paragraph" w:styleId="1236">
    <w:name w:val="正文缩进_1"/>
    <w:basedOn w:val="1127"/>
    <w:next w:val="1127"/>
    <w:link w:val="799"/>
    <w:qFormat/>
    <w:pPr>
      <w:ind w:firstLine="420"/>
    </w:pPr>
    <w:rPr>
      <w:rFonts w:ascii="宋体"/>
      <w:color w:val="000000"/>
      <w:sz w:val="24"/>
      <w:szCs w:val="20"/>
    </w:rPr>
  </w:style>
  <w:style w:type="paragraph" w:styleId="1237">
    <w:name w:val="Table Paragraph"/>
    <w:basedOn w:val="983"/>
    <w:next w:val="1237"/>
    <w:link w:val="799"/>
    <w:uiPriority w:val="1"/>
    <w:qFormat/>
    <w:rPr>
      <w:rFonts w:ascii="宋体" w:hAnsi="宋体" w:cs="宋体"/>
      <w:sz w:val="22"/>
      <w:lang w:val="zh-CN" w:bidi="zh-CN"/>
    </w:rPr>
  </w:style>
  <w:style w:type="paragraph" w:styleId="1238">
    <w:name w:val="Normal_19_2"/>
    <w:basedOn w:val="1239"/>
    <w:next w:val="1238"/>
    <w:link w:val="799"/>
    <w:qFormat/>
    <w:rPr>
      <w:rFonts w:ascii="Times New Roman" w:hAnsi="Times New Roman"/>
      <w:szCs w:val="21"/>
    </w:rPr>
  </w:style>
  <w:style w:type="paragraph" w:styleId="1239">
    <w:name w:val="正文_3_0"/>
    <w:next w:val="1239"/>
    <w:link w:val="799"/>
    <w:qFormat/>
    <w:pPr>
      <w:jc w:val="both"/>
      <w:widowControl w:val="off"/>
    </w:pPr>
    <w:rPr>
      <w:rFonts w:ascii="Calibri" w:hAnsi="Calibri"/>
      <w:sz w:val="21"/>
      <w:szCs w:val="22"/>
      <w:lang w:eastAsia="zh-CN"/>
    </w:rPr>
  </w:style>
  <w:style w:type="paragraph" w:styleId="1240">
    <w:name w:val="正文文本2"/>
    <w:basedOn w:val="987"/>
    <w:next w:val="1240"/>
    <w:link w:val="799"/>
    <w:qFormat/>
    <w:pPr>
      <w:spacing w:line="60" w:lineRule="auto"/>
    </w:pPr>
    <w:rPr>
      <w:rFonts w:ascii="仿宋_GB2312" w:eastAsia="仿宋_GB2312"/>
      <w:sz w:val="32"/>
      <w:szCs w:val="22"/>
    </w:rPr>
  </w:style>
  <w:style w:type="paragraph" w:styleId="1241">
    <w:name w:val="正文1_0"/>
    <w:basedOn w:val="1218"/>
    <w:next w:val="1241"/>
    <w:link w:val="799"/>
    <w:qFormat/>
    <w:pPr>
      <w:ind w:left="357" w:firstLine="420"/>
      <w:jc w:val="left"/>
      <w:spacing w:line="360" w:lineRule="auto"/>
      <w:widowControl/>
    </w:pPr>
    <w:rPr>
      <w:rFonts w:cs="Arial"/>
      <w:szCs w:val="20"/>
    </w:rPr>
  </w:style>
  <w:style w:type="paragraph" w:styleId="1242">
    <w:name w:val="Normal_19_2_0"/>
    <w:basedOn w:val="1243"/>
    <w:next w:val="1242"/>
    <w:link w:val="799"/>
    <w:qFormat/>
    <w:rPr>
      <w:rFonts w:ascii="Times New Roman" w:hAnsi="Times New Roman"/>
      <w:szCs w:val="21"/>
    </w:rPr>
  </w:style>
  <w:style w:type="paragraph" w:styleId="1243">
    <w:name w:val="正文_3_1"/>
    <w:next w:val="1243"/>
    <w:link w:val="799"/>
    <w:qFormat/>
    <w:pPr>
      <w:jc w:val="both"/>
      <w:widowControl w:val="off"/>
    </w:pPr>
    <w:rPr>
      <w:rFonts w:ascii="Calibri" w:hAnsi="Calibri"/>
      <w:sz w:val="21"/>
      <w:szCs w:val="22"/>
      <w:lang w:eastAsia="zh-CN"/>
    </w:rPr>
  </w:style>
  <w:style w:type="paragraph" w:styleId="1244">
    <w:name w:val="纯文本1"/>
    <w:basedOn w:val="988"/>
    <w:next w:val="1244"/>
    <w:link w:val="799"/>
    <w:qFormat/>
    <w:rPr>
      <w:rFonts w:ascii="宋体" w:hAnsi="Courier New"/>
    </w:rPr>
  </w:style>
  <w:style w:type="paragraph" w:styleId="1245">
    <w:name w:val="Normal_21_0"/>
    <w:next w:val="1246"/>
    <w:link w:val="799"/>
    <w:qFormat/>
    <w:pPr>
      <w:jc w:val="both"/>
      <w:widowControl w:val="off"/>
    </w:pPr>
    <w:rPr>
      <w:sz w:val="21"/>
      <w:szCs w:val="24"/>
      <w:lang w:eastAsia="zh-CN"/>
    </w:rPr>
  </w:style>
  <w:style w:type="paragraph" w:styleId="1246">
    <w:name w:val="Heading 1_0"/>
    <w:basedOn w:val="1245"/>
    <w:next w:val="1245"/>
    <w:link w:val="799"/>
    <w:qFormat/>
    <w:pPr>
      <w:jc w:val="center"/>
      <w:keepLines/>
      <w:keepNext/>
      <w:spacing w:before="240" w:after="120" w:line="300" w:lineRule="auto"/>
      <w:outlineLvl w:val="0"/>
    </w:pPr>
    <w:rPr>
      <w:rFonts w:ascii="宋体"/>
      <w:b/>
      <w:sz w:val="32"/>
      <w:szCs w:val="20"/>
    </w:rPr>
  </w:style>
  <w:style w:type="paragraph" w:styleId="1247">
    <w:name w:val="正文_12_0_0_0_0"/>
    <w:next w:val="1247"/>
    <w:link w:val="799"/>
    <w:qFormat/>
    <w:pPr>
      <w:jc w:val="both"/>
      <w:widowControl w:val="off"/>
    </w:pPr>
    <w:rPr>
      <w:sz w:val="21"/>
      <w:szCs w:val="24"/>
      <w:lang w:eastAsia="zh-CN"/>
    </w:rPr>
  </w:style>
  <w:style w:type="character" w:styleId="1248">
    <w:name w:val="正文文本 字符"/>
    <w:next w:val="1248"/>
    <w:link w:val="799"/>
    <w:qFormat/>
    <w:rPr>
      <w:rFonts w:ascii="楷体_GB2312" w:hAnsi="Arial" w:eastAsia="楷体_GB2312" w:cs="Times New Roman"/>
      <w:sz w:val="28"/>
      <w:szCs w:val="28"/>
    </w:rPr>
  </w:style>
  <w:style w:type="character" w:styleId="1249">
    <w:name w:val="正文文本缩进 字符"/>
    <w:next w:val="1249"/>
    <w:link w:val="799"/>
    <w:qFormat/>
    <w:rPr>
      <w:rFonts w:ascii="楷体_GB2312" w:hAnsi="Times New Roman" w:eastAsia="楷体_GB2312" w:cs="Times New Roman"/>
      <w:sz w:val="32"/>
      <w:szCs w:val="32"/>
    </w:rPr>
  </w:style>
  <w:style w:type="character" w:styleId="1250">
    <w:name w:val="正文文本 字符1"/>
    <w:next w:val="1250"/>
    <w:link w:val="799"/>
    <w:qFormat/>
    <w:rPr>
      <w:rFonts w:ascii="Calibri" w:hAnsi="Calibri"/>
      <w:sz w:val="28"/>
      <w:szCs w:val="24"/>
    </w:rPr>
  </w:style>
  <w:style w:type="character" w:styleId="1251">
    <w:name w:val="正文文本首行缩进 字符"/>
    <w:next w:val="1251"/>
    <w:link w:val="799"/>
    <w:qFormat/>
    <w:rPr>
      <w:rFonts w:ascii="仿宋_GB2312" w:hAnsi="Calibri" w:eastAsia="仿宋_GB2312"/>
      <w:sz w:val="30"/>
      <w:szCs w:val="30"/>
    </w:rPr>
  </w:style>
  <w:style w:type="paragraph" w:styleId="1252">
    <w:name w:val="索引 41"/>
    <w:basedOn w:val="799"/>
    <w:next w:val="799"/>
    <w:link w:val="799"/>
    <w:semiHidden/>
    <w:qFormat/>
    <w:pPr>
      <w:ind w:left="1260"/>
    </w:pPr>
    <w:rPr>
      <w:rFonts w:eastAsia="Calibri" w:cs="宋体"/>
      <w:sz w:val="20"/>
      <w:szCs w:val="21"/>
      <w:lang w:val="zh-CN"/>
    </w:rPr>
  </w:style>
  <w:style w:type="character" w:styleId="1253">
    <w:name w:val="font5 Char"/>
    <w:next w:val="1253"/>
    <w:link w:val="799"/>
    <w:qFormat/>
    <w:rPr>
      <w:rFonts w:ascii="宋体" w:hAnsi="宋体" w:eastAsia="宋体"/>
      <w:sz w:val="28"/>
      <w:szCs w:val="28"/>
      <w:lang w:val="en-US" w:eastAsia="zh-CN" w:bidi="ar-SA"/>
    </w:rPr>
  </w:style>
  <w:style w:type="character" w:styleId="1254">
    <w:name w:val="二级目录 Char"/>
    <w:next w:val="1254"/>
    <w:link w:val="1255"/>
    <w:qFormat/>
    <w:rPr>
      <w:b/>
      <w:sz w:val="30"/>
      <w:szCs w:val="28"/>
    </w:rPr>
  </w:style>
  <w:style w:type="paragraph" w:styleId="1255">
    <w:name w:val="二级目录"/>
    <w:next w:val="799"/>
    <w:link w:val="1254"/>
    <w:qFormat/>
    <w:pPr>
      <w:numPr>
        <w:ilvl w:val="0"/>
        <w:numId w:val="1"/>
      </w:numPr>
      <w:tabs>
        <w:tab w:val="left" w:pos="907" w:leader="none"/>
        <w:tab w:val="left" w:pos="1145" w:leader="none"/>
      </w:tabs>
      <w:outlineLvl w:val="1"/>
    </w:pPr>
    <w:rPr>
      <w:b/>
      <w:sz w:val="30"/>
      <w:szCs w:val="28"/>
      <w:lang w:eastAsia="zh-CN"/>
    </w:rPr>
  </w:style>
  <w:style w:type="character" w:styleId="1256">
    <w:name w:val="列出段落 Char"/>
    <w:next w:val="1256"/>
    <w:link w:val="1257"/>
    <w:qFormat/>
    <w:rPr>
      <w:rFonts w:ascii="Calibri" w:hAnsi="Calibri"/>
      <w:sz w:val="24"/>
      <w:szCs w:val="24"/>
      <w:lang w:eastAsia="en-US" w:bidi="en-US"/>
    </w:rPr>
  </w:style>
  <w:style w:type="paragraph" w:styleId="1257">
    <w:name w:val="列出段落1"/>
    <w:basedOn w:val="799"/>
    <w:next w:val="1257"/>
    <w:link w:val="1256"/>
    <w:qFormat/>
    <w:pPr>
      <w:contextualSpacing/>
      <w:ind w:left="720"/>
      <w:jc w:val="left"/>
      <w:widowControl/>
    </w:pPr>
    <w:rPr>
      <w:sz w:val="24"/>
      <w:szCs w:val="24"/>
      <w:lang w:eastAsia="en-US" w:bidi="en-US"/>
    </w:rPr>
  </w:style>
  <w:style w:type="paragraph" w:styleId="1258">
    <w:name w:val="Body Text(ch)"/>
    <w:basedOn w:val="799"/>
    <w:next w:val="1258"/>
    <w:link w:val="799"/>
    <w:qFormat/>
    <w:pPr>
      <w:spacing w:after="120"/>
    </w:pPr>
    <w:rPr>
      <w:rFonts w:ascii="宋体" w:hAnsi="Arial"/>
      <w:bCs/>
      <w:iCs/>
      <w:szCs w:val="24"/>
    </w:rPr>
  </w:style>
  <w:style w:type="paragraph" w:styleId="1259">
    <w:name w:val="xl27"/>
    <w:basedOn w:val="799"/>
    <w:next w:val="1259"/>
    <w:link w:val="7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60">
    <w:name w:val="xl26"/>
    <w:basedOn w:val="799"/>
    <w:next w:val="1260"/>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61">
    <w:name w:val="Char"/>
    <w:basedOn w:val="799"/>
    <w:next w:val="1261"/>
    <w:link w:val="799"/>
    <w:qFormat/>
    <w:pPr>
      <w:ind w:firstLine="200"/>
      <w:tabs>
        <w:tab w:val="left" w:pos="360" w:leader="none"/>
      </w:tabs>
    </w:pPr>
    <w:rPr>
      <w:rFonts w:ascii="Times New Roman" w:hAnsi="Times New Roman"/>
      <w:sz w:val="28"/>
      <w:szCs w:val="30"/>
    </w:rPr>
  </w:style>
  <w:style w:type="paragraph" w:styleId="1262">
    <w:name w:val="Char1"/>
    <w:basedOn w:val="918"/>
    <w:next w:val="1262"/>
    <w:link w:val="799"/>
    <w:qFormat/>
    <w:rPr>
      <w:rFonts w:ascii="Tahoma" w:hAnsi="Tahoma"/>
      <w:sz w:val="24"/>
      <w:szCs w:val="24"/>
    </w:rPr>
  </w:style>
  <w:style w:type="paragraph" w:styleId="1263">
    <w:name w:val="table_lines"/>
    <w:basedOn w:val="799"/>
    <w:next w:val="1263"/>
    <w:link w:val="799"/>
    <w:qFormat/>
    <w:pPr>
      <w:jc w:val="left"/>
      <w:widowControl/>
    </w:pPr>
    <w:rPr>
      <w:rFonts w:ascii="Times New Roman" w:hAnsi="Times New Roman"/>
      <w:sz w:val="20"/>
      <w:szCs w:val="20"/>
      <w:lang w:val="de-DE" w:eastAsia="de-DE"/>
    </w:rPr>
  </w:style>
  <w:style w:type="paragraph" w:styleId="1264">
    <w:name w:val="附录1"/>
    <w:next w:val="1264"/>
    <w:link w:val="799"/>
    <w:qFormat/>
    <w:pPr>
      <w:spacing w:before="240" w:line="600" w:lineRule="atLeast"/>
      <w:tabs>
        <w:tab w:val="left" w:pos="907" w:leader="none"/>
      </w:tabs>
    </w:pPr>
    <w:rPr>
      <w:b/>
      <w:i/>
      <w:sz w:val="28"/>
      <w:lang w:eastAsia="zh-CN"/>
    </w:rPr>
  </w:style>
  <w:style w:type="paragraph" w:styleId="1265">
    <w:name w:val="font7"/>
    <w:basedOn w:val="799"/>
    <w:next w:val="1265"/>
    <w:link w:val="799"/>
    <w:qFormat/>
    <w:pPr>
      <w:jc w:val="left"/>
      <w:spacing w:before="100" w:beforeAutospacing="1" w:after="100" w:afterAutospacing="1"/>
      <w:widowControl/>
    </w:pPr>
    <w:rPr>
      <w:rFonts w:hint="eastAsia" w:ascii="宋体" w:hAnsi="宋体"/>
      <w:sz w:val="18"/>
      <w:szCs w:val="18"/>
    </w:rPr>
  </w:style>
  <w:style w:type="paragraph" w:styleId="1266">
    <w:name w:val="Char Char Char Char"/>
    <w:basedOn w:val="918"/>
    <w:next w:val="1266"/>
    <w:link w:val="799"/>
    <w:qFormat/>
    <w:pPr>
      <w:spacing w:line="360" w:lineRule="auto"/>
    </w:pPr>
    <w:rPr>
      <w:rFonts w:ascii="Tahoma" w:hAnsi="Tahoma"/>
      <w:sz w:val="24"/>
      <w:szCs w:val="24"/>
    </w:rPr>
  </w:style>
  <w:style w:type="paragraph" w:styleId="1267">
    <w:name w:val="4"/>
    <w:basedOn w:val="799"/>
    <w:next w:val="953"/>
    <w:link w:val="799"/>
    <w:qFormat/>
    <w:pPr>
      <w:ind w:firstLine="420"/>
      <w:spacing w:line="360" w:lineRule="auto"/>
    </w:pPr>
    <w:rPr>
      <w:rFonts w:ascii="Times New Roman" w:hAnsi="Times New Roman"/>
      <w:color w:val="ff0000"/>
      <w:sz w:val="24"/>
      <w:szCs w:val="24"/>
    </w:rPr>
  </w:style>
  <w:style w:type="paragraph" w:styleId="1268">
    <w:name w:val="普通 (Web)"/>
    <w:basedOn w:val="799"/>
    <w:next w:val="1268"/>
    <w:link w:val="799"/>
    <w:qFormat/>
    <w:pPr>
      <w:jc w:val="left"/>
      <w:spacing w:before="100" w:beforeAutospacing="1" w:after="100" w:afterAutospacing="1"/>
      <w:widowControl/>
    </w:pPr>
    <w:rPr>
      <w:rFonts w:ascii="宋体" w:hAnsi="宋体"/>
      <w:sz w:val="24"/>
      <w:szCs w:val="24"/>
    </w:rPr>
  </w:style>
  <w:style w:type="paragraph" w:styleId="1269">
    <w:name w:val="Char Char Char Char Char Char Char Char Char Char"/>
    <w:basedOn w:val="799"/>
    <w:next w:val="1269"/>
    <w:link w:val="799"/>
    <w:qFormat/>
    <w:pPr>
      <w:spacing w:line="360" w:lineRule="auto"/>
    </w:pPr>
    <w:rPr>
      <w:rFonts w:ascii="Times New Roman" w:hAnsi="Times New Roman"/>
      <w:sz w:val="24"/>
      <w:szCs w:val="20"/>
    </w:rPr>
  </w:style>
  <w:style w:type="paragraph" w:styleId="1270">
    <w:name w:val="样式1"/>
    <w:basedOn w:val="799"/>
    <w:next w:val="1270"/>
    <w:link w:val="799"/>
    <w:qFormat/>
    <w:pPr>
      <w:numPr>
        <w:ilvl w:val="0"/>
        <w:numId w:val="2"/>
      </w:numPr>
      <w:tabs>
        <w:tab w:val="left" w:pos="709" w:leader="none"/>
      </w:tabs>
    </w:pPr>
    <w:rPr>
      <w:rFonts w:ascii="宋体" w:hAnsi="宋体"/>
      <w:szCs w:val="21"/>
    </w:rPr>
  </w:style>
  <w:style w:type="paragraph" w:styleId="1271">
    <w:name w:val="font6"/>
    <w:basedOn w:val="799"/>
    <w:next w:val="1271"/>
    <w:link w:val="799"/>
    <w:qFormat/>
    <w:pPr>
      <w:jc w:val="left"/>
      <w:spacing w:before="100" w:beforeAutospacing="1" w:after="100" w:afterAutospacing="1"/>
      <w:widowControl/>
    </w:pPr>
    <w:rPr>
      <w:rFonts w:hint="eastAsia" w:ascii="宋体" w:hAnsi="宋体"/>
      <w:sz w:val="28"/>
      <w:szCs w:val="28"/>
      <w:u w:val="single"/>
    </w:rPr>
  </w:style>
  <w:style w:type="paragraph" w:styleId="1272">
    <w:name w:val="xl25"/>
    <w:basedOn w:val="799"/>
    <w:next w:val="1272"/>
    <w:link w:val="7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73">
    <w:name w:val="图标"/>
    <w:basedOn w:val="799"/>
    <w:next w:val="799"/>
    <w:link w:val="799"/>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74">
    <w:name w:val="标题3"/>
    <w:basedOn w:val="799"/>
    <w:next w:val="799"/>
    <w:link w:val="799"/>
    <w:qFormat/>
    <w:pPr>
      <w:ind w:firstLine="624"/>
      <w:spacing w:line="590" w:lineRule="atLeast"/>
    </w:pPr>
    <w:rPr>
      <w:rFonts w:ascii="方正黑体_GBK" w:hAnsi="Times New Roman" w:eastAsia="方正黑体_GBK"/>
      <w:sz w:val="32"/>
      <w:szCs w:val="32"/>
    </w:rPr>
  </w:style>
  <w:style w:type="paragraph" w:styleId="1275">
    <w:name w:val="xl24"/>
    <w:basedOn w:val="799"/>
    <w:next w:val="1275"/>
    <w:link w:val="7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76">
    <w:name w:val="xl29"/>
    <w:basedOn w:val="799"/>
    <w:next w:val="1276"/>
    <w:link w:val="7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77">
    <w:name w:val="Char Char Char Char Char Char Char Char"/>
    <w:basedOn w:val="799"/>
    <w:next w:val="1277"/>
    <w:link w:val="799"/>
    <w:qFormat/>
    <w:pPr>
      <w:jc w:val="left"/>
      <w:spacing w:after="160" w:line="240" w:lineRule="exact"/>
      <w:widowControl/>
    </w:pPr>
    <w:rPr>
      <w:rFonts w:ascii="Verdana" w:hAnsi="Verdana"/>
      <w:sz w:val="20"/>
      <w:szCs w:val="20"/>
      <w:lang w:eastAsia="en-US"/>
    </w:rPr>
  </w:style>
  <w:style w:type="paragraph" w:styleId="1278">
    <w:name w:val="xl28"/>
    <w:basedOn w:val="799"/>
    <w:next w:val="1278"/>
    <w:link w:val="7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79">
    <w:name w:val="Char Char Char Char Char Char Char Char1"/>
    <w:basedOn w:val="799"/>
    <w:next w:val="1279"/>
    <w:link w:val="799"/>
    <w:qFormat/>
    <w:pPr>
      <w:jc w:val="left"/>
      <w:spacing w:after="160" w:line="240" w:lineRule="exact"/>
      <w:widowControl/>
    </w:pPr>
    <w:rPr>
      <w:rFonts w:ascii="Verdana" w:hAnsi="Verdana"/>
      <w:sz w:val="20"/>
      <w:szCs w:val="20"/>
      <w:lang w:eastAsia="en-US"/>
    </w:rPr>
  </w:style>
  <w:style w:type="paragraph" w:styleId="1280">
    <w:name w:val="xl30"/>
    <w:basedOn w:val="799"/>
    <w:next w:val="1280"/>
    <w:link w:val="799"/>
    <w:qFormat/>
    <w:pPr>
      <w:jc w:val="center"/>
      <w:spacing w:before="100" w:beforeAutospacing="1" w:after="100" w:afterAutospacing="1"/>
      <w:widowControl/>
    </w:pPr>
    <w:rPr>
      <w:rFonts w:ascii="宋体" w:hAnsi="宋体"/>
      <w:b/>
      <w:bCs/>
      <w:sz w:val="36"/>
      <w:szCs w:val="36"/>
    </w:rPr>
  </w:style>
  <w:style w:type="paragraph" w:styleId="1281">
    <w:name w:val="Char Char Char Char1"/>
    <w:basedOn w:val="918"/>
    <w:next w:val="1281"/>
    <w:link w:val="799"/>
    <w:qFormat/>
    <w:pPr>
      <w:spacing w:line="360" w:lineRule="auto"/>
    </w:pPr>
    <w:rPr>
      <w:rFonts w:ascii="Tahoma" w:hAnsi="Tahoma"/>
      <w:sz w:val="24"/>
      <w:szCs w:val="24"/>
    </w:rPr>
  </w:style>
  <w:style w:type="paragraph" w:styleId="1282">
    <w:name w:val="table_1stline"/>
    <w:basedOn w:val="799"/>
    <w:next w:val="1282"/>
    <w:link w:val="799"/>
    <w:qFormat/>
    <w:pPr>
      <w:jc w:val="left"/>
      <w:spacing w:before="120"/>
      <w:widowControl/>
    </w:pPr>
    <w:rPr>
      <w:rFonts w:ascii="Times New Roman" w:hAnsi="Times New Roman"/>
      <w:bCs/>
      <w:sz w:val="20"/>
      <w:szCs w:val="20"/>
      <w:lang w:val="de-DE" w:eastAsia="de-DE"/>
    </w:rPr>
  </w:style>
  <w:style w:type="paragraph" w:styleId="1283">
    <w:name w:val="font5"/>
    <w:basedOn w:val="799"/>
    <w:next w:val="1283"/>
    <w:link w:val="799"/>
    <w:qFormat/>
    <w:pPr>
      <w:jc w:val="left"/>
      <w:spacing w:before="100" w:beforeAutospacing="1" w:after="100" w:afterAutospacing="1"/>
      <w:widowControl/>
    </w:pPr>
    <w:rPr>
      <w:rFonts w:hint="eastAsia" w:ascii="宋体" w:hAnsi="宋体"/>
      <w:sz w:val="28"/>
      <w:szCs w:val="28"/>
    </w:rPr>
  </w:style>
  <w:style w:type="paragraph" w:styleId="1284">
    <w:name w:val="标题1"/>
    <w:basedOn w:val="799"/>
    <w:next w:val="799"/>
    <w:link w:val="799"/>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85">
    <w:name w:val="修订1"/>
    <w:next w:val="1285"/>
    <w:link w:val="799"/>
    <w:uiPriority w:val="99"/>
    <w:semiHidden/>
    <w:qFormat/>
    <w:rPr>
      <w:sz w:val="21"/>
      <w:szCs w:val="21"/>
      <w:lang w:eastAsia="zh-CN"/>
    </w:rPr>
  </w:style>
  <w:style w:type="table" w:styleId="1286">
    <w:name w:val="Table Normal_0"/>
    <w:next w:val="1286"/>
    <w:link w:val="799"/>
    <w:qFormat/>
    <w:tblPr/>
  </w:style>
  <w:style w:type="paragraph" w:styleId="1287">
    <w:name w:val="正文文本12"/>
    <w:basedOn w:val="799"/>
    <w:next w:val="1287"/>
    <w:link w:val="799"/>
    <w:uiPriority w:val="1"/>
    <w:qFormat/>
    <w:pPr>
      <w:ind w:left="120"/>
    </w:pPr>
    <w:rPr>
      <w:rFonts w:ascii="宋体" w:hAnsi="宋体" w:cs="宋体"/>
      <w:szCs w:val="21"/>
      <w:lang w:val="zh-CN" w:bidi="zh-CN"/>
    </w:rPr>
  </w:style>
  <w:style w:type="paragraph" w:styleId="1288">
    <w:name w:val="首行缩进"/>
    <w:basedOn w:val="799"/>
    <w:next w:val="1288"/>
    <w:link w:val="799"/>
    <w:qFormat/>
    <w:pPr>
      <w:ind w:firstLine="480"/>
    </w:pPr>
    <w:rPr>
      <w:rFonts w:ascii="Times New Roman" w:hAnsi="Times New Roman"/>
      <w:szCs w:val="21"/>
      <w:lang w:val="zh-CN"/>
    </w:rPr>
  </w:style>
  <w:style w:type="paragraph" w:styleId="1289">
    <w:name w:val="部分1"/>
    <w:basedOn w:val="799"/>
    <w:next w:val="1289"/>
    <w:link w:val="799"/>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90">
    <w:name w:val="15"/>
    <w:next w:val="1290"/>
    <w:link w:val="799"/>
    <w:qFormat/>
    <w:rPr>
      <w:rFonts w:ascii="Times New Roman" w:hAnsi="Times New Roman" w:cs="Times New Roman"/>
    </w:rPr>
  </w:style>
  <w:style w:type="paragraph" w:styleId="1291">
    <w:name w:val="正文文本缩进 2_0"/>
    <w:basedOn w:val="1127"/>
    <w:next w:val="1291"/>
    <w:link w:val="799"/>
    <w:qFormat/>
    <w:pPr>
      <w:ind w:firstLine="720"/>
      <w:jc w:val="left"/>
      <w:spacing w:line="540" w:lineRule="exact"/>
    </w:pPr>
    <w:rPr>
      <w:rFonts w:ascii="仿宋_GB2312" w:hAnsi="仿宋_GB2312" w:cs="宋体"/>
      <w:sz w:val="32"/>
      <w:szCs w:val="32"/>
    </w:rPr>
  </w:style>
  <w:style w:type="character" w:styleId="1292">
    <w:name w:val="10"/>
    <w:next w:val="1292"/>
    <w:link w:val="799"/>
    <w:qFormat/>
    <w:rPr>
      <w:rFonts w:ascii="Times New Roman" w:hAnsi="Times New Roman" w:cs="Times New Roman"/>
    </w:rPr>
  </w:style>
  <w:style w:type="paragraph" w:styleId="1293">
    <w:name w:val="正文_16_1"/>
    <w:basedOn w:val="799"/>
    <w:next w:val="1293"/>
    <w:link w:val="799"/>
    <w:qFormat/>
    <w:rPr>
      <w:rFonts w:ascii="Times New Roman" w:hAnsi="Times New Roman"/>
      <w:szCs w:val="21"/>
    </w:rPr>
  </w:style>
  <w:style w:type="paragraph" w:styleId="1294">
    <w:name w:val="页脚1"/>
    <w:basedOn w:val="799"/>
    <w:next w:val="1294"/>
    <w:link w:val="799"/>
    <w:qFormat/>
    <w:pPr>
      <w:jc w:val="left"/>
      <w:tabs>
        <w:tab w:val="center" w:pos="4153" w:leader="none"/>
        <w:tab w:val="right" w:pos="8306" w:leader="none"/>
      </w:tabs>
    </w:pPr>
    <w:rPr>
      <w:sz w:val="18"/>
      <w:szCs w:val="18"/>
    </w:rPr>
  </w:style>
  <w:style w:type="character" w:styleId="1295">
    <w:name w:val="页码1"/>
    <w:next w:val="1295"/>
    <w:link w:val="799"/>
    <w:qFormat/>
  </w:style>
  <w:style w:type="paragraph" w:styleId="1296">
    <w:name w:val="*正文"/>
    <w:basedOn w:val="915"/>
    <w:next w:val="1296"/>
    <w:link w:val="799"/>
    <w:qFormat/>
    <w:pPr>
      <w:ind w:firstLine="200"/>
    </w:pPr>
    <w:rPr>
      <w:rFonts w:hAnsi="宋体"/>
      <w:szCs w:val="24"/>
    </w:rPr>
  </w:style>
  <w:style w:type="paragraph" w:styleId="1297">
    <w:name w:val="*正文_0"/>
    <w:basedOn w:val="1298"/>
    <w:next w:val="1297"/>
    <w:link w:val="799"/>
    <w:qFormat/>
    <w:pPr>
      <w:ind w:firstLine="200"/>
      <w:spacing w:line="360" w:lineRule="auto"/>
    </w:pPr>
    <w:rPr>
      <w:rFonts w:ascii="宋体" w:hAnsi="宋体" w:eastAsia="Arial" w:cs="Arial"/>
      <w:color w:val="000000"/>
      <w:sz w:val="24"/>
    </w:rPr>
  </w:style>
  <w:style w:type="paragraph" w:styleId="1298">
    <w:name w:val="正文缩进_2"/>
    <w:basedOn w:val="1152"/>
    <w:next w:val="1298"/>
    <w:link w:val="799"/>
    <w:unhideWhenUsed/>
    <w:qFormat/>
    <w:pPr>
      <w:ind w:firstLine="420"/>
      <w:jc w:val="left"/>
      <w:widowControl/>
    </w:pPr>
    <w:rPr>
      <w:rFonts w:ascii="Times New Roman" w:hAnsi="Times New Roman"/>
      <w:sz w:val="20"/>
      <w:szCs w:val="24"/>
    </w:rPr>
  </w:style>
  <w:style w:type="paragraph" w:styleId="1299">
    <w:name w:val="*正文_0_0"/>
    <w:basedOn w:val="1152"/>
    <w:next w:val="1299"/>
    <w:link w:val="799"/>
    <w:qFormat/>
    <w:pPr>
      <w:ind w:firstLine="200"/>
      <w:jc w:val="left"/>
      <w:spacing w:line="360" w:lineRule="auto"/>
      <w:widowControl/>
    </w:pPr>
    <w:rPr>
      <w:rFonts w:ascii="宋体" w:hAnsi="宋体" w:eastAsia="Arial" w:cs="Arial"/>
      <w:color w:val="000000"/>
      <w:sz w:val="24"/>
      <w:szCs w:val="24"/>
    </w:rPr>
  </w:style>
  <w:style w:type="paragraph" w:styleId="1300">
    <w:name w:val="无间隔1_0_0"/>
    <w:basedOn w:val="1152"/>
    <w:next w:val="1300"/>
    <w:link w:val="799"/>
    <w:qFormat/>
    <w:rPr>
      <w:rFonts w:ascii="Times New Roman" w:hAnsi="Times New Roman"/>
      <w:szCs w:val="21"/>
    </w:rPr>
  </w:style>
  <w:style w:type="paragraph" w:styleId="1301">
    <w:name w:val="正文_0_2"/>
    <w:next w:val="1301"/>
    <w:link w:val="799"/>
    <w:qFormat/>
    <w:pPr>
      <w:jc w:val="both"/>
      <w:widowControl w:val="off"/>
    </w:pPr>
    <w:rPr>
      <w:szCs w:val="24"/>
      <w:lang w:eastAsia="zh-CN"/>
    </w:rPr>
  </w:style>
  <w:style w:type="paragraph" w:styleId="1302">
    <w:name w:val="标题 4_0"/>
    <w:basedOn w:val="1303"/>
    <w:next w:val="1303"/>
    <w:link w:val="799"/>
    <w:uiPriority w:val="9"/>
    <w:unhideWhenUsed/>
    <w:qFormat/>
    <w:pPr>
      <w:keepLines/>
      <w:keepNext/>
      <w:spacing w:before="280" w:after="290" w:line="372" w:lineRule="auto"/>
      <w:outlineLvl w:val="3"/>
    </w:pPr>
    <w:rPr>
      <w:rFonts w:ascii="Arial" w:hAnsi="Arial" w:eastAsia="黑体"/>
      <w:b/>
      <w:sz w:val="28"/>
    </w:rPr>
  </w:style>
  <w:style w:type="paragraph" w:styleId="1303">
    <w:name w:val="正文4"/>
    <w:next w:val="1303"/>
    <w:link w:val="799"/>
    <w:qFormat/>
    <w:pPr>
      <w:jc w:val="both"/>
      <w:widowControl w:val="off"/>
    </w:pPr>
    <w:rPr>
      <w:rFonts w:ascii="Calibri" w:hAnsi="Calibri"/>
      <w:lang w:eastAsia="zh-CN"/>
    </w:rPr>
  </w:style>
  <w:style w:type="paragraph" w:styleId="1304">
    <w:name w:val="正文_3_0_0"/>
    <w:next w:val="1304"/>
    <w:link w:val="799"/>
    <w:qFormat/>
    <w:pPr>
      <w:jc w:val="both"/>
      <w:widowControl w:val="off"/>
    </w:pPr>
    <w:rPr>
      <w:lang w:eastAsia="zh-CN"/>
    </w:rPr>
  </w:style>
  <w:style w:type="paragraph" w:styleId="1305">
    <w:name w:val="p17_0_0"/>
    <w:basedOn w:val="1195"/>
    <w:next w:val="1305"/>
    <w:link w:val="799"/>
    <w:qFormat/>
    <w:pPr>
      <w:jc w:val="left"/>
      <w:spacing w:before="100" w:beforeAutospacing="1" w:after="100" w:afterAutospacing="1"/>
      <w:widowControl/>
    </w:pPr>
    <w:rPr>
      <w:rFonts w:ascii="宋体" w:hAnsi="宋体" w:eastAsia="Times New Roman" w:cs="宋体"/>
      <w:sz w:val="24"/>
    </w:rPr>
  </w:style>
  <w:style w:type="paragraph" w:styleId="1306">
    <w:name w:val="p17_0"/>
    <w:basedOn w:val="853"/>
    <w:next w:val="1306"/>
    <w:link w:val="799"/>
    <w:qFormat/>
    <w:pPr>
      <w:spacing w:before="100" w:beforeAutospacing="1" w:after="100" w:afterAutospacing="1"/>
    </w:pPr>
    <w:rPr>
      <w:rFonts w:ascii="宋体" w:hAnsi="宋体" w:eastAsia="Times New Roman" w:cs="宋体"/>
      <w:sz w:val="24"/>
    </w:rPr>
  </w:style>
  <w:style w:type="paragraph" w:styleId="1307">
    <w:name w:val="普通(网站)11"/>
    <w:basedOn w:val="799"/>
    <w:next w:val="1307"/>
    <w:link w:val="799"/>
    <w:uiPriority w:val="99"/>
    <w:qFormat/>
    <w:rPr>
      <w:sz w:val="24"/>
    </w:rPr>
  </w:style>
  <w:style w:type="paragraph" w:styleId="1308">
    <w:name w:val="AONormal"/>
    <w:next w:val="1308"/>
    <w:link w:val="799"/>
    <w:qFormat/>
    <w:pPr>
      <w:ind w:firstLine="440"/>
      <w:spacing w:line="400" w:lineRule="exact"/>
    </w:pPr>
    <w:rPr>
      <w:rFonts w:ascii="华文楷体" w:hAnsi="华文楷体" w:eastAsia="华文楷体" w:cs="华文楷体"/>
      <w:sz w:val="22"/>
      <w:szCs w:val="21"/>
      <w:lang w:eastAsia="zh-CN"/>
    </w:rPr>
  </w:style>
  <w:style w:type="paragraph" w:styleId="1309">
    <w:name w:val="普通(网站)111"/>
    <w:basedOn w:val="799"/>
    <w:next w:val="1309"/>
    <w:link w:val="799"/>
    <w:uiPriority w:val="99"/>
    <w:qFormat/>
    <w:pPr>
      <w:jc w:val="left"/>
      <w:spacing w:before="100" w:beforeAutospacing="1" w:after="100" w:afterAutospacing="1"/>
      <w:widowControl/>
    </w:pPr>
    <w:rPr>
      <w:rFonts w:ascii="宋体" w:hAnsi="宋体" w:cs="宋体"/>
      <w:sz w:val="24"/>
      <w:szCs w:val="24"/>
    </w:rPr>
  </w:style>
  <w:style w:type="paragraph" w:styleId="1310">
    <w:name w:val="批注文字1"/>
    <w:basedOn w:val="799"/>
    <w:next w:val="1310"/>
    <w:link w:val="799"/>
    <w:uiPriority w:val="99"/>
    <w:qFormat/>
    <w:pPr>
      <w:jc w:val="left"/>
    </w:pPr>
    <w:rPr>
      <w:rFonts w:ascii="Times New Roman" w:hAnsi="Times New Roman"/>
      <w:szCs w:val="21"/>
    </w:rPr>
  </w:style>
  <w:style w:type="paragraph" w:styleId="1311">
    <w:name w:val="标题 511"/>
    <w:basedOn w:val="799"/>
    <w:next w:val="799"/>
    <w:link w:val="799"/>
    <w:uiPriority w:val="9"/>
    <w:qFormat/>
    <w:pPr>
      <w:keepLines/>
      <w:keepNext/>
      <w:spacing w:before="320" w:after="200"/>
      <w:outlineLvl w:val="4"/>
    </w:pPr>
    <w:rPr>
      <w:rFonts w:ascii="Arial" w:hAnsi="Arial" w:eastAsia="Arial" w:cs="Arial"/>
      <w:b/>
      <w:bCs/>
      <w:sz w:val="24"/>
      <w:szCs w:val="24"/>
    </w:rPr>
  </w:style>
  <w:style w:type="paragraph" w:styleId="1312">
    <w:name w:val="正文文本4"/>
    <w:basedOn w:val="987"/>
    <w:next w:val="1312"/>
    <w:link w:val="799"/>
    <w:qFormat/>
    <w:pPr>
      <w:spacing w:line="60" w:lineRule="auto"/>
    </w:pPr>
    <w:rPr>
      <w:rFonts w:ascii="仿宋_GB2312" w:eastAsia="仿宋_GB2312"/>
      <w:sz w:val="32"/>
      <w:szCs w:val="22"/>
    </w:rPr>
  </w:style>
  <w:style w:type="paragraph" w:styleId="1313">
    <w:name w:val="正文文本11"/>
    <w:next w:val="1313"/>
    <w:link w:val="799"/>
    <w:qFormat/>
    <w:pPr>
      <w:jc w:val="both"/>
      <w:widowControl w:val="off"/>
    </w:pPr>
    <w:rPr>
      <w:rFonts w:ascii="仿宋" w:hAnsi="仿宋" w:eastAsia="仿宋" w:cs="仿宋"/>
      <w:sz w:val="32"/>
      <w:szCs w:val="32"/>
    </w:rPr>
  </w:style>
  <w:style w:type="paragraph" w:styleId="1314">
    <w:name w:val="页脚11"/>
    <w:basedOn w:val="799"/>
    <w:next w:val="1314"/>
    <w:link w:val="799"/>
    <w:uiPriority w:val="99"/>
    <w:qFormat/>
    <w:pPr>
      <w:jc w:val="left"/>
      <w:tabs>
        <w:tab w:val="center" w:pos="4153" w:leader="none"/>
        <w:tab w:val="right" w:pos="8306" w:leader="none"/>
      </w:tabs>
    </w:pPr>
    <w:rPr>
      <w:sz w:val="18"/>
      <w:szCs w:val="18"/>
    </w:rPr>
  </w:style>
  <w:style w:type="paragraph" w:styleId="1315">
    <w:name w:val="修订2"/>
    <w:next w:val="1315"/>
    <w:link w:val="799"/>
    <w:uiPriority w:val="99"/>
    <w:unhideWhenUsed/>
    <w:qFormat/>
    <w:rPr>
      <w:rFonts w:ascii="Calibri" w:hAnsi="Calibri"/>
      <w:sz w:val="21"/>
      <w:szCs w:val="22"/>
      <w:lang w:eastAsia="zh-CN"/>
    </w:rPr>
  </w:style>
  <w:style w:type="paragraph" w:styleId="1316">
    <w:name w:val="标题 211"/>
    <w:next w:val="915"/>
    <w:link w:val="799"/>
    <w:qFormat/>
    <w:pPr>
      <w:jc w:val="both"/>
      <w:keepLines/>
      <w:keepNext/>
      <w:spacing w:before="260" w:after="260" w:line="413" w:lineRule="auto"/>
      <w:widowControl w:val="off"/>
      <w:outlineLvl w:val="1"/>
    </w:pPr>
    <w:rPr>
      <w:rFonts w:ascii="Arial" w:hAnsi="Arial" w:eastAsia="黑体"/>
      <w:b/>
      <w:sz w:val="32"/>
      <w:lang w:eastAsia="zh-CN"/>
    </w:rPr>
  </w:style>
  <w:style w:type="paragraph" w:styleId="1317">
    <w:name w:val="正文_2_1"/>
    <w:next w:val="1317"/>
    <w:link w:val="799"/>
    <w:qFormat/>
    <w:pPr>
      <w:jc w:val="both"/>
      <w:widowControl w:val="off"/>
    </w:pPr>
    <w:rPr>
      <w:sz w:val="21"/>
      <w:szCs w:val="22"/>
      <w:lang w:eastAsia="zh-CN"/>
    </w:rPr>
  </w:style>
  <w:style w:type="paragraph" w:styleId="1318">
    <w:name w:val="修订3"/>
    <w:next w:val="1318"/>
    <w:link w:val="799"/>
    <w:uiPriority w:val="99"/>
    <w:unhideWhenUsed/>
    <w:qFormat/>
    <w:rPr>
      <w:rFonts w:ascii="Calibri" w:hAnsi="Calibri"/>
      <w:sz w:val="21"/>
      <w:szCs w:val="22"/>
      <w:lang w:eastAsia="zh-CN"/>
    </w:rPr>
  </w:style>
  <w:style w:type="paragraph" w:styleId="1319">
    <w:name w:val="Table Text"/>
    <w:basedOn w:val="799"/>
    <w:next w:val="1319"/>
    <w:link w:val="799"/>
    <w:semiHidden/>
    <w:qFormat/>
    <w:rPr>
      <w:rFonts w:ascii="宋体" w:hAnsi="宋体" w:cs="宋体"/>
      <w:sz w:val="25"/>
      <w:szCs w:val="25"/>
    </w:rPr>
  </w:style>
  <w:style w:type="paragraph" w:styleId="1320">
    <w:name w:val="修订4"/>
    <w:next w:val="1320"/>
    <w:link w:val="799"/>
    <w:uiPriority w:val="99"/>
    <w:unhideWhenUsed/>
    <w:qFormat/>
    <w:rPr>
      <w:rFonts w:ascii="Calibri" w:hAnsi="Calibri"/>
      <w:sz w:val="21"/>
      <w:szCs w:val="22"/>
      <w:lang w:eastAsia="zh-CN"/>
    </w:rPr>
  </w:style>
  <w:style w:type="paragraph" w:styleId="1321">
    <w:name w:val="修订5"/>
    <w:next w:val="1321"/>
    <w:link w:val="799"/>
    <w:uiPriority w:val="99"/>
    <w:unhideWhenUsed/>
    <w:qFormat/>
    <w:rPr>
      <w:rFonts w:ascii="Calibri" w:hAnsi="Calibri"/>
      <w:sz w:val="21"/>
      <w:szCs w:val="22"/>
      <w:lang w:eastAsia="zh-CN"/>
    </w:rPr>
  </w:style>
  <w:style w:type="paragraph" w:styleId="1322">
    <w:name w:val="普通(网站)2"/>
    <w:basedOn w:val="1135"/>
    <w:next w:val="1323"/>
    <w:link w:val="799"/>
    <w:uiPriority w:val="99"/>
    <w:qFormat/>
    <w:pPr>
      <w:jc w:val="left"/>
      <w:spacing w:before="100" w:beforeAutospacing="1" w:after="100" w:afterAutospacing="1"/>
      <w:widowControl/>
    </w:pPr>
    <w:rPr>
      <w:rFonts w:ascii="宋体" w:eastAsia="Times New Roman"/>
      <w:sz w:val="24"/>
    </w:rPr>
  </w:style>
  <w:style w:type="paragraph" w:styleId="1323">
    <w:name w:val="TOC 41"/>
    <w:basedOn w:val="1135"/>
    <w:next w:val="1135"/>
    <w:link w:val="799"/>
    <w:uiPriority w:val="39"/>
    <w:unhideWhenUsed/>
    <w:qFormat/>
    <w:pPr>
      <w:ind w:left="1260"/>
    </w:pPr>
  </w:style>
  <w:style w:type="paragraph" w:styleId="1324">
    <w:name w:val="Revision"/>
    <w:next w:val="1324"/>
    <w:link w:val="799"/>
    <w:uiPriority w:val="99"/>
    <w:unhideWhenUsed/>
    <w:qFormat/>
    <w:rPr>
      <w:rFonts w:ascii="Calibri" w:hAnsi="Calibri"/>
      <w:sz w:val="21"/>
      <w:szCs w:val="22"/>
      <w:lang w:eastAsia="zh-CN"/>
    </w:rPr>
  </w:style>
  <w:style w:type="character" w:styleId="1325">
    <w:name w:val="font21"/>
    <w:basedOn w:val="800"/>
    <w:next w:val="1325"/>
    <w:link w:val="799"/>
    <w:rPr>
      <w:rFonts w:hint="eastAsia" w:ascii="仿宋" w:hAnsi="仿宋" w:eastAsia="仿宋" w:cs="仿宋"/>
      <w:color w:val="000000"/>
      <w:sz w:val="24"/>
      <w:szCs w:val="24"/>
      <w:u w:val="none"/>
    </w:rPr>
  </w:style>
  <w:style w:type="character" w:styleId="1326">
    <w:name w:val="font51"/>
    <w:basedOn w:val="800"/>
    <w:next w:val="1326"/>
    <w:link w:val="799"/>
    <w:rPr>
      <w:rFonts w:hint="eastAsia" w:ascii="仿宋" w:hAnsi="仿宋" w:eastAsia="仿宋" w:cs="仿宋"/>
      <w:color w:val="000000"/>
      <w:sz w:val="24"/>
      <w:szCs w:val="24"/>
      <w:u w:val="single"/>
    </w:rPr>
  </w:style>
  <w:style w:type="character" w:styleId="22634" w:default="1">
    <w:name w:val="Default Paragraph Font"/>
    <w:uiPriority w:val="1"/>
    <w:semiHidden/>
    <w:unhideWhenUsed/>
  </w:style>
  <w:style w:type="numbering" w:styleId="22635" w:default="1">
    <w:name w:val="No List"/>
    <w:uiPriority w:val="99"/>
    <w:semiHidden/>
    <w:unhideWhenUsed/>
  </w:style>
  <w:style w:type="table" w:styleId="226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jpg"/><Relationship Id="rId16" Type="http://schemas.openxmlformats.org/officeDocument/2006/relationships/image" Target="media/image2.jp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jpg"/><Relationship Id="rId20" Type="http://schemas.openxmlformats.org/officeDocument/2006/relationships/image" Target="media/image6.jpg"/><Relationship Id="rId21" Type="http://schemas.openxmlformats.org/officeDocument/2006/relationships/image" Target="media/image7.jpg"/><Relationship Id="rId22"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dc:creator>
  <cp:lastModifiedBy>许益</cp:lastModifiedBy>
  <cp:revision>2</cp:revision>
  <dcterms:created xsi:type="dcterms:W3CDTF">2023-07-23T13:07:00Z</dcterms:created>
  <dcterms:modified xsi:type="dcterms:W3CDTF">2026-05-27T07:45:48Z</dcterms:modified>
</cp:coreProperties>
</file>