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firstLine="0"/>
        <w:rPr>
          <w:rFonts w:eastAsia="黑体"/>
          <w:b/>
          <w:bCs/>
          <w:sz w:val="84"/>
        </w:rPr>
      </w:pPr>
      <w:r>
        <w:rPr>
          <w:rFonts w:eastAsia="黑体"/>
          <w:b/>
          <w:bCs/>
          <w:sz w:val="84"/>
        </w:rPr>
      </w:r>
      <w:r/>
    </w:p>
    <w:p>
      <w:pPr>
        <w:pStyle w:val="979"/>
        <w:ind w:firstLine="0"/>
        <w:jc w:val="center"/>
        <w:rPr>
          <w:rFonts w:eastAsia="黑体"/>
          <w:b/>
          <w:bCs/>
          <w:sz w:val="84"/>
        </w:rPr>
      </w:pPr>
      <w:r>
        <w:rPr>
          <w:rFonts w:hint="eastAsia" w:eastAsia="黑体"/>
          <w:b/>
          <w:bCs/>
          <w:sz w:val="84"/>
        </w:rPr>
        <w:t xml:space="preserve">招　标　文　件</w:t>
      </w:r>
      <w:r/>
    </w:p>
    <w:p>
      <w:pPr>
        <w:pStyle w:val="979"/>
        <w:rPr>
          <w:b/>
          <w:bCs/>
          <w:sz w:val="32"/>
        </w:rPr>
      </w:pPr>
      <w:r>
        <w:rPr>
          <w:b/>
          <w:bCs/>
          <w:sz w:val="32"/>
        </w:rPr>
      </w:r>
      <w:r/>
    </w:p>
    <w:p>
      <w:pPr>
        <w:pStyle w:val="979"/>
        <w:rPr>
          <w:b/>
          <w:bCs/>
          <w:sz w:val="32"/>
        </w:rPr>
      </w:pPr>
      <w:r>
        <w:rPr>
          <w:b/>
          <w:bCs/>
          <w:sz w:val="32"/>
        </w:rPr>
      </w:r>
      <w:r/>
    </w:p>
    <w:p>
      <w:pPr>
        <w:pStyle w:val="979"/>
        <w:ind w:firstLine="1054"/>
        <w:rPr>
          <w:b/>
          <w:bCs/>
          <w:sz w:val="32"/>
        </w:rPr>
      </w:pPr>
      <w:r>
        <w:rPr>
          <w:rFonts w:hint="eastAsia"/>
          <w:b/>
          <w:bCs/>
          <w:sz w:val="32"/>
        </w:rPr>
        <w:t xml:space="preserve">项目名称：融合视频会议运行服务</w:t>
      </w:r>
      <w:r/>
    </w:p>
    <w:p>
      <w:pPr>
        <w:ind w:firstLine="964"/>
        <w:rPr>
          <w:b/>
          <w:sz w:val="30"/>
          <w:szCs w:val="30"/>
        </w:rPr>
      </w:pPr>
      <w:r>
        <w:rPr>
          <w:rFonts w:hint="eastAsia"/>
          <w:b/>
          <w:bCs/>
          <w:sz w:val="32"/>
        </w:rPr>
        <w:t xml:space="preserve">采购编号：JSZC-320000-SCZX-G2026-0158</w:t>
      </w:r>
      <w:r>
        <w:rPr>
          <w:rFonts w:hint="eastAsia"/>
        </w:rPr>
        <w:t xml:space="preserve">  </w:t>
      </w:r>
      <w:r>
        <w:rPr>
          <w:rFonts w:hint="eastAsia"/>
          <w:b/>
          <w:sz w:val="30"/>
          <w:szCs w:val="30"/>
        </w:rPr>
        <w:t xml:space="preserve">   </w:t>
      </w:r>
      <w:r>
        <w:t xml:space="preserve">  </w:t>
      </w:r>
      <w:r>
        <w:rPr>
          <w:b/>
          <w:sz w:val="30"/>
          <w:szCs w:val="30"/>
        </w:rPr>
        <w:t xml:space="preserve"> </w:t>
      </w:r>
      <w:r/>
    </w:p>
    <w:p>
      <w:pPr>
        <w:ind w:left="2811" w:hanging="2811"/>
        <w:jc w:val="center"/>
        <w:rPr>
          <w:b/>
          <w:color w:val="ff0000"/>
          <w:sz w:val="28"/>
          <w:szCs w:val="28"/>
        </w:rPr>
      </w:pPr>
      <w:r>
        <w:rPr>
          <w:b/>
          <w:color w:val="ff0000"/>
          <w:sz w:val="28"/>
          <w:szCs w:val="28"/>
        </w:rPr>
      </w:r>
      <w:r/>
    </w:p>
    <w:p>
      <w:pPr>
        <w:pStyle w:val="979"/>
        <w:ind w:firstLine="0"/>
        <w:spacing w:before="0" w:after="0"/>
        <w:rPr>
          <w:rFonts w:ascii="宋体" w:hAnsi="宋体"/>
        </w:rPr>
      </w:pPr>
      <w:r>
        <w:rPr>
          <w:rFonts w:ascii="宋体" w:hAnsi="宋体"/>
        </w:rPr>
      </w:r>
      <w:r/>
    </w:p>
    <w:p>
      <w:pPr>
        <w:pStyle w:val="979"/>
        <w:ind w:firstLine="0"/>
        <w:spacing w:before="0" w:after="0"/>
        <w:rPr>
          <w:rFonts w:ascii="宋体" w:hAnsi="宋体"/>
        </w:rPr>
      </w:pPr>
      <w:r>
        <w:rPr>
          <w:rFonts w:ascii="宋体" w:hAnsi="宋体"/>
        </w:rPr>
      </w:r>
      <w:r/>
    </w:p>
    <w:p>
      <w:pPr>
        <w:pStyle w:val="979"/>
        <w:ind w:firstLine="0"/>
        <w:spacing w:before="0" w:after="0"/>
        <w:rPr>
          <w:rFonts w:ascii="宋体" w:hAnsi="宋体"/>
        </w:rPr>
      </w:pPr>
      <w:r>
        <w:rPr>
          <w:rFonts w:ascii="宋体" w:hAnsi="宋体"/>
        </w:rPr>
      </w:r>
      <w:r/>
    </w:p>
    <w:p>
      <w:pPr>
        <w:pStyle w:val="979"/>
        <w:ind w:firstLine="0"/>
        <w:spacing w:before="0" w:after="0"/>
        <w:rPr>
          <w:rFonts w:ascii="宋体" w:hAnsi="宋体"/>
        </w:rPr>
      </w:pPr>
      <w:r>
        <w:rPr>
          <w:rFonts w:ascii="宋体" w:hAnsi="宋体"/>
        </w:rPr>
      </w:r>
      <w:r/>
    </w:p>
    <w:p>
      <w:pPr>
        <w:pStyle w:val="979"/>
        <w:ind w:firstLine="0"/>
        <w:spacing w:before="0" w:after="0"/>
        <w:rPr>
          <w:rFonts w:ascii="宋体" w:hAnsi="宋体"/>
        </w:rPr>
      </w:pPr>
      <w:r>
        <w:rPr>
          <w:rFonts w:ascii="宋体" w:hAnsi="宋体"/>
        </w:rPr>
      </w:r>
      <w:r/>
    </w:p>
    <w:p>
      <w:pPr>
        <w:pStyle w:val="979"/>
        <w:ind w:firstLine="0"/>
        <w:spacing w:before="0" w:after="0"/>
        <w:rPr>
          <w:rFonts w:ascii="宋体" w:hAnsi="宋体"/>
        </w:rPr>
      </w:pPr>
      <w:r>
        <w:rPr>
          <w:rFonts w:ascii="宋体" w:hAnsi="宋体"/>
        </w:rPr>
      </w:r>
      <w:r/>
    </w:p>
    <w:p>
      <w:pPr>
        <w:pStyle w:val="979"/>
        <w:ind w:firstLine="0"/>
        <w:spacing w:before="0" w:after="0"/>
        <w:rPr>
          <w:rFonts w:ascii="宋体" w:hAnsi="宋体"/>
        </w:rPr>
      </w:pPr>
      <w:r>
        <w:rPr>
          <w:rFonts w:ascii="宋体" w:hAnsi="宋体"/>
        </w:rPr>
      </w:r>
      <w:r/>
    </w:p>
    <w:p>
      <w:pPr>
        <w:pStyle w:val="979"/>
        <w:ind w:firstLine="0"/>
        <w:jc w:val="center"/>
        <w:rPr>
          <w:b/>
          <w:bCs/>
          <w:sz w:val="32"/>
        </w:rPr>
      </w:pPr>
      <w:r>
        <w:rPr>
          <w:rFonts w:hint="eastAsia"/>
          <w:b/>
          <w:bCs/>
          <w:sz w:val="32"/>
        </w:rPr>
        <w:t xml:space="preserve">江苏省政府采购中心</w:t>
      </w:r>
      <w:r/>
    </w:p>
    <w:p>
      <w:pPr>
        <w:pStyle w:val="979"/>
        <w:ind w:firstLine="0"/>
        <w:jc w:val="center"/>
        <w:rPr>
          <w:u w:val="single"/>
        </w:rPr>
      </w:pPr>
      <w:r>
        <w:rPr>
          <w:rFonts w:hint="eastAsia"/>
          <w:b/>
          <w:bCs/>
          <w:sz w:val="32"/>
        </w:rPr>
        <w:t xml:space="preserve">2026年4月</w:t>
      </w:r>
      <w:r/>
    </w:p>
    <w:p>
      <w:pPr>
        <w:pStyle w:val="979"/>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20823272"/>
      <w:r/>
      <w:bookmarkStart w:id="2" w:name="_Toc479757206"/>
      <w:r/>
      <w:bookmarkStart w:id="3" w:name="_Toc523127445"/>
      <w:r/>
      <w:bookmarkStart w:id="4" w:name="_Toc16938516"/>
      <w:r/>
      <w:bookmarkStart w:id="5" w:name="_Toc513029200"/>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39"/>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受江苏省大数据管理中心的委托，江苏省政府采购中心就融合视频会议运行服务项目(JSZC-320000-SCZX-G2026-0158)进行公开招标采购，欢迎符合条件的供应商投标。</w:t>
      </w:r>
      <w:r/>
    </w:p>
    <w:p>
      <w:pPr>
        <w:ind w:firstLine="480"/>
        <w:spacing w:line="40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 融合视频会议运行服务项目招标项目的潜在投标人可在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年5月19日09 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41"/>
        <w:ind w:firstLine="498"/>
        <w:spacing w:before="145" w:after="145" w:line="400" w:lineRule="exact"/>
      </w:pPr>
      <w:r/>
      <w:bookmarkStart w:id="6" w:name="_Toc38985263"/>
      <w:r/>
      <w:bookmarkStart w:id="7" w:name="_Toc28359002"/>
      <w:r/>
      <w:bookmarkStart w:id="8" w:name="_Toc35393621"/>
      <w:r/>
      <w:bookmarkStart w:id="9" w:name="_Toc28359079"/>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1.采购编号：JSZC-320000-SCZX-G2026-0158  </w:t>
      </w:r>
      <w:r/>
    </w:p>
    <w:p>
      <w:pPr>
        <w:ind w:firstLine="480"/>
        <w:spacing w:line="400" w:lineRule="exact"/>
        <w:rPr>
          <w:rFonts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融合视频会议运行服务</w:t>
      </w:r>
      <w:r/>
    </w:p>
    <w:p>
      <w:pPr>
        <w:ind w:firstLine="480"/>
        <w:spacing w:line="400" w:lineRule="exact"/>
        <w:rPr>
          <w:rFonts w:ascii="宋体" w:hAnsi="宋体"/>
          <w:sz w:val="24"/>
          <w:szCs w:val="24"/>
        </w:rPr>
      </w:pPr>
      <w:r/>
      <w:bookmarkStart w:id="12" w:name="_Toc38985264"/>
      <w:r/>
      <w:bookmarkStart w:id="13" w:name="_Toc28359003"/>
      <w:r/>
      <w:bookmarkStart w:id="14" w:name="_Toc28359080"/>
      <w:r/>
      <w:bookmarkStart w:id="15" w:name="_Toc35393791"/>
      <w:r/>
      <w:bookmarkStart w:id="16" w:name="_Toc35393622"/>
      <w:r>
        <w:rPr>
          <w:rFonts w:hint="eastAsia" w:ascii="宋体" w:hAnsi="宋体"/>
          <w:sz w:val="24"/>
          <w:szCs w:val="24"/>
        </w:rPr>
        <w:t xml:space="preserve">3.预算金额</w:t>
      </w:r>
      <w:r/>
    </w:p>
    <w:tbl>
      <w:tblPr>
        <w:tblStyle w:val="749"/>
        <w:tblW w:w="6748"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2800"/>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W w:w="2800"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采购标的</w:t>
            </w:r>
            <w:r/>
          </w:p>
        </w:tc>
        <w:tc>
          <w:tcPr>
            <w:tcW w:w="280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400" w:lineRule="exact"/>
              <w:rPr>
                <w:rFonts w:ascii="宋体" w:hAnsi="宋体"/>
                <w:sz w:val="24"/>
                <w:szCs w:val="24"/>
              </w:rPr>
            </w:pPr>
            <w:r/>
            <w:bookmarkStart w:id="17" w:name="OLE_LINK1"/>
            <w:r>
              <w:rPr>
                <w:rFonts w:ascii="宋体" w:hAnsi="宋体"/>
                <w:sz w:val="24"/>
                <w:szCs w:val="24"/>
              </w:rPr>
              <w:t xml:space="preserve">1</w:t>
            </w:r>
            <w:r/>
          </w:p>
        </w:tc>
        <w:tc>
          <w:tcPr>
            <w:tcW w:w="2800"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融合视频会议运行服务</w:t>
            </w:r>
            <w:r/>
          </w:p>
        </w:tc>
        <w:tc>
          <w:tcPr>
            <w:tcW w:w="280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179</w:t>
            </w:r>
            <w:bookmarkEnd w:id="17"/>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Style w:val="749"/>
        <w:tblW w:w="7363"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097"/>
        <w:gridCol w:w="3118"/>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W w:w="309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1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309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w:t>
            </w:r>
            <w:r/>
          </w:p>
        </w:tc>
        <w:tc>
          <w:tcPr>
            <w:tcW w:w="311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179</w:t>
            </w:r>
            <w:r/>
          </w:p>
        </w:tc>
      </w:tr>
    </w:tbl>
    <w:p>
      <w:pPr>
        <w:ind w:firstLine="480"/>
        <w:spacing w:line="400" w:lineRule="exact"/>
        <w:rPr>
          <w:rFonts w:ascii="宋体" w:hAnsi="宋体"/>
          <w:sz w:val="24"/>
          <w:szCs w:val="24"/>
        </w:rPr>
      </w:pPr>
      <w:r>
        <w:rPr>
          <w:rFonts w:hint="eastAsia" w:ascii="宋体" w:hAnsi="宋体"/>
          <w:sz w:val="24"/>
          <w:szCs w:val="24"/>
        </w:rPr>
        <w:t xml:space="preserve">5.采购需求（简介）：</w:t>
      </w:r>
      <w:r>
        <w:rPr>
          <w:rFonts w:ascii="宋体" w:hAnsi="宋体"/>
          <w:sz w:val="24"/>
          <w:szCs w:val="24"/>
        </w:rPr>
        <w:t xml:space="preserve">依托</w:t>
      </w:r>
      <w:r>
        <w:rPr>
          <w:rFonts w:hint="eastAsia" w:ascii="宋体" w:hAnsi="宋体"/>
          <w:sz w:val="24"/>
          <w:szCs w:val="24"/>
        </w:rPr>
        <w:t xml:space="preserve">省政务云、网基础设施，</w:t>
      </w:r>
      <w:r>
        <w:rPr>
          <w:rFonts w:ascii="宋体" w:hAnsi="宋体"/>
          <w:sz w:val="24"/>
          <w:szCs w:val="24"/>
        </w:rPr>
        <w:t xml:space="preserve">整合</w:t>
      </w:r>
      <w:r>
        <w:rPr>
          <w:rFonts w:hint="eastAsia" w:ascii="宋体" w:hAnsi="宋体"/>
          <w:sz w:val="24"/>
          <w:szCs w:val="24"/>
        </w:rPr>
        <w:t xml:space="preserve">系统资源、</w:t>
      </w:r>
      <w:r>
        <w:rPr>
          <w:rFonts w:ascii="宋体" w:hAnsi="宋体"/>
          <w:sz w:val="24"/>
          <w:szCs w:val="24"/>
        </w:rPr>
        <w:t xml:space="preserve">扩展应用场景，</w:t>
      </w:r>
      <w:r>
        <w:rPr>
          <w:rFonts w:hint="eastAsia" w:ascii="宋体" w:hAnsi="宋体"/>
          <w:sz w:val="24"/>
          <w:szCs w:val="24"/>
        </w:rPr>
        <w:t xml:space="preserve">搭建融合视频会议服务平台，</w:t>
      </w:r>
      <w:r>
        <w:rPr>
          <w:rFonts w:ascii="宋体" w:hAnsi="宋体"/>
          <w:sz w:val="24"/>
          <w:szCs w:val="24"/>
        </w:rPr>
        <w:t xml:space="preserve">实现</w:t>
      </w:r>
      <w:r>
        <w:rPr>
          <w:rFonts w:hint="eastAsia" w:ascii="宋体" w:hAnsi="宋体"/>
          <w:sz w:val="24"/>
          <w:szCs w:val="24"/>
        </w:rPr>
        <w:t xml:space="preserve">全省</w:t>
      </w:r>
      <w:r>
        <w:rPr>
          <w:rFonts w:ascii="宋体" w:hAnsi="宋体"/>
          <w:sz w:val="24"/>
          <w:szCs w:val="24"/>
        </w:rPr>
        <w:t xml:space="preserve">横向到边、纵向到底的</w:t>
      </w:r>
      <w:r>
        <w:rPr>
          <w:rFonts w:hint="eastAsia" w:ascii="宋体" w:hAnsi="宋体"/>
          <w:sz w:val="24"/>
          <w:szCs w:val="24"/>
        </w:rPr>
        <w:t xml:space="preserve">融合视频会议服务支撑能力</w:t>
      </w:r>
      <w:r>
        <w:rPr>
          <w:rFonts w:ascii="宋体" w:hAnsi="宋体"/>
          <w:sz w:val="24"/>
          <w:szCs w:val="24"/>
        </w:rPr>
        <w:t xml:space="preserve">。</w:t>
      </w:r>
      <w:r>
        <w:rPr>
          <w:rFonts w:hint="eastAsia" w:ascii="宋体" w:hAnsi="宋体"/>
          <w:sz w:val="24"/>
          <w:szCs w:val="24"/>
        </w:rPr>
        <w:t xml:space="preserve">服务内容主要包括：升级优化、平台运维、终端运营、会议保障等。</w:t>
      </w:r>
      <w:r/>
    </w:p>
    <w:p>
      <w:pPr>
        <w:ind w:firstLine="480"/>
        <w:spacing w:line="400" w:lineRule="exact"/>
        <w:rPr>
          <w:rFonts w:ascii="宋体" w:hAnsi="宋体"/>
          <w:sz w:val="24"/>
          <w:szCs w:val="24"/>
          <w:u w:val="single"/>
        </w:rPr>
      </w:pPr>
      <w:r>
        <w:rPr>
          <w:rFonts w:hint="eastAsia" w:ascii="宋体" w:hAnsi="宋体"/>
          <w:sz w:val="24"/>
          <w:szCs w:val="24"/>
        </w:rPr>
        <w:t xml:space="preserve">6.合同履行期限：合同签订之日起一年。</w:t>
      </w:r>
      <w:r/>
    </w:p>
    <w:p>
      <w:pPr>
        <w:pStyle w:val="741"/>
        <w:ind w:firstLine="498"/>
        <w:spacing w:before="145" w:after="145" w:line="400" w:lineRule="exact"/>
      </w:pPr>
      <w:r>
        <w:rPr>
          <w:rFonts w:hint="eastAsia"/>
        </w:rPr>
        <w:t xml:space="preserve">二、申请人的资格要求：</w:t>
      </w:r>
      <w:bookmarkEnd w:id="12"/>
      <w:r/>
      <w:bookmarkEnd w:id="13"/>
      <w:r/>
      <w:bookmarkEnd w:id="14"/>
      <w:r/>
      <w:bookmarkEnd w:id="15"/>
      <w:r/>
      <w:bookmarkEnd w:id="16"/>
      <w:r/>
      <w:r/>
    </w:p>
    <w:p>
      <w:pPr>
        <w:ind w:firstLine="480"/>
        <w:spacing w:line="400" w:lineRule="exact"/>
        <w:rPr>
          <w:rFonts w:ascii="宋体" w:hAnsi="宋体"/>
          <w:sz w:val="24"/>
          <w:szCs w:val="24"/>
        </w:rPr>
      </w:pPr>
      <w:r/>
      <w:bookmarkStart w:id="18" w:name="_Toc38985265"/>
      <w:r/>
      <w:bookmarkStart w:id="19" w:name="_Toc28359004"/>
      <w:r/>
      <w:bookmarkStart w:id="20" w:name="_Toc35393792"/>
      <w:r/>
      <w:bookmarkStart w:id="21" w:name="_Toc35393623"/>
      <w:r/>
      <w:bookmarkStart w:id="22"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 2024或2025年度的财务状况报告（成立不满一年无需提供）；</w:t>
      </w:r>
      <w:r/>
    </w:p>
    <w:p>
      <w:pPr>
        <w:ind w:firstLine="480"/>
        <w:spacing w:line="400" w:lineRule="exact"/>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749"/>
        <w:tblW w:w="7647"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239"/>
        <w:gridCol w:w="3260"/>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W w:w="3239"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c>
          <w:tcPr>
            <w:tcW w:w="326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该</w:t>
            </w:r>
            <w:r>
              <w:rPr>
                <w:rFonts w:ascii="宋体" w:hAnsi="宋体"/>
                <w:sz w:val="24"/>
                <w:szCs w:val="24"/>
              </w:rPr>
              <w:t xml:space="preserve">采购包</w:t>
            </w:r>
            <w:r>
              <w:rPr>
                <w:rFonts w:hint="eastAsia" w:ascii="宋体" w:hAnsi="宋体"/>
                <w:sz w:val="24"/>
                <w:szCs w:val="24"/>
              </w:rPr>
              <w:t xml:space="preserve">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3239"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326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bl>
    <w:p>
      <w:pPr>
        <w:ind w:firstLine="480"/>
        <w:spacing w:line="400" w:lineRule="exact"/>
        <w:rPr>
          <w:rFonts w:ascii="宋体" w:hAnsi="宋体"/>
          <w:sz w:val="24"/>
          <w:szCs w:val="24"/>
        </w:rPr>
      </w:pPr>
      <w:r>
        <w:rPr>
          <w:rFonts w:hint="eastAsia" w:ascii="宋体" w:hAnsi="宋体"/>
          <w:sz w:val="24"/>
          <w:szCs w:val="24"/>
        </w:rPr>
        <w:t xml:space="preserve">（二）本项目的特定资格要求:无</w:t>
      </w:r>
      <w:r/>
    </w:p>
    <w:p>
      <w:pPr>
        <w:ind w:firstLine="498"/>
        <w:keepLines/>
        <w:keepNext/>
        <w:spacing w:before="145" w:after="145" w:line="400" w:lineRule="exact"/>
        <w:rPr>
          <w:b/>
          <w:bCs/>
          <w:color w:val="000000"/>
          <w:sz w:val="32"/>
          <w:szCs w:val="32"/>
        </w:rPr>
        <w:outlineLvl w:val="2"/>
      </w:pPr>
      <w:r>
        <w:rPr>
          <w:rFonts w:hint="eastAsia"/>
          <w:b/>
          <w:bCs/>
          <w:color w:val="000000"/>
          <w:sz w:val="32"/>
          <w:szCs w:val="32"/>
        </w:rPr>
        <w:t xml:space="preserve">三、获取招标文件</w:t>
      </w:r>
      <w:r/>
    </w:p>
    <w:p>
      <w:pPr>
        <w:ind w:firstLine="540"/>
        <w:spacing w:line="400" w:lineRule="exact"/>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400" w:lineRule="exact"/>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18"/>
      <w:r/>
      <w:bookmarkEnd w:id="19"/>
      <w:r/>
      <w:bookmarkEnd w:id="20"/>
      <w:r/>
      <w:bookmarkEnd w:id="21"/>
      <w:r/>
      <w:bookmarkEnd w:id="22"/>
      <w:r/>
      <w:r/>
    </w:p>
    <w:p>
      <w:pPr>
        <w:pStyle w:val="741"/>
        <w:ind w:firstLine="498"/>
        <w:spacing w:before="145" w:after="145" w:line="400" w:lineRule="exact"/>
      </w:pPr>
      <w:r/>
      <w:bookmarkStart w:id="23" w:name="_Toc28359082"/>
      <w:r/>
      <w:bookmarkStart w:id="24" w:name="_Toc28359005"/>
      <w:r/>
      <w:bookmarkStart w:id="25" w:name="_Toc35393624"/>
      <w:r/>
      <w:bookmarkStart w:id="26" w:name="_Toc38985266"/>
      <w:r/>
      <w:bookmarkStart w:id="27" w:name="_Toc35393793"/>
      <w:r>
        <w:rPr>
          <w:rFonts w:hint="eastAsia"/>
        </w:rPr>
        <w:t xml:space="preserve">四、提交投标文件</w:t>
      </w:r>
      <w:bookmarkEnd w:id="23"/>
      <w:r/>
      <w:bookmarkEnd w:id="24"/>
      <w:r>
        <w:rPr>
          <w:rFonts w:hint="eastAsia"/>
        </w:rPr>
        <w:t xml:space="preserve">截止时间、开标时间和地点</w:t>
      </w:r>
      <w:bookmarkEnd w:id="25"/>
      <w:r/>
      <w:bookmarkEnd w:id="26"/>
      <w:r/>
      <w:bookmarkEnd w:id="27"/>
      <w:r/>
      <w:r/>
    </w:p>
    <w:p>
      <w:pPr>
        <w:ind w:firstLine="480"/>
        <w:spacing w:line="400" w:lineRule="exact"/>
        <w:rPr>
          <w:rFonts w:ascii="宋体" w:hAnsi="宋体"/>
          <w:bCs/>
          <w:sz w:val="24"/>
          <w:szCs w:val="24"/>
        </w:rPr>
      </w:pPr>
      <w:r>
        <w:rPr>
          <w:rFonts w:hint="eastAsia" w:ascii="宋体" w:hAnsi="宋体"/>
          <w:bCs/>
          <w:sz w:val="24"/>
          <w:szCs w:val="24"/>
        </w:rPr>
        <w:t xml:space="preserve">1.</w:t>
      </w:r>
      <w:r>
        <w:rPr>
          <w:rFonts w:hint="eastAsia" w:ascii="宋体" w:hAnsi="宋体"/>
          <w:sz w:val="24"/>
          <w:szCs w:val="24"/>
          <w:u w:val="single"/>
        </w:rPr>
        <w:t xml:space="preserve">2026</w:t>
      </w:r>
      <w:r>
        <w:rPr>
          <w:rFonts w:hint="eastAsia" w:ascii="宋体" w:hAnsi="宋体"/>
          <w:bCs/>
          <w:sz w:val="24"/>
          <w:szCs w:val="24"/>
          <w:u w:val="single"/>
        </w:rPr>
        <w:t xml:space="preserve">年5月19日09 点30分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8" w:name="_Toc35393794"/>
      <w:r/>
      <w:bookmarkStart w:id="29" w:name="_Toc28359007"/>
      <w:r/>
      <w:bookmarkStart w:id="30" w:name="_Toc38985267"/>
      <w:r/>
      <w:bookmarkStart w:id="31" w:name="_Toc28359084"/>
      <w:r/>
      <w:bookmarkStart w:id="32" w:name="_Toc35393625"/>
      <w:r>
        <w:rPr>
          <w:rFonts w:hint="eastAsia"/>
          <w:b/>
          <w:bCs/>
          <w:color w:val="000000"/>
          <w:sz w:val="32"/>
          <w:szCs w:val="32"/>
        </w:rPr>
        <w:t xml:space="preserve">五、公告期限</w:t>
      </w:r>
      <w:bookmarkEnd w:id="28"/>
      <w:r/>
      <w:bookmarkEnd w:id="29"/>
      <w:r/>
      <w:bookmarkEnd w:id="30"/>
      <w:r/>
      <w:bookmarkEnd w:id="31"/>
      <w:r/>
      <w:bookmarkEnd w:id="32"/>
      <w:r/>
      <w:r/>
    </w:p>
    <w:p>
      <w:pPr>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741"/>
        <w:ind w:firstLine="498"/>
        <w:spacing w:before="145" w:after="145" w:line="400" w:lineRule="exact"/>
      </w:pPr>
      <w:r/>
      <w:bookmarkStart w:id="33" w:name="_Toc35393795"/>
      <w:r/>
      <w:bookmarkStart w:id="34" w:name="_Toc35393626"/>
      <w:r/>
      <w:bookmarkStart w:id="35" w:name="_Toc38985268"/>
      <w:r>
        <w:rPr>
          <w:rFonts w:hint="eastAsia"/>
        </w:rPr>
        <w:t xml:space="preserve">六、其他补充事宜</w:t>
      </w:r>
      <w:bookmarkEnd w:id="33"/>
      <w:r/>
      <w:bookmarkEnd w:id="34"/>
      <w:r/>
      <w:bookmarkEnd w:id="35"/>
      <w:r/>
      <w:r/>
    </w:p>
    <w:p>
      <w:pPr>
        <w:ind w:firstLine="480"/>
        <w:spacing w:line="400" w:lineRule="exact"/>
        <w:rPr>
          <w:rFonts w:ascii="宋体" w:hAnsi="宋体" w:cs="宋体"/>
          <w:sz w:val="24"/>
          <w:szCs w:val="24"/>
        </w:rPr>
      </w:pPr>
      <w:r/>
      <w:bookmarkStart w:id="36" w:name="_Toc28359086"/>
      <w:r/>
      <w:bookmarkStart w:id="37" w:name="_Toc28359009"/>
      <w:r>
        <w:rPr>
          <w:rFonts w:hint="eastAsia" w:ascii="宋体" w:hAnsi="宋体" w:cs="宋体"/>
          <w:sz w:val="24"/>
          <w:szCs w:val="24"/>
        </w:rPr>
        <w:t xml:space="preserve">无</w:t>
      </w:r>
      <w:r/>
    </w:p>
    <w:p>
      <w:pPr>
        <w:pStyle w:val="741"/>
        <w:ind w:firstLine="498"/>
        <w:spacing w:before="145" w:after="145" w:line="400" w:lineRule="exact"/>
      </w:pPr>
      <w:r/>
      <w:bookmarkStart w:id="38" w:name="_Toc28359008"/>
      <w:r/>
      <w:bookmarkStart w:id="39" w:name="_Toc38985269"/>
      <w:r/>
      <w:bookmarkStart w:id="40" w:name="_Toc28359085"/>
      <w:r/>
      <w:bookmarkStart w:id="41" w:name="_Toc35393796"/>
      <w:r/>
      <w:bookmarkStart w:id="42" w:name="_Toc35393627"/>
      <w:r>
        <w:rPr>
          <w:rFonts w:hint="eastAsia"/>
        </w:rPr>
        <w:t xml:space="preserve">七、本次招标联系方式</w:t>
      </w:r>
      <w:bookmarkEnd w:id="38"/>
      <w:r/>
      <w:bookmarkEnd w:id="39"/>
      <w:r/>
      <w:bookmarkEnd w:id="40"/>
      <w:r/>
      <w:bookmarkEnd w:id="41"/>
      <w:r/>
      <w:bookmarkEnd w:id="42"/>
      <w:r/>
      <w:r/>
    </w:p>
    <w:p>
      <w:pPr>
        <w:ind w:firstLine="720"/>
        <w:jc w:val="left"/>
        <w:spacing w:line="400" w:lineRule="exact"/>
        <w:widowControl/>
        <w:rPr>
          <w:rFonts w:ascii="宋体" w:hAnsi="宋体"/>
          <w:sz w:val="24"/>
          <w:szCs w:val="24"/>
        </w:rPr>
      </w:pPr>
      <w:r>
        <w:rPr>
          <w:rFonts w:hint="eastAsia" w:ascii="宋体" w:hAnsi="宋体" w:cs="宋体"/>
          <w:sz w:val="24"/>
          <w:szCs w:val="24"/>
        </w:rPr>
        <w:t xml:space="preserve">1.采购人信息</w:t>
      </w:r>
      <w:r/>
    </w:p>
    <w:p>
      <w:pPr>
        <w:ind w:firstLine="720"/>
        <w:jc w:val="left"/>
        <w:spacing w:line="400" w:lineRule="exact"/>
        <w:rPr>
          <w:rFonts w:ascii="宋体" w:hAnsi="宋体"/>
          <w:sz w:val="24"/>
          <w:szCs w:val="24"/>
          <w:u w:val="single"/>
        </w:rPr>
      </w:pPr>
      <w:r>
        <w:rPr>
          <w:rFonts w:hint="eastAsia" w:ascii="宋体" w:hAnsi="宋体"/>
          <w:sz w:val="24"/>
          <w:szCs w:val="24"/>
        </w:rPr>
        <w:t xml:space="preserve">名 </w:t>
      </w:r>
      <w:r>
        <w:rPr>
          <w:rFonts w:ascii="宋体" w:hAnsi="宋体"/>
          <w:sz w:val="24"/>
          <w:szCs w:val="24"/>
        </w:rPr>
        <w:t xml:space="preserve"> </w:t>
      </w:r>
      <w:r>
        <w:rPr>
          <w:rFonts w:hint="eastAsia" w:ascii="宋体" w:hAnsi="宋体"/>
          <w:sz w:val="24"/>
          <w:szCs w:val="24"/>
        </w:rPr>
        <w:t xml:space="preserve">称：</w:t>
      </w:r>
      <w:r>
        <w:rPr>
          <w:rFonts w:hint="eastAsia" w:ascii="宋体" w:hAnsi="宋体"/>
          <w:sz w:val="24"/>
          <w:szCs w:val="24"/>
          <w:u w:val="single"/>
        </w:rPr>
        <w:t xml:space="preserve">江苏省大数据管理中心</w:t>
      </w:r>
      <w:r/>
    </w:p>
    <w:p>
      <w:pPr>
        <w:ind w:firstLine="720"/>
        <w:jc w:val="left"/>
        <w:spacing w:line="400" w:lineRule="exact"/>
        <w:rPr>
          <w:rFonts w:ascii="宋体" w:hAnsi="宋体"/>
          <w:sz w:val="24"/>
          <w:szCs w:val="24"/>
          <w:u w:val="single"/>
        </w:rPr>
      </w:pPr>
      <w:r>
        <w:rPr>
          <w:rFonts w:hint="eastAsia" w:ascii="宋体" w:hAnsi="宋体"/>
          <w:sz w:val="24"/>
          <w:szCs w:val="24"/>
        </w:rPr>
        <w:t xml:space="preserve">地 </w:t>
      </w:r>
      <w:r>
        <w:rPr>
          <w:rFonts w:ascii="宋体" w:hAnsi="宋体"/>
          <w:sz w:val="24"/>
          <w:szCs w:val="24"/>
        </w:rPr>
        <w:t xml:space="preserve"> </w:t>
      </w:r>
      <w:r>
        <w:rPr>
          <w:rFonts w:hint="eastAsia" w:ascii="宋体" w:hAnsi="宋体"/>
          <w:sz w:val="24"/>
          <w:szCs w:val="24"/>
        </w:rPr>
        <w:t xml:space="preserve">址：</w:t>
      </w:r>
      <w:r>
        <w:rPr>
          <w:rFonts w:hint="eastAsia" w:ascii="宋体" w:hAnsi="宋体"/>
          <w:sz w:val="24"/>
          <w:szCs w:val="24"/>
          <w:u w:val="single"/>
        </w:rPr>
        <w:t xml:space="preserve">南京市建邺区汉中门大街1</w:t>
      </w:r>
      <w:r>
        <w:rPr>
          <w:rFonts w:ascii="宋体" w:hAnsi="宋体"/>
          <w:sz w:val="24"/>
          <w:szCs w:val="24"/>
          <w:u w:val="single"/>
        </w:rPr>
        <w:t xml:space="preserve">45</w:t>
      </w:r>
      <w:r>
        <w:rPr>
          <w:rFonts w:hint="eastAsia" w:ascii="宋体" w:hAnsi="宋体"/>
          <w:sz w:val="24"/>
          <w:szCs w:val="24"/>
          <w:u w:val="single"/>
        </w:rPr>
        <w:t xml:space="preserve">号 </w:t>
      </w:r>
      <w:r/>
    </w:p>
    <w:p>
      <w:pPr>
        <w:ind w:firstLine="72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刘 </w:t>
      </w:r>
      <w:r>
        <w:rPr>
          <w:rFonts w:ascii="宋体" w:hAnsi="宋体"/>
          <w:sz w:val="24"/>
          <w:szCs w:val="24"/>
          <w:u w:val="single"/>
        </w:rPr>
        <w:t xml:space="preserve"> </w:t>
      </w:r>
      <w:r>
        <w:rPr>
          <w:rFonts w:hint="eastAsia" w:ascii="宋体" w:hAnsi="宋体"/>
          <w:sz w:val="24"/>
          <w:szCs w:val="24"/>
          <w:u w:val="single"/>
        </w:rPr>
        <w:t xml:space="preserve">尧  </w:t>
      </w:r>
      <w:r>
        <w:rPr>
          <w:rFonts w:hint="eastAsia" w:ascii="宋体" w:hAnsi="宋体"/>
          <w:sz w:val="24"/>
          <w:szCs w:val="24"/>
        </w:rPr>
        <w:t xml:space="preserve"> </w:t>
      </w:r>
      <w:r>
        <w:rPr>
          <w:rFonts w:ascii="宋体" w:hAnsi="宋体"/>
          <w:sz w:val="24"/>
          <w:szCs w:val="24"/>
        </w:rPr>
        <w:t xml:space="preserve">          </w:t>
      </w:r>
      <w:r/>
    </w:p>
    <w:p>
      <w:pPr>
        <w:ind w:firstLine="720"/>
        <w:jc w:val="left"/>
        <w:spacing w:line="400" w:lineRule="exact"/>
        <w:rPr>
          <w:rFonts w:ascii="宋体" w:hAnsi="宋体"/>
          <w:sz w:val="24"/>
          <w:szCs w:val="24"/>
        </w:rPr>
      </w:pPr>
      <w:r>
        <w:rPr>
          <w:rFonts w:hint="eastAsia" w:ascii="宋体" w:hAnsi="宋体"/>
          <w:sz w:val="24"/>
          <w:szCs w:val="24"/>
        </w:rPr>
        <w:t xml:space="preserve">联系方式：</w:t>
      </w:r>
      <w:r>
        <w:rPr>
          <w:rFonts w:ascii="宋体" w:hAnsi="宋体"/>
          <w:sz w:val="24"/>
          <w:szCs w:val="24"/>
          <w:u w:val="single"/>
        </w:rPr>
        <w:t xml:space="preserve">025-8366065</w:t>
      </w:r>
      <w:r>
        <w:rPr>
          <w:rFonts w:hint="eastAsia" w:ascii="宋体" w:hAnsi="宋体"/>
          <w:sz w:val="24"/>
          <w:szCs w:val="24"/>
          <w:u w:val="single"/>
        </w:rPr>
        <w:t xml:space="preserve">2</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p>
    <w:p>
      <w:pPr>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36"/>
      <w:r/>
      <w:bookmarkEnd w:id="37"/>
      <w:r/>
      <w:r/>
    </w:p>
    <w:p>
      <w:pPr>
        <w:ind w:firstLine="720"/>
        <w:spacing w:line="400" w:lineRule="exact"/>
        <w:rPr>
          <w:rFonts w:ascii="宋体" w:hAnsi="宋体"/>
          <w:sz w:val="24"/>
          <w:szCs w:val="24"/>
          <w:u w:val="single"/>
        </w:rPr>
      </w:pPr>
      <w:r>
        <w:rPr>
          <w:rFonts w:hint="eastAsia" w:ascii="宋体" w:hAnsi="宋体"/>
          <w:sz w:val="24"/>
          <w:szCs w:val="24"/>
        </w:rPr>
        <w:t xml:space="preserve">地　址：</w:t>
      </w:r>
      <w:r>
        <w:rPr>
          <w:rFonts w:hint="eastAsia" w:ascii="宋体" w:hAnsi="宋体"/>
          <w:sz w:val="24"/>
          <w:u w:val="single"/>
        </w:rPr>
        <w:t xml:space="preserve">南京市汉中门大街145号省政务中心二期3楼南区</w:t>
      </w:r>
      <w:r/>
    </w:p>
    <w:p>
      <w:pPr>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王建浩 许滢    </w:t>
      </w:r>
      <w:r/>
    </w:p>
    <w:p>
      <w:pPr>
        <w:ind w:firstLine="720"/>
        <w:spacing w:line="400" w:lineRule="exact"/>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　025-83668513　</w:t>
      </w:r>
      <w:r/>
    </w:p>
    <w:p>
      <w:pPr>
        <w:pStyle w:val="741"/>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t xml:space="preserve">http://www.ccgp-jiangsu.gov.cn/jiangsu/zlxz/ee/ee3a4bc5a3454aa2b0d9312230633ce9.html。</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right="840"/>
        <w:rPr>
          <w:rFonts w:ascii="宋体" w:hAnsi="宋体"/>
          <w:sz w:val="24"/>
          <w:szCs w:val="24"/>
        </w:rPr>
      </w:pPr>
      <w:r>
        <w:rPr>
          <w:rFonts w:ascii="宋体" w:hAnsi="宋体"/>
          <w:sz w:val="24"/>
          <w:szCs w:val="24"/>
        </w:rPr>
        <w:br w:type="page" w:clear="all"/>
      </w:r>
      <w:r/>
    </w:p>
    <w:p>
      <w:pPr>
        <w:pStyle w:val="740"/>
        <w:ind w:firstLine="2429"/>
        <w:jc w:val="both"/>
        <w:spacing w:line="480" w:lineRule="auto"/>
        <w:rPr>
          <w:rFonts w:ascii="黑体" w:eastAsia="黑体"/>
          <w:b w:val="0"/>
          <w:bCs w:val="0"/>
        </w:rPr>
      </w:pPr>
      <w:r/>
      <w:bookmarkStart w:id="43" w:name="_Toc120614211"/>
      <w:r>
        <w:rPr>
          <w:rFonts w:hint="eastAsia" w:ascii="黑体" w:eastAsia="黑体"/>
        </w:rPr>
        <w:t xml:space="preserve">第二章  </w:t>
      </w:r>
      <w:bookmarkEnd w:id="1"/>
      <w:r/>
      <w:bookmarkEnd w:id="2"/>
      <w:r/>
      <w:bookmarkEnd w:id="3"/>
      <w:r/>
      <w:bookmarkEnd w:id="4"/>
      <w:r/>
      <w:bookmarkEnd w:id="5"/>
      <w:r/>
      <w:bookmarkEnd w:id="43"/>
      <w:r/>
      <w:bookmarkStart w:id="44" w:name="_Toc513029202"/>
      <w:r/>
      <w:bookmarkStart w:id="45" w:name="_Toc20823274"/>
      <w:r/>
      <w:bookmarkStart w:id="46" w:name="_Toc120614213"/>
      <w:r/>
      <w:bookmarkStart w:id="47" w:name="_Toc16938518"/>
      <w:r>
        <w:rPr>
          <w:rFonts w:hint="eastAsia" w:ascii="黑体" w:eastAsia="黑体"/>
        </w:rPr>
        <w:t xml:space="preserve">投标人须知</w:t>
      </w:r>
      <w:bookmarkEnd w:id="44"/>
      <w:r/>
      <w:bookmarkEnd w:id="45"/>
      <w:r/>
      <w:bookmarkEnd w:id="46"/>
      <w:r/>
      <w:bookmarkEnd w:id="47"/>
      <w:r/>
      <w:r/>
    </w:p>
    <w:p>
      <w:pPr>
        <w:pStyle w:val="741"/>
        <w:ind w:firstLine="498"/>
        <w:spacing w:before="145" w:after="145" w:line="400" w:lineRule="exact"/>
      </w:pPr>
      <w:r/>
      <w:bookmarkStart w:id="48" w:name="_Toc513029203"/>
      <w:r/>
      <w:bookmarkStart w:id="49" w:name="_Toc16938519"/>
      <w:r/>
      <w:bookmarkStart w:id="50" w:name="_Toc20823275"/>
      <w:r/>
      <w:bookmarkStart w:id="51" w:name="_Toc120614214"/>
      <w:r>
        <w:rPr>
          <w:rFonts w:hint="eastAsia"/>
        </w:rPr>
        <w:t xml:space="preserve">一、总则</w:t>
      </w:r>
      <w:bookmarkEnd w:id="48"/>
      <w:r/>
      <w:bookmarkEnd w:id="49"/>
      <w:r/>
      <w:bookmarkEnd w:id="50"/>
      <w:r/>
      <w:bookmarkEnd w:id="51"/>
      <w:r/>
      <w:r/>
    </w:p>
    <w:p>
      <w:pPr>
        <w:pStyle w:val="742"/>
        <w:ind w:firstLine="420"/>
        <w:spacing w:before="0" w:after="0" w:line="400" w:lineRule="exact"/>
        <w:rPr>
          <w:b w:val="0"/>
          <w:bCs w:val="0"/>
        </w:rPr>
      </w:pPr>
      <w:r/>
      <w:bookmarkStart w:id="52" w:name="_Hlt16619475"/>
      <w:r/>
      <w:bookmarkEnd w:id="52"/>
      <w:r/>
      <w:bookmarkStart w:id="53" w:name="_Toc458694821"/>
      <w:r/>
      <w:bookmarkStart w:id="54" w:name="_Toc16938520"/>
      <w:r/>
      <w:bookmarkStart w:id="55" w:name="_Toc20823276"/>
      <w:r/>
      <w:bookmarkStart w:id="56" w:name="_Toc513029204"/>
      <w:r>
        <w:rPr>
          <w:rFonts w:hint="eastAsia"/>
          <w:b w:val="0"/>
          <w:bCs w:val="0"/>
        </w:rPr>
        <w:t xml:space="preserve">1</w:t>
      </w:r>
      <w:bookmarkEnd w:id="53"/>
      <w:r>
        <w:rPr>
          <w:rFonts w:hint="eastAsia"/>
          <w:b w:val="0"/>
          <w:bCs w:val="0"/>
        </w:rPr>
        <w:t xml:space="preserve">、招标方式</w:t>
      </w:r>
      <w:bookmarkEnd w:id="54"/>
      <w:r/>
      <w:bookmarkEnd w:id="55"/>
      <w:r/>
      <w:bookmarkEnd w:id="56"/>
      <w:r/>
      <w:r/>
    </w:p>
    <w:p>
      <w:pPr>
        <w:ind w:firstLine="480"/>
        <w:spacing w:line="4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742"/>
        <w:ind w:firstLine="420"/>
        <w:spacing w:before="0" w:after="0" w:line="400" w:lineRule="exact"/>
        <w:rPr>
          <w:b w:val="0"/>
          <w:bCs w:val="0"/>
        </w:rPr>
      </w:pPr>
      <w:r/>
      <w:bookmarkStart w:id="57" w:name="_Toc20823277"/>
      <w:r/>
      <w:bookmarkStart w:id="58" w:name="_Toc513029205"/>
      <w:r/>
      <w:bookmarkStart w:id="59" w:name="_Toc16938521"/>
      <w:r>
        <w:rPr>
          <w:rFonts w:hint="eastAsia"/>
          <w:b w:val="0"/>
          <w:bCs w:val="0"/>
        </w:rPr>
        <w:t xml:space="preserve">2、合格的投标人</w:t>
      </w:r>
      <w:bookmarkEnd w:id="57"/>
      <w:r/>
      <w:bookmarkEnd w:id="58"/>
      <w:r/>
      <w:bookmarkEnd w:id="59"/>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满足本文件实质性要求的规定。</w:t>
      </w:r>
      <w:r/>
    </w:p>
    <w:p>
      <w:pPr>
        <w:pStyle w:val="742"/>
        <w:ind w:firstLine="422"/>
        <w:spacing w:before="0" w:after="0" w:line="400" w:lineRule="exact"/>
      </w:pPr>
      <w:r/>
      <w:bookmarkStart w:id="60" w:name="_Toc20823278"/>
      <w:r/>
      <w:bookmarkStart w:id="61" w:name="_Toc513029206"/>
      <w:r/>
      <w:bookmarkStart w:id="62" w:name="_Toc16938522"/>
      <w:r>
        <w:rPr>
          <w:rFonts w:hint="eastAsia"/>
        </w:rPr>
        <w:t xml:space="preserve">3、适用法律</w:t>
      </w:r>
      <w:bookmarkEnd w:id="60"/>
      <w:r/>
      <w:bookmarkEnd w:id="61"/>
      <w:r/>
      <w:bookmarkEnd w:id="62"/>
      <w:r>
        <w:rPr>
          <w:rFonts w:hint="eastAsia"/>
        </w:rPr>
        <w:t xml:space="preserve">和标准</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ascii="宋体" w:hAnsi="宋体"/>
          <w:sz w:val="24"/>
        </w:rPr>
      </w:pPr>
      <w:r/>
      <w:bookmarkStart w:id="63" w:name="_Toc20823279"/>
      <w:r/>
      <w:bookmarkStart w:id="64" w:name="_Toc16938523"/>
      <w:r/>
      <w:bookmarkStart w:id="65" w:name="_Toc462564067"/>
      <w:r/>
      <w:bookmarkStart w:id="66" w:name="_Toc513029207"/>
      <w:r>
        <w:rPr>
          <w:rFonts w:hint="eastAsia" w:ascii="宋体" w:hAnsi="宋体"/>
          <w:sz w:val="24"/>
        </w:rPr>
        <w:t xml:space="preserve">3.2 在本项目政府采购活动过程中，如果所执行的标准有更新的，按照最新标准执行。</w:t>
      </w:r>
      <w:r/>
    </w:p>
    <w:p>
      <w:pPr>
        <w:pStyle w:val="742"/>
        <w:ind w:firstLine="420"/>
        <w:spacing w:before="0" w:after="0" w:line="400" w:lineRule="exact"/>
        <w:rPr>
          <w:b w:val="0"/>
          <w:bCs w:val="0"/>
        </w:rPr>
      </w:pPr>
      <w:r>
        <w:rPr>
          <w:rFonts w:hint="eastAsia"/>
          <w:b w:val="0"/>
          <w:bCs w:val="0"/>
        </w:rPr>
        <w:t xml:space="preserve">4、投标费用</w:t>
      </w:r>
      <w:bookmarkEnd w:id="63"/>
      <w:r/>
      <w:bookmarkEnd w:id="64"/>
      <w:r/>
      <w:bookmarkEnd w:id="65"/>
      <w:r/>
      <w:bookmarkEnd w:id="66"/>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742"/>
        <w:ind w:firstLine="602"/>
        <w:spacing w:before="0" w:after="0" w:line="40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41"/>
        <w:ind w:firstLine="321"/>
        <w:spacing w:before="145" w:after="145" w:line="400" w:lineRule="exact"/>
      </w:pPr>
      <w:r/>
      <w:bookmarkStart w:id="67" w:name="_Toc120614215"/>
      <w:r/>
      <w:bookmarkStart w:id="68" w:name="_Toc513029209"/>
      <w:r/>
      <w:bookmarkStart w:id="69" w:name="_Toc20823281"/>
      <w:r/>
      <w:bookmarkStart w:id="70" w:name="_Toc16938525"/>
      <w:r>
        <w:rPr>
          <w:rFonts w:hint="eastAsia"/>
        </w:rPr>
        <w:t xml:space="preserve">二、招标文件</w:t>
      </w:r>
      <w:bookmarkEnd w:id="67"/>
      <w:r/>
      <w:bookmarkEnd w:id="68"/>
      <w:r/>
      <w:bookmarkEnd w:id="69"/>
      <w:r/>
      <w:bookmarkEnd w:id="70"/>
      <w:r/>
      <w:r/>
    </w:p>
    <w:p>
      <w:pPr>
        <w:pStyle w:val="742"/>
        <w:ind w:firstLine="420"/>
        <w:spacing w:before="0" w:after="0" w:line="400" w:lineRule="exact"/>
        <w:rPr>
          <w:b w:val="0"/>
          <w:bCs w:val="0"/>
        </w:rPr>
      </w:pPr>
      <w:r/>
      <w:bookmarkStart w:id="71" w:name="_Toc20823282"/>
      <w:r/>
      <w:bookmarkStart w:id="72" w:name="_Toc16938526"/>
      <w:r/>
      <w:bookmarkStart w:id="73" w:name="_Toc513029210"/>
      <w:r>
        <w:rPr>
          <w:rFonts w:hint="eastAsia"/>
          <w:b w:val="0"/>
          <w:bCs w:val="0"/>
        </w:rPr>
        <w:t xml:space="preserve">6、招标文件构成</w:t>
      </w:r>
      <w:bookmarkEnd w:id="71"/>
      <w:r/>
      <w:bookmarkEnd w:id="72"/>
      <w:r/>
      <w:bookmarkEnd w:id="73"/>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rFonts w:ascii="宋体" w:hAnsi="宋体"/>
          <w:sz w:val="24"/>
          <w:szCs w:val="24"/>
        </w:rPr>
      </w:pPr>
      <w:r>
        <w:rPr>
          <w:rFonts w:hint="eastAsia" w:ascii="宋体" w:hAnsi="宋体"/>
          <w:sz w:val="24"/>
          <w:szCs w:val="24"/>
        </w:rPr>
        <w:t xml:space="preserve">（5）评标方法与评标标准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2"/>
        <w:ind w:firstLine="560"/>
        <w:spacing w:before="0" w:after="0" w:line="400" w:lineRule="exact"/>
        <w:rPr>
          <w:b w:val="0"/>
          <w:bCs w:val="0"/>
        </w:rPr>
      </w:pPr>
      <w:r/>
      <w:bookmarkStart w:id="74" w:name="_Toc462564071"/>
      <w:r/>
      <w:bookmarkStart w:id="75" w:name="_Toc16938528"/>
      <w:r/>
      <w:bookmarkStart w:id="76" w:name="_Toc20823284"/>
      <w:r/>
      <w:bookmarkStart w:id="77" w:name="_Toc513029212"/>
      <w:r>
        <w:rPr>
          <w:b w:val="0"/>
          <w:bCs w:val="0"/>
        </w:rPr>
        <w:t xml:space="preserve">7</w:t>
      </w:r>
      <w:r>
        <w:rPr>
          <w:rFonts w:hint="eastAsia"/>
          <w:b w:val="0"/>
          <w:bCs w:val="0"/>
        </w:rPr>
        <w:t xml:space="preserve">、招标文件的修改</w:t>
      </w:r>
      <w:bookmarkEnd w:id="74"/>
      <w:r/>
      <w:bookmarkEnd w:id="75"/>
      <w:r/>
      <w:bookmarkEnd w:id="76"/>
      <w:r/>
      <w:bookmarkEnd w:id="77"/>
      <w:r/>
      <w:r/>
    </w:p>
    <w:p>
      <w:pPr>
        <w:ind w:firstLine="48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41"/>
        <w:ind w:firstLine="482"/>
        <w:spacing w:before="145" w:after="145" w:line="400" w:lineRule="exact"/>
      </w:pPr>
      <w:r/>
      <w:bookmarkStart w:id="78" w:name="_Toc16938529"/>
      <w:r/>
      <w:bookmarkStart w:id="79" w:name="_Toc462564072"/>
      <w:r/>
      <w:bookmarkStart w:id="80" w:name="_Toc513029213"/>
      <w:r/>
      <w:bookmarkStart w:id="81" w:name="_Toc120614216"/>
      <w:r/>
      <w:bookmarkStart w:id="82" w:name="_Toc20823285"/>
      <w:r>
        <w:rPr>
          <w:rFonts w:hint="eastAsia"/>
        </w:rPr>
        <w:t xml:space="preserve">三、投标文件的编制</w:t>
      </w:r>
      <w:bookmarkEnd w:id="78"/>
      <w:r/>
      <w:bookmarkEnd w:id="79"/>
      <w:r/>
      <w:bookmarkEnd w:id="80"/>
      <w:r/>
      <w:bookmarkEnd w:id="81"/>
      <w:r/>
      <w:bookmarkEnd w:id="82"/>
      <w:r/>
      <w:r/>
    </w:p>
    <w:p>
      <w:pPr>
        <w:pStyle w:val="742"/>
        <w:ind w:firstLine="560"/>
        <w:spacing w:before="0" w:after="0" w:line="400" w:lineRule="exact"/>
        <w:rPr>
          <w:bCs w:val="0"/>
        </w:rPr>
      </w:pPr>
      <w:r/>
      <w:bookmarkStart w:id="83" w:name="_Toc16938530"/>
      <w:r/>
      <w:bookmarkStart w:id="84" w:name="_Toc462564073"/>
      <w:r/>
      <w:bookmarkStart w:id="85" w:name="_Toc20823286"/>
      <w:r/>
      <w:bookmarkStart w:id="86" w:name="_Toc513029214"/>
      <w:r>
        <w:rPr>
          <w:b w:val="0"/>
          <w:bCs w:val="0"/>
        </w:rPr>
        <w:t xml:space="preserve">8</w:t>
      </w:r>
      <w:r>
        <w:rPr>
          <w:rFonts w:hint="eastAsia"/>
          <w:b w:val="0"/>
          <w:bCs w:val="0"/>
        </w:rPr>
        <w:t xml:space="preserve">、投标文件的语言及度量衡单位</w:t>
      </w:r>
      <w:bookmarkEnd w:id="83"/>
      <w:r/>
      <w:bookmarkEnd w:id="84"/>
      <w:r/>
      <w:bookmarkEnd w:id="85"/>
      <w:r/>
      <w:bookmarkEnd w:id="86"/>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742"/>
        <w:ind w:firstLine="420"/>
        <w:spacing w:before="0" w:after="0" w:line="400" w:lineRule="exact"/>
        <w:rPr>
          <w:b w:val="0"/>
          <w:bCs w:val="0"/>
        </w:rPr>
      </w:pPr>
      <w:r/>
      <w:bookmarkStart w:id="87" w:name="_Toc462564074"/>
      <w:r/>
      <w:bookmarkStart w:id="88" w:name="_Toc20823287"/>
      <w:r/>
      <w:bookmarkStart w:id="89" w:name="_Toc16938531"/>
      <w:r/>
      <w:bookmarkStart w:id="90" w:name="_Toc513029215"/>
      <w:r>
        <w:rPr>
          <w:b w:val="0"/>
          <w:bCs w:val="0"/>
        </w:rPr>
        <w:t xml:space="preserve">9</w:t>
      </w:r>
      <w:r>
        <w:rPr>
          <w:rFonts w:hint="eastAsia"/>
          <w:b w:val="0"/>
          <w:bCs w:val="0"/>
        </w:rPr>
        <w:t xml:space="preserve">、投标文件构成</w:t>
      </w:r>
      <w:bookmarkEnd w:id="87"/>
      <w:r/>
      <w:bookmarkEnd w:id="88"/>
      <w:r/>
      <w:bookmarkEnd w:id="89"/>
      <w:r/>
      <w:bookmarkEnd w:id="90"/>
      <w:r/>
      <w:r/>
    </w:p>
    <w:p>
      <w:pPr>
        <w:ind w:firstLine="480"/>
        <w:spacing w:line="400" w:lineRule="exact"/>
        <w:rPr>
          <w:rFonts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742"/>
        <w:ind w:firstLine="420"/>
        <w:spacing w:before="0" w:after="0" w:line="400" w:lineRule="exact"/>
        <w:rPr>
          <w:b w:val="0"/>
          <w:bCs w:val="0"/>
        </w:rPr>
      </w:pPr>
      <w:r/>
      <w:bookmarkStart w:id="91" w:name="_Hlt26954838"/>
      <w:r/>
      <w:bookmarkEnd w:id="91"/>
      <w:r/>
      <w:bookmarkStart w:id="92" w:name="_Hlt26668975"/>
      <w:r/>
      <w:bookmarkEnd w:id="92"/>
      <w:r/>
      <w:bookmarkStart w:id="93" w:name="_Hlt26670360"/>
      <w:r/>
      <w:bookmarkEnd w:id="93"/>
      <w:r/>
      <w:bookmarkStart w:id="94" w:name="_Toc49090509"/>
      <w:r/>
      <w:bookmarkStart w:id="95" w:name="_Toc14577357"/>
      <w:r/>
      <w:bookmarkStart w:id="96" w:name="_Toc513029219"/>
      <w:r/>
      <w:bookmarkStart w:id="97" w:name="_Toc513029216"/>
      <w:r/>
      <w:bookmarkStart w:id="98" w:name="_Toc49090507"/>
      <w:r/>
      <w:bookmarkStart w:id="99"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4"/>
      <w:r/>
      <w:bookmarkEnd w:id="95"/>
      <w:r/>
      <w:bookmarkEnd w:id="96"/>
      <w:r/>
      <w:bookmarkEnd w:id="97"/>
      <w:r/>
      <w:bookmarkEnd w:id="98"/>
      <w:r/>
      <w:bookmarkEnd w:id="99"/>
      <w:r/>
      <w:r/>
    </w:p>
    <w:p>
      <w:pPr>
        <w:spacing w:line="400" w:lineRule="exact"/>
        <w:rPr>
          <w:rFonts w:ascii="宋体" w:hAnsi="宋体"/>
          <w:sz w:val="24"/>
          <w:szCs w:val="24"/>
        </w:rPr>
      </w:pPr>
      <w:r/>
      <w:bookmarkStart w:id="100" w:name="_Toc14577355"/>
      <w:r/>
      <w:bookmarkStart w:id="101"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742"/>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0"/>
      <w:r/>
      <w:bookmarkStart w:id="102" w:name="_Hlt26670373"/>
      <w:r/>
      <w:bookmarkEnd w:id="102"/>
      <w:r>
        <w:rPr>
          <w:rFonts w:hint="eastAsia"/>
          <w:b w:val="0"/>
          <w:bCs w:val="0"/>
        </w:rPr>
        <w:t xml:space="preserve">表</w:t>
      </w:r>
      <w:bookmarkEnd w:id="101"/>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3" w:name="_Hlt26954840"/>
      <w:r/>
      <w:bookmarkEnd w:id="103"/>
      <w:r>
        <w:rPr>
          <w:rFonts w:hint="eastAsia" w:ascii="宋体" w:hAnsi="宋体"/>
          <w:sz w:val="24"/>
        </w:rPr>
        <w:t xml:space="preserve">标人按照招标文件规定格式填报投标分项报价表</w:t>
      </w:r>
      <w:bookmarkStart w:id="104" w:name="_Hlt26670399"/>
      <w:r/>
      <w:bookmarkEnd w:id="104"/>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42"/>
        <w:ind w:firstLine="420"/>
        <w:spacing w:before="0" w:after="0" w:line="400" w:lineRule="exact"/>
        <w:rPr>
          <w:b w:val="0"/>
          <w:bCs w:val="0"/>
        </w:rPr>
      </w:pPr>
      <w:r/>
      <w:bookmarkStart w:id="105" w:name="_Hlt26668983"/>
      <w:r/>
      <w:bookmarkEnd w:id="105"/>
      <w:r/>
      <w:bookmarkStart w:id="106" w:name="_Hlt26954846"/>
      <w:r/>
      <w:bookmarkEnd w:id="106"/>
      <w:r/>
      <w:bookmarkStart w:id="107" w:name="_Hlt26954844"/>
      <w:r/>
      <w:bookmarkEnd w:id="107"/>
      <w:r/>
      <w:bookmarkStart w:id="108" w:name="_Hlt26670486"/>
      <w:r/>
      <w:bookmarkEnd w:id="108"/>
      <w:r/>
      <w:bookmarkStart w:id="109" w:name="_Hlt26670403"/>
      <w:r/>
      <w:bookmarkEnd w:id="109"/>
      <w:r/>
      <w:bookmarkStart w:id="110" w:name="_Hlt26670425"/>
      <w:r/>
      <w:bookmarkEnd w:id="110"/>
      <w:r/>
      <w:bookmarkStart w:id="111" w:name="_Hlt26670482"/>
      <w:r/>
      <w:bookmarkEnd w:id="111"/>
      <w:r/>
      <w:bookmarkStart w:id="112" w:name="_Hlt26954731"/>
      <w:r/>
      <w:bookmarkEnd w:id="112"/>
      <w:r/>
      <w:bookmarkStart w:id="113" w:name="_Hlt26954842"/>
      <w:r/>
      <w:bookmarkEnd w:id="113"/>
      <w:r/>
      <w:bookmarkStart w:id="114" w:name="_Hlt26954848"/>
      <w:r/>
      <w:bookmarkEnd w:id="114"/>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bookmarkStart w:id="115" w:name="_Toc14577359"/>
      <w:r/>
      <w:bookmarkStart w:id="116"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742"/>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5"/>
      <w:r/>
      <w:bookmarkEnd w:id="116"/>
      <w:r/>
      <w:r/>
    </w:p>
    <w:p>
      <w:pPr>
        <w:pStyle w:val="742"/>
        <w:ind w:firstLine="420"/>
        <w:spacing w:before="0" w:after="0" w:line="400" w:lineRule="exact"/>
        <w:rPr>
          <w:b w:val="0"/>
          <w:bCs w:val="0"/>
        </w:rPr>
      </w:pPr>
      <w:r/>
      <w:bookmarkStart w:id="117" w:name="_Hlt26954734"/>
      <w:r/>
      <w:bookmarkEnd w:id="117"/>
      <w:r/>
      <w:bookmarkStart w:id="118" w:name="_Hlt26670489"/>
      <w:r/>
      <w:bookmarkEnd w:id="118"/>
      <w:r/>
      <w:bookmarkStart w:id="119" w:name="_Hlt26954850"/>
      <w:r/>
      <w:bookmarkEnd w:id="119"/>
      <w:r/>
      <w:bookmarkStart w:id="120" w:name="_Toc14577360"/>
      <w:r/>
      <w:bookmarkStart w:id="121" w:name="_Toc49090511"/>
      <w:r>
        <w:rPr>
          <w:rFonts w:hint="eastAsia"/>
          <w:b w:val="0"/>
          <w:bCs w:val="0"/>
        </w:rPr>
        <w:t xml:space="preserve">1</w:t>
      </w:r>
      <w:r>
        <w:rPr>
          <w:b w:val="0"/>
          <w:bCs w:val="0"/>
        </w:rPr>
        <w:t xml:space="preserve">4</w:t>
      </w:r>
      <w:r>
        <w:rPr>
          <w:rFonts w:hint="eastAsia"/>
          <w:b w:val="0"/>
          <w:bCs w:val="0"/>
        </w:rPr>
        <w:t xml:space="preserve">、投标有效期</w:t>
      </w:r>
      <w:bookmarkEnd w:id="120"/>
      <w:r/>
      <w:bookmarkEnd w:id="121"/>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42"/>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41"/>
        <w:ind w:firstLine="482"/>
        <w:spacing w:before="145" w:after="145" w:line="400" w:lineRule="exact"/>
      </w:pPr>
      <w:r/>
      <w:bookmarkStart w:id="122" w:name="_Hlt26954852"/>
      <w:r/>
      <w:bookmarkEnd w:id="122"/>
      <w:r/>
      <w:bookmarkStart w:id="123" w:name="_Hlt26954739"/>
      <w:r/>
      <w:bookmarkEnd w:id="123"/>
      <w:r/>
      <w:bookmarkStart w:id="124" w:name="_Toc20823296"/>
      <w:r/>
      <w:bookmarkStart w:id="125" w:name="_Toc120614217"/>
      <w:r/>
      <w:bookmarkStart w:id="126" w:name="_Toc16938540"/>
      <w:r/>
      <w:bookmarkStart w:id="127" w:name="_Toc513029224"/>
      <w:r>
        <w:rPr>
          <w:rFonts w:hint="eastAsia"/>
        </w:rPr>
        <w:t xml:space="preserve">四、投标文件的递交</w:t>
      </w:r>
      <w:bookmarkEnd w:id="124"/>
      <w:r/>
      <w:bookmarkEnd w:id="125"/>
      <w:r/>
      <w:bookmarkEnd w:id="126"/>
      <w:r/>
      <w:bookmarkEnd w:id="127"/>
      <w:r/>
      <w:r/>
    </w:p>
    <w:p>
      <w:pPr>
        <w:pStyle w:val="742"/>
        <w:ind w:firstLine="560"/>
        <w:spacing w:before="0" w:after="0" w:line="400" w:lineRule="exact"/>
        <w:rPr>
          <w:rFonts w:ascii="黑体"/>
          <w:b w:val="0"/>
          <w:bCs w:val="0"/>
        </w:rPr>
      </w:pPr>
      <w:r/>
      <w:bookmarkStart w:id="128" w:name="_Toc16938541"/>
      <w:r/>
      <w:bookmarkStart w:id="129" w:name="_Toc513029225"/>
      <w:r/>
      <w:bookmarkStart w:id="130" w:name="_Toc462564084"/>
      <w:r/>
      <w:bookmarkStart w:id="131" w:name="_Toc20823297"/>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8"/>
      <w:r/>
      <w:bookmarkEnd w:id="129"/>
      <w:r/>
      <w:bookmarkEnd w:id="130"/>
      <w:r/>
      <w:bookmarkEnd w:id="131"/>
      <w:r>
        <w:rPr>
          <w:rFonts w:hint="eastAsia" w:ascii="黑体"/>
          <w:b w:val="0"/>
          <w:bCs w:val="0"/>
        </w:rPr>
        <w:t xml:space="preserve">的递交</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04"/>
        <w:ind w:left="525"/>
        <w:spacing w:line="40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2" w:name="_Toc20823298"/>
      <w:r/>
      <w:bookmarkStart w:id="133" w:name="_Toc16938542"/>
      <w:r/>
      <w:bookmarkStart w:id="134" w:name="_Toc513029226"/>
      <w:r/>
      <w:r/>
    </w:p>
    <w:p>
      <w:pPr>
        <w:pStyle w:val="742"/>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132"/>
      <w:r/>
      <w:bookmarkEnd w:id="133"/>
      <w:r/>
      <w:bookmarkEnd w:id="134"/>
      <w:r>
        <w:rPr>
          <w:rFonts w:hint="eastAsia"/>
          <w:b w:val="0"/>
        </w:rPr>
        <w:t xml:space="preserve">时间</w:t>
      </w:r>
      <w:r/>
    </w:p>
    <w:p>
      <w:pPr>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42"/>
        <w:ind w:firstLine="420"/>
        <w:spacing w:before="0" w:after="0" w:line="400" w:lineRule="exact"/>
        <w:rPr>
          <w:b w:val="0"/>
          <w:bCs w:val="0"/>
        </w:rPr>
      </w:pPr>
      <w:r/>
      <w:bookmarkStart w:id="135" w:name="_Toc16938543"/>
      <w:r/>
      <w:bookmarkStart w:id="136" w:name="_Toc513029227"/>
      <w:r/>
      <w:bookmarkStart w:id="137" w:name="_Toc20823299"/>
      <w:r>
        <w:rPr>
          <w:rFonts w:hint="eastAsia"/>
          <w:b w:val="0"/>
          <w:bCs w:val="0"/>
        </w:rPr>
        <w:t xml:space="preserve">1</w:t>
      </w:r>
      <w:r>
        <w:rPr>
          <w:b w:val="0"/>
          <w:bCs w:val="0"/>
        </w:rPr>
        <w:t xml:space="preserve">8</w:t>
      </w:r>
      <w:r>
        <w:rPr>
          <w:rFonts w:hint="eastAsia"/>
          <w:b w:val="0"/>
          <w:bCs w:val="0"/>
        </w:rPr>
        <w:t xml:space="preserve">、投标文件</w:t>
      </w:r>
      <w:bookmarkEnd w:id="135"/>
      <w:r/>
      <w:bookmarkEnd w:id="136"/>
      <w:r/>
      <w:bookmarkEnd w:id="137"/>
      <w:r>
        <w:rPr>
          <w:rFonts w:hint="eastAsia"/>
          <w:b w:val="0"/>
          <w:bCs w:val="0"/>
        </w:rPr>
        <w:t xml:space="preserve">的拒收</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742"/>
        <w:ind w:firstLine="420"/>
        <w:spacing w:before="0" w:after="0" w:line="400" w:lineRule="exact"/>
        <w:rPr>
          <w:b w:val="0"/>
          <w:bCs w:val="0"/>
        </w:rPr>
      </w:pPr>
      <w:r/>
      <w:bookmarkStart w:id="138" w:name="_Toc20823300"/>
      <w:r/>
      <w:bookmarkStart w:id="139" w:name="_Toc16938544"/>
      <w:r/>
      <w:bookmarkStart w:id="140" w:name="_Toc513029228"/>
      <w:r>
        <w:rPr>
          <w:b w:val="0"/>
          <w:bCs w:val="0"/>
        </w:rPr>
        <w:t xml:space="preserve">19</w:t>
      </w:r>
      <w:r>
        <w:rPr>
          <w:rFonts w:hint="eastAsia"/>
          <w:b w:val="0"/>
          <w:bCs w:val="0"/>
        </w:rPr>
        <w:t xml:space="preserve">、投标文件的撤回和修改</w:t>
      </w:r>
      <w:bookmarkEnd w:id="138"/>
      <w:r/>
      <w:bookmarkEnd w:id="139"/>
      <w:r/>
      <w:bookmarkEnd w:id="140"/>
      <w:r/>
      <w:r/>
    </w:p>
    <w:p>
      <w:pPr>
        <w:ind w:firstLine="480"/>
        <w:spacing w:line="400" w:lineRule="exact"/>
        <w:rPr>
          <w:rFonts w:ascii="宋体" w:hAnsi="宋体"/>
          <w:sz w:val="24"/>
        </w:rPr>
      </w:pPr>
      <w:r>
        <w:rPr>
          <w:rFonts w:hint="eastAsia" w:ascii="宋体" w:hAnsi="宋体"/>
          <w:sz w:val="24"/>
        </w:rPr>
        <w:t xml:space="preserve">19.1 投标文件的撤回</w:t>
      </w:r>
      <w:r/>
    </w:p>
    <w:p>
      <w:pPr>
        <w:ind w:firstLine="480"/>
        <w:spacing w:line="400" w:lineRule="exact"/>
        <w:rPr>
          <w:rFonts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19.2 投标文件的修改</w:t>
      </w:r>
      <w:r/>
    </w:p>
    <w:p>
      <w:pPr>
        <w:ind w:firstLine="480"/>
        <w:spacing w:line="400" w:lineRule="exact"/>
        <w:rPr>
          <w:rFonts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741"/>
        <w:ind w:firstLine="482"/>
        <w:spacing w:before="145" w:after="145" w:line="400" w:lineRule="exact"/>
      </w:pPr>
      <w:r/>
      <w:bookmarkStart w:id="141" w:name="_Toc513029229"/>
      <w:r/>
      <w:bookmarkStart w:id="142" w:name="_Toc120614218"/>
      <w:r/>
      <w:bookmarkStart w:id="143" w:name="_Toc20823301"/>
      <w:r/>
      <w:bookmarkStart w:id="144" w:name="_Toc16938545"/>
      <w:r>
        <w:rPr>
          <w:rFonts w:hint="eastAsia"/>
        </w:rPr>
        <w:t xml:space="preserve">五、开标与评标</w:t>
      </w:r>
      <w:bookmarkEnd w:id="141"/>
      <w:r/>
      <w:bookmarkEnd w:id="142"/>
      <w:r/>
      <w:bookmarkEnd w:id="143"/>
      <w:r/>
      <w:bookmarkEnd w:id="144"/>
      <w:r/>
      <w:r/>
    </w:p>
    <w:p>
      <w:pPr>
        <w:pStyle w:val="742"/>
        <w:ind w:firstLine="420"/>
        <w:spacing w:before="0" w:after="0" w:line="400" w:lineRule="exact"/>
        <w:rPr>
          <w:b w:val="0"/>
          <w:bCs w:val="0"/>
        </w:rPr>
      </w:pPr>
      <w:r/>
      <w:bookmarkStart w:id="145" w:name="_Toc16938546"/>
      <w:r/>
      <w:bookmarkStart w:id="146" w:name="_Toc20823302"/>
      <w:r/>
      <w:bookmarkStart w:id="147" w:name="_Toc513029230"/>
      <w:r>
        <w:rPr>
          <w:rFonts w:hint="eastAsia"/>
          <w:b w:val="0"/>
          <w:bCs w:val="0"/>
        </w:rPr>
        <w:t xml:space="preserve">2</w:t>
      </w:r>
      <w:r>
        <w:rPr>
          <w:b w:val="0"/>
          <w:bCs w:val="0"/>
        </w:rPr>
        <w:t xml:space="preserve">0</w:t>
      </w:r>
      <w:r>
        <w:rPr>
          <w:rFonts w:hint="eastAsia"/>
          <w:b w:val="0"/>
          <w:bCs w:val="0"/>
        </w:rPr>
        <w:t xml:space="preserve">、开标</w:t>
      </w:r>
      <w:bookmarkEnd w:id="145"/>
      <w:r/>
      <w:bookmarkEnd w:id="146"/>
      <w:r/>
      <w:bookmarkEnd w:id="147"/>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742"/>
        <w:ind w:firstLine="420"/>
        <w:spacing w:before="0" w:after="0" w:line="400" w:lineRule="exact"/>
        <w:rPr>
          <w:b w:val="0"/>
          <w:bCs w:val="0"/>
        </w:rPr>
      </w:pPr>
      <w:r/>
      <w:bookmarkStart w:id="148" w:name="_Toc20823303"/>
      <w:r/>
      <w:bookmarkStart w:id="149" w:name="_Toc513029231"/>
      <w:r/>
      <w:bookmarkStart w:id="150" w:name="_Toc16938547"/>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742"/>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8"/>
      <w:r/>
      <w:bookmarkEnd w:id="149"/>
      <w:r/>
      <w:bookmarkEnd w:id="150"/>
      <w:r/>
      <w:r/>
    </w:p>
    <w:p>
      <w:pPr>
        <w:ind w:firstLine="480"/>
        <w:spacing w:line="4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742"/>
        <w:ind w:firstLine="420"/>
        <w:spacing w:before="0" w:after="0" w:line="400" w:lineRule="exact"/>
        <w:rPr>
          <w:b w:val="0"/>
          <w:bCs w:val="0"/>
        </w:rPr>
      </w:pPr>
      <w:r/>
      <w:bookmarkStart w:id="151" w:name="_Toc513029232"/>
      <w:r/>
      <w:bookmarkStart w:id="152" w:name="_Toc16938548"/>
      <w:r/>
      <w:bookmarkStart w:id="153" w:name="_Toc20823304"/>
      <w:r>
        <w:rPr>
          <w:rFonts w:hint="eastAsia"/>
          <w:b w:val="0"/>
          <w:bCs w:val="0"/>
        </w:rPr>
        <w:t xml:space="preserve">2</w:t>
      </w:r>
      <w:r>
        <w:rPr>
          <w:b w:val="0"/>
          <w:bCs w:val="0"/>
        </w:rPr>
        <w:t xml:space="preserve">3</w:t>
      </w:r>
      <w:r>
        <w:rPr>
          <w:rFonts w:hint="eastAsia"/>
          <w:b w:val="0"/>
          <w:bCs w:val="0"/>
        </w:rPr>
        <w:t xml:space="preserve">、投标文件的澄清</w:t>
      </w:r>
      <w:bookmarkEnd w:id="151"/>
      <w:r/>
      <w:bookmarkEnd w:id="152"/>
      <w:r/>
      <w:bookmarkEnd w:id="153"/>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742"/>
        <w:ind w:firstLine="420"/>
        <w:spacing w:before="0" w:after="0" w:line="400" w:lineRule="exact"/>
        <w:rPr>
          <w:b w:val="0"/>
          <w:bCs w:val="0"/>
        </w:rPr>
      </w:pPr>
      <w:r/>
      <w:bookmarkStart w:id="154" w:name="_Toc20823305"/>
      <w:r/>
      <w:bookmarkStart w:id="155" w:name="_Toc16938549"/>
      <w:r/>
      <w:bookmarkStart w:id="156"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4"/>
      <w:r/>
      <w:bookmarkEnd w:id="155"/>
      <w:r/>
      <w:bookmarkEnd w:id="156"/>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57" w:name="_Toc16938550"/>
      <w:r/>
      <w:bookmarkStart w:id="158" w:name="_Toc20823306"/>
      <w:r/>
      <w:bookmarkStart w:id="159"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24.7 异常低价投标审查</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24.7.1 评标过程中出现下列情形之一的，评标委员会应当启动异常低价投标审查程序：</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（1）投标报价低于全部通过符合性审查供应商投标报价平均值</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的，即投标报价&lt;全部通过符合性审查供应商投标报价平均值×</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（2）投标报价低于通过符合性审查的次低报价供应商投标报价</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的，即投标报价&lt;通过符合性审查的次低报价供应商投标报价×</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（3）投标报价低于采购项目最高限价</w:t>
      </w:r>
      <w:r>
        <w:rPr>
          <w:rFonts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u w:val="single"/>
        </w:rPr>
        <w:t xml:space="preserve">%</w:t>
      </w:r>
      <w:r>
        <w:rPr>
          <w:rFonts w:hint="eastAsia" w:ascii="方正魏碑_GBK" w:hAnsi="方正魏碑_GBK" w:eastAsia="方正魏碑_GBK" w:cs="方正魏碑_GBK"/>
          <w:sz w:val="24"/>
        </w:rPr>
        <w:t xml:space="preserve">的，即投标报价&lt;采购项目最高限价×</w:t>
      </w:r>
      <w:r>
        <w:rPr>
          <w:rFonts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u w:val="single"/>
        </w:rPr>
        <w:t xml:space="preserve">%</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（4）评标委员会基于专业判断，认为供应商报价过低，有可能影响产品质量或者不能诚信履约的其他情形。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42"/>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57"/>
      <w:r/>
      <w:bookmarkEnd w:id="158"/>
      <w:r/>
      <w:bookmarkEnd w:id="159"/>
      <w:r>
        <w:rPr>
          <w:rFonts w:hint="eastAsia"/>
          <w:b w:val="0"/>
          <w:bCs w:val="0"/>
        </w:rPr>
        <w:t xml:space="preserve">无效投标条款和废标条款</w:t>
      </w:r>
      <w:r/>
    </w:p>
    <w:p>
      <w:pPr>
        <w:ind w:left="479"/>
        <w:spacing w:line="400" w:lineRule="exact"/>
        <w:rPr>
          <w:rFonts w:ascii="宋体" w:hAnsi="宋体"/>
          <w:bCs/>
          <w:sz w:val="24"/>
        </w:rPr>
      </w:pPr>
      <w:r/>
      <w:bookmarkStart w:id="160" w:name="_Toc16938551"/>
      <w:r/>
      <w:bookmarkStart w:id="161" w:name="_Toc20823307"/>
      <w:r/>
      <w:bookmarkStart w:id="162" w:name="_Toc513029235"/>
      <w:r>
        <w:rPr>
          <w:rFonts w:hint="eastAsia" w:ascii="宋体" w:hAnsi="宋体"/>
          <w:bCs/>
          <w:sz w:val="24"/>
        </w:rPr>
        <w:t xml:space="preserve">25.1无效投标条款</w:t>
      </w:r>
      <w:r/>
    </w:p>
    <w:p>
      <w:pPr>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ascii="宋体" w:hAnsi="宋体"/>
          <w:bCs/>
          <w:sz w:val="24"/>
        </w:rPr>
      </w:pPr>
      <w:r>
        <w:rPr>
          <w:rFonts w:hint="eastAsia" w:ascii="宋体" w:hAnsi="宋体"/>
          <w:bCs/>
          <w:sz w:val="24"/>
        </w:rPr>
        <w:t xml:space="preserve">25.1.13其他法律、法规及本招标文件规定的属无效投标的情形。</w:t>
      </w:r>
      <w:r/>
    </w:p>
    <w:p>
      <w:pPr>
        <w:ind w:left="479"/>
        <w:spacing w:line="400" w:lineRule="exact"/>
        <w:rPr>
          <w:rFonts w:ascii="宋体" w:hAnsi="宋体"/>
          <w:bCs/>
          <w:sz w:val="24"/>
        </w:rPr>
      </w:pPr>
      <w:r>
        <w:rPr>
          <w:rFonts w:hint="eastAsia" w:ascii="宋体" w:hAnsi="宋体"/>
          <w:bCs/>
          <w:sz w:val="24"/>
        </w:rPr>
        <w:t xml:space="preserve">25.2废标条款</w:t>
      </w:r>
      <w:r/>
    </w:p>
    <w:p>
      <w:pPr>
        <w:ind w:left="479"/>
        <w:spacing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741"/>
        <w:ind w:firstLine="482"/>
        <w:spacing w:before="145" w:after="145" w:line="400" w:lineRule="exact"/>
      </w:pPr>
      <w:r/>
      <w:bookmarkStart w:id="163" w:name="_Toc120614219"/>
      <w:r>
        <w:rPr>
          <w:rFonts w:hint="eastAsia"/>
        </w:rPr>
        <w:t xml:space="preserve">六、</w:t>
      </w:r>
      <w:bookmarkEnd w:id="160"/>
      <w:r/>
      <w:bookmarkEnd w:id="161"/>
      <w:r/>
      <w:bookmarkEnd w:id="162"/>
      <w:r>
        <w:rPr>
          <w:rFonts w:hint="eastAsia"/>
        </w:rPr>
        <w:t xml:space="preserve">定标</w:t>
      </w:r>
      <w:bookmarkEnd w:id="163"/>
      <w:r/>
      <w:r/>
    </w:p>
    <w:p>
      <w:pPr>
        <w:pStyle w:val="742"/>
        <w:ind w:firstLine="600"/>
        <w:spacing w:before="0" w:after="0" w:line="400" w:lineRule="exact"/>
        <w:rPr>
          <w:rFonts w:ascii="黑体" w:hAnsi="宋体" w:cs="Times New Roman"/>
          <w:b w:val="0"/>
          <w:sz w:val="30"/>
          <w:szCs w:val="30"/>
        </w:rPr>
      </w:pPr>
      <w:r/>
      <w:bookmarkStart w:id="164" w:name="_Toc513029238"/>
      <w:r/>
      <w:bookmarkStart w:id="165" w:name="_Toc16938554"/>
      <w:r/>
      <w:bookmarkStart w:id="166"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4"/>
      <w:r>
        <w:rPr>
          <w:rFonts w:hint="eastAsia" w:ascii="黑体" w:hAnsi="宋体" w:cs="Times New Roman"/>
          <w:b w:val="0"/>
          <w:sz w:val="30"/>
          <w:szCs w:val="30"/>
        </w:rPr>
        <w:t xml:space="preserve">确定</w:t>
      </w:r>
      <w:bookmarkEnd w:id="165"/>
      <w:r/>
      <w:bookmarkEnd w:id="166"/>
      <w:r>
        <w:rPr>
          <w:rFonts w:hint="eastAsia" w:ascii="黑体" w:hAnsi="宋体" w:cs="Times New Roman"/>
          <w:b w:val="0"/>
          <w:sz w:val="30"/>
          <w:szCs w:val="30"/>
        </w:rPr>
        <w:t xml:space="preserve">中标单位</w:t>
      </w:r>
      <w:r/>
    </w:p>
    <w:p>
      <w:pPr>
        <w:ind w:firstLine="480"/>
        <w:spacing w:line="400" w:lineRule="exact"/>
        <w:rPr>
          <w:rFonts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ascii="宋体" w:hAnsi="宋体"/>
          <w:bCs/>
          <w:sz w:val="24"/>
        </w:rPr>
      </w:pPr>
      <w:r>
        <w:rPr>
          <w:rFonts w:hint="eastAsia" w:ascii="宋体" w:hAnsi="宋体"/>
          <w:bCs/>
          <w:sz w:val="24"/>
        </w:rPr>
        <w:t xml:space="preserve">26.2 采购人应根据评标委员会推荐的中标候选人确定中标供应商。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ind w:firstLine="480"/>
        <w:spacing w:line="400" w:lineRule="exact"/>
        <w:rPr>
          <w:rFonts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7"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742"/>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7"/>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42"/>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41"/>
        <w:spacing w:before="145" w:after="145" w:line="400" w:lineRule="exact"/>
      </w:pPr>
      <w:r/>
      <w:bookmarkStart w:id="168" w:name="_Toc120614220"/>
      <w:r/>
      <w:bookmarkStart w:id="169" w:name="_Toc16938552"/>
      <w:r/>
      <w:bookmarkStart w:id="170" w:name="_Toc20823308"/>
      <w:r/>
      <w:bookmarkStart w:id="171" w:name="_Toc513029236"/>
      <w:r>
        <w:rPr>
          <w:rFonts w:hint="eastAsia"/>
        </w:rPr>
        <w:t xml:space="preserve">七、授予合同</w:t>
      </w:r>
      <w:bookmarkEnd w:id="168"/>
      <w:r/>
      <w:bookmarkEnd w:id="169"/>
      <w:r/>
      <w:bookmarkEnd w:id="170"/>
      <w:r/>
      <w:bookmarkEnd w:id="171"/>
      <w:r/>
      <w:r/>
    </w:p>
    <w:p>
      <w:pPr>
        <w:pStyle w:val="742"/>
        <w:ind w:firstLine="600"/>
        <w:spacing w:before="0" w:after="0" w:line="400" w:lineRule="exact"/>
        <w:rPr>
          <w:rFonts w:ascii="黑体" w:hAnsi="宋体" w:cs="Times New Roman"/>
          <w:b w:val="0"/>
          <w:sz w:val="30"/>
          <w:szCs w:val="30"/>
        </w:rPr>
      </w:pPr>
      <w:r/>
      <w:bookmarkStart w:id="172" w:name="_Toc20823309"/>
      <w:r/>
      <w:bookmarkStart w:id="173" w:name="_Toc16938553"/>
      <w:r/>
      <w:bookmarkStart w:id="174"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42"/>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2"/>
      <w:r/>
      <w:bookmarkEnd w:id="173"/>
      <w:r/>
      <w:bookmarkEnd w:id="174"/>
      <w:r/>
      <w:r/>
    </w:p>
    <w:p>
      <w:pPr>
        <w:pStyle w:val="742"/>
        <w:ind w:firstLine="600"/>
        <w:spacing w:before="0" w:after="0" w:line="400" w:lineRule="exact"/>
        <w:rPr>
          <w:rFonts w:ascii="黑体" w:hAnsi="宋体" w:cs="Times New Roman"/>
          <w:b w:val="0"/>
          <w:sz w:val="30"/>
          <w:szCs w:val="30"/>
        </w:rPr>
      </w:pPr>
      <w:r/>
      <w:bookmarkStart w:id="175" w:name="_Toc16938558"/>
      <w:r/>
      <w:bookmarkStart w:id="176" w:name="_Toc120614221"/>
      <w:r/>
      <w:bookmarkStart w:id="177" w:name="_Toc20823314"/>
      <w:r/>
      <w:bookmarkStart w:id="178" w:name="_Toc479757207"/>
      <w:r/>
      <w:bookmarkStart w:id="179" w:name="_Toc513029242"/>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752"/>
        <w:spacing w:line="400" w:lineRule="exact"/>
        <w:rPr>
          <w:rFonts w:ascii="宋体" w:hAnsi="宋体"/>
          <w:bCs/>
          <w:sz w:val="24"/>
        </w:rPr>
      </w:pPr>
      <w:r>
        <w:rPr>
          <w:rFonts w:hint="eastAsia" w:ascii="宋体" w:hAnsi="宋体"/>
          <w:bCs/>
          <w:sz w:val="24"/>
        </w:rPr>
        <w:t xml:space="preserve">中标供应商可凭政府采购合同办理融资贷款，详情请见江苏政府采购网“政采贷”专栏。</w:t>
      </w:r>
      <w:r/>
    </w:p>
    <w:p>
      <w:pPr>
        <w:jc w:val="left"/>
        <w:widowControl/>
        <w:rPr>
          <w:rFonts w:ascii="宋体" w:hAnsi="宋体"/>
          <w:bCs/>
          <w:sz w:val="24"/>
        </w:rPr>
      </w:pPr>
      <w:r>
        <w:rPr>
          <w:rFonts w:ascii="宋体" w:hAnsi="宋体"/>
          <w:bCs/>
          <w:sz w:val="24"/>
        </w:rPr>
        <w:br w:type="page" w:clear="all"/>
      </w:r>
      <w:r/>
    </w:p>
    <w:p>
      <w:pPr>
        <w:pStyle w:val="752"/>
        <w:ind w:firstLine="0"/>
        <w:spacing w:line="400" w:lineRule="exact"/>
        <w:rPr>
          <w:rFonts w:ascii="宋体" w:hAnsi="宋体"/>
          <w:bCs/>
          <w:sz w:val="24"/>
        </w:rPr>
      </w:pPr>
      <w:r>
        <w:rPr>
          <w:rFonts w:ascii="宋体" w:hAnsi="宋体"/>
          <w:bCs/>
          <w:sz w:val="24"/>
        </w:rPr>
      </w:r>
      <w:r/>
    </w:p>
    <w:p>
      <w:pPr>
        <w:pStyle w:val="739"/>
        <w:rPr>
          <w:rFonts w:ascii="黑体" w:eastAsia="黑体"/>
          <w:bCs/>
          <w:sz w:val="44"/>
        </w:rPr>
      </w:pPr>
      <w:r>
        <w:rPr>
          <w:rFonts w:hint="eastAsia" w:ascii="黑体" w:eastAsia="黑体"/>
          <w:bCs/>
          <w:sz w:val="44"/>
        </w:rPr>
        <w:t xml:space="preserve">第三章  合同</w:t>
      </w:r>
      <w:bookmarkEnd w:id="175"/>
      <w:r/>
      <w:bookmarkEnd w:id="176"/>
      <w:r/>
      <w:bookmarkEnd w:id="177"/>
      <w:r/>
      <w:bookmarkEnd w:id="178"/>
      <w:r/>
      <w:bookmarkEnd w:id="179"/>
      <w:r>
        <w:rPr>
          <w:rFonts w:hint="eastAsia" w:ascii="黑体" w:eastAsia="黑体"/>
          <w:bCs/>
          <w:sz w:val="44"/>
        </w:rPr>
        <w:t xml:space="preserve">文本</w:t>
      </w:r>
      <w:r/>
    </w:p>
    <w:p>
      <w:pPr>
        <w:jc w:val="center"/>
        <w:spacing w:before="145" w:after="145"/>
        <w:rPr>
          <w:rFonts w:ascii="宋体" w:hAnsi="宋体"/>
          <w:b/>
          <w:sz w:val="30"/>
        </w:rPr>
        <w:outlineLvl w:val="0"/>
      </w:pPr>
      <w:r/>
      <w:bookmarkStart w:id="180" w:name="_Toc513029243"/>
      <w:r/>
      <w:bookmarkStart w:id="181" w:name="_Toc20823315"/>
      <w:r/>
      <w:bookmarkStart w:id="182" w:name="_Toc16938559"/>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spacing w:before="120" w:after="120"/>
        <w:rPr>
          <w:rFonts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764"/>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764"/>
        <w:spacing w:before="120" w:after="120"/>
        <w:rPr>
          <w:rFonts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764"/>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764"/>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64"/>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64"/>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764"/>
        <w:spacing w:before="120" w:after="120"/>
        <w:rPr>
          <w:rFonts w:hAnsi="宋体"/>
          <w:sz w:val="24"/>
          <w:szCs w:val="24"/>
        </w:rPr>
      </w:pPr>
      <w:r>
        <w:rPr>
          <w:rFonts w:hint="eastAsia" w:hAnsi="宋体"/>
          <w:sz w:val="24"/>
          <w:szCs w:val="24"/>
        </w:rPr>
        <w:t xml:space="preserve">1.3 标的数量（规模）：</w:t>
      </w:r>
      <w:r/>
    </w:p>
    <w:p>
      <w:pPr>
        <w:pStyle w:val="764"/>
        <w:spacing w:before="120" w:after="120"/>
        <w:rPr>
          <w:rFonts w:hAnsi="宋体"/>
          <w:sz w:val="24"/>
          <w:szCs w:val="24"/>
        </w:rPr>
      </w:pPr>
      <w:r>
        <w:rPr>
          <w:rFonts w:hint="eastAsia" w:hAnsi="宋体"/>
          <w:sz w:val="24"/>
          <w:szCs w:val="24"/>
        </w:rPr>
        <w:t xml:space="preserve">1.4 履行时间（期限）：</w:t>
      </w:r>
      <w:r/>
    </w:p>
    <w:p>
      <w:pPr>
        <w:pStyle w:val="764"/>
        <w:spacing w:before="120" w:after="120"/>
        <w:rPr>
          <w:rFonts w:hAnsi="宋体"/>
          <w:sz w:val="24"/>
          <w:szCs w:val="24"/>
        </w:rPr>
      </w:pPr>
      <w:r>
        <w:rPr>
          <w:rFonts w:hint="eastAsia" w:hAnsi="宋体"/>
          <w:sz w:val="24"/>
          <w:szCs w:val="24"/>
        </w:rPr>
        <w:t xml:space="preserve">1.5 履行地点：</w:t>
      </w:r>
      <w:r/>
    </w:p>
    <w:p>
      <w:pPr>
        <w:pStyle w:val="764"/>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764"/>
        <w:spacing w:before="120" w:after="120"/>
        <w:rPr>
          <w:rFonts w:hAnsi="宋体"/>
          <w:b/>
          <w:sz w:val="24"/>
          <w:szCs w:val="24"/>
        </w:rPr>
      </w:pPr>
      <w:r>
        <w:rPr>
          <w:rFonts w:hAnsi="宋体"/>
          <w:b/>
          <w:sz w:val="24"/>
          <w:szCs w:val="24"/>
        </w:rPr>
        <w:t xml:space="preserve">二、合同金额</w:t>
      </w:r>
      <w:r/>
    </w:p>
    <w:p>
      <w:pPr>
        <w:pStyle w:val="764"/>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764"/>
        <w:spacing w:before="120" w:after="120"/>
        <w:rPr>
          <w:rFonts w:hAnsi="宋体"/>
          <w:b/>
          <w:sz w:val="24"/>
          <w:szCs w:val="24"/>
        </w:rPr>
      </w:pPr>
      <w:r>
        <w:rPr>
          <w:rFonts w:hAnsi="宋体"/>
          <w:b/>
          <w:sz w:val="24"/>
          <w:szCs w:val="24"/>
        </w:rPr>
        <w:t xml:space="preserve">三、技术资料</w:t>
      </w:r>
      <w:r/>
    </w:p>
    <w:p>
      <w:pPr>
        <w:pStyle w:val="764"/>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764"/>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64"/>
        <w:ind w:left="412" w:hanging="412"/>
        <w:spacing w:before="120" w:after="120"/>
        <w:rPr>
          <w:rFonts w:hAnsi="宋体"/>
          <w:b/>
          <w:sz w:val="24"/>
          <w:szCs w:val="24"/>
        </w:rPr>
      </w:pPr>
      <w:r>
        <w:rPr>
          <w:rFonts w:hAnsi="宋体"/>
          <w:b/>
          <w:sz w:val="24"/>
          <w:szCs w:val="24"/>
        </w:rPr>
        <w:t xml:space="preserve">四、知识产权</w:t>
      </w:r>
      <w:r/>
    </w:p>
    <w:p>
      <w:pPr>
        <w:pStyle w:val="764"/>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64"/>
        <w:spacing w:before="120" w:after="120"/>
        <w:rPr>
          <w:rFonts w:hAnsi="宋体"/>
          <w:sz w:val="24"/>
          <w:szCs w:val="24"/>
          <w:u w:val="single"/>
        </w:rPr>
      </w:pPr>
      <w:r>
        <w:rPr>
          <w:rFonts w:hAnsi="宋体"/>
          <w:b/>
          <w:sz w:val="24"/>
          <w:szCs w:val="24"/>
        </w:rPr>
        <w:t xml:space="preserve">五、产权担保</w:t>
      </w:r>
      <w:r/>
    </w:p>
    <w:p>
      <w:pPr>
        <w:pStyle w:val="764"/>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764"/>
        <w:ind w:left="410" w:hanging="410"/>
        <w:spacing w:before="120" w:after="120"/>
        <w:rPr>
          <w:rFonts w:hAnsi="宋体"/>
          <w:b/>
          <w:sz w:val="24"/>
          <w:szCs w:val="24"/>
        </w:rPr>
      </w:pPr>
      <w:r>
        <w:rPr>
          <w:rFonts w:hAnsi="宋体"/>
          <w:b/>
          <w:sz w:val="24"/>
          <w:szCs w:val="24"/>
        </w:rPr>
        <w:t xml:space="preserve">六、履约保证金</w:t>
      </w:r>
      <w:r/>
    </w:p>
    <w:p>
      <w:pPr>
        <w:pStyle w:val="764"/>
        <w:ind w:left="408" w:hanging="408"/>
        <w:spacing w:before="120" w:after="120"/>
        <w:rPr>
          <w:rFonts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764"/>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764"/>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764"/>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764"/>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764"/>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7.1乙方不得将合同标的转包给他人履行。</w:t>
      </w:r>
      <w:r/>
    </w:p>
    <w:p>
      <w:pPr>
        <w:spacing w:before="145" w:after="145"/>
        <w:rPr>
          <w:rFonts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764"/>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p>
    <w:p>
      <w:pPr>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764"/>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64"/>
        <w:ind w:left="480" w:hanging="480"/>
        <w:spacing w:before="120" w:after="120"/>
        <w:rPr>
          <w:rFonts w:hAnsi="宋体"/>
          <w:sz w:val="24"/>
          <w:szCs w:val="24"/>
        </w:rPr>
      </w:pPr>
      <w:r>
        <w:rPr>
          <w:rFonts w:hint="eastAsia" w:hAnsi="宋体"/>
          <w:sz w:val="24"/>
          <w:szCs w:val="24"/>
        </w:rPr>
        <w:t xml:space="preserve">10.1 甲方依法组织履约验收工作。</w:t>
      </w:r>
      <w:r/>
    </w:p>
    <w:p>
      <w:pPr>
        <w:pStyle w:val="764"/>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64"/>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p>
    <w:p>
      <w:pPr>
        <w:pStyle w:val="764"/>
        <w:ind w:left="480" w:hanging="480"/>
        <w:spacing w:before="120" w:after="120"/>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64"/>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64"/>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6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6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6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6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6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64"/>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6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6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6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6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764"/>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64"/>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6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6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76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64"/>
        <w:ind w:left="480" w:hanging="480"/>
        <w:spacing w:before="120" w:after="120" w:line="0" w:lineRule="atLeast"/>
        <w:rPr>
          <w:rFonts w:hAnsi="宋体"/>
          <w:sz w:val="24"/>
          <w:szCs w:val="24"/>
        </w:rPr>
      </w:pPr>
      <w:r>
        <w:rPr>
          <w:rFonts w:hAnsi="宋体"/>
          <w:sz w:val="24"/>
          <w:szCs w:val="24"/>
        </w:rPr>
        <w:t xml:space="preserve">  甲方：                        乙方： </w:t>
      </w:r>
      <w:r/>
    </w:p>
    <w:p>
      <w:pPr>
        <w:pStyle w:val="764"/>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64"/>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64"/>
        <w:ind w:firstLine="240"/>
        <w:spacing w:before="120" w:after="120" w:line="0" w:lineRule="atLeast"/>
      </w:pPr>
      <w:r>
        <w:rPr>
          <w:rFonts w:hint="eastAsia" w:hAnsi="宋体"/>
          <w:sz w:val="24"/>
          <w:szCs w:val="24"/>
        </w:rPr>
        <w:t xml:space="preserve">联系电话：                    联系电话：          </w:t>
      </w:r>
      <w:r/>
    </w:p>
    <w:p>
      <w:pPr>
        <w:pStyle w:val="764"/>
        <w:jc w:val="center"/>
        <w:spacing w:before="120" w:after="120" w:line="0" w:lineRule="atLeast"/>
      </w:pPr>
      <w:r>
        <w:rPr>
          <w:rFonts w:hint="eastAsia"/>
        </w:rPr>
        <w:t xml:space="preserve">                                         </w:t>
      </w:r>
      <w:r/>
    </w:p>
    <w:p>
      <w:pPr>
        <w:pStyle w:val="764"/>
        <w:jc w:val="right"/>
        <w:spacing w:before="120" w:after="120" w:line="0" w:lineRule="atLeast"/>
        <w:rPr>
          <w:sz w:val="24"/>
          <w:szCs w:val="24"/>
        </w:rPr>
      </w:pPr>
      <w:r>
        <w:rPr>
          <w:rFonts w:hint="eastAsia"/>
          <w:sz w:val="24"/>
          <w:szCs w:val="24"/>
        </w:rPr>
        <w:t xml:space="preserve"> </w:t>
      </w:r>
      <w:r/>
    </w:p>
    <w:p>
      <w:pPr>
        <w:pStyle w:val="764"/>
        <w:jc w:val="center"/>
        <w:spacing w:before="120" w:after="120"/>
        <w:rPr>
          <w:rFonts w:ascii="黑体" w:hAnsi="Times New Roman" w:eastAsia="黑体" w:cs="Times New Roman"/>
          <w:bCs/>
          <w:color w:val="000000"/>
          <w:sz w:val="44"/>
          <w:szCs w:val="28"/>
        </w:rPr>
        <w:outlineLvl w:val="0"/>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0"/>
      <w:r/>
      <w:bookmarkEnd w:id="181"/>
      <w:r/>
      <w:bookmarkEnd w:id="182"/>
      <w:r/>
      <w:bookmarkStart w:id="183" w:name="_Hlt16619369"/>
      <w:r/>
      <w:bookmarkEnd w:id="183"/>
      <w:r/>
      <w:bookmarkStart w:id="184" w:name="_Toc16938590"/>
      <w:r/>
      <w:bookmarkStart w:id="185" w:name="_Hlt16619350"/>
      <w:r/>
      <w:bookmarkStart w:id="186" w:name="_Toc20823346"/>
      <w:r/>
      <w:bookmarkStart w:id="187" w:name="_Toc120614244"/>
      <w:r/>
      <w:bookmarkStart w:id="188" w:name="_Toc479757211"/>
      <w:r/>
      <w:bookmarkStart w:id="189" w:name="_Toc462564139"/>
      <w:r>
        <w:rPr>
          <w:rFonts w:ascii="黑体" w:eastAsia="黑体"/>
          <w:bCs/>
          <w:sz w:val="44"/>
        </w:rPr>
        <w:br w:type="page" w:clear="all"/>
      </w:r>
      <w:bookmarkEnd w:id="184"/>
      <w:r/>
      <w:bookmarkEnd w:id="185"/>
      <w:r/>
      <w:bookmarkEnd w:id="186"/>
      <w:r/>
      <w:bookmarkEnd w:id="187"/>
      <w:r/>
      <w:bookmarkStart w:id="190" w:name="_Toc26554093"/>
      <w:r/>
      <w:bookmarkStart w:id="191" w:name="_Toc120614281"/>
      <w:r/>
      <w:bookmarkStart w:id="192" w:name="_Toc49090575"/>
      <w:r>
        <w:rPr>
          <w:rFonts w:hint="eastAsia" w:ascii="黑体" w:hAnsi="Times New Roman" w:eastAsia="黑体" w:cs="Times New Roman"/>
          <w:bCs/>
          <w:color w:val="000000"/>
          <w:sz w:val="44"/>
          <w:szCs w:val="28"/>
        </w:rPr>
        <w:t xml:space="preserve">第四章 </w:t>
      </w:r>
      <w:r>
        <w:rPr>
          <w:rFonts w:ascii="黑体" w:hAnsi="Times New Roman" w:eastAsia="黑体" w:cs="Times New Roman"/>
          <w:bCs/>
          <w:color w:val="000000"/>
          <w:sz w:val="44"/>
          <w:szCs w:val="28"/>
        </w:rPr>
        <w:t xml:space="preserve"> </w:t>
      </w:r>
      <w:r>
        <w:rPr>
          <w:rFonts w:hint="eastAsia" w:ascii="黑体" w:hAnsi="Times New Roman" w:eastAsia="黑体" w:cs="Times New Roman"/>
          <w:bCs/>
          <w:color w:val="000000"/>
          <w:sz w:val="44"/>
          <w:szCs w:val="28"/>
        </w:rPr>
        <w:t xml:space="preserve">采购需求</w:t>
      </w:r>
      <w:r/>
    </w:p>
    <w:p>
      <w:pPr>
        <w:pStyle w:val="783"/>
        <w:ind w:firstLine="474"/>
        <w:jc w:val="both"/>
        <w:spacing w:before="0" w:beforeAutospacing="0" w:after="0" w:afterAutospacing="0" w:line="0" w:lineRule="atLeast"/>
        <w:widowControl w:val="off"/>
        <w:rPr>
          <w:b/>
          <w:bCs/>
          <w:color w:val="000000"/>
        </w:rPr>
      </w:pPr>
      <w:r>
        <w:rPr>
          <w:b/>
          <w:bCs/>
          <w:color w:val="000000"/>
        </w:rPr>
      </w:r>
      <w:r/>
    </w:p>
    <w:p>
      <w:pPr>
        <w:pStyle w:val="783"/>
        <w:ind w:firstLine="474"/>
        <w:jc w:val="both"/>
        <w:spacing w:before="0" w:beforeAutospacing="0" w:after="0" w:afterAutospacing="0" w:line="0" w:lineRule="atLeast"/>
        <w:widowControl w:val="off"/>
      </w:pPr>
      <w:r>
        <w:rPr>
          <w:rFonts w:hint="eastAsia"/>
          <w:b/>
          <w:bCs/>
          <w:color w:val="000000"/>
        </w:rPr>
        <w:t xml:space="preserve">一、采购标的清单</w:t>
      </w:r>
      <w:r/>
    </w:p>
    <w:tbl>
      <w:tblPr>
        <w:tblStyle w:val="749"/>
        <w:tblW w:w="0" w:type="auto"/>
        <w:jc w:val="center"/>
        <w:tblCellSpacing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276"/>
        <w:gridCol w:w="3969"/>
        <w:gridCol w:w="3787"/>
      </w:tblGrid>
      <w:tr>
        <w:trPr>
          <w:jc w:val="center"/>
          <w:tblCellSpacing w:w="0" w:type="dxa"/>
          <w:trHeight w:val="454"/>
        </w:trPr>
        <w:tc>
          <w:tcPr>
            <w:shd w:val="clear" w:color="auto" w:fill="e7e6e6"/>
            <w:tcBorders>
              <w:top w:val="single" w:color="000000" w:sz="2" w:space="0"/>
              <w:left w:val="single" w:color="000000" w:sz="2" w:space="0"/>
              <w:bottom w:val="single" w:color="000000" w:sz="2" w:space="0"/>
              <w:right w:val="single" w:color="000000" w:sz="2" w:space="0"/>
            </w:tcBorders>
            <w:tcMar>
              <w:left w:w="108" w:type="dxa"/>
              <w:right w:w="108" w:type="dxa"/>
            </w:tcMar>
            <w:tcW w:w="1276" w:type="dxa"/>
            <w:vAlign w:val="center"/>
            <w:textDirection w:val="lrTb"/>
            <w:noWrap w:val="false"/>
          </w:tcPr>
          <w:p>
            <w:pPr>
              <w:pStyle w:val="783"/>
              <w:jc w:val="center"/>
              <w:spacing w:before="0" w:beforeAutospacing="0" w:after="0" w:afterAutospacing="0"/>
              <w:widowControl w:val="off"/>
              <w:rPr>
                <w:rFonts w:asciiTheme="minorEastAsia" w:hAnsiTheme="minorEastAsia" w:eastAsiaTheme="minorEastAsia"/>
              </w:rPr>
            </w:pPr>
            <w:r>
              <w:rPr>
                <w:rFonts w:cs="方正仿宋_GBK" w:asciiTheme="minorEastAsia" w:hAnsiTheme="minorEastAsia" w:eastAsiaTheme="minorEastAsia"/>
                <w:color w:val="000000"/>
              </w:rPr>
              <w:t xml:space="preserve">采购包号</w:t>
            </w:r>
            <w:r/>
          </w:p>
        </w:tc>
        <w:tc>
          <w:tcPr>
            <w:shd w:val="clear" w:color="auto" w:fill="e7e6e6"/>
            <w:tcBorders>
              <w:top w:val="single" w:color="000000" w:sz="2" w:space="0"/>
              <w:left w:val="single" w:color="000000" w:sz="2" w:space="0"/>
              <w:bottom w:val="single" w:color="000000" w:sz="2" w:space="0"/>
              <w:right w:val="single" w:color="000000" w:sz="2" w:space="0"/>
            </w:tcBorders>
            <w:tcMar>
              <w:left w:w="108" w:type="dxa"/>
              <w:right w:w="108" w:type="dxa"/>
            </w:tcMar>
            <w:tcW w:w="3969" w:type="dxa"/>
            <w:vAlign w:val="center"/>
            <w:textDirection w:val="lrTb"/>
            <w:noWrap w:val="false"/>
          </w:tcPr>
          <w:p>
            <w:pPr>
              <w:pStyle w:val="783"/>
              <w:ind w:firstLine="412"/>
              <w:jc w:val="center"/>
              <w:spacing w:before="0" w:beforeAutospacing="0" w:after="0" w:afterAutospacing="0"/>
              <w:widowControl w:val="off"/>
              <w:rPr>
                <w:rFonts w:asciiTheme="minorEastAsia" w:hAnsiTheme="minorEastAsia" w:eastAsiaTheme="minorEastAsia"/>
              </w:rPr>
            </w:pPr>
            <w:r>
              <w:rPr>
                <w:rFonts w:cs="方正仿宋_GBK" w:asciiTheme="minorEastAsia" w:hAnsiTheme="minorEastAsia" w:eastAsiaTheme="minorEastAsia"/>
                <w:color w:val="000000"/>
              </w:rPr>
              <w:t xml:space="preserve">采购标的</w:t>
            </w:r>
            <w:r/>
          </w:p>
        </w:tc>
        <w:tc>
          <w:tcPr>
            <w:shd w:val="clear" w:color="auto" w:fill="e7e6e6"/>
            <w:tcBorders>
              <w:top w:val="single" w:color="000000" w:sz="2" w:space="0"/>
              <w:left w:val="single" w:color="000000" w:sz="2" w:space="0"/>
              <w:bottom w:val="single" w:color="000000" w:sz="2" w:space="0"/>
              <w:right w:val="single" w:color="000000" w:sz="2" w:space="0"/>
            </w:tcBorders>
            <w:tcMar>
              <w:left w:w="108" w:type="dxa"/>
              <w:right w:w="108" w:type="dxa"/>
            </w:tcMar>
            <w:tcW w:w="3787" w:type="dxa"/>
            <w:vAlign w:val="center"/>
            <w:textDirection w:val="lrTb"/>
            <w:noWrap w:val="false"/>
          </w:tcPr>
          <w:p>
            <w:pPr>
              <w:pStyle w:val="783"/>
              <w:jc w:val="center"/>
              <w:spacing w:before="0" w:beforeAutospacing="0" w:after="0" w:afterAutospacing="0"/>
              <w:widowControl w:val="off"/>
              <w:rPr>
                <w:rFonts w:asciiTheme="minorEastAsia" w:hAnsiTheme="minorEastAsia" w:eastAsiaTheme="minorEastAsia"/>
              </w:rPr>
            </w:pPr>
            <w:r>
              <w:rPr>
                <w:rFonts w:cs="方正仿宋_GBK" w:asciiTheme="minorEastAsia" w:hAnsiTheme="minorEastAsia" w:eastAsiaTheme="minorEastAsia"/>
                <w:color w:val="000000"/>
              </w:rPr>
              <w:t xml:space="preserve">对应中小企业划分标准所属行业</w:t>
            </w:r>
            <w:r/>
          </w:p>
        </w:tc>
      </w:tr>
      <w:tr>
        <w:trPr>
          <w:jc w:val="center"/>
          <w:tblCellSpacing w:w="0" w:type="dxa"/>
          <w:trHeight w:val="39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76" w:type="dxa"/>
            <w:vAlign w:val="center"/>
            <w:textDirection w:val="lrTb"/>
            <w:noWrap w:val="false"/>
          </w:tcPr>
          <w:p>
            <w:pPr>
              <w:pStyle w:val="783"/>
              <w:jc w:val="center"/>
              <w:spacing w:before="0" w:beforeAutospacing="0" w:after="0" w:afterAutospacing="0"/>
              <w:widowControl w:val="off"/>
              <w:rPr>
                <w:rFonts w:asciiTheme="minorEastAsia" w:hAnsiTheme="minorEastAsia" w:eastAsiaTheme="minorEastAsia"/>
              </w:rPr>
            </w:pPr>
            <w:r>
              <w:rPr>
                <w:rFonts w:cs="Times New Roman" w:asciiTheme="minorEastAsia" w:hAnsiTheme="minorEastAsia" w:eastAsiaTheme="minorEastAsia"/>
                <w:color w:val="000000"/>
                <w:sz w:val="21"/>
                <w:szCs w:val="21"/>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3969" w:type="dxa"/>
            <w:vAlign w:val="center"/>
            <w:textDirection w:val="lrTb"/>
            <w:noWrap w:val="false"/>
          </w:tcPr>
          <w:p>
            <w:pPr>
              <w:pStyle w:val="783"/>
              <w:ind w:firstLine="412"/>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color w:val="000000"/>
              </w:rPr>
              <w:t xml:space="preserve">融合视频会议运行服务</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3787" w:type="dxa"/>
            <w:vAlign w:val="center"/>
            <w:textDirection w:val="lrTb"/>
            <w:noWrap w:val="false"/>
          </w:tcPr>
          <w:p>
            <w:pPr>
              <w:pStyle w:val="783"/>
              <w:ind w:firstLine="412"/>
              <w:jc w:val="center"/>
              <w:spacing w:before="0" w:beforeAutospacing="0" w:after="0" w:afterAutospacing="0"/>
              <w:widowControl w:val="off"/>
              <w:rPr>
                <w:rFonts w:asciiTheme="minorEastAsia" w:hAnsiTheme="minorEastAsia" w:eastAsiaTheme="minorEastAsia"/>
              </w:rPr>
            </w:pPr>
            <w:r>
              <w:rPr>
                <w:rFonts w:hint="eastAsia" w:asciiTheme="minorEastAsia" w:hAnsiTheme="minorEastAsia" w:eastAsiaTheme="minorEastAsia"/>
                <w:color w:val="000000"/>
              </w:rPr>
              <w:t xml:space="preserve">软件和信息技术服务业</w:t>
            </w:r>
            <w:r/>
          </w:p>
        </w:tc>
      </w:tr>
    </w:tbl>
    <w:p>
      <w:pPr>
        <w:ind w:firstLine="480"/>
        <w:spacing w:line="440" w:lineRule="exact"/>
        <w:rPr>
          <w:sz w:val="24"/>
          <w:szCs w:val="24"/>
        </w:rPr>
      </w:pPr>
      <w:r>
        <w:rPr>
          <w:sz w:val="24"/>
          <w:szCs w:val="24"/>
        </w:rPr>
        <w:t xml:space="preserve">项目属性：服务类</w:t>
      </w:r>
      <w:r/>
    </w:p>
    <w:p>
      <w:pPr>
        <w:ind w:firstLine="480"/>
        <w:spacing w:line="440" w:lineRule="exact"/>
        <w:rPr>
          <w:sz w:val="24"/>
          <w:szCs w:val="24"/>
        </w:rPr>
      </w:pPr>
      <w:r>
        <w:rPr>
          <w:sz w:val="24"/>
          <w:szCs w:val="24"/>
        </w:rPr>
        <w:t xml:space="preserve">预算金额：179万元</w:t>
      </w:r>
      <w:r/>
    </w:p>
    <w:p>
      <w:pPr>
        <w:ind w:firstLine="480"/>
        <w:spacing w:line="440" w:lineRule="exact"/>
        <w:rPr>
          <w:sz w:val="24"/>
          <w:szCs w:val="24"/>
        </w:rPr>
      </w:pPr>
      <w:r>
        <w:rPr>
          <w:sz w:val="24"/>
          <w:szCs w:val="24"/>
        </w:rPr>
        <w:t xml:space="preserve">最高限价：179万元</w:t>
      </w:r>
      <w:r/>
    </w:p>
    <w:p>
      <w:pPr>
        <w:ind w:firstLine="480"/>
        <w:spacing w:line="440" w:lineRule="exact"/>
        <w:rPr>
          <w:sz w:val="24"/>
          <w:szCs w:val="24"/>
        </w:rPr>
      </w:pPr>
      <w:r>
        <w:rPr>
          <w:sz w:val="24"/>
          <w:szCs w:val="24"/>
        </w:rPr>
        <w:t xml:space="preserve">服务期限：合同签订之日起一年</w:t>
      </w:r>
      <w:r/>
    </w:p>
    <w:p>
      <w:pPr>
        <w:numPr>
          <w:ilvl w:val="0"/>
          <w:numId w:val="5"/>
        </w:numPr>
        <w:spacing w:line="440" w:lineRule="exact"/>
        <w:rPr>
          <w:rFonts w:ascii="宋体" w:hAnsi="宋体"/>
          <w:b/>
          <w:color w:val="000000"/>
          <w:sz w:val="24"/>
          <w:szCs w:val="24"/>
        </w:rPr>
      </w:pPr>
      <w:r>
        <w:rPr>
          <w:rFonts w:hint="eastAsia" w:ascii="宋体" w:hAnsi="宋体"/>
          <w:b/>
          <w:color w:val="000000"/>
          <w:sz w:val="24"/>
          <w:szCs w:val="24"/>
        </w:rPr>
        <w:t xml:space="preserve">服务内容</w:t>
      </w:r>
      <w:r/>
    </w:p>
    <w:p>
      <w:pPr>
        <w:ind w:firstLine="480"/>
        <w:spacing w:line="440" w:lineRule="exact"/>
        <w:rPr>
          <w:rFonts w:ascii="宋体" w:hAnsi="宋体" w:cs="宋体"/>
          <w:sz w:val="24"/>
          <w:szCs w:val="24"/>
        </w:rPr>
      </w:pPr>
      <w:r>
        <w:rPr>
          <w:rFonts w:hint="eastAsia" w:ascii="宋体" w:hAnsi="宋体" w:cs="宋体"/>
          <w:sz w:val="24"/>
          <w:szCs w:val="24"/>
        </w:rPr>
        <w:t xml:space="preserve">投标人需对招标文件服务要求所有内容进行逐条明确响应，标注“▲”的为关键条款（具体规则详见评标方法与评标标准）。</w:t>
      </w:r>
      <w:r>
        <w:rPr>
          <w:rFonts w:hint="eastAsia" w:ascii="宋体" w:hAnsi="宋体" w:cs="宋体"/>
          <w:i/>
          <w:iCs/>
          <w:sz w:val="24"/>
          <w:szCs w:val="24"/>
          <w:u w:val="single"/>
        </w:rPr>
        <w:t xml:space="preserve">加斜体下划线的要求为必须满足的实质性要求</w:t>
      </w:r>
      <w:r>
        <w:rPr>
          <w:rFonts w:hint="eastAsia" w:ascii="宋体" w:hAnsi="宋体" w:cs="宋体"/>
          <w:sz w:val="24"/>
          <w:szCs w:val="24"/>
        </w:rPr>
        <w:t xml:space="preserve">。</w:t>
      </w:r>
      <w:r/>
    </w:p>
    <w:p>
      <w:pPr>
        <w:ind w:firstLine="480"/>
        <w:spacing w:line="440" w:lineRule="exact"/>
        <w:rPr>
          <w:rFonts w:ascii="宋体" w:hAnsi="宋体" w:cs="宋体"/>
          <w:sz w:val="24"/>
          <w:szCs w:val="24"/>
        </w:rPr>
      </w:pPr>
      <w:r>
        <w:rPr>
          <w:rFonts w:ascii="宋体" w:hAnsi="宋体" w:cs="宋体"/>
          <w:sz w:val="24"/>
          <w:szCs w:val="24"/>
        </w:rPr>
        <w:t xml:space="preserve">依托</w:t>
      </w:r>
      <w:r>
        <w:rPr>
          <w:rFonts w:hint="eastAsia" w:ascii="宋体" w:hAnsi="宋体" w:cs="宋体"/>
          <w:sz w:val="24"/>
          <w:szCs w:val="24"/>
        </w:rPr>
        <w:t xml:space="preserve">省政务云、网基础设施，</w:t>
      </w:r>
      <w:r>
        <w:rPr>
          <w:rFonts w:ascii="宋体" w:hAnsi="宋体" w:cs="宋体"/>
          <w:sz w:val="24"/>
          <w:szCs w:val="24"/>
        </w:rPr>
        <w:t xml:space="preserve">整合</w:t>
      </w:r>
      <w:r>
        <w:rPr>
          <w:rFonts w:hint="eastAsia" w:ascii="宋体" w:hAnsi="宋体" w:cs="宋体"/>
          <w:sz w:val="24"/>
          <w:szCs w:val="24"/>
        </w:rPr>
        <w:t xml:space="preserve">系统资源、</w:t>
      </w:r>
      <w:r>
        <w:rPr>
          <w:rFonts w:ascii="宋体" w:hAnsi="宋体" w:cs="宋体"/>
          <w:sz w:val="24"/>
          <w:szCs w:val="24"/>
        </w:rPr>
        <w:t xml:space="preserve">扩展应用场景，</w:t>
      </w:r>
      <w:r>
        <w:rPr>
          <w:rFonts w:hint="eastAsia" w:ascii="宋体" w:hAnsi="宋体" w:cs="宋体"/>
          <w:sz w:val="24"/>
          <w:szCs w:val="24"/>
        </w:rPr>
        <w:t xml:space="preserve">搭建融合视频会议服务平台，</w:t>
      </w:r>
      <w:r>
        <w:rPr>
          <w:rFonts w:ascii="宋体" w:hAnsi="宋体" w:cs="宋体"/>
          <w:sz w:val="24"/>
          <w:szCs w:val="24"/>
        </w:rPr>
        <w:t xml:space="preserve">实现</w:t>
      </w:r>
      <w:r>
        <w:rPr>
          <w:rFonts w:hint="eastAsia" w:ascii="宋体" w:hAnsi="宋体" w:cs="宋体"/>
          <w:sz w:val="24"/>
          <w:szCs w:val="24"/>
        </w:rPr>
        <w:t xml:space="preserve">全省</w:t>
      </w:r>
      <w:r>
        <w:rPr>
          <w:rFonts w:ascii="宋体" w:hAnsi="宋体" w:cs="宋体"/>
          <w:sz w:val="24"/>
          <w:szCs w:val="24"/>
        </w:rPr>
        <w:t xml:space="preserve">横向到边、纵向到底的</w:t>
      </w:r>
      <w:r>
        <w:rPr>
          <w:rFonts w:hint="eastAsia" w:ascii="宋体" w:hAnsi="宋体" w:cs="宋体"/>
          <w:sz w:val="24"/>
          <w:szCs w:val="24"/>
        </w:rPr>
        <w:t xml:space="preserve">融合视频会议服务支撑能力</w:t>
      </w:r>
      <w:r>
        <w:rPr>
          <w:rFonts w:ascii="宋体" w:hAnsi="宋体" w:cs="宋体"/>
          <w:sz w:val="24"/>
          <w:szCs w:val="24"/>
        </w:rPr>
        <w:t xml:space="preserve">。</w:t>
      </w:r>
      <w:r>
        <w:rPr>
          <w:rFonts w:hint="eastAsia" w:ascii="宋体" w:hAnsi="宋体" w:cs="宋体"/>
          <w:sz w:val="24"/>
          <w:szCs w:val="24"/>
        </w:rPr>
        <w:t xml:space="preserve">服务内容主要包括：升级优化、平台运维、终端运营、会议保障等。</w:t>
      </w:r>
      <w:r/>
    </w:p>
    <w:p>
      <w:pPr>
        <w:ind w:firstLine="480"/>
        <w:spacing w:line="440" w:lineRule="exact"/>
        <w:rPr>
          <w:rFonts w:ascii="宋体" w:hAnsi="宋体" w:cs="宋体"/>
          <w:sz w:val="24"/>
          <w:szCs w:val="24"/>
        </w:rPr>
      </w:pPr>
      <w:r>
        <w:rPr>
          <w:rFonts w:ascii="宋体" w:hAnsi="宋体" w:cs="宋体"/>
          <w:sz w:val="24"/>
          <w:szCs w:val="24"/>
        </w:rPr>
      </w:r>
      <w:r/>
    </w:p>
    <w:p>
      <w:pPr>
        <w:numPr>
          <w:ilvl w:val="0"/>
          <w:numId w:val="5"/>
        </w:numPr>
        <w:spacing w:line="440" w:lineRule="exact"/>
        <w:rPr>
          <w:rFonts w:ascii="宋体" w:hAnsi="宋体"/>
          <w:b/>
          <w:color w:val="000000"/>
          <w:sz w:val="24"/>
          <w:szCs w:val="24"/>
        </w:rPr>
      </w:pPr>
      <w:r>
        <w:rPr>
          <w:rFonts w:hint="eastAsia" w:ascii="宋体" w:hAnsi="宋体"/>
          <w:b/>
          <w:color w:val="000000"/>
          <w:sz w:val="24"/>
          <w:szCs w:val="24"/>
        </w:rPr>
        <w:t xml:space="preserve">服务要求</w:t>
      </w:r>
      <w:r/>
    </w:p>
    <w:p>
      <w:pPr>
        <w:numPr>
          <w:ilvl w:val="0"/>
          <w:numId w:val="6"/>
        </w:numPr>
        <w:ind w:firstLine="482"/>
        <w:spacing w:line="440" w:lineRule="exact"/>
        <w:rPr>
          <w:rFonts w:ascii="宋体" w:hAnsi="宋体" w:cs="宋体"/>
          <w:b/>
          <w:sz w:val="24"/>
          <w:szCs w:val="24"/>
        </w:rPr>
      </w:pPr>
      <w:r>
        <w:rPr>
          <w:rFonts w:hint="eastAsia" w:ascii="宋体" w:hAnsi="宋体" w:cs="宋体"/>
          <w:b/>
          <w:sz w:val="24"/>
          <w:szCs w:val="24"/>
        </w:rPr>
        <w:t xml:space="preserve">升级优化</w:t>
      </w:r>
      <w:r/>
    </w:p>
    <w:p>
      <w:pPr>
        <w:ind w:firstLine="480"/>
        <w:spacing w:line="440" w:lineRule="exact"/>
        <w:rPr>
          <w:sz w:val="24"/>
          <w:szCs w:val="24"/>
        </w:rPr>
      </w:pPr>
      <w:r>
        <w:rPr>
          <w:rFonts w:hint="eastAsia"/>
          <w:sz w:val="24"/>
          <w:szCs w:val="24"/>
        </w:rPr>
        <w:t xml:space="preserve">提升</w:t>
      </w:r>
      <w:r>
        <w:rPr>
          <w:sz w:val="24"/>
          <w:szCs w:val="24"/>
        </w:rPr>
        <w:t xml:space="preserve">会议服务能力</w:t>
      </w:r>
      <w:r>
        <w:rPr>
          <w:rFonts w:hint="eastAsia"/>
          <w:sz w:val="24"/>
          <w:szCs w:val="24"/>
        </w:rPr>
        <w:t xml:space="preserve">。</w:t>
      </w:r>
      <w:r>
        <w:rPr>
          <w:sz w:val="24"/>
          <w:szCs w:val="24"/>
        </w:rPr>
        <w:t xml:space="preserve">封装形成融合视频</w:t>
      </w:r>
      <w:r>
        <w:rPr>
          <w:rFonts w:hint="eastAsia"/>
          <w:sz w:val="24"/>
          <w:szCs w:val="24"/>
        </w:rPr>
        <w:t xml:space="preserve">会议</w:t>
      </w:r>
      <w:r>
        <w:rPr>
          <w:sz w:val="24"/>
          <w:szCs w:val="24"/>
        </w:rPr>
        <w:t xml:space="preserve">服务组件，</w:t>
      </w:r>
      <w:r>
        <w:rPr>
          <w:rFonts w:hint="eastAsia"/>
          <w:sz w:val="24"/>
          <w:szCs w:val="24"/>
        </w:rPr>
        <w:t xml:space="preserve">包括但不限于：</w:t>
      </w:r>
      <w:r>
        <w:rPr>
          <w:rFonts w:hint="eastAsia" w:ascii="宋体" w:hAnsi="宋体" w:cs="宋体"/>
          <w:sz w:val="24"/>
          <w:szCs w:val="24"/>
        </w:rPr>
        <w:t xml:space="preserve">大中型会议组件、小型会议组件、移动会议组件和软件接入组件等；组件</w:t>
      </w:r>
      <w:r>
        <w:rPr>
          <w:sz w:val="24"/>
          <w:szCs w:val="24"/>
        </w:rPr>
        <w:t xml:space="preserve">上架至“苏政源”组件超市</w:t>
      </w:r>
      <w:r>
        <w:rPr>
          <w:rFonts w:hint="eastAsia"/>
          <w:sz w:val="24"/>
          <w:szCs w:val="24"/>
        </w:rPr>
        <w:t xml:space="preserve">，</w:t>
      </w:r>
      <w:r>
        <w:rPr>
          <w:sz w:val="24"/>
          <w:szCs w:val="24"/>
        </w:rPr>
        <w:t xml:space="preserve">支持以API和SDK等方式对外提供服务</w:t>
      </w:r>
      <w:r>
        <w:rPr>
          <w:rFonts w:hint="eastAsia"/>
          <w:sz w:val="24"/>
          <w:szCs w:val="24"/>
        </w:rPr>
        <w:t xml:space="preserve">；</w:t>
      </w:r>
      <w:r>
        <w:rPr>
          <w:sz w:val="24"/>
          <w:szCs w:val="24"/>
        </w:rPr>
        <w:t xml:space="preserve">配合建立融合视频会议组件运营管理机制</w:t>
      </w:r>
      <w:r>
        <w:rPr>
          <w:rFonts w:hint="eastAsia"/>
          <w:sz w:val="24"/>
          <w:szCs w:val="24"/>
        </w:rPr>
        <w:t xml:space="preserve">。</w:t>
      </w:r>
      <w:r>
        <w:rPr>
          <w:sz w:val="24"/>
          <w:szCs w:val="24"/>
        </w:rPr>
        <w:t xml:space="preserve">支撑省级部门单位融合视频会议场景服务。</w:t>
      </w:r>
      <w:r/>
    </w:p>
    <w:p>
      <w:pPr>
        <w:ind w:firstLine="480"/>
        <w:spacing w:line="440" w:lineRule="exact"/>
        <w:rPr>
          <w:sz w:val="24"/>
          <w:szCs w:val="24"/>
        </w:rPr>
      </w:pPr>
      <w:r>
        <w:rPr>
          <w:rFonts w:hint="eastAsia"/>
          <w:sz w:val="24"/>
          <w:szCs w:val="24"/>
        </w:rPr>
        <w:t xml:space="preserve">强化</w:t>
      </w:r>
      <w:r>
        <w:rPr>
          <w:sz w:val="24"/>
          <w:szCs w:val="24"/>
        </w:rPr>
        <w:t xml:space="preserve">终端接入能力</w:t>
      </w:r>
      <w:r>
        <w:rPr>
          <w:rFonts w:hint="eastAsia"/>
          <w:sz w:val="24"/>
          <w:szCs w:val="24"/>
        </w:rPr>
        <w:t xml:space="preserve">。升级优化融合视频会议服务平台架构，支持视频终端并发接入能力扩展；支持不低于600路视频会议终端并发接入。</w:t>
      </w:r>
      <w:r/>
    </w:p>
    <w:p>
      <w:pPr>
        <w:ind w:firstLine="480"/>
        <w:spacing w:line="440" w:lineRule="exact"/>
        <w:rPr>
          <w:sz w:val="24"/>
          <w:szCs w:val="24"/>
        </w:rPr>
      </w:pPr>
      <w:r>
        <w:rPr>
          <w:rFonts w:hint="eastAsia"/>
          <w:sz w:val="24"/>
          <w:szCs w:val="24"/>
        </w:rPr>
        <w:t xml:space="preserve">优化</w:t>
      </w:r>
      <w:r>
        <w:rPr>
          <w:sz w:val="24"/>
          <w:szCs w:val="24"/>
        </w:rPr>
        <w:t xml:space="preserve">平台适配能力</w:t>
      </w:r>
      <w:r>
        <w:rPr>
          <w:rFonts w:hint="eastAsia"/>
          <w:sz w:val="24"/>
          <w:szCs w:val="24"/>
        </w:rPr>
        <w:t xml:space="preserve">。</w:t>
      </w:r>
      <w:r>
        <w:rPr>
          <w:sz w:val="24"/>
          <w:szCs w:val="24"/>
        </w:rPr>
        <w:t xml:space="preserve">开展终端接入适配改造，适配既有省级部门单位视频会议终端</w:t>
      </w:r>
      <w:r>
        <w:rPr>
          <w:rFonts w:hint="eastAsia"/>
          <w:sz w:val="24"/>
          <w:szCs w:val="24"/>
        </w:rPr>
        <w:t xml:space="preserve">（</w:t>
      </w:r>
      <w:r>
        <w:rPr>
          <w:sz w:val="24"/>
          <w:szCs w:val="24"/>
        </w:rPr>
        <w:t xml:space="preserve">不少于2个品牌</w:t>
      </w:r>
      <w:r>
        <w:rPr>
          <w:rFonts w:hint="eastAsia"/>
          <w:sz w:val="24"/>
          <w:szCs w:val="24"/>
        </w:rPr>
        <w:t xml:space="preserve">）</w:t>
      </w:r>
      <w:r>
        <w:rPr>
          <w:sz w:val="24"/>
          <w:szCs w:val="24"/>
        </w:rPr>
        <w:t xml:space="preserve">接入，实现利旧终端一体管控。</w:t>
      </w:r>
      <w:r/>
    </w:p>
    <w:p>
      <w:pPr>
        <w:numPr>
          <w:ilvl w:val="0"/>
          <w:numId w:val="6"/>
        </w:numPr>
        <w:ind w:firstLine="482"/>
        <w:spacing w:line="440" w:lineRule="exact"/>
        <w:rPr>
          <w:rFonts w:ascii="宋体" w:hAnsi="宋体" w:cs="宋体"/>
          <w:b/>
          <w:sz w:val="24"/>
          <w:szCs w:val="24"/>
        </w:rPr>
      </w:pPr>
      <w:r>
        <w:rPr>
          <w:rFonts w:hint="eastAsia" w:ascii="宋体" w:hAnsi="宋体" w:cs="宋体"/>
          <w:b/>
          <w:sz w:val="24"/>
          <w:szCs w:val="24"/>
        </w:rPr>
        <w:t xml:space="preserve">平台运维</w:t>
      </w:r>
      <w:r/>
    </w:p>
    <w:p>
      <w:pPr>
        <w:ind w:firstLine="480"/>
        <w:spacing w:line="440" w:lineRule="exact"/>
      </w:pPr>
      <w:r>
        <w:rPr>
          <w:rFonts w:hint="eastAsia" w:ascii="宋体" w:hAnsi="宋体" w:cs="宋体"/>
          <w:sz w:val="24"/>
          <w:szCs w:val="24"/>
        </w:rPr>
        <w:t xml:space="preserve">包括</w:t>
      </w:r>
      <w:r>
        <w:rPr>
          <w:rFonts w:ascii="宋体" w:hAnsi="宋体" w:cs="宋体"/>
          <w:sz w:val="24"/>
          <w:szCs w:val="24"/>
        </w:rPr>
        <w:t xml:space="preserve">全省融合视频会议服务平台</w:t>
      </w:r>
      <w:r>
        <w:rPr>
          <w:rFonts w:hint="eastAsia" w:ascii="宋体" w:hAnsi="宋体" w:cs="宋体"/>
          <w:sz w:val="24"/>
          <w:szCs w:val="24"/>
        </w:rPr>
        <w:t xml:space="preserve">的</w:t>
      </w:r>
      <w:r>
        <w:rPr>
          <w:rFonts w:ascii="宋体" w:hAnsi="宋体" w:cs="宋体"/>
          <w:sz w:val="24"/>
          <w:szCs w:val="24"/>
        </w:rPr>
        <w:t xml:space="preserve">巡检和维护、硬件故障处理、软件升级及故障处理、突发应急处理、会议运行监测管理</w:t>
      </w:r>
      <w:r>
        <w:rPr>
          <w:rFonts w:hint="eastAsia" w:ascii="宋体" w:hAnsi="宋体" w:cs="宋体"/>
          <w:sz w:val="24"/>
          <w:szCs w:val="24"/>
        </w:rPr>
        <w:t xml:space="preserve">、安全运维和重要时期保障</w:t>
      </w:r>
      <w:r>
        <w:rPr>
          <w:rFonts w:ascii="宋体" w:hAnsi="宋体" w:cs="宋体"/>
          <w:sz w:val="24"/>
          <w:szCs w:val="24"/>
        </w:rPr>
        <w:t xml:space="preserve">等</w:t>
      </w:r>
      <w:r>
        <w:rPr>
          <w:rFonts w:hint="eastAsia" w:ascii="宋体" w:hAnsi="宋体" w:cs="宋体"/>
          <w:sz w:val="24"/>
          <w:szCs w:val="24"/>
        </w:rPr>
        <w:t xml:space="preserve">服务</w:t>
      </w:r>
      <w:r>
        <w:rPr>
          <w:rFonts w:hint="eastAsia" w:asciiTheme="minorEastAsia" w:hAnsiTheme="minorEastAsia" w:eastAsiaTheme="minorEastAsia" w:cstheme="minorEastAsia"/>
          <w:sz w:val="24"/>
          <w:szCs w:val="24"/>
        </w:rPr>
        <w:t xml:space="preserve">。投标人须提供1年不少于1人岗7×8小时驻场运维，重要时期保障须提供不少于1人岗7×24小时驻场运维。</w:t>
      </w:r>
      <w:r/>
    </w:p>
    <w:p>
      <w:pPr>
        <w:numPr>
          <w:ilvl w:val="0"/>
          <w:numId w:val="6"/>
        </w:numPr>
        <w:ind w:firstLine="482"/>
        <w:spacing w:line="440" w:lineRule="exact"/>
        <w:rPr>
          <w:rFonts w:ascii="宋体" w:hAnsi="宋体" w:cs="宋体"/>
          <w:b/>
          <w:sz w:val="24"/>
          <w:szCs w:val="24"/>
        </w:rPr>
      </w:pPr>
      <w:r>
        <w:rPr>
          <w:rFonts w:hint="eastAsia" w:ascii="宋体" w:hAnsi="宋体" w:cs="宋体"/>
          <w:b/>
          <w:sz w:val="24"/>
          <w:szCs w:val="24"/>
        </w:rPr>
        <w:t xml:space="preserve">终端运营</w:t>
      </w:r>
      <w:r/>
    </w:p>
    <w:p>
      <w:pPr>
        <w:ind w:firstLine="480"/>
        <w:spacing w:line="440" w:lineRule="exact"/>
        <w:rPr>
          <w:rFonts w:ascii="宋体" w:hAnsi="宋体" w:cs="宋体"/>
          <w:sz w:val="24"/>
          <w:szCs w:val="24"/>
        </w:rPr>
      </w:pPr>
      <w:r>
        <w:rPr>
          <w:rFonts w:hint="eastAsia" w:ascii="宋体" w:hAnsi="宋体" w:cs="宋体"/>
          <w:sz w:val="24"/>
          <w:szCs w:val="24"/>
        </w:rPr>
        <w:t xml:space="preserve">提供不低于200个会议终端（含大中型会议终端、小型会议终端、移动会议终端和软件终端）接入运营保障服务，详见“技术要求”。</w:t>
      </w:r>
      <w:r/>
    </w:p>
    <w:p>
      <w:pPr>
        <w:numPr>
          <w:ilvl w:val="0"/>
          <w:numId w:val="6"/>
        </w:numPr>
        <w:ind w:firstLine="482"/>
        <w:spacing w:line="440" w:lineRule="exact"/>
        <w:rPr>
          <w:rFonts w:ascii="宋体" w:hAnsi="宋体" w:cs="宋体"/>
          <w:b/>
          <w:sz w:val="24"/>
          <w:szCs w:val="24"/>
        </w:rPr>
      </w:pPr>
      <w:r>
        <w:rPr>
          <w:rFonts w:hint="eastAsia" w:ascii="宋体" w:hAnsi="宋体" w:cs="宋体"/>
          <w:b/>
          <w:sz w:val="24"/>
          <w:szCs w:val="24"/>
        </w:rPr>
        <w:t xml:space="preserve">会议保障</w:t>
      </w:r>
      <w:r/>
    </w:p>
    <w:p>
      <w:pPr>
        <w:ind w:firstLine="480"/>
        <w:spacing w:line="440" w:lineRule="exact"/>
        <w:rPr>
          <w:rFonts w:ascii="宋体" w:hAnsi="宋体" w:cs="宋体"/>
          <w:sz w:val="24"/>
          <w:szCs w:val="24"/>
        </w:rPr>
      </w:pPr>
      <w:r>
        <w:rPr>
          <w:rFonts w:hint="eastAsia" w:ascii="宋体" w:hAnsi="宋体" w:cs="宋体"/>
          <w:sz w:val="24"/>
          <w:szCs w:val="24"/>
        </w:rPr>
        <w:t xml:space="preserve">提供省数据局和新增接入省级部门单位召集的省级、省市、省市县视频会议保障服务；提供国家数据局、省、市、县四级数据系统视频会议保障服务；保障4K高清视频会议、双流共享、视频录制、会控管理、会议运维等功能使用。</w:t>
      </w:r>
      <w:r/>
    </w:p>
    <w:p>
      <w:pPr>
        <w:numPr>
          <w:ilvl w:val="0"/>
          <w:numId w:val="5"/>
        </w:numPr>
        <w:spacing w:line="440" w:lineRule="exact"/>
        <w:rPr>
          <w:rFonts w:ascii="宋体" w:hAnsi="宋体"/>
          <w:b/>
          <w:color w:val="000000"/>
          <w:sz w:val="24"/>
          <w:szCs w:val="24"/>
        </w:rPr>
      </w:pPr>
      <w:r>
        <w:rPr>
          <w:rFonts w:hint="eastAsia" w:ascii="宋体" w:hAnsi="宋体"/>
          <w:b/>
          <w:color w:val="000000"/>
          <w:sz w:val="24"/>
          <w:szCs w:val="24"/>
        </w:rPr>
        <w:t xml:space="preserve">技术要求</w:t>
      </w:r>
      <w:r/>
    </w:p>
    <w:p>
      <w:pPr>
        <w:ind w:firstLine="482"/>
        <w:spacing w:line="440" w:lineRule="exact"/>
        <w:rPr>
          <w:rFonts w:ascii="宋体" w:hAnsi="宋体" w:cs="宋体"/>
          <w:b/>
          <w:sz w:val="24"/>
          <w:szCs w:val="24"/>
        </w:rPr>
      </w:pPr>
      <w:r>
        <w:rPr>
          <w:rFonts w:hint="eastAsia" w:ascii="宋体" w:hAnsi="宋体" w:cs="宋体"/>
          <w:b/>
          <w:sz w:val="24"/>
          <w:szCs w:val="24"/>
        </w:rPr>
        <w:t xml:space="preserve">（一）</w:t>
      </w:r>
      <w:r>
        <w:rPr>
          <w:rFonts w:ascii="宋体" w:hAnsi="宋体" w:cs="宋体"/>
          <w:b/>
          <w:sz w:val="24"/>
          <w:szCs w:val="24"/>
        </w:rPr>
        <w:t xml:space="preserve">全省融合视频会议服务平台</w:t>
      </w:r>
      <w:r>
        <w:rPr>
          <w:rFonts w:hint="eastAsia" w:ascii="宋体" w:hAnsi="宋体" w:cs="宋体"/>
          <w:b/>
          <w:sz w:val="24"/>
          <w:szCs w:val="24"/>
        </w:rPr>
        <w:t xml:space="preserve">技术要求</w:t>
      </w:r>
      <w:r/>
    </w:p>
    <w:tbl>
      <w:tblPr>
        <w:tblStyle w:val="749"/>
        <w:tblW w:w="917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8"/>
        <w:gridCol w:w="1371"/>
        <w:gridCol w:w="7252"/>
      </w:tblGrid>
      <w:tr>
        <w:trPr>
          <w:jc w:val="center"/>
          <w:trHeight w:val="454"/>
          <w:tblHeader/>
        </w:trPr>
        <w:tc>
          <w:tcPr>
            <w:shd w:val="clear" w:color="auto" w:fill="eeece1" w:themeFill="background2"/>
            <w:tcW w:w="548" w:type="dxa"/>
            <w:vAlign w:val="center"/>
            <w:textDirection w:val="lrTb"/>
            <w:noWrap w:val="false"/>
          </w:tcPr>
          <w:p>
            <w:pPr>
              <w:pStyle w:val="751"/>
              <w:jc w:val="center"/>
              <w:rPr>
                <w:rFonts w:ascii="黑体" w:hAnsi="黑体" w:eastAsia="黑体" w:cs="黑体"/>
                <w:color w:val="000000"/>
                <w:sz w:val="21"/>
                <w:szCs w:val="21"/>
              </w:rPr>
            </w:pPr>
            <w:r>
              <w:rPr>
                <w:rFonts w:hint="eastAsia" w:ascii="黑体" w:hAnsi="黑体" w:eastAsia="黑体" w:cs="黑体"/>
                <w:color w:val="000000"/>
                <w:sz w:val="21"/>
                <w:szCs w:val="21"/>
              </w:rPr>
              <w:t xml:space="preserve">序号</w:t>
            </w:r>
            <w:r/>
          </w:p>
        </w:tc>
        <w:tc>
          <w:tcPr>
            <w:shd w:val="clear" w:color="auto" w:fill="eeece1" w:themeFill="background2"/>
            <w:tcW w:w="1371" w:type="dxa"/>
            <w:vAlign w:val="center"/>
            <w:textDirection w:val="lrTb"/>
            <w:noWrap w:val="false"/>
          </w:tcPr>
          <w:p>
            <w:pPr>
              <w:pStyle w:val="751"/>
              <w:jc w:val="center"/>
              <w:rPr>
                <w:rFonts w:ascii="黑体" w:hAnsi="黑体" w:eastAsia="黑体" w:cs="黑体"/>
                <w:color w:val="000000"/>
                <w:sz w:val="21"/>
                <w:szCs w:val="21"/>
              </w:rPr>
            </w:pPr>
            <w:r>
              <w:rPr>
                <w:rFonts w:hint="eastAsia" w:ascii="黑体" w:hAnsi="黑体" w:eastAsia="黑体" w:cs="黑体"/>
                <w:color w:val="000000"/>
                <w:sz w:val="21"/>
                <w:szCs w:val="21"/>
              </w:rPr>
              <w:t xml:space="preserve">功能需求</w:t>
            </w:r>
            <w:r/>
          </w:p>
        </w:tc>
        <w:tc>
          <w:tcPr>
            <w:shd w:val="clear" w:color="auto" w:fill="eeece1" w:themeFill="background2"/>
            <w:tcW w:w="7252" w:type="dxa"/>
            <w:vAlign w:val="center"/>
            <w:textDirection w:val="lrTb"/>
            <w:noWrap w:val="false"/>
          </w:tcPr>
          <w:p>
            <w:pPr>
              <w:pStyle w:val="751"/>
              <w:jc w:val="center"/>
              <w:rPr>
                <w:rFonts w:ascii="黑体" w:hAnsi="黑体" w:eastAsia="黑体" w:cs="黑体"/>
                <w:color w:val="000000"/>
                <w:sz w:val="21"/>
                <w:szCs w:val="21"/>
                <w:lang w:eastAsia="en-US"/>
              </w:rPr>
            </w:pPr>
            <w:r>
              <w:rPr>
                <w:rFonts w:hint="eastAsia" w:ascii="黑体" w:hAnsi="黑体" w:eastAsia="黑体" w:cs="黑体"/>
                <w:color w:val="000000"/>
                <w:sz w:val="21"/>
                <w:szCs w:val="21"/>
              </w:rPr>
              <w:t xml:space="preserve">功能描述</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w:t>
            </w:r>
            <w:r/>
          </w:p>
        </w:tc>
        <w:tc>
          <w:tcPr>
            <w:shd w:val="clear" w:color="auto" w:fill="auto"/>
            <w:tcW w:w="1371" w:type="dxa"/>
            <w:vAlign w:val="center"/>
            <w:vMerge w:val="restart"/>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基础架构</w:t>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视频会议业务应基于省政务云，采用虚拟化部署方式，支持集群化媒体资源池架构，支持异地多活，弹性扩展，保证系统高可靠性。</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2</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w:t>
            </w:r>
            <w:r>
              <w:rPr>
                <w:rFonts w:hint="eastAsia" w:ascii="Times New Roman" w:hAnsi="Times New Roman" w:cs="Times New Roman"/>
                <w:sz w:val="18"/>
                <w:szCs w:val="18"/>
                <w:lang w:eastAsia="zh-CN"/>
              </w:rPr>
              <w:t xml:space="preserve">支持视频会议终端并发接入能力扩展，支持不低于600路视频会议终端并发接入。（投标人需提供承诺函并加盖投标人公章）</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3</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支持国产化环境部署，可适配鲲鹏、飞腾等国产CPU；可适配统信UOS、麒麟等国产操作系统。</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4</w:t>
            </w:r>
            <w:r/>
          </w:p>
        </w:tc>
        <w:tc>
          <w:tcPr>
            <w:shd w:val="clear" w:color="auto" w:fill="auto"/>
            <w:tcW w:w="1371" w:type="dxa"/>
            <w:vAlign w:val="center"/>
            <w:vMerge w:val="restart"/>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分辨率、协议</w:t>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支持4K、1080P、720P等不同分辨率。</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5</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支持H.323、SIP标准，兼容各级政府单位已建视频会议系统。</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6</w:t>
            </w:r>
            <w:r/>
          </w:p>
        </w:tc>
        <w:tc>
          <w:tcPr>
            <w:shd w:val="clear" w:color="auto" w:fill="auto"/>
            <w:tcW w:w="1371" w:type="dxa"/>
            <w:vAlign w:val="center"/>
            <w:vMerge w:val="restart"/>
            <w:textDirection w:val="lrTb"/>
            <w:noWrap w:val="false"/>
          </w:tcPr>
          <w:p>
            <w:pPr>
              <w:pStyle w:val="1009"/>
              <w:jc w:val="center"/>
              <w:rPr>
                <w:rFonts w:ascii="黑体" w:hAnsi="黑体" w:eastAsia="黑体" w:cs="黑体"/>
                <w:sz w:val="18"/>
                <w:szCs w:val="18"/>
                <w:highlight w:val="none"/>
              </w:rPr>
            </w:pPr>
            <w:r>
              <w:rPr>
                <w:rFonts w:hint="eastAsia" w:ascii="黑体" w:hAnsi="黑体" w:eastAsia="黑体" w:cs="黑体"/>
                <w:sz w:val="18"/>
                <w:szCs w:val="18"/>
                <w:highlight w:val="none"/>
                <w:lang w:eastAsia="zh-CN"/>
              </w:rPr>
              <w:t xml:space="preserve">会议服务</w:t>
            </w:r>
            <w:r>
              <w:rPr>
                <w:highlight w:val="none"/>
              </w:rP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highlight w:val="none"/>
              </w:rPr>
            </w:pPr>
            <w:r>
              <w:rPr>
                <w:rFonts w:ascii="Times New Roman" w:hAnsi="Times New Roman" w:cs="Times New Roman"/>
                <w:sz w:val="18"/>
                <w:szCs w:val="18"/>
                <w:highlight w:val="none"/>
                <w:lang w:eastAsia="zh-CN"/>
              </w:rPr>
              <w:t xml:space="preserve">▲系统支持访客功能，可设置访客账号登录时效、参加会议权限。</w:t>
            </w:r>
            <w:r>
              <w:rPr>
                <w:highlight w:val="none"/>
              </w:rP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7</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具备多屏管理功能，实现对会场屏幕显示进行定制，包括多画面、轮询、固定发言人等。</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8</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▲支持多画面合成能力，支持不少于36分屏。</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9</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会议过程中具备分组讨论功能，实现参会人员分成不同的小组进行讨论、会议的快速拆分与合并。</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10</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▲为保证会议秩序，具备多人同时发送辅流功能，实现对所有共享的辅流内容进行实时预览并进行广播。</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11</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为保证视频会议观看体验，具备在单个会议中指定多个会场同时开启轮询的功能，实现轮询过滤，自动跳过摄像头关闭的成员，保持会议展现最佳显示效果。</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12</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▲具备等候室功能，有成员入会时，先进入会议大厅，待主持人审批后，方可进入会议室。</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13</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▲具备对指定会场设置VIP关注功能，被关注的VIP会场在关注列表单独显示，便于会控指定功能操作。</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14</w:t>
            </w:r>
            <w:r/>
          </w:p>
        </w:tc>
        <w:tc>
          <w:tcPr>
            <w:shd w:val="clear" w:color="auto" w:fill="auto"/>
            <w:tcW w:w="1371" w:type="dxa"/>
            <w:vAlign w:val="center"/>
            <w:vMerge w:val="restart"/>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系统服务</w:t>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具备通信录组织架构设置功能，可对通讯录设置隐藏规则，例如隐藏部门、用户或会场不在通讯录显示；可以对组织架构部门、用户或会场限定查看指定范围通讯录。</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15</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为保证视频会议体验效果，画面经过平台处理后时延≤100ms。</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16</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▲具备会议资源审批功能，阈值以下的多点会议可免审批，可以设置免审批用户名单。</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17</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具备录制功能，支持不少于20组1080P会议录制。</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18</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▲具备对录制视频进行剪辑功能，实现对录制文件添加视频水印、剪去片头、片尾、片中空余时间视频删减等，并完成各段视频拼接。</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19</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▲支持WebRTC协议，实现浏览器入会，支持多画面显示、静音、关闭视频、切换摄像头等控制操作。</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20</w:t>
            </w:r>
            <w:r/>
          </w:p>
        </w:tc>
        <w:tc>
          <w:tcPr>
            <w:shd w:val="clear" w:color="auto" w:fill="auto"/>
            <w:tcW w:w="1371" w:type="dxa"/>
            <w:vAlign w:val="center"/>
            <w:vMerge w:val="restart"/>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运维服务</w:t>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▲具备会中巡检功能，实现对会议中的所有会场或者指定会场进行智能检测，例如会场的摄像头、扬声器、麦克风的状态、网络状态，判断会场的会议质量。</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21</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▲具备日志功能，实现对重要会场、重要操作及重要告警进行记录，例如会议中的智能巡检、签到、答题、投票等操作结果。</w:t>
            </w:r>
            <w:r/>
          </w:p>
        </w:tc>
      </w:tr>
      <w:tr>
        <w:trPr>
          <w:jc w:val="center"/>
          <w:trHeight w:val="90"/>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22</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网络适应</w:t>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系统具备良好的网络适应性，实现在网络丢包率50%时，音视频清晰流畅无卡顿现象（帧率不低于30帧/秒）；在丢包率80%时，语音仍清晰流畅。</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23</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可靠性</w:t>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▲支持媒体交换资源池功能，当某服务模块故障时，系统能够快速自动切换到资源池内其他正常服务模块上，通话不中断，后台自动切换时间不超过3秒。</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24</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安全性</w:t>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支持SM2、SM3、SM4国密加密算法以保障用户信息安全。</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25</w:t>
            </w:r>
            <w:r/>
          </w:p>
        </w:tc>
        <w:tc>
          <w:tcPr>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私密性</w:t>
            </w:r>
            <w:r/>
          </w:p>
        </w:tc>
        <w:tc>
          <w:tcPr>
            <w:shd w:val="clear" w:color="auto" w:fill="auto"/>
            <w:tcW w:w="7252" w:type="dxa"/>
            <w:vAlign w:val="center"/>
            <w:textDirection w:val="lrTb"/>
            <w:noWrap w:val="false"/>
          </w:tcPr>
          <w:p>
            <w:pPr>
              <w:pStyle w:val="1009"/>
              <w:jc w:val="left"/>
              <w:rPr>
                <w:rFonts w:ascii="Times New Roman" w:hAnsi="Times New Roman" w:cs="Times New Roman"/>
                <w:sz w:val="18"/>
                <w:szCs w:val="18"/>
                <w:lang w:eastAsia="zh-CN"/>
              </w:rPr>
            </w:pPr>
            <w:r>
              <w:rPr>
                <w:rFonts w:ascii="Times New Roman" w:hAnsi="Times New Roman" w:cs="Times New Roman"/>
                <w:sz w:val="18"/>
                <w:szCs w:val="18"/>
                <w:lang w:eastAsia="zh-CN"/>
              </w:rPr>
              <w:t xml:space="preserve">具备会议锁定功能，会议锁定后不允许会场呼叫入会，保障会议私密性。</w:t>
            </w:r>
            <w:r/>
          </w:p>
        </w:tc>
      </w:tr>
    </w:tbl>
    <w:p>
      <w:pPr>
        <w:ind w:firstLine="482"/>
        <w:spacing w:line="440" w:lineRule="exact"/>
        <w:rPr>
          <w:rFonts w:ascii="宋体" w:hAnsi="宋体" w:cs="宋体"/>
          <w:b/>
          <w:sz w:val="24"/>
          <w:szCs w:val="24"/>
        </w:rPr>
      </w:pPr>
      <w:r>
        <w:rPr>
          <w:rFonts w:hint="eastAsia" w:ascii="宋体" w:hAnsi="宋体" w:cs="宋体"/>
          <w:b/>
          <w:sz w:val="24"/>
          <w:szCs w:val="24"/>
        </w:rPr>
        <w:t xml:space="preserve">（二）大中型会议组件保障服务要求</w:t>
      </w:r>
      <w:r/>
    </w:p>
    <w:tbl>
      <w:tblPr>
        <w:tblStyle w:val="749"/>
        <w:tblW w:w="917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8"/>
        <w:gridCol w:w="1371"/>
        <w:gridCol w:w="7252"/>
      </w:tblGrid>
      <w:tr>
        <w:trPr>
          <w:jc w:val="center"/>
          <w:trHeight w:val="454"/>
          <w:tblHeader/>
        </w:trPr>
        <w:tc>
          <w:tcPr>
            <w:shd w:val="clear" w:color="auto" w:fill="eeece1" w:themeFill="background2"/>
            <w:tcW w:w="548" w:type="dxa"/>
            <w:vAlign w:val="center"/>
            <w:textDirection w:val="lrTb"/>
            <w:noWrap w:val="false"/>
          </w:tcPr>
          <w:p>
            <w:pPr>
              <w:pStyle w:val="751"/>
              <w:jc w:val="center"/>
              <w:rPr>
                <w:rFonts w:ascii="黑体" w:hAnsi="黑体" w:eastAsia="黑体" w:cs="黑体"/>
                <w:color w:val="000000"/>
                <w:sz w:val="21"/>
                <w:szCs w:val="21"/>
              </w:rPr>
            </w:pPr>
            <w:r>
              <w:rPr>
                <w:rFonts w:hint="eastAsia" w:ascii="黑体" w:hAnsi="黑体" w:eastAsia="黑体" w:cs="黑体"/>
                <w:color w:val="000000"/>
                <w:sz w:val="21"/>
                <w:szCs w:val="21"/>
              </w:rPr>
              <w:t xml:space="preserve">序号</w:t>
            </w:r>
            <w:r/>
          </w:p>
        </w:tc>
        <w:tc>
          <w:tcPr>
            <w:shd w:val="clear" w:color="auto" w:fill="eeece1" w:themeFill="background2"/>
            <w:tcW w:w="1371" w:type="dxa"/>
            <w:vAlign w:val="center"/>
            <w:textDirection w:val="lrTb"/>
            <w:noWrap w:val="false"/>
          </w:tcPr>
          <w:p>
            <w:pPr>
              <w:pStyle w:val="751"/>
              <w:jc w:val="center"/>
              <w:rPr>
                <w:rFonts w:ascii="黑体" w:hAnsi="黑体" w:eastAsia="黑体" w:cs="黑体"/>
                <w:color w:val="000000"/>
                <w:sz w:val="21"/>
                <w:szCs w:val="21"/>
              </w:rPr>
            </w:pPr>
            <w:r>
              <w:rPr>
                <w:rFonts w:hint="eastAsia" w:ascii="黑体" w:hAnsi="黑体" w:eastAsia="黑体" w:cs="黑体"/>
                <w:color w:val="000000"/>
                <w:sz w:val="21"/>
                <w:szCs w:val="21"/>
              </w:rPr>
              <w:t xml:space="preserve">功能需求</w:t>
            </w:r>
            <w:r/>
          </w:p>
        </w:tc>
        <w:tc>
          <w:tcPr>
            <w:shd w:val="clear" w:color="auto" w:fill="eeece1" w:themeFill="background2"/>
            <w:tcW w:w="7252" w:type="dxa"/>
            <w:vAlign w:val="center"/>
            <w:textDirection w:val="lrTb"/>
            <w:noWrap w:val="false"/>
          </w:tcPr>
          <w:p>
            <w:pPr>
              <w:pStyle w:val="751"/>
              <w:jc w:val="center"/>
              <w:rPr>
                <w:rFonts w:ascii="黑体" w:hAnsi="黑体" w:eastAsia="黑体" w:cs="黑体"/>
                <w:color w:val="000000"/>
                <w:sz w:val="21"/>
                <w:szCs w:val="21"/>
                <w:lang w:eastAsia="en-US"/>
              </w:rPr>
            </w:pPr>
            <w:r>
              <w:rPr>
                <w:rFonts w:hint="eastAsia" w:ascii="黑体" w:hAnsi="黑体" w:eastAsia="黑体" w:cs="黑体"/>
                <w:color w:val="000000"/>
                <w:sz w:val="21"/>
                <w:szCs w:val="21"/>
              </w:rPr>
              <w:t xml:space="preserve">功能描述</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基本要求</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提供包括专用大中型会议终端在内的保障服务，支持图像采集、音频采集，支持遥控器或触控屏幕对会议控制包括控制声音、图像、会议管理等，非键盘鼠标操作，采用国产芯片。</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2</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终端适配要求</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ascii="Times New Roman" w:hAnsi="Times New Roman" w:cs="Times New Roman"/>
                <w:sz w:val="18"/>
                <w:szCs w:val="18"/>
                <w:lang w:eastAsia="zh-CN"/>
              </w:rPr>
              <w:t xml:space="preserve">▲</w:t>
            </w:r>
            <w:r>
              <w:rPr>
                <w:rFonts w:hint="eastAsia" w:ascii="Times New Roman" w:hAnsi="Times New Roman" w:cs="Times New Roman"/>
                <w:sz w:val="18"/>
                <w:szCs w:val="18"/>
                <w:lang w:eastAsia="zh-CN"/>
              </w:rPr>
              <w:t xml:space="preserve">所提供的专用视频会议终端全面适配全省集约融合视频会议服务平台，投标人负责解决服务期内终端与服务平台的所有兼容性问题。（投标人需提供承诺函并加盖投标人公章）</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3</w:t>
            </w:r>
            <w:r/>
          </w:p>
        </w:tc>
        <w:tc>
          <w:tcPr>
            <w:shd w:val="clear" w:color="auto" w:fill="auto"/>
            <w:tcW w:w="1371" w:type="dxa"/>
            <w:vAlign w:val="center"/>
            <w:vMerge w:val="restart"/>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音、视频能力</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支持H.264BP、H.264HP、H.264SVC、H.265、H.265 SVC视频编解码协议。支持G.711a、G.719、G.722、G.722.1、G.722.1Annex c、AAC-LC/LD、Opus音频编解码协议。</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4</w:t>
            </w:r>
            <w:r/>
          </w:p>
        </w:tc>
        <w:tc>
          <w:tcPr>
            <w:shd w:val="clear" w:color="auto" w:fill="auto"/>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具备至少4路高清视频图像采集能力，方便与会议室多媒体设备集成。（提供产品清晰背板接口图）</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5</w:t>
            </w:r>
            <w:r/>
          </w:p>
        </w:tc>
        <w:tc>
          <w:tcPr>
            <w:tcW w:w="1371" w:type="dxa"/>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具备至少6路音频采集能力，支持与卡农、6.5mm、RCA等3种常见音频口对接；具备3路音频输出能力，方便与会议室音频系统集成。上述接口不接受转接方式实现。</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6</w:t>
            </w:r>
            <w:r/>
          </w:p>
        </w:tc>
        <w:tc>
          <w:tcPr>
            <w:shd w:val="clear" w:color="auto" w:fill="auto"/>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具备音频调节功能，实现智能混音，支持回声消除、自动降噪、自动增益和增益调节。</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7</w:t>
            </w:r>
            <w:r/>
          </w:p>
        </w:tc>
        <w:tc>
          <w:tcPr>
            <w:tcW w:w="1371" w:type="dxa"/>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具备4K、1080P、720P等视频分辨率处理能力。</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8</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会议速率</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视频呼叫支持64Kbps至8Mbps范围内动态自适应，并可实时显示当前自适应呼叫带宽。</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9</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通讯录功能</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▲具备通讯录状态查看功能，支持查看通讯录中个人或会场的上线、离线、忙线等信息。</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10</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音频采集能力</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具备360°全向拾音，高保真智能降噪，满足≥10米有效拾音距离。（提供技术资料加盖投标人公章）</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11</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图像采集能力</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需支持4K高清图像采集，支持≥12倍光学变焦，支持HDMI、SDI、RJ45接口，有效传输距离≥50米。（提供技术资料加盖投标人公章）</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12</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无线传屏服务</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会议中支持在非联网状态下将电脑屏幕音视频画面共享到所有参会会场。</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13</w:t>
            </w:r>
            <w:r/>
          </w:p>
        </w:tc>
        <w:tc>
          <w:tcPr>
            <w:shd w:val="clear" w:color="auto" w:fill="auto"/>
            <w:tcW w:w="1371" w:type="dxa"/>
            <w:vAlign w:val="center"/>
            <w:vMerge w:val="restart"/>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系统功能</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▲会场具备网络状态、摄像头、扬声器、麦克风接入状态自检功能。</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14</w:t>
            </w:r>
            <w:r/>
          </w:p>
        </w:tc>
        <w:tc>
          <w:tcPr>
            <w:shd w:val="clear" w:color="auto" w:fill="auto"/>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具备多画面功能，多画面不少于36分屏。</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15</w:t>
            </w:r>
            <w:r/>
          </w:p>
        </w:tc>
        <w:tc>
          <w:tcPr>
            <w:tcW w:w="1371" w:type="dxa"/>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▲具备多屏管理功能，实现对会场屏幕显示进行定制，包括多画面、轮询、固定发言人等。</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16</w:t>
            </w:r>
            <w:r/>
          </w:p>
        </w:tc>
        <w:tc>
          <w:tcPr>
            <w:tcW w:w="1371" w:type="dxa"/>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具备定制化功能，实现开机LOGO定制、待机屏保定制等。</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17</w:t>
            </w:r>
            <w:r/>
          </w:p>
        </w:tc>
        <w:tc>
          <w:tcPr>
            <w:shd w:val="clear" w:color="auto" w:fill="auto"/>
            <w:tcW w:w="1371" w:type="dxa"/>
            <w:vAlign w:val="center"/>
            <w:vMerge w:val="restart"/>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录制直播</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具备一键开启会议录制功能。</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18</w:t>
            </w:r>
            <w:r/>
          </w:p>
        </w:tc>
        <w:tc>
          <w:tcPr>
            <w:tcW w:w="1371" w:type="dxa"/>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▲具备视频直播发起功能，实现参会方自主建立视频直播，并对直播链接进行分享。</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19</w:t>
            </w:r>
            <w:r/>
          </w:p>
        </w:tc>
        <w:tc>
          <w:tcPr>
            <w:shd w:val="clear" w:color="auto" w:fill="auto"/>
            <w:tcW w:w="1371" w:type="dxa"/>
            <w:vAlign w:val="center"/>
            <w:vMerge w:val="restart"/>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网络适应性</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具备网络切换低延时控制功能，在有线和无线网络切换时，视频业务自动恢复时间不超过2秒。</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20</w:t>
            </w:r>
            <w:r/>
          </w:p>
        </w:tc>
        <w:tc>
          <w:tcPr>
            <w:shd w:val="clear" w:color="auto" w:fill="auto"/>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具备良好的网络适应性，在网络丢包率50%时，音视频清晰流畅无卡顿现象（帧率不低于30帧/秒）；在丢包率80%时，语音仍清晰流畅。</w:t>
            </w:r>
            <w:r/>
          </w:p>
        </w:tc>
      </w:tr>
    </w:tbl>
    <w:p>
      <w:pPr>
        <w:numPr>
          <w:ilvl w:val="0"/>
          <w:numId w:val="7"/>
        </w:numPr>
        <w:ind w:firstLine="482"/>
        <w:spacing w:line="440" w:lineRule="exact"/>
        <w:rPr>
          <w:rFonts w:ascii="宋体" w:hAnsi="宋体" w:cs="宋体"/>
          <w:b/>
          <w:sz w:val="24"/>
          <w:szCs w:val="24"/>
        </w:rPr>
      </w:pPr>
      <w:r>
        <w:rPr>
          <w:rFonts w:hint="eastAsia" w:ascii="宋体" w:hAnsi="宋体" w:cs="宋体"/>
          <w:b/>
          <w:sz w:val="24"/>
          <w:szCs w:val="24"/>
        </w:rPr>
        <w:t xml:space="preserve">小型会议组件保障服务要求</w:t>
      </w:r>
      <w:r/>
    </w:p>
    <w:tbl>
      <w:tblPr>
        <w:tblStyle w:val="749"/>
        <w:tblW w:w="917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8"/>
        <w:gridCol w:w="1371"/>
        <w:gridCol w:w="7252"/>
      </w:tblGrid>
      <w:tr>
        <w:trPr>
          <w:jc w:val="center"/>
          <w:trHeight w:val="454"/>
          <w:tblHeader/>
        </w:trPr>
        <w:tc>
          <w:tcPr>
            <w:shd w:val="clear" w:color="auto" w:fill="eeece1" w:themeFill="background2"/>
            <w:tcW w:w="548" w:type="dxa"/>
            <w:vAlign w:val="center"/>
            <w:textDirection w:val="lrTb"/>
            <w:noWrap w:val="false"/>
          </w:tcPr>
          <w:p>
            <w:pPr>
              <w:pStyle w:val="751"/>
              <w:jc w:val="center"/>
              <w:rPr>
                <w:rFonts w:ascii="黑体" w:hAnsi="黑体" w:eastAsia="黑体" w:cs="黑体"/>
                <w:color w:val="000000"/>
                <w:sz w:val="21"/>
                <w:szCs w:val="21"/>
              </w:rPr>
            </w:pPr>
            <w:r>
              <w:rPr>
                <w:rFonts w:hint="eastAsia" w:ascii="黑体" w:hAnsi="黑体" w:eastAsia="黑体" w:cs="黑体"/>
                <w:color w:val="000000"/>
                <w:sz w:val="21"/>
                <w:szCs w:val="21"/>
              </w:rPr>
              <w:t xml:space="preserve">序号</w:t>
            </w:r>
            <w:r/>
          </w:p>
        </w:tc>
        <w:tc>
          <w:tcPr>
            <w:shd w:val="clear" w:color="auto" w:fill="eeece1" w:themeFill="background2"/>
            <w:tcW w:w="1371" w:type="dxa"/>
            <w:vAlign w:val="center"/>
            <w:textDirection w:val="lrTb"/>
            <w:noWrap w:val="false"/>
          </w:tcPr>
          <w:p>
            <w:pPr>
              <w:pStyle w:val="751"/>
              <w:jc w:val="center"/>
              <w:rPr>
                <w:rFonts w:ascii="黑体" w:hAnsi="黑体" w:eastAsia="黑体" w:cs="黑体"/>
                <w:color w:val="000000"/>
                <w:sz w:val="21"/>
                <w:szCs w:val="21"/>
              </w:rPr>
            </w:pPr>
            <w:r>
              <w:rPr>
                <w:rFonts w:hint="eastAsia" w:ascii="黑体" w:hAnsi="黑体" w:eastAsia="黑体" w:cs="黑体"/>
                <w:color w:val="000000"/>
                <w:sz w:val="21"/>
                <w:szCs w:val="21"/>
              </w:rPr>
              <w:t xml:space="preserve">功能需求</w:t>
            </w:r>
            <w:r/>
          </w:p>
        </w:tc>
        <w:tc>
          <w:tcPr>
            <w:shd w:val="clear" w:color="auto" w:fill="eeece1" w:themeFill="background2"/>
            <w:tcW w:w="7252" w:type="dxa"/>
            <w:vAlign w:val="center"/>
            <w:textDirection w:val="lrTb"/>
            <w:noWrap w:val="false"/>
          </w:tcPr>
          <w:p>
            <w:pPr>
              <w:pStyle w:val="751"/>
              <w:jc w:val="center"/>
              <w:rPr>
                <w:rFonts w:ascii="黑体" w:hAnsi="黑体" w:eastAsia="黑体" w:cs="黑体"/>
                <w:color w:val="000000"/>
                <w:sz w:val="21"/>
                <w:szCs w:val="21"/>
                <w:lang w:eastAsia="en-US"/>
              </w:rPr>
            </w:pPr>
            <w:r>
              <w:rPr>
                <w:rFonts w:hint="eastAsia" w:ascii="黑体" w:hAnsi="黑体" w:eastAsia="黑体" w:cs="黑体"/>
                <w:color w:val="000000"/>
                <w:sz w:val="21"/>
                <w:szCs w:val="21"/>
              </w:rPr>
              <w:t xml:space="preserve">功能描述</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基本要求</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提供包括专用小型会议终端在内的保障服务。终端支持摄像头、麦克风一体化集成，满足小型会议室快速部署要求。支持图像采集、音频采集，支持遥控器或触控屏幕对会议控制包括控制声音、图像、会议管理等，非键盘鼠标操作，采用国产芯片。</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2</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终端适配要求</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ascii="Times New Roman" w:hAnsi="Times New Roman" w:cs="Times New Roman"/>
                <w:sz w:val="18"/>
                <w:szCs w:val="18"/>
                <w:lang w:eastAsia="zh-CN"/>
              </w:rPr>
              <w:t xml:space="preserve">▲</w:t>
            </w:r>
            <w:r>
              <w:rPr>
                <w:rFonts w:hint="eastAsia" w:ascii="Times New Roman" w:hAnsi="Times New Roman" w:cs="Times New Roman"/>
                <w:sz w:val="18"/>
                <w:szCs w:val="18"/>
                <w:lang w:eastAsia="zh-CN"/>
              </w:rPr>
              <w:t xml:space="preserve">所提供的专用视频会议终端全面适配全省集约融合视频会议服务平台，投标人负责解决服务期内终端与服务平台的所有兼容性问题。（投标人需提供承诺函并加盖投标人公章）</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3</w:t>
            </w:r>
            <w:r/>
          </w:p>
        </w:tc>
        <w:tc>
          <w:tcPr>
            <w:shd w:val="clear" w:color="auto" w:fill="auto"/>
            <w:tcW w:w="1371" w:type="dxa"/>
            <w:vAlign w:val="center"/>
            <w:vMerge w:val="restart"/>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音视频能力</w:t>
            </w:r>
            <w:r/>
          </w:p>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支持H.264BP、H.264HP、H.264SVC、H.265、H.265 SVC视频编解码协议。支持G.711a、G.719、G.722、G.722.1、G.722.1Annex c、AAC-LC/LD、Opus音频编解码协议。</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4</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配置具备2个高清视频输出接口，支持音频/视频同时输出。</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5</w:t>
            </w:r>
            <w:r/>
          </w:p>
        </w:tc>
        <w:tc>
          <w:tcPr>
            <w:shd w:val="clear" w:color="auto" w:fill="auto"/>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配置具备2个MINI卡农音频输入口，1个3.5mm音频输入接口，1个3.5mm音频输出接口，2个HDMI音频输出接口；方便与会议室音频系统集成。</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6</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具备音频调节功能，实现智能混音，支持回声消除、自动降噪、自动增益和增益调节。</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7</w:t>
            </w:r>
            <w:r/>
          </w:p>
        </w:tc>
        <w:tc>
          <w:tcPr>
            <w:shd w:val="clear" w:color="auto" w:fill="auto"/>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具备4K、1080P、720P等视频分辨率处理能力。</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8</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会议速率</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视频呼叫支持64Kbps至8Mbps范围内动态自适应，并可实时显示当前自适应呼叫带宽。</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9</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通讯录功能</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▲具备通讯录状态查看功能，支持查看通讯录中个人或会场的上线、离线、忙线等信息。</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10</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音频采集能力</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内置集成4颗全向阵列麦克风，具备8米有效拾音距离能力。可外接同品牌扩展全向麦克风。</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11</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图像采集能力</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终端集成高清摄像头，镜头支持800万像素，支持4K分辨率，至少88度水平视角。</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12</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无线传屏服务</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会议中支持在非联网状态下将电脑屏幕音视频画面共享到所有参会会场。（提供技术资料加盖投标人公章）</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13</w:t>
            </w:r>
            <w:r/>
          </w:p>
        </w:tc>
        <w:tc>
          <w:tcPr>
            <w:shd w:val="clear" w:color="auto" w:fill="auto"/>
            <w:tcW w:w="1371" w:type="dxa"/>
            <w:vAlign w:val="center"/>
            <w:vMerge w:val="restart"/>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系统功能</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支持PC软件客户端通过网络传输的方式实现桌面、文件等内容的共享，同时抓取并分享内容播放的声音。</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14</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具备多画面功能，多画面不少于16分屏。</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15</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具备多屏管理功能，实现对会场屏幕显示进行定制，包括多画面、轮询、固定发言人等。</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16</w:t>
            </w:r>
            <w:r/>
          </w:p>
        </w:tc>
        <w:tc>
          <w:tcPr>
            <w:shd w:val="clear" w:color="auto" w:fill="auto"/>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具备定制化功能，实现开机LOGO定制、待机屏保定制等。</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17</w:t>
            </w:r>
            <w:r/>
          </w:p>
        </w:tc>
        <w:tc>
          <w:tcPr>
            <w:tcW w:w="1371" w:type="dxa"/>
            <w:vAlign w:val="center"/>
            <w:vMerge w:val="restart"/>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录制直播</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▲具备一键开启会议录制功能。</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18</w:t>
            </w:r>
            <w:r/>
          </w:p>
        </w:tc>
        <w:tc>
          <w:tcPr>
            <w:shd w:val="clear" w:color="auto" w:fill="auto"/>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具备视频直播发起功能，实现参会方自主建立视频直播，并对直播链接进行分享。</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19</w:t>
            </w:r>
            <w:r/>
          </w:p>
        </w:tc>
        <w:tc>
          <w:tcPr>
            <w:shd w:val="clear" w:color="auto" w:fill="auto"/>
            <w:tcW w:w="1371" w:type="dxa"/>
            <w:vAlign w:val="center"/>
            <w:vMerge w:val="restart"/>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网络适应性</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具备网络切换低延时控制功能，在有线和无线网络切换时，视频业务自动恢复时间不超过2秒。</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20</w:t>
            </w:r>
            <w:r/>
          </w:p>
        </w:tc>
        <w:tc>
          <w:tcPr>
            <w:shd w:val="clear" w:color="auto" w:fill="auto"/>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▲具备良好的网络适应性，在网络丢包率50%时，音视频清晰流畅无卡顿现象（帧率不低于30帧/秒）；在丢包率80%时，语音仍清晰流畅。</w:t>
            </w:r>
            <w:r/>
          </w:p>
        </w:tc>
      </w:tr>
    </w:tbl>
    <w:p>
      <w:pPr>
        <w:numPr>
          <w:ilvl w:val="0"/>
          <w:numId w:val="7"/>
        </w:numPr>
        <w:ind w:firstLine="482"/>
        <w:spacing w:line="440" w:lineRule="exact"/>
        <w:rPr>
          <w:rFonts w:ascii="宋体" w:hAnsi="宋体" w:cs="宋体"/>
          <w:b/>
          <w:sz w:val="24"/>
          <w:szCs w:val="24"/>
        </w:rPr>
      </w:pPr>
      <w:r>
        <w:rPr>
          <w:rFonts w:hint="eastAsia" w:ascii="宋体" w:hAnsi="宋体" w:cs="宋体"/>
          <w:b/>
          <w:sz w:val="24"/>
          <w:szCs w:val="24"/>
        </w:rPr>
        <w:t xml:space="preserve">移动会议组件保障服务要求</w:t>
      </w:r>
      <w:r/>
    </w:p>
    <w:tbl>
      <w:tblPr>
        <w:tblStyle w:val="749"/>
        <w:tblW w:w="917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8"/>
        <w:gridCol w:w="1371"/>
        <w:gridCol w:w="7252"/>
      </w:tblGrid>
      <w:tr>
        <w:trPr>
          <w:jc w:val="center"/>
          <w:trHeight w:val="454"/>
          <w:tblHeader/>
        </w:trPr>
        <w:tc>
          <w:tcPr>
            <w:shd w:val="clear" w:color="auto" w:fill="eeece1" w:themeFill="background2"/>
            <w:tcW w:w="548" w:type="dxa"/>
            <w:vAlign w:val="center"/>
            <w:textDirection w:val="lrTb"/>
            <w:noWrap w:val="false"/>
          </w:tcPr>
          <w:p>
            <w:pPr>
              <w:pStyle w:val="751"/>
              <w:jc w:val="center"/>
              <w:rPr>
                <w:rFonts w:ascii="黑体" w:hAnsi="黑体" w:eastAsia="黑体" w:cs="黑体"/>
                <w:color w:val="000000"/>
                <w:sz w:val="21"/>
                <w:szCs w:val="21"/>
              </w:rPr>
            </w:pPr>
            <w:r>
              <w:rPr>
                <w:rFonts w:hint="eastAsia" w:ascii="黑体" w:hAnsi="黑体" w:eastAsia="黑体" w:cs="黑体"/>
                <w:color w:val="000000"/>
                <w:sz w:val="21"/>
                <w:szCs w:val="21"/>
              </w:rPr>
              <w:t xml:space="preserve">序号</w:t>
            </w:r>
            <w:r/>
          </w:p>
        </w:tc>
        <w:tc>
          <w:tcPr>
            <w:shd w:val="clear" w:color="auto" w:fill="eeece1" w:themeFill="background2"/>
            <w:tcW w:w="1371" w:type="dxa"/>
            <w:vAlign w:val="center"/>
            <w:textDirection w:val="lrTb"/>
            <w:noWrap w:val="false"/>
          </w:tcPr>
          <w:p>
            <w:pPr>
              <w:pStyle w:val="751"/>
              <w:jc w:val="center"/>
              <w:rPr>
                <w:rFonts w:ascii="黑体" w:hAnsi="黑体" w:eastAsia="黑体" w:cs="黑体"/>
                <w:color w:val="000000"/>
                <w:sz w:val="21"/>
                <w:szCs w:val="21"/>
              </w:rPr>
            </w:pPr>
            <w:r>
              <w:rPr>
                <w:rFonts w:hint="eastAsia" w:ascii="黑体" w:hAnsi="黑体" w:eastAsia="黑体" w:cs="黑体"/>
                <w:color w:val="000000"/>
                <w:sz w:val="21"/>
                <w:szCs w:val="21"/>
              </w:rPr>
              <w:t xml:space="preserve">功能需求</w:t>
            </w:r>
            <w:r/>
          </w:p>
        </w:tc>
        <w:tc>
          <w:tcPr>
            <w:shd w:val="clear" w:color="auto" w:fill="eeece1" w:themeFill="background2"/>
            <w:tcW w:w="7252" w:type="dxa"/>
            <w:vAlign w:val="center"/>
            <w:textDirection w:val="lrTb"/>
            <w:noWrap w:val="false"/>
          </w:tcPr>
          <w:p>
            <w:pPr>
              <w:pStyle w:val="751"/>
              <w:jc w:val="center"/>
              <w:rPr>
                <w:rFonts w:ascii="黑体" w:hAnsi="黑体" w:eastAsia="黑体" w:cs="黑体"/>
                <w:color w:val="000000"/>
                <w:sz w:val="21"/>
                <w:szCs w:val="21"/>
                <w:lang w:eastAsia="en-US"/>
              </w:rPr>
            </w:pPr>
            <w:r>
              <w:rPr>
                <w:rFonts w:hint="eastAsia" w:ascii="黑体" w:hAnsi="黑体" w:eastAsia="黑体" w:cs="黑体"/>
                <w:color w:val="000000"/>
                <w:sz w:val="21"/>
                <w:szCs w:val="21"/>
              </w:rPr>
              <w:t xml:space="preserve">功能描述</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基本要求</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提供包括移动会议终端在内的保障服务。移动会议终端采用一体式设计，触控显示屏≥10英寸，并与摄像头、麦克风、音响等高度集成，支持使用终端的内置电池而无需外接电源进行音视频通话</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2</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终端适配要求</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ascii="Times New Roman" w:hAnsi="Times New Roman" w:cs="Times New Roman"/>
                <w:sz w:val="18"/>
                <w:szCs w:val="18"/>
                <w:lang w:eastAsia="zh-CN"/>
              </w:rPr>
              <w:t xml:space="preserve">▲</w:t>
            </w:r>
            <w:r>
              <w:rPr>
                <w:rFonts w:hint="eastAsia" w:ascii="Times New Roman" w:hAnsi="Times New Roman" w:cs="Times New Roman"/>
                <w:sz w:val="18"/>
                <w:szCs w:val="18"/>
                <w:lang w:eastAsia="zh-CN"/>
              </w:rPr>
              <w:t xml:space="preserve">所提供的专用视频会议终端全面适配全省集约融合视频会议服务平台，投标人负责解决服务期内终端与服务平台的所有兼容性问题。（投标人需提供承诺函并加盖投标人公章）</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3</w:t>
            </w:r>
            <w:r/>
          </w:p>
        </w:tc>
        <w:tc>
          <w:tcPr>
            <w:shd w:val="clear" w:color="auto" w:fill="auto"/>
            <w:tcW w:w="1371" w:type="dxa"/>
            <w:vAlign w:val="center"/>
            <w:vMerge w:val="restart"/>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音、视频能力</w:t>
            </w:r>
            <w:r/>
          </w:p>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支持H.264BP、H.264HP、H.264SVC、H.265、H.265 SVC视频编解码协议。支持G.711a、G.719、G.722、G.722.1、G.722.1Annex c、AAC-LC/LD、Opus音频编解码协议。</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4</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具备≥1路视频输出接口。</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5</w:t>
            </w:r>
            <w:r/>
          </w:p>
        </w:tc>
        <w:tc>
          <w:tcPr>
            <w:shd w:val="clear" w:color="auto" w:fill="auto"/>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内置≥1080P高清摄像头。</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6</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具备音频调节功能，实现智能混音，支持回声消除、自动降噪、自动增益和增益调节。</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7</w:t>
            </w:r>
            <w:r/>
          </w:p>
        </w:tc>
        <w:tc>
          <w:tcPr>
            <w:shd w:val="clear" w:color="auto" w:fill="auto"/>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具备4K、1080P、720P等视频分辨率处理能力。</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8</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速率</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视频呼叫支持64Kbps至8Mbps范围内动态自适应，并可实时显示当前自适应呼叫带宽。</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9</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通讯录功能</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▲具备通讯录状态查看功能，支持查看通讯录中个人或会场的上线、离线、忙线等信息。</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10</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音频采集能力</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具备360°全向拾音，高保真智能降噪，满足≥10米有效拾音距离。（提供技术资料加盖投标人公章）</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11</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图像采集能力</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具备≥1路视频输入接口，可以外接摄像头，终端可以在内置摄像头和外接摄像头之间灵活选择切换输入视频源。（提供清晰背板接口照片）</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12</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视频输出扩展</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终端的视频输出接口支持复制模式和扩展模式。在复制模式下外接扩展显示屏与内置触控屏显示内容相同；在扩展模式下，内置触控屏用于会控，扩展显示屏用于显示会议视频内容</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13</w:t>
            </w:r>
            <w:r/>
          </w:p>
        </w:tc>
        <w:tc>
          <w:tcPr>
            <w:shd w:val="clear" w:color="auto" w:fill="auto"/>
            <w:tcW w:w="1371" w:type="dxa"/>
            <w:vAlign w:val="center"/>
            <w:vMerge w:val="restart"/>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系统功能</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为应对户外视频通话场景的需求，终端应内置电池。在电池充满电的状态下，它能够支持≥3小时的视频通话时间，支持≥20小时的待机能力，确保用户在进行长时间户外活动时能够持续、稳定地进行视频通话。</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14</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支持通过自有触屏进行会控，可以实现会议中发言管理，邀请入会和退出会议操作，可以实现挂断、静音、解除静音、开启/关闭摄像头、录制、窗口布局、会议管理、显示呼叫统计信息等功能。</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15</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摄像头具备物理开关，可以手动关闭，保护隐私。</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16</w:t>
            </w:r>
            <w:r/>
          </w:p>
        </w:tc>
        <w:tc>
          <w:tcPr>
            <w:shd w:val="clear" w:color="auto" w:fill="auto"/>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▲具备定制化功能，实现开机LOGO定制、待机屏保定制等。</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17</w:t>
            </w:r>
            <w:r/>
          </w:p>
        </w:tc>
        <w:tc>
          <w:tcPr>
            <w:shd w:val="clear" w:color="auto" w:fill="auto"/>
            <w:tcW w:w="1371" w:type="dxa"/>
            <w:vAlign w:val="center"/>
            <w:vMerge w:val="restart"/>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录制直播能力</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具备一键开启会议录制功能。</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18</w:t>
            </w:r>
            <w:r/>
          </w:p>
        </w:tc>
        <w:tc>
          <w:tcPr>
            <w:shd w:val="clear" w:color="auto" w:fill="auto"/>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具备视频直播发起功能，实现参会方自主建立视频直播，并对直播链接进行分享。</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19</w:t>
            </w:r>
            <w:r/>
          </w:p>
        </w:tc>
        <w:tc>
          <w:tcPr>
            <w:shd w:val="clear" w:color="auto" w:fill="auto"/>
            <w:tcW w:w="1371" w:type="dxa"/>
            <w:vAlign w:val="center"/>
            <w:vMerge w:val="restart"/>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网络适应性</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▲具备网络切换低延时控制功能，在有线和无线网络切换时，视频业务自动恢复时间不超过2秒。</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20</w:t>
            </w:r>
            <w:r/>
          </w:p>
        </w:tc>
        <w:tc>
          <w:tcPr>
            <w:shd w:val="clear" w:color="auto" w:fill="auto"/>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具备良好的网络适应性，在网络丢包率50%时，音视频清晰流畅无卡顿现象（帧率不低于30帧/秒）；在丢包率80%时，语音仍清晰流畅。</w:t>
            </w:r>
            <w:r/>
          </w:p>
        </w:tc>
      </w:tr>
    </w:tbl>
    <w:p>
      <w:pPr>
        <w:numPr>
          <w:ilvl w:val="0"/>
          <w:numId w:val="7"/>
        </w:numPr>
        <w:ind w:firstLine="482"/>
        <w:spacing w:line="440" w:lineRule="exact"/>
        <w:rPr>
          <w:rFonts w:ascii="宋体" w:hAnsi="宋体" w:cs="宋体"/>
          <w:b/>
          <w:sz w:val="24"/>
          <w:szCs w:val="24"/>
        </w:rPr>
      </w:pPr>
      <w:r>
        <w:rPr>
          <w:rFonts w:hint="eastAsia" w:ascii="宋体" w:hAnsi="宋体" w:cs="宋体"/>
          <w:b/>
          <w:sz w:val="24"/>
          <w:szCs w:val="24"/>
        </w:rPr>
        <w:t xml:space="preserve">软件视频会议接入服务要求</w:t>
      </w:r>
      <w:r/>
    </w:p>
    <w:tbl>
      <w:tblPr>
        <w:tblStyle w:val="749"/>
        <w:tblW w:w="917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8"/>
        <w:gridCol w:w="1371"/>
        <w:gridCol w:w="7252"/>
      </w:tblGrid>
      <w:tr>
        <w:trPr>
          <w:jc w:val="center"/>
          <w:trHeight w:val="454"/>
          <w:tblHeader/>
        </w:trPr>
        <w:tc>
          <w:tcPr>
            <w:shd w:val="clear" w:color="auto" w:fill="eeece1" w:themeFill="background2"/>
            <w:tcW w:w="548" w:type="dxa"/>
            <w:vAlign w:val="center"/>
            <w:textDirection w:val="lrTb"/>
            <w:noWrap w:val="false"/>
          </w:tcPr>
          <w:p>
            <w:pPr>
              <w:pStyle w:val="751"/>
              <w:jc w:val="center"/>
              <w:rPr>
                <w:rFonts w:ascii="黑体" w:hAnsi="黑体" w:eastAsia="黑体" w:cs="黑体"/>
                <w:color w:val="000000"/>
                <w:sz w:val="21"/>
                <w:szCs w:val="21"/>
              </w:rPr>
            </w:pPr>
            <w:r>
              <w:rPr>
                <w:rFonts w:hint="eastAsia" w:ascii="黑体" w:hAnsi="黑体" w:eastAsia="黑体" w:cs="黑体"/>
                <w:color w:val="000000"/>
                <w:sz w:val="21"/>
                <w:szCs w:val="21"/>
              </w:rPr>
              <w:t xml:space="preserve">序号</w:t>
            </w:r>
            <w:r/>
          </w:p>
        </w:tc>
        <w:tc>
          <w:tcPr>
            <w:shd w:val="clear" w:color="auto" w:fill="eeece1" w:themeFill="background2"/>
            <w:tcW w:w="1371" w:type="dxa"/>
            <w:vAlign w:val="center"/>
            <w:textDirection w:val="lrTb"/>
            <w:noWrap w:val="false"/>
          </w:tcPr>
          <w:p>
            <w:pPr>
              <w:pStyle w:val="751"/>
              <w:jc w:val="center"/>
              <w:rPr>
                <w:rFonts w:ascii="黑体" w:hAnsi="黑体" w:eastAsia="黑体" w:cs="黑体"/>
                <w:color w:val="000000"/>
                <w:sz w:val="21"/>
                <w:szCs w:val="21"/>
              </w:rPr>
            </w:pPr>
            <w:r>
              <w:rPr>
                <w:rFonts w:hint="eastAsia" w:ascii="黑体" w:hAnsi="黑体" w:eastAsia="黑体" w:cs="黑体"/>
                <w:color w:val="000000"/>
                <w:sz w:val="21"/>
                <w:szCs w:val="21"/>
              </w:rPr>
              <w:t xml:space="preserve">功能需求</w:t>
            </w:r>
            <w:r/>
          </w:p>
        </w:tc>
        <w:tc>
          <w:tcPr>
            <w:shd w:val="clear" w:color="auto" w:fill="eeece1" w:themeFill="background2"/>
            <w:tcW w:w="7252" w:type="dxa"/>
            <w:vAlign w:val="center"/>
            <w:textDirection w:val="lrTb"/>
            <w:noWrap w:val="false"/>
          </w:tcPr>
          <w:p>
            <w:pPr>
              <w:pStyle w:val="751"/>
              <w:jc w:val="center"/>
              <w:rPr>
                <w:rFonts w:ascii="黑体" w:hAnsi="黑体" w:eastAsia="黑体" w:cs="黑体"/>
                <w:color w:val="000000"/>
                <w:sz w:val="21"/>
                <w:szCs w:val="21"/>
                <w:lang w:eastAsia="en-US"/>
              </w:rPr>
            </w:pPr>
            <w:r>
              <w:rPr>
                <w:rFonts w:hint="eastAsia" w:ascii="黑体" w:hAnsi="黑体" w:eastAsia="黑体" w:cs="黑体"/>
                <w:color w:val="000000"/>
                <w:sz w:val="21"/>
                <w:szCs w:val="21"/>
              </w:rPr>
              <w:t xml:space="preserve">功能描述</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1</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基本要求</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支持Windows、安卓、鸿蒙、统信UOS、麒麟操作系统，支持国产化电脑安装使用。</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2</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音视频协议</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支持H.264BP、H.264HP、H.264SVC、H.265、H.265 SVC视频编解码协议。支持G.711a、G.719、G.722、G.722.1、G.722.1Annex c、AAC-LC/LD、Opus音频编解码协议。</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3</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音频能力</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具备音频调节功能，实现智能混音，支持回声消除、自动降噪、自动增益和增益调节。</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4</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图像能力</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具备视频降噪功能，开启后可降低本地视频中的噪点，画面更清晰。具备强弱环境光调节功能，实现在会议场景光照不足时，改善视频体验。</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5</w:t>
            </w:r>
            <w:r/>
          </w:p>
        </w:tc>
        <w:tc>
          <w:tcPr>
            <w:shd w:val="clear" w:color="auto" w:fill="auto"/>
            <w:tcW w:w="1371" w:type="dxa"/>
            <w:vAlign w:val="center"/>
            <w:vMerge w:val="restart"/>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双流共享</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具备共享区域功能，实现演讲者视图看到完整的PPT。（翻页、备注等）</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6</w:t>
            </w:r>
            <w:r/>
          </w:p>
        </w:tc>
        <w:tc>
          <w:tcPr>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具备不入会共享双流功能，电脑无需连接音视频线缆和传屏设备，实现电脑屏幕共享到会议中。</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7</w:t>
            </w:r>
            <w:r/>
          </w:p>
        </w:tc>
        <w:tc>
          <w:tcPr>
            <w:shd w:val="clear" w:color="auto" w:fill="auto"/>
            <w:tcW w:w="1371" w:type="dxa"/>
            <w:vAlign w:val="center"/>
            <w:vMerge w:val="continue"/>
            <w:textDirection w:val="lrTb"/>
            <w:noWrap w:val="false"/>
          </w:tcPr>
          <w:p>
            <w:pPr>
              <w:pStyle w:val="1009"/>
              <w:jc w:val="center"/>
              <w:rPr>
                <w:rFonts w:ascii="黑体" w:hAnsi="黑体" w:eastAsia="黑体" w:cs="黑体"/>
                <w:sz w:val="18"/>
                <w:szCs w:val="18"/>
                <w:lang w:eastAsia="zh-CN"/>
              </w:rPr>
            </w:pPr>
            <w:r>
              <w:rPr>
                <w:rFonts w:ascii="黑体" w:hAnsi="黑体" w:eastAsia="黑体" w:cs="黑体"/>
                <w:sz w:val="18"/>
                <w:szCs w:val="18"/>
                <w:lang w:eastAsia="zh-CN"/>
              </w:rPr>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具备双流水印功能，实现共享内容（双流）时叠加水印，提高内容共享（双流）的安全性。</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8</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会控功能</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具备会控功能，电脑或手机端支持主持会议，实现等候室功能。</w:t>
            </w:r>
            <w:r/>
          </w:p>
        </w:tc>
      </w:tr>
      <w:tr>
        <w:trPr>
          <w:jc w:val="center"/>
          <w:trHeight w:val="397"/>
        </w:trPr>
        <w:tc>
          <w:tcPr>
            <w:shd w:val="clear" w:color="auto" w:fill="auto"/>
            <w:tcW w:w="548" w:type="dxa"/>
            <w:vAlign w:val="center"/>
            <w:textDirection w:val="lrTb"/>
            <w:noWrap w:val="false"/>
          </w:tcPr>
          <w:p>
            <w:pPr>
              <w:pStyle w:val="1009"/>
              <w:jc w:val="center"/>
              <w:rPr>
                <w:rFonts w:ascii="Times New Roman" w:hAnsi="Times New Roman" w:cs="Times New Roman" w:eastAsiaTheme="minorEastAsia"/>
                <w:sz w:val="18"/>
                <w:szCs w:val="18"/>
                <w:lang w:eastAsia="zh-CN"/>
              </w:rPr>
            </w:pPr>
            <w:r>
              <w:rPr>
                <w:rFonts w:hint="eastAsia" w:ascii="Times New Roman" w:hAnsi="Times New Roman" w:cs="Times New Roman" w:eastAsiaTheme="minorEastAsia"/>
                <w:sz w:val="18"/>
                <w:szCs w:val="18"/>
                <w:lang w:eastAsia="zh-CN"/>
              </w:rPr>
              <w:t xml:space="preserve">9</w:t>
            </w:r>
            <w:r/>
          </w:p>
        </w:tc>
        <w:tc>
          <w:tcPr>
            <w:shd w:val="clear" w:color="auto" w:fill="auto"/>
            <w:tcW w:w="1371" w:type="dxa"/>
            <w:vAlign w:val="center"/>
            <w:textDirection w:val="lrTb"/>
            <w:noWrap w:val="false"/>
          </w:tcPr>
          <w:p>
            <w:pPr>
              <w:pStyle w:val="1009"/>
              <w:jc w:val="center"/>
              <w:rPr>
                <w:rFonts w:ascii="黑体" w:hAnsi="黑体" w:eastAsia="黑体" w:cs="黑体"/>
                <w:sz w:val="18"/>
                <w:szCs w:val="18"/>
                <w:lang w:eastAsia="zh-CN"/>
              </w:rPr>
            </w:pPr>
            <w:r>
              <w:rPr>
                <w:rFonts w:hint="eastAsia" w:ascii="黑体" w:hAnsi="黑体" w:eastAsia="黑体" w:cs="黑体"/>
                <w:sz w:val="18"/>
                <w:szCs w:val="18"/>
                <w:lang w:eastAsia="zh-CN"/>
              </w:rPr>
              <w:t xml:space="preserve">虚拟背景</w:t>
            </w:r>
            <w:r/>
          </w:p>
        </w:tc>
        <w:tc>
          <w:tcPr>
            <w:shd w:val="clear" w:color="auto" w:fill="auto"/>
            <w:tcW w:w="7252" w:type="dxa"/>
            <w:vAlign w:val="center"/>
            <w:textDirection w:val="lrTb"/>
            <w:noWrap w:val="false"/>
          </w:tcPr>
          <w:p>
            <w:pPr>
              <w:pStyle w:val="1009"/>
              <w:rPr>
                <w:rFonts w:ascii="Times New Roman" w:hAnsi="Times New Roman" w:cs="Times New Roman"/>
                <w:sz w:val="18"/>
                <w:szCs w:val="18"/>
                <w:lang w:eastAsia="zh-CN"/>
              </w:rPr>
            </w:pPr>
            <w:r>
              <w:rPr>
                <w:rFonts w:hint="eastAsia" w:ascii="Times New Roman" w:hAnsi="Times New Roman" w:cs="Times New Roman"/>
                <w:sz w:val="18"/>
                <w:szCs w:val="18"/>
                <w:lang w:eastAsia="zh-CN"/>
              </w:rPr>
              <w:t xml:space="preserve">▲具备虚拟背景功能，电脑、手机客户端支持隐藏真实背景，叠加虚拟背景，保护参会者隐私。（投标人需提供功能应用截图加盖投标人公章）</w:t>
            </w:r>
            <w:r/>
          </w:p>
        </w:tc>
      </w:tr>
    </w:tbl>
    <w:p>
      <w:pPr>
        <w:numPr>
          <w:ilvl w:val="0"/>
          <w:numId w:val="5"/>
        </w:numPr>
        <w:spacing w:line="440" w:lineRule="exact"/>
        <w:rPr>
          <w:rFonts w:ascii="宋体" w:hAnsi="宋体"/>
          <w:b/>
          <w:color w:val="000000"/>
          <w:sz w:val="24"/>
          <w:szCs w:val="24"/>
        </w:rPr>
      </w:pPr>
      <w:r>
        <w:rPr>
          <w:rFonts w:hint="eastAsia" w:ascii="宋体" w:hAnsi="宋体"/>
          <w:b/>
          <w:color w:val="000000"/>
          <w:sz w:val="24"/>
          <w:szCs w:val="24"/>
        </w:rPr>
        <w:t xml:space="preserve">方案要求</w:t>
      </w:r>
      <w:r/>
    </w:p>
    <w:p>
      <w:pPr>
        <w:ind w:firstLine="720"/>
        <w:jc w:val="left"/>
        <w:spacing w:line="400" w:lineRule="exact"/>
        <w:rPr>
          <w:rFonts w:ascii="宋体" w:hAnsi="宋体"/>
          <w:sz w:val="24"/>
          <w:szCs w:val="24"/>
        </w:rPr>
      </w:pPr>
      <w:r>
        <w:rPr>
          <w:rFonts w:hint="eastAsia" w:ascii="宋体" w:hAnsi="宋体"/>
          <w:sz w:val="24"/>
          <w:szCs w:val="24"/>
        </w:rPr>
        <w:t xml:space="preserve">投标人应根据全省融合视频会议服务平台运行服务需求，科学、细致、完整编制《项目总体技术方案》《运营支撑方案》《平台对接方案》《项目实施方案》《项目文档管理方案》《运维服务方案》《培训服务方案》《会议现场保障服务方案》和《服务质量控制方案》，具有较强的针对性和可操作性。</w:t>
      </w:r>
      <w:r/>
    </w:p>
    <w:p>
      <w:pPr>
        <w:ind w:firstLine="720"/>
        <w:jc w:val="left"/>
        <w:spacing w:line="400" w:lineRule="exact"/>
        <w:rPr>
          <w:rFonts w:ascii="宋体" w:hAnsi="宋体"/>
          <w:sz w:val="24"/>
          <w:szCs w:val="24"/>
        </w:rPr>
      </w:pPr>
      <w:r>
        <w:rPr>
          <w:rFonts w:hint="eastAsia" w:ascii="宋体" w:hAnsi="宋体"/>
          <w:sz w:val="24"/>
          <w:szCs w:val="24"/>
        </w:rPr>
        <w:t xml:space="preserve">1．项目总体技术方案要求</w:t>
      </w:r>
      <w:r/>
    </w:p>
    <w:p>
      <w:pPr>
        <w:ind w:firstLine="720"/>
        <w:jc w:val="left"/>
        <w:spacing w:line="400" w:lineRule="exact"/>
        <w:rPr>
          <w:rFonts w:ascii="宋体" w:hAnsi="宋体"/>
          <w:sz w:val="24"/>
          <w:szCs w:val="24"/>
        </w:rPr>
      </w:pPr>
      <w:r>
        <w:rPr>
          <w:rFonts w:hint="eastAsia" w:ascii="宋体" w:hAnsi="宋体"/>
          <w:sz w:val="24"/>
          <w:szCs w:val="24"/>
        </w:rPr>
        <w:t xml:space="preserve">投标人应根据招标文件对本项目需求，提供整体技术解决方案，包括需求分析、总体架构、安全保障体系设计、运维体系设计等，以文字+网络拓扑图等形式，清晰直观展现本次项目建设全景，突出各系统配置细节，提供完善措施确保项目安全运行。</w:t>
      </w:r>
      <w:r/>
    </w:p>
    <w:p>
      <w:pPr>
        <w:ind w:firstLine="720"/>
        <w:jc w:val="left"/>
        <w:spacing w:line="400" w:lineRule="exact"/>
        <w:rPr>
          <w:rFonts w:ascii="宋体" w:hAnsi="宋体"/>
          <w:sz w:val="24"/>
          <w:szCs w:val="24"/>
        </w:rPr>
      </w:pPr>
      <w:r>
        <w:rPr>
          <w:rFonts w:hint="eastAsia" w:ascii="宋体" w:hAnsi="宋体"/>
          <w:sz w:val="24"/>
          <w:szCs w:val="24"/>
        </w:rPr>
        <w:t xml:space="preserve">2．运营支撑方案要求</w:t>
      </w:r>
      <w:r/>
    </w:p>
    <w:p>
      <w:pPr>
        <w:ind w:firstLine="720"/>
        <w:jc w:val="left"/>
        <w:spacing w:line="400" w:lineRule="exact"/>
        <w:rPr>
          <w:rFonts w:ascii="宋体" w:hAnsi="宋体"/>
          <w:sz w:val="24"/>
          <w:szCs w:val="24"/>
        </w:rPr>
      </w:pPr>
      <w:r>
        <w:rPr>
          <w:rFonts w:hint="eastAsia" w:ascii="宋体" w:hAnsi="宋体"/>
          <w:sz w:val="24"/>
          <w:szCs w:val="24"/>
        </w:rPr>
        <w:t xml:space="preserve">投标人应根据招标文件对本项目需求，提供会议视频平台运营支撑服务方案，提供省级平台的运维支撑服务。方案应从定期巡检、定期升级、故障处理、会议保障、意见反馈收集等方面进行详细阐述，制定统一的服务管理制度，规范管理工作，保障服务稳定运行。其中，会议保障工作包括：平台会议资源管理、会前/会中/会后保障工作、省市重点会议保障等。</w:t>
      </w:r>
      <w:r/>
    </w:p>
    <w:p>
      <w:pPr>
        <w:ind w:firstLine="720"/>
        <w:jc w:val="left"/>
        <w:spacing w:line="400" w:lineRule="exact"/>
        <w:rPr>
          <w:rFonts w:ascii="宋体" w:hAnsi="宋体"/>
          <w:sz w:val="24"/>
          <w:szCs w:val="24"/>
        </w:rPr>
      </w:pPr>
      <w:r>
        <w:rPr>
          <w:rFonts w:hint="eastAsia" w:ascii="宋体" w:hAnsi="宋体"/>
          <w:sz w:val="24"/>
          <w:szCs w:val="24"/>
        </w:rPr>
        <w:t xml:space="preserve">3．平台对接方案要求</w:t>
      </w:r>
      <w:r/>
    </w:p>
    <w:p>
      <w:pPr>
        <w:ind w:firstLine="720"/>
        <w:jc w:val="left"/>
        <w:spacing w:line="400" w:lineRule="exact"/>
        <w:rPr>
          <w:rFonts w:ascii="宋体" w:hAnsi="宋体"/>
          <w:sz w:val="24"/>
          <w:szCs w:val="24"/>
        </w:rPr>
      </w:pPr>
      <w:r>
        <w:rPr>
          <w:rFonts w:hint="eastAsia" w:ascii="宋体" w:hAnsi="宋体"/>
          <w:sz w:val="24"/>
          <w:szCs w:val="24"/>
        </w:rPr>
        <w:t xml:space="preserve">投视频会议平台对接工作包括网络和数据互联互通，视频信号背靠背转发，相关会控系统的对接和调试，会议音频视频信号调优和现场保障等。</w:t>
      </w:r>
      <w:r/>
    </w:p>
    <w:p>
      <w:pPr>
        <w:ind w:firstLine="720"/>
        <w:jc w:val="left"/>
        <w:spacing w:line="400" w:lineRule="exact"/>
        <w:rPr>
          <w:rFonts w:ascii="宋体" w:hAnsi="宋体"/>
          <w:sz w:val="24"/>
          <w:szCs w:val="24"/>
        </w:rPr>
      </w:pPr>
      <w:r>
        <w:rPr>
          <w:rFonts w:hint="eastAsia" w:ascii="宋体" w:hAnsi="宋体"/>
          <w:sz w:val="24"/>
          <w:szCs w:val="24"/>
        </w:rPr>
        <w:t xml:space="preserve">4．项目实施方案要求</w:t>
      </w:r>
      <w:r/>
    </w:p>
    <w:p>
      <w:pPr>
        <w:ind w:firstLine="720"/>
        <w:jc w:val="left"/>
        <w:spacing w:line="400" w:lineRule="exact"/>
        <w:rPr>
          <w:rFonts w:ascii="宋体" w:hAnsi="宋体"/>
          <w:sz w:val="24"/>
          <w:szCs w:val="24"/>
        </w:rPr>
      </w:pPr>
      <w:r>
        <w:rPr>
          <w:rFonts w:hint="eastAsia" w:ascii="宋体" w:hAnsi="宋体"/>
          <w:sz w:val="24"/>
          <w:szCs w:val="24"/>
        </w:rPr>
        <w:t xml:space="preserve">投标人应提供项目实施方案，包括人员配置安排、质量控制、文明施工、服务调试、网络连通等，并保障在规定时间内达到招标文件要求并开展服务工作。</w:t>
      </w:r>
      <w:r/>
    </w:p>
    <w:p>
      <w:pPr>
        <w:ind w:firstLine="720"/>
        <w:jc w:val="left"/>
        <w:spacing w:line="400" w:lineRule="exact"/>
        <w:rPr>
          <w:rFonts w:ascii="宋体" w:hAnsi="宋体"/>
          <w:sz w:val="24"/>
          <w:szCs w:val="24"/>
        </w:rPr>
      </w:pPr>
      <w:r>
        <w:rPr>
          <w:rFonts w:hint="eastAsia" w:ascii="宋体" w:hAnsi="宋体"/>
          <w:sz w:val="24"/>
          <w:szCs w:val="24"/>
        </w:rPr>
        <w:t xml:space="preserve">5．项目文档管理方案要求</w:t>
      </w:r>
      <w:r/>
    </w:p>
    <w:p>
      <w:pPr>
        <w:ind w:firstLine="720"/>
        <w:jc w:val="left"/>
        <w:spacing w:line="400" w:lineRule="exact"/>
        <w:rPr>
          <w:rFonts w:ascii="宋体" w:hAnsi="宋体"/>
          <w:sz w:val="24"/>
          <w:szCs w:val="24"/>
        </w:rPr>
      </w:pPr>
      <w:r>
        <w:rPr>
          <w:rFonts w:hint="eastAsia" w:ascii="宋体" w:hAnsi="宋体"/>
          <w:sz w:val="24"/>
          <w:szCs w:val="24"/>
        </w:rPr>
        <w:t xml:space="preserve">投标人应根据招标文件要求制定项目文档管理方案，包括省、市、县(市、区）三级数据局视频会议服务运行情况的文档管理，接入省级平台服务运行状态的文档管理，并根据服务运行情况形成完整的档案目录、运行资料等各类文档。</w:t>
      </w:r>
      <w:r/>
    </w:p>
    <w:p>
      <w:pPr>
        <w:ind w:firstLine="720"/>
        <w:jc w:val="left"/>
        <w:spacing w:line="400" w:lineRule="exact"/>
        <w:rPr>
          <w:rFonts w:ascii="宋体" w:hAnsi="宋体"/>
          <w:sz w:val="24"/>
          <w:szCs w:val="24"/>
        </w:rPr>
      </w:pPr>
      <w:r>
        <w:rPr>
          <w:rFonts w:hint="eastAsia" w:ascii="宋体" w:hAnsi="宋体"/>
          <w:sz w:val="24"/>
          <w:szCs w:val="24"/>
        </w:rPr>
        <w:t xml:space="preserve">6．运维服务方案要求</w:t>
      </w:r>
      <w:r/>
    </w:p>
    <w:p>
      <w:pPr>
        <w:ind w:firstLine="720"/>
        <w:jc w:val="left"/>
        <w:spacing w:line="400" w:lineRule="exact"/>
        <w:rPr>
          <w:rFonts w:ascii="宋体" w:hAnsi="宋体"/>
          <w:sz w:val="24"/>
          <w:szCs w:val="24"/>
        </w:rPr>
      </w:pPr>
      <w:r>
        <w:rPr>
          <w:rFonts w:hint="eastAsia" w:ascii="宋体" w:hAnsi="宋体"/>
          <w:sz w:val="24"/>
          <w:szCs w:val="24"/>
        </w:rPr>
        <w:t xml:space="preserve">投标人根据招标文件需求，提供运维服务方案，包括日常巡检、系统升级、突发事件（故障）预设、突发事件处置办法、故障级别定义、响应时间及故障处置等内容。在采购人对日常会议提出需要时，投标人需提供基础服务，做好资料存档。</w:t>
      </w:r>
      <w:r/>
    </w:p>
    <w:p>
      <w:pPr>
        <w:ind w:firstLine="720"/>
        <w:jc w:val="left"/>
        <w:spacing w:line="400" w:lineRule="exact"/>
        <w:rPr>
          <w:rFonts w:ascii="宋体" w:hAnsi="宋体"/>
          <w:sz w:val="24"/>
          <w:szCs w:val="24"/>
        </w:rPr>
      </w:pPr>
      <w:r>
        <w:rPr>
          <w:rFonts w:hint="eastAsia" w:ascii="宋体" w:hAnsi="宋体"/>
          <w:sz w:val="24"/>
          <w:szCs w:val="24"/>
        </w:rPr>
        <w:t xml:space="preserve">7．培训服务方案要求</w:t>
      </w:r>
      <w:r/>
    </w:p>
    <w:p>
      <w:pPr>
        <w:ind w:firstLine="720"/>
        <w:jc w:val="left"/>
        <w:spacing w:line="400" w:lineRule="exact"/>
        <w:rPr>
          <w:rFonts w:ascii="宋体" w:hAnsi="宋体"/>
          <w:sz w:val="24"/>
          <w:szCs w:val="24"/>
        </w:rPr>
      </w:pPr>
      <w:r>
        <w:rPr>
          <w:rFonts w:hint="eastAsia" w:ascii="宋体" w:hAnsi="宋体"/>
          <w:sz w:val="24"/>
          <w:szCs w:val="24"/>
        </w:rPr>
        <w:t xml:space="preserve">针对本项目相关人员进行培训的具体时间和地点将在采购人认为方便合适的时间和地点举行，内容应包括系统使用和日常运维，要求如下：</w:t>
      </w:r>
      <w:r/>
    </w:p>
    <w:p>
      <w:pPr>
        <w:ind w:firstLine="720"/>
        <w:jc w:val="left"/>
        <w:spacing w:line="400" w:lineRule="exact"/>
        <w:rPr>
          <w:rFonts w:ascii="宋体" w:hAnsi="宋体"/>
          <w:sz w:val="24"/>
          <w:szCs w:val="24"/>
        </w:rPr>
      </w:pPr>
      <w:r>
        <w:rPr>
          <w:rFonts w:hint="eastAsia" w:ascii="宋体" w:hAnsi="宋体"/>
          <w:sz w:val="24"/>
          <w:szCs w:val="24"/>
        </w:rPr>
        <w:t xml:space="preserve">①投标人应在投标文件中提交培训计划书、培训内容、详细的课程安排以及培训时间表。</w:t>
      </w:r>
      <w:r/>
    </w:p>
    <w:p>
      <w:pPr>
        <w:ind w:firstLine="720"/>
        <w:jc w:val="left"/>
        <w:spacing w:line="400" w:lineRule="exact"/>
        <w:rPr>
          <w:rFonts w:ascii="宋体" w:hAnsi="宋体"/>
          <w:sz w:val="24"/>
          <w:szCs w:val="24"/>
        </w:rPr>
      </w:pPr>
      <w:r>
        <w:rPr>
          <w:rFonts w:hint="eastAsia" w:ascii="宋体" w:hAnsi="宋体"/>
          <w:sz w:val="24"/>
          <w:szCs w:val="24"/>
        </w:rPr>
        <w:t xml:space="preserve">②投标人中标后须提供现场培训。</w:t>
      </w:r>
      <w:r/>
    </w:p>
    <w:p>
      <w:pPr>
        <w:ind w:firstLine="720"/>
        <w:jc w:val="left"/>
        <w:spacing w:line="400" w:lineRule="exact"/>
        <w:rPr>
          <w:rFonts w:ascii="宋体" w:hAnsi="宋体"/>
          <w:sz w:val="24"/>
          <w:szCs w:val="24"/>
        </w:rPr>
      </w:pPr>
      <w:r>
        <w:rPr>
          <w:rFonts w:hint="eastAsia" w:ascii="宋体" w:hAnsi="宋体"/>
          <w:sz w:val="24"/>
          <w:szCs w:val="24"/>
        </w:rPr>
        <w:t xml:space="preserve">③投标人培训须从基本原理、使用操作、运行管理三个方面组织。</w:t>
      </w:r>
      <w:r/>
    </w:p>
    <w:p>
      <w:pPr>
        <w:ind w:firstLine="720"/>
        <w:jc w:val="left"/>
        <w:spacing w:line="400" w:lineRule="exact"/>
        <w:rPr>
          <w:rFonts w:ascii="宋体" w:hAnsi="宋体"/>
          <w:sz w:val="24"/>
          <w:szCs w:val="24"/>
        </w:rPr>
      </w:pPr>
      <w:r>
        <w:rPr>
          <w:rFonts w:hint="eastAsia" w:ascii="宋体" w:hAnsi="宋体"/>
          <w:sz w:val="24"/>
          <w:szCs w:val="24"/>
        </w:rPr>
        <w:t xml:space="preserve">④投标人应确保受训人员对系统基本原理、技术特性、操作规范、运行规程、管理维护等方面获得全面了解和掌握，使其能够胜任系统服务的全部运行、操作、故障分析处理等工作。</w:t>
      </w:r>
      <w:r/>
    </w:p>
    <w:p>
      <w:pPr>
        <w:ind w:firstLine="720"/>
        <w:jc w:val="left"/>
        <w:spacing w:line="400" w:lineRule="exact"/>
        <w:rPr>
          <w:rFonts w:ascii="宋体" w:hAnsi="宋体"/>
          <w:sz w:val="24"/>
          <w:szCs w:val="24"/>
        </w:rPr>
      </w:pPr>
      <w:r>
        <w:rPr>
          <w:rFonts w:hint="eastAsia" w:ascii="宋体" w:hAnsi="宋体"/>
          <w:sz w:val="24"/>
          <w:szCs w:val="24"/>
        </w:rPr>
        <w:t xml:space="preserve">8．会议现场保障服务方案要求</w:t>
      </w:r>
      <w:r/>
    </w:p>
    <w:p>
      <w:pPr>
        <w:ind w:firstLine="720"/>
        <w:jc w:val="left"/>
        <w:spacing w:line="400" w:lineRule="exact"/>
        <w:rPr>
          <w:rFonts w:ascii="宋体" w:hAnsi="宋体"/>
          <w:sz w:val="24"/>
          <w:szCs w:val="24"/>
        </w:rPr>
      </w:pPr>
      <w:r>
        <w:rPr>
          <w:rFonts w:hint="eastAsia" w:ascii="宋体" w:hAnsi="宋体"/>
          <w:sz w:val="24"/>
          <w:szCs w:val="24"/>
        </w:rPr>
        <w:t xml:space="preserve">根据会议需要，投标人需提供会前、会中、会后保障服务。</w:t>
      </w:r>
      <w:r/>
    </w:p>
    <w:p>
      <w:pPr>
        <w:ind w:firstLine="720"/>
        <w:jc w:val="left"/>
        <w:spacing w:line="400" w:lineRule="exact"/>
        <w:rPr>
          <w:rFonts w:ascii="宋体" w:hAnsi="宋体"/>
          <w:sz w:val="24"/>
          <w:szCs w:val="24"/>
        </w:rPr>
      </w:pPr>
      <w:r>
        <w:rPr>
          <w:rFonts w:hint="eastAsia" w:ascii="宋体" w:hAnsi="宋体"/>
          <w:sz w:val="24"/>
          <w:szCs w:val="24"/>
        </w:rPr>
        <w:t xml:space="preserve">会前保障：普通视频会议提供远程联调，省级重要会议安排现场联调，联调测试结果由会议召开单位确认。</w:t>
      </w:r>
      <w:r/>
    </w:p>
    <w:p>
      <w:pPr>
        <w:ind w:firstLine="720"/>
        <w:jc w:val="left"/>
        <w:spacing w:line="400" w:lineRule="exact"/>
        <w:rPr>
          <w:rFonts w:ascii="宋体" w:hAnsi="宋体"/>
          <w:sz w:val="24"/>
          <w:szCs w:val="24"/>
        </w:rPr>
      </w:pPr>
      <w:r>
        <w:rPr>
          <w:rFonts w:hint="eastAsia" w:ascii="宋体" w:hAnsi="宋体"/>
          <w:sz w:val="24"/>
          <w:szCs w:val="24"/>
        </w:rPr>
        <w:t xml:space="preserve">会中保障：会议举行过程中，保障视频顺畅、网络稳定，同时做好应急准备。熟练掌握应急处理方案，一旦发生突发情况要迅速解决，恢复正常。</w:t>
      </w:r>
      <w:r/>
    </w:p>
    <w:p>
      <w:pPr>
        <w:ind w:firstLine="720"/>
        <w:jc w:val="left"/>
        <w:spacing w:line="400" w:lineRule="exact"/>
        <w:rPr>
          <w:rFonts w:ascii="宋体" w:hAnsi="宋体"/>
          <w:sz w:val="24"/>
          <w:szCs w:val="24"/>
        </w:rPr>
      </w:pPr>
      <w:r>
        <w:rPr>
          <w:rFonts w:hint="eastAsia" w:ascii="宋体" w:hAnsi="宋体"/>
          <w:sz w:val="24"/>
          <w:szCs w:val="24"/>
        </w:rPr>
        <w:t xml:space="preserve">会后保障：会议结束后，做好会议影像资料存档及相关数据统计。</w:t>
      </w:r>
      <w:r/>
    </w:p>
    <w:p>
      <w:pPr>
        <w:ind w:firstLine="720"/>
        <w:jc w:val="left"/>
        <w:spacing w:line="400" w:lineRule="exact"/>
        <w:rPr>
          <w:rFonts w:ascii="宋体" w:hAnsi="宋体"/>
          <w:sz w:val="24"/>
          <w:szCs w:val="24"/>
        </w:rPr>
      </w:pPr>
      <w:r>
        <w:rPr>
          <w:rFonts w:hint="eastAsia" w:ascii="宋体" w:hAnsi="宋体"/>
          <w:sz w:val="24"/>
          <w:szCs w:val="24"/>
        </w:rPr>
        <w:t xml:space="preserve">9．服务质量控制方案要求</w:t>
      </w:r>
      <w:r/>
    </w:p>
    <w:p>
      <w:pPr>
        <w:ind w:firstLine="720"/>
        <w:jc w:val="left"/>
        <w:spacing w:line="400" w:lineRule="exact"/>
        <w:rPr>
          <w:rFonts w:ascii="宋体" w:hAnsi="宋体"/>
          <w:sz w:val="24"/>
          <w:szCs w:val="24"/>
        </w:rPr>
      </w:pPr>
      <w:r>
        <w:rPr>
          <w:rFonts w:hint="eastAsia" w:ascii="宋体" w:hAnsi="宋体"/>
          <w:sz w:val="24"/>
          <w:szCs w:val="24"/>
        </w:rPr>
        <w:t xml:space="preserve">为提高中标人所提供技术服务的内容质量，将按照服务质量考核规范对中标人所提供的技术服务进行管理及考核，并作为服务验收和付款的依据。</w:t>
      </w:r>
      <w:r/>
    </w:p>
    <w:p>
      <w:pPr>
        <w:ind w:firstLine="720"/>
        <w:jc w:val="left"/>
        <w:spacing w:line="400" w:lineRule="exact"/>
        <w:rPr>
          <w:rFonts w:ascii="宋体" w:hAnsi="宋体"/>
          <w:sz w:val="24"/>
          <w:szCs w:val="24"/>
        </w:rPr>
      </w:pPr>
      <w:r>
        <w:rPr>
          <w:rFonts w:hint="eastAsia" w:ascii="宋体" w:hAnsi="宋体"/>
          <w:sz w:val="24"/>
          <w:szCs w:val="24"/>
        </w:rPr>
        <w:t xml:space="preserve">服务质量考核规范：</w:t>
      </w:r>
      <w:r/>
    </w:p>
    <w:p>
      <w:pPr>
        <w:ind w:firstLine="720"/>
        <w:jc w:val="left"/>
        <w:spacing w:line="400" w:lineRule="exact"/>
        <w:rPr>
          <w:rFonts w:ascii="宋体" w:hAnsi="宋体"/>
          <w:sz w:val="24"/>
          <w:szCs w:val="24"/>
        </w:rPr>
      </w:pPr>
      <w:r>
        <w:rPr>
          <w:rFonts w:hint="eastAsia" w:ascii="宋体" w:hAnsi="宋体"/>
          <w:sz w:val="24"/>
          <w:szCs w:val="24"/>
        </w:rPr>
        <w:t xml:space="preserve">（1）服务质量考核每个季度进行一次，对各项服务进行打分。 </w:t>
      </w:r>
      <w:r/>
    </w:p>
    <w:p>
      <w:pPr>
        <w:ind w:firstLine="720"/>
        <w:jc w:val="left"/>
        <w:spacing w:line="400" w:lineRule="exact"/>
        <w:rPr>
          <w:rFonts w:ascii="宋体" w:hAnsi="宋体"/>
          <w:sz w:val="24"/>
          <w:szCs w:val="24"/>
        </w:rPr>
      </w:pPr>
      <w:r>
        <w:rPr>
          <w:rFonts w:hint="eastAsia" w:ascii="宋体" w:hAnsi="宋体"/>
          <w:sz w:val="24"/>
          <w:szCs w:val="24"/>
        </w:rPr>
        <w:t xml:space="preserve">（2）考核条款</w:t>
      </w:r>
      <w:r/>
    </w:p>
    <w:p>
      <w:pPr>
        <w:ind w:firstLine="720"/>
        <w:jc w:val="left"/>
        <w:spacing w:line="400" w:lineRule="exact"/>
        <w:rPr>
          <w:rFonts w:ascii="宋体" w:hAnsi="宋体"/>
          <w:sz w:val="24"/>
          <w:szCs w:val="24"/>
        </w:rPr>
      </w:pPr>
      <w:r>
        <w:rPr>
          <w:rFonts w:hint="eastAsia" w:ascii="宋体" w:hAnsi="宋体"/>
          <w:sz w:val="24"/>
          <w:szCs w:val="24"/>
        </w:rPr>
        <w:t xml:space="preserve">服务质量考核将从以下几个方面进行：</w:t>
      </w:r>
      <w:r/>
    </w:p>
    <w:p>
      <w:pPr>
        <w:ind w:firstLine="720"/>
        <w:jc w:val="left"/>
        <w:spacing w:line="400" w:lineRule="exact"/>
        <w:rPr>
          <w:rFonts w:ascii="宋体" w:hAnsi="宋体"/>
          <w:sz w:val="24"/>
          <w:szCs w:val="24"/>
        </w:rPr>
      </w:pPr>
      <w:r>
        <w:rPr>
          <w:rFonts w:hint="eastAsia" w:ascii="宋体" w:hAnsi="宋体"/>
          <w:sz w:val="24"/>
          <w:szCs w:val="24"/>
        </w:rPr>
        <w:t xml:space="preserve">①维护能力考核：故障处理是否及时，日常维护是否及时，服务支持界面是否完善，是否主动协调资源投入服务，技术培训效果是否满足采购人需求。</w:t>
      </w:r>
      <w:r/>
    </w:p>
    <w:p>
      <w:pPr>
        <w:ind w:firstLine="720"/>
        <w:jc w:val="left"/>
        <w:spacing w:line="400" w:lineRule="exact"/>
        <w:rPr>
          <w:rFonts w:ascii="宋体" w:hAnsi="宋体"/>
          <w:sz w:val="24"/>
          <w:szCs w:val="24"/>
        </w:rPr>
      </w:pPr>
      <w:r>
        <w:rPr>
          <w:rFonts w:hint="eastAsia" w:ascii="宋体" w:hAnsi="宋体"/>
          <w:sz w:val="24"/>
          <w:szCs w:val="24"/>
        </w:rPr>
        <w:t xml:space="preserve">②服务规范考核：服务态度是否良好，服务报告是否规范，服务人员是否遵守采购人规定。</w:t>
      </w:r>
      <w:r/>
    </w:p>
    <w:p>
      <w:pPr>
        <w:ind w:firstLine="720"/>
        <w:jc w:val="left"/>
        <w:spacing w:line="400" w:lineRule="exact"/>
        <w:rPr>
          <w:rFonts w:ascii="宋体" w:hAnsi="宋体"/>
          <w:sz w:val="24"/>
          <w:szCs w:val="24"/>
        </w:rPr>
      </w:pPr>
      <w:r>
        <w:rPr>
          <w:rFonts w:hint="eastAsia" w:ascii="宋体" w:hAnsi="宋体"/>
          <w:sz w:val="24"/>
          <w:szCs w:val="24"/>
        </w:rPr>
        <w:t xml:space="preserve">③人员组织考核：人力资源投入是否满足需求，人员技术能力是否符合要求，人员变动率是否符合要求，是否提前申请。</w:t>
      </w:r>
      <w:r/>
    </w:p>
    <w:p>
      <w:pPr>
        <w:numPr>
          <w:ilvl w:val="0"/>
          <w:numId w:val="5"/>
        </w:numPr>
        <w:spacing w:line="440" w:lineRule="exact"/>
        <w:rPr>
          <w:rFonts w:ascii="宋体" w:hAnsi="宋体"/>
          <w:b/>
          <w:color w:val="000000"/>
          <w:sz w:val="24"/>
          <w:szCs w:val="24"/>
        </w:rPr>
      </w:pPr>
      <w:r>
        <w:rPr>
          <w:rFonts w:hint="eastAsia" w:ascii="宋体" w:hAnsi="宋体"/>
          <w:b/>
          <w:color w:val="000000"/>
          <w:sz w:val="24"/>
          <w:szCs w:val="24"/>
        </w:rPr>
        <w:t xml:space="preserve">考核及验收要求</w:t>
      </w:r>
      <w:r/>
    </w:p>
    <w:p>
      <w:pPr>
        <w:ind w:left="1" w:firstLine="403"/>
        <w:spacing w:before="149" w:line="440" w:lineRule="exact"/>
        <w:rPr>
          <w:rFonts w:ascii="宋体" w:hAnsi="宋体" w:cs="宋体"/>
          <w:sz w:val="24"/>
          <w:szCs w:val="24"/>
        </w:rPr>
      </w:pPr>
      <w:r>
        <w:rPr>
          <w:rFonts w:hint="eastAsia" w:ascii="宋体" w:hAnsi="宋体" w:cs="宋体"/>
          <w:sz w:val="24"/>
          <w:szCs w:val="24"/>
        </w:rPr>
        <w:t xml:space="preserve">（一）</w:t>
      </w:r>
      <w:r>
        <w:rPr>
          <w:rFonts w:ascii="宋体" w:hAnsi="宋体" w:cs="宋体"/>
          <w:sz w:val="24"/>
          <w:szCs w:val="24"/>
        </w:rPr>
        <w:t xml:space="preserve">投标人须严格遵照</w:t>
      </w:r>
      <w:r>
        <w:rPr>
          <w:rFonts w:hint="eastAsia" w:ascii="宋体" w:hAnsi="宋体" w:cs="宋体"/>
          <w:sz w:val="24"/>
          <w:szCs w:val="24"/>
        </w:rPr>
        <w:t xml:space="preserve">采购人要求</w:t>
      </w:r>
      <w:r>
        <w:rPr>
          <w:rFonts w:ascii="宋体" w:hAnsi="宋体" w:cs="宋体"/>
          <w:spacing w:val="-1"/>
          <w:sz w:val="24"/>
          <w:szCs w:val="24"/>
        </w:rPr>
        <w:t xml:space="preserve">开展运维服务，保障运维工作规范可追溯、服务质量达标</w:t>
      </w:r>
      <w:r>
        <w:rPr>
          <w:rFonts w:hint="eastAsia" w:ascii="宋体" w:hAnsi="宋体" w:cs="宋体"/>
          <w:spacing w:val="-1"/>
          <w:sz w:val="24"/>
          <w:szCs w:val="24"/>
        </w:rPr>
        <w:t xml:space="preserve">，具体要求如下：</w:t>
      </w:r>
      <w:r/>
    </w:p>
    <w:p>
      <w:pPr>
        <w:ind w:firstLine="480"/>
        <w:spacing w:line="440" w:lineRule="exact"/>
        <w:rPr>
          <w:rFonts w:ascii="宋体" w:hAnsi="宋体" w:cs="宋体"/>
          <w:sz w:val="24"/>
          <w:szCs w:val="24"/>
        </w:rPr>
      </w:pPr>
      <w:r>
        <w:rPr>
          <w:rFonts w:hint="eastAsia" w:ascii="宋体" w:hAnsi="宋体" w:cs="宋体"/>
          <w:sz w:val="24"/>
          <w:szCs w:val="24"/>
        </w:rPr>
        <w:t xml:space="preserve">1.投标人须在服务启动后 10 个工作日内，按照采购人要求填写《项目驻场人员信息登记表》（如下表），内容包括明确驻场单位、项目管理处室及责任人、驻场团队负责人及应急联系人和联系电话，经采购人审核确认后存档。服务期内若需更换驻场人员，须至少提前2个月提交书面申请及新人员的《项目驻场人员信息登记表》补充材料，在征得采购人同意后完成工作交接；未经同意更换人员的，采购人将在服务质量考核中进行扣分。</w:t>
      </w:r>
      <w:r/>
    </w:p>
    <w:tbl>
      <w:tblPr>
        <w:tblStyle w:val="1010"/>
        <w:tblW w:w="895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611"/>
        <w:gridCol w:w="1463"/>
        <w:gridCol w:w="1501"/>
        <w:gridCol w:w="1398"/>
        <w:gridCol w:w="2980"/>
      </w:tblGrid>
      <w:tr>
        <w:trPr>
          <w:jc w:val="center"/>
          <w:trHeight w:val="454"/>
          <w:tblHeader/>
        </w:trPr>
        <w:tc>
          <w:tcPr>
            <w:gridSpan w:val="5"/>
            <w:tcBorders>
              <w:top w:val="none" w:color="000000" w:sz="4" w:space="0"/>
              <w:left w:val="none" w:color="000000" w:sz="4" w:space="0"/>
              <w:bottom w:val="single" w:color="auto" w:sz="4" w:space="0"/>
              <w:right w:val="none" w:color="000000" w:sz="4" w:space="0"/>
            </w:tcBorders>
            <w:tcW w:w="8953" w:type="dxa"/>
            <w:vAlign w:val="center"/>
            <w:textDirection w:val="lrTb"/>
            <w:noWrap w:val="false"/>
          </w:tcPr>
          <w:p>
            <w:pPr>
              <w:jc w:val="center"/>
              <w:keepNext/>
              <w:tabs>
                <w:tab w:val="left" w:pos="3703" w:leader="none"/>
              </w:tabs>
              <w:rPr>
                <w:rFonts w:ascii="方正仿宋_GBK" w:hAnsi="方正仿宋_GBK" w:eastAsia="方正仿宋_GBK" w:cs="方正仿宋_GBK"/>
                <w:color w:val="a5a5a5"/>
                <w:spacing w:val="9"/>
                <w:sz w:val="20"/>
                <w:szCs w:val="20"/>
              </w:rPr>
            </w:pPr>
            <w:r>
              <w:rPr>
                <w:rFonts w:hint="eastAsia" w:ascii="黑体" w:hAnsi="黑体" w:eastAsia="黑体" w:cs="黑体"/>
                <w:sz w:val="24"/>
                <w:szCs w:val="24"/>
              </w:rPr>
              <w:t xml:space="preserve">项目驻场人员信息登记表</w:t>
            </w:r>
            <w:r/>
          </w:p>
        </w:tc>
      </w:tr>
      <w:tr>
        <w:trPr>
          <w:jc w:val="center"/>
          <w:trHeight w:val="397"/>
        </w:trPr>
        <w:tc>
          <w:tcPr>
            <w:tcBorders>
              <w:top w:val="single" w:color="auto" w:sz="4" w:space="0"/>
            </w:tcBorders>
            <w:tcW w:w="1611" w:type="dxa"/>
            <w:vAlign w:val="center"/>
            <w:textDirection w:val="lrTb"/>
            <w:noWrap w:val="false"/>
          </w:tcPr>
          <w:p>
            <w:pPr>
              <w:jc w:val="center"/>
              <w:keepNext/>
              <w:rPr>
                <w:rFonts w:ascii="黑体" w:hAnsi="黑体" w:eastAsia="黑体" w:cs="黑体"/>
                <w:sz w:val="18"/>
                <w:szCs w:val="18"/>
              </w:rPr>
            </w:pPr>
            <w:r>
              <w:rPr>
                <w:rFonts w:hint="eastAsia" w:ascii="黑体" w:hAnsi="黑体" w:eastAsia="黑体" w:cs="黑体"/>
                <w:spacing w:val="7"/>
                <w:sz w:val="18"/>
                <w:szCs w:val="18"/>
              </w:rPr>
              <w:t xml:space="preserve">项目名称</w:t>
            </w:r>
            <w:r/>
          </w:p>
        </w:tc>
        <w:tc>
          <w:tcPr>
            <w:gridSpan w:val="4"/>
            <w:tcBorders>
              <w:top w:val="single" w:color="auto" w:sz="4" w:space="0"/>
            </w:tcBorders>
            <w:tcW w:w="7342" w:type="dxa"/>
            <w:vAlign w:val="center"/>
            <w:textDirection w:val="lrTb"/>
            <w:noWrap w:val="false"/>
          </w:tcPr>
          <w:p>
            <w:pPr>
              <w:jc w:val="center"/>
              <w:keepNext/>
              <w:rPr>
                <w:rFonts w:ascii="楷体" w:hAnsi="楷体" w:eastAsia="楷体" w:cs="楷体"/>
                <w:sz w:val="18"/>
                <w:szCs w:val="18"/>
              </w:rPr>
            </w:pPr>
            <w:r>
              <w:rPr>
                <w:rFonts w:hint="eastAsia" w:ascii="楷体" w:hAnsi="楷体" w:eastAsia="楷体" w:cs="楷体"/>
                <w:color w:val="a5a5a5"/>
                <w:spacing w:val="7"/>
                <w:sz w:val="18"/>
                <w:szCs w:val="18"/>
              </w:rPr>
              <w:t xml:space="preserve">项目名称</w:t>
            </w:r>
            <w:r/>
          </w:p>
        </w:tc>
      </w:tr>
      <w:tr>
        <w:trPr>
          <w:jc w:val="center"/>
          <w:trHeight w:val="397"/>
        </w:trPr>
        <w:tc>
          <w:tcPr>
            <w:tcW w:w="1611" w:type="dxa"/>
            <w:vAlign w:val="center"/>
            <w:textDirection w:val="lrTb"/>
            <w:noWrap w:val="false"/>
          </w:tcPr>
          <w:p>
            <w:pPr>
              <w:jc w:val="center"/>
              <w:keepNext/>
              <w:rPr>
                <w:rFonts w:ascii="黑体" w:hAnsi="黑体" w:eastAsia="黑体" w:cs="黑体"/>
                <w:sz w:val="18"/>
                <w:szCs w:val="18"/>
              </w:rPr>
            </w:pPr>
            <w:r>
              <w:rPr>
                <w:rFonts w:hint="eastAsia" w:ascii="黑体" w:hAnsi="黑体" w:eastAsia="黑体" w:cs="黑体"/>
                <w:spacing w:val="7"/>
                <w:sz w:val="18"/>
                <w:szCs w:val="18"/>
              </w:rPr>
              <w:t xml:space="preserve">驻场单位</w:t>
            </w:r>
            <w:r/>
          </w:p>
        </w:tc>
        <w:tc>
          <w:tcPr>
            <w:gridSpan w:val="4"/>
            <w:tcW w:w="7342" w:type="dxa"/>
            <w:vAlign w:val="center"/>
            <w:textDirection w:val="lrTb"/>
            <w:noWrap w:val="false"/>
          </w:tcPr>
          <w:p>
            <w:pPr>
              <w:jc w:val="center"/>
              <w:keepNext/>
              <w:rPr>
                <w:rFonts w:ascii="楷体" w:hAnsi="楷体" w:eastAsia="楷体" w:cs="楷体"/>
                <w:sz w:val="18"/>
                <w:szCs w:val="18"/>
              </w:rPr>
            </w:pPr>
            <w:r>
              <w:rPr>
                <w:rFonts w:hint="eastAsia" w:ascii="楷体" w:hAnsi="楷体" w:eastAsia="楷体" w:cs="楷体"/>
                <w:color w:val="a5a5a5"/>
                <w:spacing w:val="7"/>
                <w:sz w:val="18"/>
                <w:szCs w:val="18"/>
              </w:rPr>
              <w:t xml:space="preserve">投标人全称</w:t>
            </w:r>
            <w:r/>
          </w:p>
        </w:tc>
      </w:tr>
      <w:tr>
        <w:trPr>
          <w:jc w:val="center"/>
          <w:trHeight w:val="397"/>
        </w:trPr>
        <w:tc>
          <w:tcPr>
            <w:tcW w:w="1611" w:type="dxa"/>
            <w:vAlign w:val="center"/>
            <w:textDirection w:val="lrTb"/>
            <w:noWrap w:val="false"/>
          </w:tcPr>
          <w:p>
            <w:pPr>
              <w:jc w:val="center"/>
              <w:keepNext/>
              <w:rPr>
                <w:rFonts w:ascii="黑体" w:hAnsi="黑体" w:eastAsia="黑体" w:cs="黑体"/>
                <w:sz w:val="18"/>
                <w:szCs w:val="18"/>
              </w:rPr>
            </w:pPr>
            <w:r>
              <w:rPr>
                <w:rFonts w:hint="eastAsia" w:ascii="黑体" w:hAnsi="黑体" w:eastAsia="黑体" w:cs="黑体"/>
                <w:spacing w:val="7"/>
                <w:sz w:val="18"/>
                <w:szCs w:val="18"/>
              </w:rPr>
              <w:t xml:space="preserve">管理</w:t>
            </w:r>
            <w:r>
              <w:rPr>
                <w:rFonts w:hint="eastAsia" w:ascii="黑体" w:hAnsi="黑体" w:eastAsia="黑体" w:cs="黑体"/>
                <w:spacing w:val="4"/>
                <w:sz w:val="18"/>
                <w:szCs w:val="18"/>
              </w:rPr>
              <w:t xml:space="preserve">处室</w:t>
            </w:r>
            <w:r/>
          </w:p>
        </w:tc>
        <w:tc>
          <w:tcPr>
            <w:gridSpan w:val="2"/>
            <w:tcW w:w="2964" w:type="dxa"/>
            <w:vAlign w:val="center"/>
            <w:textDirection w:val="lrTb"/>
            <w:noWrap w:val="false"/>
          </w:tcPr>
          <w:p>
            <w:pPr>
              <w:jc w:val="center"/>
              <w:keepNext/>
              <w:rPr>
                <w:rFonts w:ascii="楷体" w:hAnsi="楷体" w:eastAsia="楷体" w:cs="楷体"/>
                <w:color w:val="a5a5a5"/>
                <w:spacing w:val="7"/>
                <w:sz w:val="18"/>
                <w:szCs w:val="18"/>
              </w:rPr>
            </w:pPr>
            <w:r>
              <w:rPr>
                <w:rFonts w:hint="eastAsia" w:ascii="楷体" w:hAnsi="楷体" w:eastAsia="楷体" w:cs="楷体"/>
                <w:color w:val="a5a5a5"/>
                <w:spacing w:val="7"/>
                <w:sz w:val="18"/>
                <w:szCs w:val="18"/>
              </w:rPr>
              <w:t xml:space="preserve">XXXX 处</w:t>
            </w:r>
            <w:r/>
          </w:p>
        </w:tc>
        <w:tc>
          <w:tcPr>
            <w:tcW w:w="1398" w:type="dxa"/>
            <w:vAlign w:val="center"/>
            <w:textDirection w:val="lrTb"/>
            <w:noWrap w:val="false"/>
          </w:tcPr>
          <w:p>
            <w:pPr>
              <w:jc w:val="center"/>
              <w:keepNext/>
              <w:rPr>
                <w:rFonts w:ascii="黑体" w:hAnsi="黑体" w:eastAsia="黑体" w:cs="黑体"/>
                <w:sz w:val="18"/>
                <w:szCs w:val="18"/>
              </w:rPr>
            </w:pPr>
            <w:r>
              <w:rPr>
                <w:rFonts w:hint="eastAsia" w:ascii="黑体" w:hAnsi="黑体" w:eastAsia="黑体" w:cs="黑体"/>
                <w:spacing w:val="8"/>
                <w:sz w:val="18"/>
                <w:szCs w:val="18"/>
              </w:rPr>
              <w:t xml:space="preserve">项目责任人</w:t>
            </w:r>
            <w:r/>
          </w:p>
        </w:tc>
        <w:tc>
          <w:tcPr>
            <w:tcW w:w="2980" w:type="dxa"/>
            <w:vAlign w:val="center"/>
            <w:textDirection w:val="lrTb"/>
            <w:noWrap w:val="false"/>
          </w:tcPr>
          <w:p>
            <w:pPr>
              <w:jc w:val="center"/>
              <w:keepNext/>
              <w:rPr>
                <w:rFonts w:ascii="楷体" w:hAnsi="楷体" w:eastAsia="楷体" w:cs="楷体"/>
                <w:color w:val="a5a5a5"/>
                <w:spacing w:val="7"/>
                <w:sz w:val="18"/>
                <w:szCs w:val="18"/>
              </w:rPr>
            </w:pPr>
            <w:r>
              <w:rPr>
                <w:rFonts w:hint="eastAsia" w:ascii="楷体" w:hAnsi="楷体" w:eastAsia="楷体" w:cs="楷体"/>
                <w:color w:val="a5a5a5"/>
                <w:spacing w:val="7"/>
                <w:sz w:val="18"/>
                <w:szCs w:val="18"/>
              </w:rPr>
              <w:t xml:space="preserve">XXX</w:t>
            </w:r>
            <w:r/>
          </w:p>
        </w:tc>
      </w:tr>
      <w:tr>
        <w:trPr>
          <w:jc w:val="center"/>
          <w:trHeight w:val="397"/>
        </w:trPr>
        <w:tc>
          <w:tcPr>
            <w:tcW w:w="1611" w:type="dxa"/>
            <w:vAlign w:val="center"/>
            <w:textDirection w:val="lrTb"/>
            <w:noWrap w:val="false"/>
          </w:tcPr>
          <w:p>
            <w:pPr>
              <w:jc w:val="center"/>
              <w:keepNext/>
              <w:rPr>
                <w:rFonts w:ascii="黑体" w:hAnsi="黑体" w:eastAsia="黑体" w:cs="黑体"/>
                <w:sz w:val="18"/>
                <w:szCs w:val="18"/>
              </w:rPr>
            </w:pPr>
            <w:r>
              <w:rPr>
                <w:rFonts w:hint="eastAsia" w:ascii="黑体" w:hAnsi="黑体" w:eastAsia="黑体" w:cs="黑体"/>
                <w:spacing w:val="7"/>
                <w:sz w:val="18"/>
                <w:szCs w:val="18"/>
              </w:rPr>
              <w:t xml:space="preserve">驻场</w:t>
            </w:r>
            <w:r>
              <w:rPr>
                <w:rFonts w:hint="eastAsia" w:ascii="黑体" w:hAnsi="黑体" w:eastAsia="黑体" w:cs="黑体"/>
                <w:spacing w:val="5"/>
                <w:sz w:val="18"/>
                <w:szCs w:val="18"/>
              </w:rPr>
              <w:t xml:space="preserve">负责人</w:t>
            </w:r>
            <w:r/>
          </w:p>
        </w:tc>
        <w:tc>
          <w:tcPr>
            <w:gridSpan w:val="2"/>
            <w:tcW w:w="2964" w:type="dxa"/>
            <w:vAlign w:val="center"/>
            <w:textDirection w:val="lrTb"/>
            <w:noWrap w:val="false"/>
          </w:tcPr>
          <w:p>
            <w:pPr>
              <w:jc w:val="center"/>
              <w:keepNext/>
              <w:rPr>
                <w:rFonts w:ascii="楷体" w:hAnsi="楷体" w:eastAsia="楷体" w:cs="楷体"/>
                <w:color w:val="a5a5a5"/>
                <w:spacing w:val="7"/>
                <w:sz w:val="18"/>
                <w:szCs w:val="18"/>
              </w:rPr>
            </w:pPr>
            <w:r>
              <w:rPr>
                <w:rFonts w:hint="eastAsia" w:ascii="楷体" w:hAnsi="楷体" w:eastAsia="楷体" w:cs="楷体"/>
                <w:color w:val="a5a5a5"/>
                <w:spacing w:val="7"/>
                <w:sz w:val="18"/>
                <w:szCs w:val="18"/>
              </w:rPr>
              <w:t xml:space="preserve">驻场负责人姓名</w:t>
            </w:r>
            <w:r/>
          </w:p>
        </w:tc>
        <w:tc>
          <w:tcPr>
            <w:tcW w:w="1398" w:type="dxa"/>
            <w:vAlign w:val="center"/>
            <w:textDirection w:val="lrTb"/>
            <w:noWrap w:val="false"/>
          </w:tcPr>
          <w:p>
            <w:pPr>
              <w:jc w:val="center"/>
              <w:keepNext/>
              <w:rPr>
                <w:rFonts w:ascii="黑体" w:hAnsi="黑体" w:eastAsia="黑体" w:cs="黑体"/>
                <w:sz w:val="18"/>
                <w:szCs w:val="18"/>
              </w:rPr>
            </w:pPr>
            <w:r>
              <w:rPr>
                <w:rFonts w:hint="eastAsia" w:ascii="黑体" w:hAnsi="黑体" w:eastAsia="黑体" w:cs="黑体"/>
                <w:spacing w:val="7"/>
                <w:sz w:val="18"/>
                <w:szCs w:val="18"/>
              </w:rPr>
              <w:t xml:space="preserve">联系电话</w:t>
            </w:r>
            <w:r/>
          </w:p>
        </w:tc>
        <w:tc>
          <w:tcPr>
            <w:tcW w:w="2980" w:type="dxa"/>
            <w:vAlign w:val="center"/>
            <w:textDirection w:val="lrTb"/>
            <w:noWrap w:val="false"/>
          </w:tcPr>
          <w:p>
            <w:pPr>
              <w:jc w:val="center"/>
              <w:keepNext/>
              <w:rPr>
                <w:rFonts w:ascii="楷体" w:hAnsi="楷体" w:eastAsia="楷体" w:cs="楷体"/>
                <w:color w:val="a5a5a5"/>
                <w:spacing w:val="7"/>
                <w:sz w:val="18"/>
                <w:szCs w:val="18"/>
              </w:rPr>
            </w:pPr>
            <w:r>
              <w:rPr>
                <w:rFonts w:hint="eastAsia" w:ascii="楷体" w:hAnsi="楷体" w:eastAsia="楷体" w:cs="楷体"/>
                <w:color w:val="a5a5a5"/>
                <w:spacing w:val="7"/>
                <w:sz w:val="18"/>
                <w:szCs w:val="18"/>
              </w:rPr>
              <w:t xml:space="preserve">负责人手机（7 ×24 小时畅通）</w:t>
            </w:r>
            <w:r/>
          </w:p>
        </w:tc>
      </w:tr>
      <w:tr>
        <w:trPr>
          <w:jc w:val="center"/>
          <w:trHeight w:val="397"/>
        </w:trPr>
        <w:tc>
          <w:tcPr>
            <w:tcW w:w="1611" w:type="dxa"/>
            <w:vAlign w:val="center"/>
            <w:textDirection w:val="lrTb"/>
            <w:noWrap w:val="false"/>
          </w:tcPr>
          <w:p>
            <w:pPr>
              <w:jc w:val="center"/>
              <w:keepNext/>
              <w:rPr>
                <w:rFonts w:ascii="黑体" w:hAnsi="黑体" w:eastAsia="黑体" w:cs="黑体"/>
                <w:sz w:val="18"/>
                <w:szCs w:val="18"/>
              </w:rPr>
            </w:pPr>
            <w:r>
              <w:rPr>
                <w:rFonts w:hint="eastAsia" w:ascii="黑体" w:hAnsi="黑体" w:eastAsia="黑体" w:cs="黑体"/>
                <w:spacing w:val="7"/>
                <w:sz w:val="18"/>
                <w:szCs w:val="18"/>
              </w:rPr>
              <w:t xml:space="preserve">应急联系人</w:t>
            </w:r>
            <w:r/>
          </w:p>
        </w:tc>
        <w:tc>
          <w:tcPr>
            <w:gridSpan w:val="2"/>
            <w:tcW w:w="2964" w:type="dxa"/>
            <w:vAlign w:val="center"/>
            <w:textDirection w:val="lrTb"/>
            <w:noWrap w:val="false"/>
          </w:tcPr>
          <w:p>
            <w:pPr>
              <w:jc w:val="center"/>
              <w:keepNext/>
              <w:rPr>
                <w:rFonts w:ascii="楷体" w:hAnsi="楷体" w:eastAsia="楷体" w:cs="楷体"/>
                <w:color w:val="a5a5a5"/>
                <w:spacing w:val="7"/>
                <w:sz w:val="18"/>
                <w:szCs w:val="18"/>
              </w:rPr>
            </w:pPr>
            <w:r>
              <w:rPr>
                <w:rFonts w:hint="eastAsia" w:ascii="楷体" w:hAnsi="楷体" w:eastAsia="楷体" w:cs="楷体"/>
                <w:color w:val="a5a5a5"/>
                <w:spacing w:val="7"/>
                <w:sz w:val="18"/>
                <w:szCs w:val="18"/>
              </w:rPr>
              <w:t xml:space="preserve">应急联系人姓名</w:t>
            </w:r>
            <w:r/>
          </w:p>
        </w:tc>
        <w:tc>
          <w:tcPr>
            <w:tcW w:w="1398" w:type="dxa"/>
            <w:vAlign w:val="center"/>
            <w:textDirection w:val="lrTb"/>
            <w:noWrap w:val="false"/>
          </w:tcPr>
          <w:p>
            <w:pPr>
              <w:jc w:val="center"/>
              <w:keepNext/>
              <w:rPr>
                <w:rFonts w:ascii="黑体" w:hAnsi="黑体" w:eastAsia="黑体" w:cs="黑体"/>
                <w:sz w:val="18"/>
                <w:szCs w:val="18"/>
              </w:rPr>
            </w:pPr>
            <w:r>
              <w:rPr>
                <w:rFonts w:hint="eastAsia" w:ascii="黑体" w:hAnsi="黑体" w:eastAsia="黑体" w:cs="黑体"/>
                <w:spacing w:val="7"/>
                <w:sz w:val="18"/>
                <w:szCs w:val="18"/>
              </w:rPr>
              <w:t xml:space="preserve">联系电话</w:t>
            </w:r>
            <w:r/>
          </w:p>
        </w:tc>
        <w:tc>
          <w:tcPr>
            <w:tcW w:w="2980" w:type="dxa"/>
            <w:vAlign w:val="center"/>
            <w:textDirection w:val="lrTb"/>
            <w:noWrap w:val="false"/>
          </w:tcPr>
          <w:p>
            <w:pPr>
              <w:jc w:val="center"/>
              <w:keepNext/>
              <w:rPr>
                <w:rFonts w:ascii="楷体" w:hAnsi="楷体" w:eastAsia="楷体" w:cs="楷体"/>
                <w:color w:val="a5a5a5"/>
                <w:spacing w:val="7"/>
                <w:sz w:val="18"/>
                <w:szCs w:val="18"/>
              </w:rPr>
            </w:pPr>
            <w:r>
              <w:rPr>
                <w:rFonts w:hint="eastAsia" w:ascii="楷体" w:hAnsi="楷体" w:eastAsia="楷体" w:cs="楷体"/>
                <w:color w:val="a5a5a5"/>
                <w:spacing w:val="7"/>
                <w:sz w:val="18"/>
                <w:szCs w:val="18"/>
              </w:rPr>
              <w:t xml:space="preserve">联系人手机（7 ×24小时畅通）</w:t>
            </w:r>
            <w:r/>
          </w:p>
        </w:tc>
      </w:tr>
      <w:tr>
        <w:trPr>
          <w:jc w:val="center"/>
          <w:trHeight w:val="397"/>
        </w:trPr>
        <w:tc>
          <w:tcPr>
            <w:tcW w:w="1611" w:type="dxa"/>
            <w:vAlign w:val="center"/>
            <w:textDirection w:val="lrTb"/>
            <w:noWrap w:val="false"/>
          </w:tcPr>
          <w:p>
            <w:pPr>
              <w:jc w:val="center"/>
              <w:keepNext/>
              <w:rPr>
                <w:rFonts w:ascii="黑体" w:hAnsi="黑体" w:eastAsia="黑体" w:cs="黑体"/>
                <w:sz w:val="18"/>
                <w:szCs w:val="18"/>
              </w:rPr>
            </w:pPr>
            <w:r>
              <w:rPr>
                <w:rFonts w:hint="eastAsia" w:ascii="黑体" w:hAnsi="黑体" w:eastAsia="黑体" w:cs="黑体"/>
                <w:spacing w:val="7"/>
                <w:sz w:val="18"/>
                <w:szCs w:val="18"/>
              </w:rPr>
              <w:t xml:space="preserve">驻场人员</w:t>
            </w:r>
            <w:r>
              <w:rPr>
                <w:rFonts w:hint="eastAsia" w:ascii="黑体" w:hAnsi="黑体" w:eastAsia="黑体" w:cs="黑体"/>
                <w:spacing w:val="4"/>
                <w:sz w:val="18"/>
                <w:szCs w:val="18"/>
              </w:rPr>
              <w:t xml:space="preserve">姓名</w:t>
            </w:r>
            <w:r/>
          </w:p>
        </w:tc>
        <w:tc>
          <w:tcPr>
            <w:tcW w:w="1463" w:type="dxa"/>
            <w:vAlign w:val="center"/>
            <w:textDirection w:val="lrTb"/>
            <w:noWrap w:val="false"/>
          </w:tcPr>
          <w:p>
            <w:pPr>
              <w:jc w:val="center"/>
              <w:keepNext/>
              <w:rPr>
                <w:rFonts w:ascii="黑体" w:hAnsi="黑体" w:eastAsia="黑体" w:cs="黑体"/>
                <w:sz w:val="18"/>
                <w:szCs w:val="18"/>
              </w:rPr>
            </w:pPr>
            <w:r>
              <w:rPr>
                <w:rFonts w:hint="eastAsia" w:ascii="黑体" w:hAnsi="黑体" w:eastAsia="黑体" w:cs="黑体"/>
                <w:spacing w:val="7"/>
                <w:sz w:val="18"/>
                <w:szCs w:val="18"/>
              </w:rPr>
              <w:t xml:space="preserve">身份证明</w:t>
            </w:r>
            <w:r/>
          </w:p>
        </w:tc>
        <w:tc>
          <w:tcPr>
            <w:tcW w:w="1501" w:type="dxa"/>
            <w:vAlign w:val="center"/>
            <w:textDirection w:val="lrTb"/>
            <w:noWrap w:val="false"/>
          </w:tcPr>
          <w:p>
            <w:pPr>
              <w:jc w:val="center"/>
              <w:keepNext/>
              <w:rPr>
                <w:rFonts w:ascii="黑体" w:hAnsi="黑体" w:eastAsia="黑体" w:cs="黑体"/>
                <w:sz w:val="18"/>
                <w:szCs w:val="18"/>
              </w:rPr>
            </w:pPr>
            <w:r>
              <w:rPr>
                <w:rFonts w:hint="eastAsia" w:ascii="黑体" w:hAnsi="黑体" w:eastAsia="黑体" w:cs="黑体"/>
                <w:spacing w:val="2"/>
                <w:sz w:val="18"/>
                <w:szCs w:val="18"/>
              </w:rPr>
              <w:t xml:space="preserve">资质</w:t>
            </w:r>
            <w:r>
              <w:rPr>
                <w:rFonts w:hint="eastAsia" w:ascii="黑体" w:hAnsi="黑体" w:eastAsia="黑体" w:cs="黑体"/>
                <w:spacing w:val="4"/>
                <w:sz w:val="18"/>
                <w:szCs w:val="18"/>
              </w:rPr>
              <w:t xml:space="preserve">证书</w:t>
            </w:r>
            <w:r/>
          </w:p>
        </w:tc>
        <w:tc>
          <w:tcPr>
            <w:tcW w:w="1398" w:type="dxa"/>
            <w:vAlign w:val="center"/>
            <w:textDirection w:val="lrTb"/>
            <w:noWrap w:val="false"/>
          </w:tcPr>
          <w:p>
            <w:pPr>
              <w:jc w:val="center"/>
              <w:keepNext/>
              <w:rPr>
                <w:rFonts w:ascii="黑体" w:hAnsi="黑体" w:eastAsia="黑体" w:cs="黑体"/>
                <w:sz w:val="18"/>
                <w:szCs w:val="18"/>
              </w:rPr>
            </w:pPr>
            <w:r>
              <w:rPr>
                <w:rFonts w:hint="eastAsia" w:ascii="黑体" w:hAnsi="黑体" w:eastAsia="黑体" w:cs="黑体"/>
                <w:spacing w:val="8"/>
                <w:sz w:val="18"/>
                <w:szCs w:val="18"/>
              </w:rPr>
              <w:t xml:space="preserve">运维内容</w:t>
            </w:r>
            <w:r/>
          </w:p>
        </w:tc>
        <w:tc>
          <w:tcPr>
            <w:tcW w:w="2980" w:type="dxa"/>
            <w:vAlign w:val="center"/>
            <w:textDirection w:val="lrTb"/>
            <w:noWrap w:val="false"/>
          </w:tcPr>
          <w:p>
            <w:pPr>
              <w:jc w:val="center"/>
              <w:keepNext/>
              <w:rPr>
                <w:rFonts w:ascii="黑体" w:hAnsi="黑体" w:eastAsia="黑体" w:cs="黑体"/>
                <w:sz w:val="18"/>
                <w:szCs w:val="18"/>
              </w:rPr>
            </w:pPr>
            <w:r>
              <w:rPr>
                <w:rFonts w:hint="eastAsia" w:ascii="黑体" w:hAnsi="黑体" w:eastAsia="黑体" w:cs="黑体"/>
                <w:spacing w:val="7"/>
                <w:sz w:val="18"/>
                <w:szCs w:val="18"/>
              </w:rPr>
              <w:t xml:space="preserve">联系电话</w:t>
            </w:r>
            <w:r/>
          </w:p>
        </w:tc>
      </w:tr>
      <w:tr>
        <w:trPr>
          <w:jc w:val="center"/>
          <w:trHeight w:val="397"/>
        </w:trPr>
        <w:tc>
          <w:tcPr>
            <w:tcW w:w="1611" w:type="dxa"/>
            <w:vAlign w:val="center"/>
            <w:textDirection w:val="lrTb"/>
            <w:noWrap w:val="false"/>
          </w:tcPr>
          <w:p>
            <w:pPr>
              <w:jc w:val="center"/>
              <w:keepNext/>
              <w:rPr>
                <w:rFonts w:ascii="楷体" w:hAnsi="楷体" w:eastAsia="楷体" w:cs="楷体"/>
                <w:color w:val="a5a5a5"/>
                <w:spacing w:val="7"/>
                <w:sz w:val="18"/>
                <w:szCs w:val="18"/>
              </w:rPr>
            </w:pPr>
            <w:r>
              <w:rPr>
                <w:rFonts w:hint="eastAsia" w:ascii="楷体" w:hAnsi="楷体" w:eastAsia="楷体" w:cs="楷体"/>
                <w:color w:val="a5a5a5"/>
                <w:spacing w:val="7"/>
                <w:sz w:val="18"/>
                <w:szCs w:val="18"/>
              </w:rPr>
              <w:t xml:space="preserve">驻场人员姓名</w:t>
            </w:r>
            <w:r/>
          </w:p>
        </w:tc>
        <w:tc>
          <w:tcPr>
            <w:tcW w:w="1463" w:type="dxa"/>
            <w:vAlign w:val="center"/>
            <w:textDirection w:val="lrTb"/>
            <w:noWrap w:val="false"/>
          </w:tcPr>
          <w:p>
            <w:pPr>
              <w:jc w:val="center"/>
              <w:keepNext/>
              <w:rPr>
                <w:rFonts w:ascii="楷体" w:hAnsi="楷体" w:eastAsia="楷体" w:cs="楷体"/>
                <w:color w:val="a5a5a5"/>
                <w:spacing w:val="7"/>
                <w:sz w:val="18"/>
                <w:szCs w:val="18"/>
              </w:rPr>
            </w:pPr>
            <w:r>
              <w:rPr>
                <w:rFonts w:hint="eastAsia" w:ascii="楷体" w:hAnsi="楷体" w:eastAsia="楷体" w:cs="楷体"/>
                <w:color w:val="a5a5a5"/>
                <w:spacing w:val="7"/>
                <w:sz w:val="18"/>
                <w:szCs w:val="18"/>
              </w:rPr>
              <w:t xml:space="preserve">身份证明材料</w:t>
            </w:r>
            <w:r/>
          </w:p>
        </w:tc>
        <w:tc>
          <w:tcPr>
            <w:tcW w:w="1501" w:type="dxa"/>
            <w:vAlign w:val="center"/>
            <w:textDirection w:val="lrTb"/>
            <w:noWrap w:val="false"/>
          </w:tcPr>
          <w:p>
            <w:pPr>
              <w:jc w:val="center"/>
              <w:keepNext/>
              <w:rPr>
                <w:rFonts w:ascii="楷体" w:hAnsi="楷体" w:eastAsia="楷体" w:cs="楷体"/>
                <w:color w:val="a5a5a5"/>
                <w:spacing w:val="7"/>
                <w:sz w:val="18"/>
                <w:szCs w:val="18"/>
              </w:rPr>
            </w:pPr>
            <w:r>
              <w:rPr>
                <w:rFonts w:hint="eastAsia" w:ascii="楷体" w:hAnsi="楷体" w:eastAsia="楷体" w:cs="楷体"/>
                <w:color w:val="a5a5a5"/>
                <w:spacing w:val="7"/>
                <w:sz w:val="18"/>
                <w:szCs w:val="18"/>
              </w:rPr>
              <w:t xml:space="preserve">证书资质</w:t>
            </w:r>
            <w:r/>
          </w:p>
        </w:tc>
        <w:tc>
          <w:tcPr>
            <w:tcW w:w="1398" w:type="dxa"/>
            <w:vAlign w:val="center"/>
            <w:textDirection w:val="lrTb"/>
            <w:noWrap w:val="false"/>
          </w:tcPr>
          <w:p>
            <w:pPr>
              <w:jc w:val="center"/>
              <w:keepNext/>
              <w:rPr>
                <w:rFonts w:ascii="楷体" w:hAnsi="楷体" w:eastAsia="楷体" w:cs="楷体"/>
                <w:color w:val="a5a5a5"/>
                <w:spacing w:val="7"/>
                <w:sz w:val="18"/>
                <w:szCs w:val="18"/>
              </w:rPr>
            </w:pPr>
            <w:r>
              <w:rPr>
                <w:rFonts w:hint="eastAsia" w:ascii="楷体" w:hAnsi="楷体" w:eastAsia="楷体" w:cs="楷体"/>
                <w:color w:val="a5a5a5"/>
                <w:spacing w:val="7"/>
                <w:sz w:val="18"/>
                <w:szCs w:val="18"/>
              </w:rPr>
              <w:t xml:space="preserve">运维职责描述</w:t>
            </w:r>
            <w:r/>
          </w:p>
        </w:tc>
        <w:tc>
          <w:tcPr>
            <w:tcW w:w="2980" w:type="dxa"/>
            <w:vAlign w:val="center"/>
            <w:textDirection w:val="lrTb"/>
            <w:noWrap w:val="false"/>
          </w:tcPr>
          <w:p>
            <w:pPr>
              <w:jc w:val="center"/>
              <w:keepNext/>
              <w:rPr>
                <w:rFonts w:ascii="楷体" w:hAnsi="楷体" w:eastAsia="楷体" w:cs="楷体"/>
                <w:color w:val="a5a5a5"/>
                <w:spacing w:val="7"/>
                <w:sz w:val="18"/>
                <w:szCs w:val="18"/>
              </w:rPr>
            </w:pPr>
            <w:r>
              <w:rPr>
                <w:rFonts w:hint="eastAsia" w:ascii="楷体" w:hAnsi="楷体" w:eastAsia="楷体" w:cs="楷体"/>
                <w:color w:val="a5a5a5"/>
                <w:spacing w:val="7"/>
                <w:sz w:val="18"/>
                <w:szCs w:val="18"/>
              </w:rPr>
              <w:t xml:space="preserve">手机号码</w:t>
            </w:r>
            <w:r/>
          </w:p>
        </w:tc>
      </w:tr>
      <w:tr>
        <w:trPr>
          <w:jc w:val="center"/>
          <w:trHeight w:val="397"/>
        </w:trPr>
        <w:tc>
          <w:tcPr>
            <w:tcW w:w="1611" w:type="dxa"/>
            <w:vAlign w:val="center"/>
            <w:textDirection w:val="lrTb"/>
            <w:noWrap w:val="false"/>
          </w:tcPr>
          <w:p>
            <w:pPr>
              <w:jc w:val="center"/>
              <w:keepNext/>
              <w:rPr>
                <w:rFonts w:ascii="楷体" w:hAnsi="楷体" w:eastAsia="楷体" w:cs="楷体"/>
                <w:color w:val="a5a5a5"/>
                <w:spacing w:val="7"/>
                <w:sz w:val="18"/>
                <w:szCs w:val="18"/>
              </w:rPr>
            </w:pPr>
            <w:r>
              <w:rPr>
                <w:rFonts w:hint="eastAsia" w:ascii="楷体" w:hAnsi="楷体" w:eastAsia="楷体" w:cs="楷体"/>
                <w:color w:val="a5a5a5"/>
                <w:spacing w:val="7"/>
                <w:sz w:val="18"/>
                <w:szCs w:val="18"/>
              </w:rPr>
              <w:t xml:space="preserve">……</w:t>
            </w:r>
            <w:r/>
          </w:p>
        </w:tc>
        <w:tc>
          <w:tcPr>
            <w:tcW w:w="1463" w:type="dxa"/>
            <w:vAlign w:val="center"/>
            <w:textDirection w:val="lrTb"/>
            <w:noWrap w:val="false"/>
          </w:tcPr>
          <w:p>
            <w:pPr>
              <w:jc w:val="center"/>
              <w:keepNext/>
              <w:rPr>
                <w:rFonts w:ascii="楷体" w:hAnsi="楷体" w:eastAsia="楷体" w:cs="楷体"/>
                <w:color w:val="a5a5a5"/>
                <w:spacing w:val="7"/>
                <w:sz w:val="18"/>
                <w:szCs w:val="18"/>
              </w:rPr>
            </w:pPr>
            <w:r>
              <w:rPr>
                <w:rFonts w:hint="eastAsia" w:ascii="楷体" w:hAnsi="楷体" w:eastAsia="楷体" w:cs="楷体"/>
                <w:color w:val="a5a5a5"/>
                <w:spacing w:val="7"/>
                <w:sz w:val="18"/>
                <w:szCs w:val="18"/>
              </w:rPr>
              <w:t xml:space="preserve">……</w:t>
            </w:r>
            <w:r/>
          </w:p>
        </w:tc>
        <w:tc>
          <w:tcPr>
            <w:tcW w:w="1501" w:type="dxa"/>
            <w:vAlign w:val="center"/>
            <w:textDirection w:val="lrTb"/>
            <w:noWrap w:val="false"/>
          </w:tcPr>
          <w:p>
            <w:pPr>
              <w:jc w:val="center"/>
              <w:keepNext/>
              <w:rPr>
                <w:rFonts w:ascii="楷体" w:hAnsi="楷体" w:eastAsia="楷体" w:cs="楷体"/>
                <w:color w:val="a5a5a5"/>
                <w:spacing w:val="7"/>
                <w:sz w:val="18"/>
                <w:szCs w:val="18"/>
              </w:rPr>
            </w:pPr>
            <w:r>
              <w:rPr>
                <w:rFonts w:hint="eastAsia" w:ascii="楷体" w:hAnsi="楷体" w:eastAsia="楷体" w:cs="楷体"/>
                <w:color w:val="a5a5a5"/>
                <w:spacing w:val="7"/>
                <w:sz w:val="18"/>
                <w:szCs w:val="18"/>
              </w:rPr>
              <w:t xml:space="preserve">……</w:t>
            </w:r>
            <w:r/>
          </w:p>
        </w:tc>
        <w:tc>
          <w:tcPr>
            <w:tcW w:w="1398" w:type="dxa"/>
            <w:vAlign w:val="center"/>
            <w:textDirection w:val="lrTb"/>
            <w:noWrap w:val="false"/>
          </w:tcPr>
          <w:p>
            <w:pPr>
              <w:jc w:val="center"/>
              <w:keepNext/>
              <w:rPr>
                <w:rFonts w:ascii="楷体" w:hAnsi="楷体" w:eastAsia="楷体" w:cs="楷体"/>
                <w:color w:val="a5a5a5"/>
                <w:spacing w:val="7"/>
                <w:sz w:val="18"/>
                <w:szCs w:val="18"/>
              </w:rPr>
            </w:pPr>
            <w:r>
              <w:rPr>
                <w:rFonts w:hint="eastAsia" w:ascii="楷体" w:hAnsi="楷体" w:eastAsia="楷体" w:cs="楷体"/>
                <w:color w:val="a5a5a5"/>
                <w:spacing w:val="7"/>
                <w:sz w:val="18"/>
                <w:szCs w:val="18"/>
              </w:rPr>
              <w:t xml:space="preserve">……</w:t>
            </w:r>
            <w:r/>
          </w:p>
        </w:tc>
        <w:tc>
          <w:tcPr>
            <w:tcW w:w="2980" w:type="dxa"/>
            <w:vAlign w:val="center"/>
            <w:textDirection w:val="lrTb"/>
            <w:noWrap w:val="false"/>
          </w:tcPr>
          <w:p>
            <w:pPr>
              <w:jc w:val="center"/>
              <w:keepNext/>
              <w:rPr>
                <w:rFonts w:ascii="楷体" w:hAnsi="楷体" w:eastAsia="楷体" w:cs="楷体"/>
                <w:color w:val="a5a5a5"/>
                <w:spacing w:val="7"/>
                <w:sz w:val="18"/>
                <w:szCs w:val="18"/>
              </w:rPr>
            </w:pPr>
            <w:r>
              <w:rPr>
                <w:rFonts w:hint="eastAsia" w:ascii="楷体" w:hAnsi="楷体" w:eastAsia="楷体" w:cs="楷体"/>
                <w:color w:val="a5a5a5"/>
                <w:spacing w:val="7"/>
                <w:sz w:val="18"/>
                <w:szCs w:val="18"/>
              </w:rPr>
              <w:t xml:space="preserve">……</w:t>
            </w:r>
            <w:r/>
          </w:p>
        </w:tc>
      </w:tr>
      <w:tr>
        <w:trPr>
          <w:jc w:val="center"/>
          <w:trHeight w:val="397"/>
        </w:trPr>
        <w:tc>
          <w:tcPr>
            <w:tcW w:w="1611" w:type="dxa"/>
            <w:vAlign w:val="center"/>
            <w:textDirection w:val="lrTb"/>
            <w:noWrap w:val="false"/>
          </w:tcPr>
          <w:p>
            <w:pPr>
              <w:jc w:val="center"/>
              <w:keepNext/>
              <w:rPr>
                <w:rFonts w:ascii="楷体" w:hAnsi="楷体" w:eastAsia="楷体" w:cs="楷体"/>
                <w:color w:val="a5a5a5"/>
                <w:spacing w:val="7"/>
                <w:sz w:val="18"/>
                <w:szCs w:val="18"/>
              </w:rPr>
            </w:pPr>
            <w:r>
              <w:rPr>
                <w:rFonts w:hint="eastAsia" w:ascii="楷体" w:hAnsi="楷体" w:eastAsia="楷体" w:cs="楷体"/>
                <w:color w:val="a5a5a5"/>
                <w:spacing w:val="7"/>
                <w:sz w:val="18"/>
                <w:szCs w:val="18"/>
              </w:rPr>
              <w:t xml:space="preserve">驻场人员姓名</w:t>
            </w:r>
            <w:r/>
          </w:p>
        </w:tc>
        <w:tc>
          <w:tcPr>
            <w:tcW w:w="1463" w:type="dxa"/>
            <w:vAlign w:val="center"/>
            <w:textDirection w:val="lrTb"/>
            <w:noWrap w:val="false"/>
          </w:tcPr>
          <w:p>
            <w:pPr>
              <w:jc w:val="center"/>
              <w:keepNext/>
              <w:rPr>
                <w:rFonts w:ascii="楷体" w:hAnsi="楷体" w:eastAsia="楷体" w:cs="楷体"/>
                <w:color w:val="a5a5a5"/>
                <w:spacing w:val="7"/>
                <w:sz w:val="18"/>
                <w:szCs w:val="18"/>
              </w:rPr>
            </w:pPr>
            <w:r>
              <w:rPr>
                <w:rFonts w:hint="eastAsia" w:ascii="楷体" w:hAnsi="楷体" w:eastAsia="楷体" w:cs="楷体"/>
                <w:color w:val="a5a5a5"/>
                <w:spacing w:val="7"/>
                <w:sz w:val="18"/>
                <w:szCs w:val="18"/>
              </w:rPr>
              <w:t xml:space="preserve">身份证明材料</w:t>
            </w:r>
            <w:r/>
          </w:p>
        </w:tc>
        <w:tc>
          <w:tcPr>
            <w:tcW w:w="1501" w:type="dxa"/>
            <w:vAlign w:val="center"/>
            <w:textDirection w:val="lrTb"/>
            <w:noWrap w:val="false"/>
          </w:tcPr>
          <w:p>
            <w:pPr>
              <w:jc w:val="center"/>
              <w:keepNext/>
              <w:rPr>
                <w:rFonts w:ascii="楷体" w:hAnsi="楷体" w:eastAsia="楷体" w:cs="楷体"/>
                <w:color w:val="a5a5a5"/>
                <w:spacing w:val="7"/>
                <w:sz w:val="18"/>
                <w:szCs w:val="18"/>
              </w:rPr>
            </w:pPr>
            <w:r>
              <w:rPr>
                <w:rFonts w:hint="eastAsia" w:ascii="楷体" w:hAnsi="楷体" w:eastAsia="楷体" w:cs="楷体"/>
                <w:color w:val="a5a5a5"/>
                <w:spacing w:val="7"/>
                <w:sz w:val="18"/>
                <w:szCs w:val="18"/>
              </w:rPr>
              <w:t xml:space="preserve">证书资质</w:t>
            </w:r>
            <w:r/>
          </w:p>
        </w:tc>
        <w:tc>
          <w:tcPr>
            <w:tcW w:w="1398" w:type="dxa"/>
            <w:vAlign w:val="center"/>
            <w:textDirection w:val="lrTb"/>
            <w:noWrap w:val="false"/>
          </w:tcPr>
          <w:p>
            <w:pPr>
              <w:jc w:val="center"/>
              <w:keepNext/>
              <w:rPr>
                <w:rFonts w:ascii="楷体" w:hAnsi="楷体" w:eastAsia="楷体" w:cs="楷体"/>
                <w:color w:val="a5a5a5"/>
                <w:spacing w:val="7"/>
                <w:sz w:val="18"/>
                <w:szCs w:val="18"/>
              </w:rPr>
            </w:pPr>
            <w:r>
              <w:rPr>
                <w:rFonts w:hint="eastAsia" w:ascii="楷体" w:hAnsi="楷体" w:eastAsia="楷体" w:cs="楷体"/>
                <w:color w:val="a5a5a5"/>
                <w:spacing w:val="7"/>
                <w:sz w:val="18"/>
                <w:szCs w:val="18"/>
              </w:rPr>
              <w:t xml:space="preserve">运维职责描述</w:t>
            </w:r>
            <w:r/>
          </w:p>
        </w:tc>
        <w:tc>
          <w:tcPr>
            <w:tcW w:w="2980" w:type="dxa"/>
            <w:vAlign w:val="center"/>
            <w:textDirection w:val="lrTb"/>
            <w:noWrap w:val="false"/>
          </w:tcPr>
          <w:p>
            <w:pPr>
              <w:jc w:val="center"/>
              <w:keepNext/>
              <w:rPr>
                <w:rFonts w:ascii="楷体" w:hAnsi="楷体" w:eastAsia="楷体" w:cs="楷体"/>
                <w:color w:val="a5a5a5"/>
                <w:spacing w:val="7"/>
                <w:sz w:val="18"/>
                <w:szCs w:val="18"/>
              </w:rPr>
            </w:pPr>
            <w:r>
              <w:rPr>
                <w:rFonts w:hint="eastAsia" w:ascii="楷体" w:hAnsi="楷体" w:eastAsia="楷体" w:cs="楷体"/>
                <w:color w:val="a5a5a5"/>
                <w:spacing w:val="7"/>
                <w:sz w:val="18"/>
                <w:szCs w:val="18"/>
              </w:rPr>
              <w:t xml:space="preserve">手机号码</w:t>
            </w:r>
            <w:r/>
          </w:p>
        </w:tc>
      </w:tr>
    </w:tbl>
    <w:p>
      <w:pPr>
        <w:ind w:firstLine="480"/>
        <w:spacing w:line="440" w:lineRule="exact"/>
        <w:rPr>
          <w:rFonts w:ascii="宋体" w:hAnsi="宋体" w:cs="宋体"/>
          <w:sz w:val="24"/>
          <w:szCs w:val="24"/>
        </w:rPr>
      </w:pPr>
      <w:r>
        <w:rPr>
          <w:rFonts w:hint="eastAsia" w:ascii="宋体" w:hAnsi="宋体" w:cs="宋体"/>
          <w:sz w:val="24"/>
          <w:szCs w:val="24"/>
        </w:rPr>
        <w:t xml:space="preserve">2.投标人须每日填写《运维考勤双签记录表》 （具体格式如下表），主要包括对系统日常巡检（含系统平台功能、服务器、硬件设备、数据接口、业务可用性巡检）、运维保障工作（含重大事项现场保障、系统安全加固、数据备份与恢复、故障排查、系统优化开发等）及其他交办任务的具体内容、异常情况进行记录，执行与安全运营记录表一致的双签流程，确保运维工作可追溯、可核查。</w:t>
      </w:r>
      <w:r/>
    </w:p>
    <w:tbl>
      <w:tblPr>
        <w:tblStyle w:val="1010"/>
        <w:tblW w:w="895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336"/>
        <w:gridCol w:w="2847"/>
        <w:gridCol w:w="1820"/>
        <w:gridCol w:w="1950"/>
      </w:tblGrid>
      <w:tr>
        <w:trPr>
          <w:jc w:val="center"/>
          <w:trHeight w:val="454"/>
        </w:trPr>
        <w:tc>
          <w:tcPr>
            <w:gridSpan w:val="4"/>
            <w:tcBorders>
              <w:top w:val="none" w:color="000000" w:sz="4" w:space="0"/>
              <w:left w:val="none" w:color="000000" w:sz="4" w:space="0"/>
              <w:bottom w:val="none" w:color="000000" w:sz="4" w:space="0"/>
              <w:right w:val="none" w:color="000000" w:sz="4" w:space="0"/>
            </w:tcBorders>
            <w:tcW w:w="8953" w:type="dxa"/>
            <w:vAlign w:val="center"/>
            <w:textDirection w:val="lrTb"/>
            <w:noWrap w:val="false"/>
          </w:tcPr>
          <w:p>
            <w:pPr>
              <w:jc w:val="center"/>
              <w:rPr>
                <w:rFonts w:ascii="方正黑体_GBK" w:hAnsi="方正黑体_GBK" w:eastAsia="方正黑体_GBK" w:cs="方正黑体_GBK"/>
                <w:spacing w:val="4"/>
                <w:sz w:val="20"/>
                <w:szCs w:val="20"/>
              </w:rPr>
            </w:pPr>
            <w:r>
              <w:rPr>
                <w:rFonts w:hint="eastAsia" w:ascii="黑体" w:hAnsi="黑体" w:eastAsia="黑体" w:cs="黑体"/>
                <w:sz w:val="24"/>
                <w:szCs w:val="24"/>
              </w:rPr>
              <w:t xml:space="preserve">运维考勤双签记录表</w:t>
            </w:r>
            <w:r/>
          </w:p>
        </w:tc>
      </w:tr>
      <w:tr>
        <w:trPr>
          <w:jc w:val="center"/>
          <w:trHeight w:val="397"/>
        </w:trPr>
        <w:tc>
          <w:tcPr>
            <w:gridSpan w:val="2"/>
            <w:tcBorders>
              <w:top w:val="none" w:color="000000" w:sz="4" w:space="0"/>
              <w:left w:val="none" w:color="000000" w:sz="4" w:space="0"/>
              <w:right w:val="none" w:color="000000" w:sz="4" w:space="0"/>
            </w:tcBorders>
            <w:tcW w:w="5183" w:type="dxa"/>
            <w:vAlign w:val="center"/>
            <w:textDirection w:val="lrTb"/>
            <w:noWrap w:val="false"/>
          </w:tcPr>
          <w:p>
            <w:pPr>
              <w:ind w:firstLine="384"/>
              <w:jc w:val="left"/>
              <w:rPr>
                <w:rFonts w:ascii="黑体" w:hAnsi="黑体" w:eastAsia="黑体" w:cs="黑体"/>
                <w:sz w:val="18"/>
                <w:szCs w:val="18"/>
              </w:rPr>
            </w:pPr>
            <w:r>
              <w:rPr>
                <w:rFonts w:hint="eastAsia" w:ascii="黑体" w:hAnsi="黑体" w:eastAsia="黑体" w:cs="黑体"/>
                <w:spacing w:val="6"/>
                <w:sz w:val="18"/>
                <w:szCs w:val="18"/>
              </w:rPr>
              <w:t xml:space="preserve">运维时间：</w:t>
            </w:r>
            <w:r>
              <w:rPr>
                <w:rFonts w:hint="eastAsia" w:ascii="楷体" w:hAnsi="楷体" w:eastAsia="楷体" w:cs="楷体"/>
                <w:color w:val="a5a5a5"/>
                <w:spacing w:val="6"/>
                <w:sz w:val="18"/>
                <w:szCs w:val="18"/>
              </w:rPr>
              <w:t xml:space="preserve">202X/</w:t>
            </w:r>
            <w:r>
              <w:rPr>
                <w:rFonts w:hint="eastAsia" w:ascii="楷体" w:hAnsi="楷体" w:eastAsia="楷体" w:cs="楷体"/>
                <w:color w:val="a5a5a5"/>
                <w:sz w:val="18"/>
                <w:szCs w:val="18"/>
              </w:rPr>
              <w:t xml:space="preserve">XX</w:t>
            </w:r>
            <w:r>
              <w:rPr>
                <w:rFonts w:hint="eastAsia" w:ascii="楷体" w:hAnsi="楷体" w:eastAsia="楷体" w:cs="楷体"/>
                <w:color w:val="a5a5a5"/>
                <w:spacing w:val="6"/>
                <w:sz w:val="18"/>
                <w:szCs w:val="18"/>
              </w:rPr>
              <w:t xml:space="preserve">/</w:t>
            </w:r>
            <w:r>
              <w:rPr>
                <w:rFonts w:hint="eastAsia" w:ascii="楷体" w:hAnsi="楷体" w:eastAsia="楷体" w:cs="楷体"/>
                <w:color w:val="a5a5a5"/>
                <w:sz w:val="18"/>
                <w:szCs w:val="18"/>
              </w:rPr>
              <w:t xml:space="preserve">XX</w:t>
            </w:r>
            <w:r>
              <w:rPr>
                <w:rFonts w:hint="eastAsia" w:ascii="楷体" w:hAnsi="楷体" w:eastAsia="楷体" w:cs="楷体"/>
                <w:color w:val="a5a5a5"/>
                <w:spacing w:val="6"/>
                <w:sz w:val="18"/>
                <w:szCs w:val="18"/>
              </w:rPr>
              <w:t xml:space="preserve">-XX:00~XX:00</w:t>
            </w:r>
            <w:r/>
          </w:p>
        </w:tc>
        <w:tc>
          <w:tcPr>
            <w:gridSpan w:val="2"/>
            <w:tcBorders>
              <w:top w:val="none" w:color="000000" w:sz="4" w:space="0"/>
              <w:left w:val="none" w:color="000000" w:sz="4" w:space="0"/>
              <w:right w:val="none" w:color="000000" w:sz="4" w:space="0"/>
            </w:tcBorders>
            <w:tcW w:w="3770" w:type="dxa"/>
            <w:vAlign w:val="center"/>
            <w:textDirection w:val="lrTb"/>
            <w:noWrap w:val="false"/>
          </w:tcPr>
          <w:p>
            <w:pPr>
              <w:jc w:val="right"/>
              <w:rPr>
                <w:rFonts w:ascii="黑体" w:hAnsi="黑体" w:eastAsia="黑体" w:cs="黑体"/>
                <w:sz w:val="18"/>
                <w:szCs w:val="18"/>
              </w:rPr>
            </w:pPr>
            <w:r>
              <w:rPr>
                <w:rFonts w:hint="eastAsia" w:ascii="黑体" w:hAnsi="黑体" w:eastAsia="黑体" w:cs="黑体"/>
                <w:spacing w:val="4"/>
                <w:sz w:val="18"/>
                <w:szCs w:val="18"/>
              </w:rPr>
              <w:t xml:space="preserve">运维单位：  </w:t>
            </w:r>
            <w:r>
              <w:rPr>
                <w:rFonts w:hint="eastAsia" w:ascii="楷体" w:hAnsi="楷体" w:eastAsia="楷体" w:cs="楷体"/>
                <w:color w:val="a5a5a5"/>
                <w:spacing w:val="6"/>
                <w:sz w:val="18"/>
                <w:szCs w:val="18"/>
              </w:rPr>
              <w:t xml:space="preserve">投标人单位名称  </w:t>
            </w:r>
            <w:r/>
          </w:p>
        </w:tc>
      </w:tr>
      <w:tr>
        <w:trPr>
          <w:jc w:val="center"/>
          <w:trHeight w:val="397"/>
        </w:trPr>
        <w:tc>
          <w:tcPr>
            <w:gridSpan w:val="2"/>
            <w:tcW w:w="5183" w:type="dxa"/>
            <w:vAlign w:val="center"/>
            <w:textDirection w:val="lrTb"/>
            <w:noWrap w:val="false"/>
          </w:tcPr>
          <w:p>
            <w:pPr>
              <w:jc w:val="center"/>
              <w:rPr>
                <w:rFonts w:ascii="方正黑体_GBK" w:hAnsi="方正黑体_GBK" w:eastAsia="方正黑体_GBK" w:cs="方正黑体_GBK"/>
                <w:sz w:val="18"/>
                <w:szCs w:val="18"/>
              </w:rPr>
            </w:pPr>
            <w:r>
              <w:rPr>
                <w:rFonts w:ascii="方正黑体_GBK" w:hAnsi="方正黑体_GBK" w:eastAsia="方正黑体_GBK" w:cs="方正黑体_GBK"/>
                <w:spacing w:val="7"/>
                <w:sz w:val="18"/>
                <w:szCs w:val="18"/>
              </w:rPr>
              <w:t xml:space="preserve">运维工作</w:t>
            </w:r>
            <w:r/>
          </w:p>
        </w:tc>
        <w:tc>
          <w:tcPr>
            <w:tcW w:w="1820" w:type="dxa"/>
            <w:vAlign w:val="center"/>
            <w:textDirection w:val="lrTb"/>
            <w:noWrap w:val="false"/>
          </w:tcPr>
          <w:p>
            <w:pPr>
              <w:jc w:val="center"/>
              <w:rPr>
                <w:rFonts w:ascii="方正黑体_GBK" w:hAnsi="方正黑体_GBK" w:eastAsia="方正黑体_GBK" w:cs="方正黑体_GBK"/>
                <w:sz w:val="18"/>
                <w:szCs w:val="18"/>
              </w:rPr>
            </w:pPr>
            <w:r>
              <w:rPr>
                <w:rFonts w:ascii="方正黑体_GBK" w:hAnsi="方正黑体_GBK" w:eastAsia="方正黑体_GBK" w:cs="方正黑体_GBK"/>
                <w:spacing w:val="8"/>
                <w:sz w:val="18"/>
                <w:szCs w:val="18"/>
              </w:rPr>
              <w:t xml:space="preserve">工作内容</w:t>
            </w:r>
            <w:r/>
          </w:p>
        </w:tc>
        <w:tc>
          <w:tcPr>
            <w:tcW w:w="1950" w:type="dxa"/>
            <w:vAlign w:val="center"/>
            <w:textDirection w:val="lrTb"/>
            <w:noWrap w:val="false"/>
          </w:tcPr>
          <w:p>
            <w:pPr>
              <w:jc w:val="center"/>
              <w:rPr>
                <w:rFonts w:ascii="方正黑体_GBK" w:hAnsi="方正黑体_GBK" w:eastAsia="方正黑体_GBK" w:cs="方正黑体_GBK"/>
                <w:sz w:val="18"/>
                <w:szCs w:val="18"/>
              </w:rPr>
            </w:pPr>
            <w:r>
              <w:rPr>
                <w:rFonts w:ascii="方正黑体_GBK" w:hAnsi="方正黑体_GBK" w:eastAsia="方正黑体_GBK" w:cs="方正黑体_GBK"/>
                <w:spacing w:val="7"/>
                <w:sz w:val="18"/>
                <w:szCs w:val="18"/>
              </w:rPr>
              <w:t xml:space="preserve">情况记录</w:t>
            </w:r>
            <w:r/>
          </w:p>
        </w:tc>
      </w:tr>
      <w:tr>
        <w:trPr>
          <w:jc w:val="center"/>
          <w:trHeight w:val="397"/>
        </w:trPr>
        <w:tc>
          <w:tcPr>
            <w:tcBorders>
              <w:bottom w:val="none" w:color="000000" w:sz="4" w:space="0"/>
            </w:tcBorders>
            <w:tcW w:w="2336" w:type="dxa"/>
            <w:vAlign w:val="center"/>
            <w:vMerge w:val="restart"/>
            <w:textDirection w:val="lrTb"/>
            <w:noWrap w:val="false"/>
          </w:tcPr>
          <w:p>
            <w:pPr>
              <w:ind w:right="133"/>
              <w:jc w:val="center"/>
              <w:rPr>
                <w:rFonts w:ascii="方正黑体_GBK" w:hAnsi="方正黑体_GBK" w:eastAsia="方正黑体_GBK" w:cs="方正黑体_GBK"/>
                <w:sz w:val="18"/>
                <w:szCs w:val="18"/>
              </w:rPr>
            </w:pPr>
            <w:r>
              <w:rPr>
                <w:rFonts w:ascii="方正黑体_GBK" w:hAnsi="方正黑体_GBK" w:eastAsia="方正黑体_GBK" w:cs="方正黑体_GBK"/>
                <w:spacing w:val="2"/>
                <w:sz w:val="18"/>
                <w:szCs w:val="18"/>
              </w:rPr>
              <w:t xml:space="preserve">系统日常</w:t>
            </w:r>
            <w:r>
              <w:rPr>
                <w:rFonts w:ascii="方正黑体_GBK" w:hAnsi="方正黑体_GBK" w:eastAsia="方正黑体_GBK" w:cs="方正黑体_GBK"/>
                <w:spacing w:val="5"/>
                <w:sz w:val="18"/>
                <w:szCs w:val="18"/>
              </w:rPr>
              <w:t xml:space="preserve">巡检</w:t>
            </w:r>
            <w:r/>
          </w:p>
        </w:tc>
        <w:tc>
          <w:tcPr>
            <w:tcW w:w="2847" w:type="dxa"/>
            <w:vAlign w:val="center"/>
            <w:textDirection w:val="lrTb"/>
            <w:noWrap w:val="false"/>
          </w:tcPr>
          <w:p>
            <w:pPr>
              <w:ind w:right="161"/>
              <w:jc w:val="center"/>
              <w:rPr>
                <w:rFonts w:ascii="方正黑体_GBK" w:hAnsi="方正黑体_GBK" w:eastAsia="方正黑体_GBK" w:cs="方正黑体_GBK"/>
                <w:sz w:val="18"/>
                <w:szCs w:val="18"/>
              </w:rPr>
            </w:pPr>
            <w:r>
              <w:rPr>
                <w:rFonts w:ascii="方正黑体_GBK" w:hAnsi="方正黑体_GBK" w:eastAsia="方正黑体_GBK" w:cs="方正黑体_GBK"/>
                <w:spacing w:val="5"/>
                <w:sz w:val="18"/>
                <w:szCs w:val="18"/>
              </w:rPr>
              <w:t xml:space="preserve">系统平台功能及服务巡</w:t>
            </w:r>
            <w:r>
              <w:rPr>
                <w:rFonts w:ascii="方正黑体_GBK" w:hAnsi="方正黑体_GBK" w:eastAsia="方正黑体_GBK" w:cs="方正黑体_GBK"/>
                <w:spacing w:val="3"/>
                <w:sz w:val="18"/>
                <w:szCs w:val="18"/>
              </w:rPr>
              <w:t xml:space="preserve">检</w:t>
            </w:r>
            <w:r/>
          </w:p>
        </w:tc>
        <w:tc>
          <w:tcPr>
            <w:tcW w:w="1820" w:type="dxa"/>
            <w:vAlign w:val="center"/>
            <w:textDirection w:val="lrTb"/>
            <w:noWrap w:val="false"/>
          </w:tcPr>
          <w:p>
            <w:pPr>
              <w:jc w:val="center"/>
              <w:rPr>
                <w:rFonts w:ascii="Arial"/>
                <w:sz w:val="18"/>
                <w:szCs w:val="18"/>
              </w:rPr>
            </w:pPr>
            <w:r>
              <w:rPr>
                <w:rFonts w:ascii="Arial"/>
                <w:sz w:val="18"/>
                <w:szCs w:val="18"/>
              </w:rPr>
            </w:r>
            <w:r/>
          </w:p>
        </w:tc>
        <w:tc>
          <w:tcPr>
            <w:tcW w:w="1950" w:type="dxa"/>
            <w:vAlign w:val="center"/>
            <w:textDirection w:val="lrTb"/>
            <w:noWrap w:val="false"/>
          </w:tcPr>
          <w:p>
            <w:pPr>
              <w:jc w:val="center"/>
              <w:rPr>
                <w:rFonts w:ascii="Arial"/>
                <w:sz w:val="18"/>
                <w:szCs w:val="18"/>
              </w:rPr>
            </w:pPr>
            <w:r>
              <w:rPr>
                <w:rFonts w:ascii="Arial"/>
                <w:sz w:val="18"/>
                <w:szCs w:val="18"/>
              </w:rPr>
            </w:r>
            <w:r/>
          </w:p>
        </w:tc>
      </w:tr>
      <w:tr>
        <w:trPr>
          <w:jc w:val="center"/>
          <w:trHeight w:val="397"/>
        </w:trPr>
        <w:tc>
          <w:tcPr>
            <w:tcBorders>
              <w:top w:val="none" w:color="000000" w:sz="4" w:space="0"/>
              <w:bottom w:val="none" w:color="000000" w:sz="4" w:space="0"/>
            </w:tcBorders>
            <w:tcW w:w="2336" w:type="dxa"/>
            <w:vAlign w:val="center"/>
            <w:vMerge w:val="continue"/>
            <w:textDirection w:val="lrTb"/>
            <w:noWrap w:val="false"/>
          </w:tcPr>
          <w:p>
            <w:pPr>
              <w:jc w:val="center"/>
              <w:rPr>
                <w:rFonts w:ascii="Arial"/>
                <w:sz w:val="18"/>
                <w:szCs w:val="18"/>
              </w:rPr>
            </w:pPr>
            <w:r>
              <w:rPr>
                <w:rFonts w:ascii="Arial"/>
                <w:sz w:val="18"/>
                <w:szCs w:val="18"/>
              </w:rPr>
            </w:r>
            <w:r/>
          </w:p>
        </w:tc>
        <w:tc>
          <w:tcPr>
            <w:tcW w:w="2847" w:type="dxa"/>
            <w:vAlign w:val="center"/>
            <w:textDirection w:val="lrTb"/>
            <w:noWrap w:val="false"/>
          </w:tcPr>
          <w:p>
            <w:pPr>
              <w:jc w:val="center"/>
              <w:rPr>
                <w:rFonts w:ascii="方正黑体_GBK" w:hAnsi="方正黑体_GBK" w:eastAsia="方正黑体_GBK" w:cs="方正黑体_GBK"/>
                <w:sz w:val="18"/>
                <w:szCs w:val="18"/>
              </w:rPr>
            </w:pPr>
            <w:r>
              <w:rPr>
                <w:rFonts w:ascii="方正黑体_GBK" w:hAnsi="方正黑体_GBK" w:eastAsia="方正黑体_GBK" w:cs="方正黑体_GBK"/>
                <w:spacing w:val="7"/>
                <w:sz w:val="18"/>
                <w:szCs w:val="18"/>
              </w:rPr>
              <w:t xml:space="preserve">系统服务器日常巡检</w:t>
            </w:r>
            <w:r/>
          </w:p>
        </w:tc>
        <w:tc>
          <w:tcPr>
            <w:tcW w:w="1820" w:type="dxa"/>
            <w:vAlign w:val="center"/>
            <w:textDirection w:val="lrTb"/>
            <w:noWrap w:val="false"/>
          </w:tcPr>
          <w:p>
            <w:pPr>
              <w:jc w:val="center"/>
              <w:rPr>
                <w:rFonts w:ascii="Arial"/>
                <w:sz w:val="18"/>
                <w:szCs w:val="18"/>
              </w:rPr>
            </w:pPr>
            <w:r>
              <w:rPr>
                <w:rFonts w:ascii="Arial"/>
                <w:sz w:val="18"/>
                <w:szCs w:val="18"/>
              </w:rPr>
            </w:r>
            <w:r/>
          </w:p>
        </w:tc>
        <w:tc>
          <w:tcPr>
            <w:tcW w:w="1950" w:type="dxa"/>
            <w:vAlign w:val="center"/>
            <w:textDirection w:val="lrTb"/>
            <w:noWrap w:val="false"/>
          </w:tcPr>
          <w:p>
            <w:pPr>
              <w:jc w:val="center"/>
              <w:rPr>
                <w:rFonts w:ascii="Arial"/>
                <w:sz w:val="18"/>
                <w:szCs w:val="18"/>
              </w:rPr>
            </w:pPr>
            <w:r>
              <w:rPr>
                <w:rFonts w:ascii="Arial"/>
                <w:sz w:val="18"/>
                <w:szCs w:val="18"/>
              </w:rPr>
            </w:r>
            <w:r/>
          </w:p>
        </w:tc>
      </w:tr>
      <w:tr>
        <w:trPr>
          <w:jc w:val="center"/>
          <w:trHeight w:val="397"/>
        </w:trPr>
        <w:tc>
          <w:tcPr>
            <w:tcBorders>
              <w:top w:val="none" w:color="000000" w:sz="4" w:space="0"/>
              <w:bottom w:val="none" w:color="000000" w:sz="4" w:space="0"/>
            </w:tcBorders>
            <w:tcW w:w="2336" w:type="dxa"/>
            <w:vAlign w:val="center"/>
            <w:vMerge w:val="continue"/>
            <w:textDirection w:val="lrTb"/>
            <w:noWrap w:val="false"/>
          </w:tcPr>
          <w:p>
            <w:pPr>
              <w:jc w:val="center"/>
              <w:rPr>
                <w:rFonts w:ascii="Arial"/>
                <w:sz w:val="18"/>
                <w:szCs w:val="18"/>
              </w:rPr>
            </w:pPr>
            <w:r>
              <w:rPr>
                <w:rFonts w:ascii="Arial"/>
                <w:sz w:val="18"/>
                <w:szCs w:val="18"/>
              </w:rPr>
            </w:r>
            <w:r/>
          </w:p>
        </w:tc>
        <w:tc>
          <w:tcPr>
            <w:tcW w:w="2847" w:type="dxa"/>
            <w:vAlign w:val="center"/>
            <w:textDirection w:val="lrTb"/>
            <w:noWrap w:val="false"/>
          </w:tcPr>
          <w:p>
            <w:pPr>
              <w:jc w:val="center"/>
              <w:rPr>
                <w:rFonts w:ascii="方正黑体_GBK" w:hAnsi="方正黑体_GBK" w:eastAsia="方正黑体_GBK" w:cs="方正黑体_GBK"/>
                <w:sz w:val="18"/>
                <w:szCs w:val="18"/>
              </w:rPr>
            </w:pPr>
            <w:r>
              <w:rPr>
                <w:rFonts w:ascii="方正黑体_GBK" w:hAnsi="方正黑体_GBK" w:eastAsia="方正黑体_GBK" w:cs="方正黑体_GBK"/>
                <w:spacing w:val="6"/>
                <w:sz w:val="18"/>
                <w:szCs w:val="18"/>
              </w:rPr>
              <w:t xml:space="preserve">系统相关硬件设备巡检</w:t>
            </w:r>
            <w:r/>
          </w:p>
        </w:tc>
        <w:tc>
          <w:tcPr>
            <w:tcW w:w="1820" w:type="dxa"/>
            <w:vAlign w:val="center"/>
            <w:textDirection w:val="lrTb"/>
            <w:noWrap w:val="false"/>
          </w:tcPr>
          <w:p>
            <w:pPr>
              <w:jc w:val="center"/>
              <w:rPr>
                <w:rFonts w:ascii="Arial"/>
                <w:sz w:val="18"/>
                <w:szCs w:val="18"/>
              </w:rPr>
            </w:pPr>
            <w:r>
              <w:rPr>
                <w:rFonts w:ascii="Arial"/>
                <w:sz w:val="18"/>
                <w:szCs w:val="18"/>
              </w:rPr>
            </w:r>
            <w:r/>
          </w:p>
        </w:tc>
        <w:tc>
          <w:tcPr>
            <w:tcW w:w="1950" w:type="dxa"/>
            <w:vAlign w:val="center"/>
            <w:textDirection w:val="lrTb"/>
            <w:noWrap w:val="false"/>
          </w:tcPr>
          <w:p>
            <w:pPr>
              <w:jc w:val="center"/>
              <w:rPr>
                <w:rFonts w:ascii="Arial"/>
                <w:sz w:val="18"/>
                <w:szCs w:val="18"/>
              </w:rPr>
            </w:pPr>
            <w:r>
              <w:rPr>
                <w:rFonts w:ascii="Arial"/>
                <w:sz w:val="18"/>
                <w:szCs w:val="18"/>
              </w:rPr>
            </w:r>
            <w:r/>
          </w:p>
        </w:tc>
      </w:tr>
      <w:tr>
        <w:trPr>
          <w:jc w:val="center"/>
          <w:trHeight w:val="397"/>
        </w:trPr>
        <w:tc>
          <w:tcPr>
            <w:tcBorders>
              <w:top w:val="none" w:color="000000" w:sz="4" w:space="0"/>
              <w:bottom w:val="none" w:color="000000" w:sz="4" w:space="0"/>
            </w:tcBorders>
            <w:tcW w:w="2336" w:type="dxa"/>
            <w:vAlign w:val="center"/>
            <w:vMerge w:val="continue"/>
            <w:textDirection w:val="lrTb"/>
            <w:noWrap w:val="false"/>
          </w:tcPr>
          <w:p>
            <w:pPr>
              <w:jc w:val="center"/>
              <w:rPr>
                <w:rFonts w:ascii="Arial"/>
                <w:sz w:val="18"/>
                <w:szCs w:val="18"/>
              </w:rPr>
            </w:pPr>
            <w:r>
              <w:rPr>
                <w:rFonts w:ascii="Arial"/>
                <w:sz w:val="18"/>
                <w:szCs w:val="18"/>
              </w:rPr>
            </w:r>
            <w:r/>
          </w:p>
        </w:tc>
        <w:tc>
          <w:tcPr>
            <w:tcW w:w="2847" w:type="dxa"/>
            <w:vAlign w:val="center"/>
            <w:textDirection w:val="lrTb"/>
            <w:noWrap w:val="false"/>
          </w:tcPr>
          <w:p>
            <w:pPr>
              <w:jc w:val="center"/>
              <w:rPr>
                <w:rFonts w:ascii="方正黑体_GBK" w:hAnsi="方正黑体_GBK" w:eastAsia="方正黑体_GBK" w:cs="方正黑体_GBK"/>
                <w:sz w:val="18"/>
                <w:szCs w:val="18"/>
              </w:rPr>
            </w:pPr>
            <w:r>
              <w:rPr>
                <w:rFonts w:ascii="方正黑体_GBK" w:hAnsi="方正黑体_GBK" w:eastAsia="方正黑体_GBK" w:cs="方正黑体_GBK"/>
                <w:spacing w:val="9"/>
                <w:sz w:val="18"/>
                <w:szCs w:val="18"/>
              </w:rPr>
              <w:t xml:space="preserve">数据接口巡检</w:t>
            </w:r>
            <w:r/>
          </w:p>
        </w:tc>
        <w:tc>
          <w:tcPr>
            <w:tcW w:w="1820" w:type="dxa"/>
            <w:vAlign w:val="center"/>
            <w:textDirection w:val="lrTb"/>
            <w:noWrap w:val="false"/>
          </w:tcPr>
          <w:p>
            <w:pPr>
              <w:jc w:val="center"/>
              <w:rPr>
                <w:rFonts w:ascii="Arial"/>
                <w:sz w:val="18"/>
                <w:szCs w:val="18"/>
              </w:rPr>
            </w:pPr>
            <w:r>
              <w:rPr>
                <w:rFonts w:ascii="Arial"/>
                <w:sz w:val="18"/>
                <w:szCs w:val="18"/>
              </w:rPr>
            </w:r>
            <w:r/>
          </w:p>
        </w:tc>
        <w:tc>
          <w:tcPr>
            <w:tcW w:w="1950" w:type="dxa"/>
            <w:vAlign w:val="center"/>
            <w:textDirection w:val="lrTb"/>
            <w:noWrap w:val="false"/>
          </w:tcPr>
          <w:p>
            <w:pPr>
              <w:jc w:val="center"/>
              <w:rPr>
                <w:rFonts w:ascii="Arial"/>
                <w:sz w:val="18"/>
                <w:szCs w:val="18"/>
              </w:rPr>
            </w:pPr>
            <w:r>
              <w:rPr>
                <w:rFonts w:ascii="Arial"/>
                <w:sz w:val="18"/>
                <w:szCs w:val="18"/>
              </w:rPr>
            </w:r>
            <w:r/>
          </w:p>
        </w:tc>
      </w:tr>
      <w:tr>
        <w:trPr>
          <w:jc w:val="center"/>
          <w:trHeight w:val="397"/>
        </w:trPr>
        <w:tc>
          <w:tcPr>
            <w:tcBorders>
              <w:top w:val="none" w:color="000000" w:sz="4" w:space="0"/>
            </w:tcBorders>
            <w:tcW w:w="2336" w:type="dxa"/>
            <w:vAlign w:val="center"/>
            <w:vMerge w:val="continue"/>
            <w:textDirection w:val="lrTb"/>
            <w:noWrap w:val="false"/>
          </w:tcPr>
          <w:p>
            <w:pPr>
              <w:jc w:val="center"/>
              <w:rPr>
                <w:rFonts w:ascii="Arial"/>
                <w:sz w:val="18"/>
                <w:szCs w:val="18"/>
              </w:rPr>
            </w:pPr>
            <w:r>
              <w:rPr>
                <w:rFonts w:ascii="Arial"/>
                <w:sz w:val="18"/>
                <w:szCs w:val="18"/>
              </w:rPr>
            </w:r>
            <w:r/>
          </w:p>
        </w:tc>
        <w:tc>
          <w:tcPr>
            <w:tcW w:w="2847" w:type="dxa"/>
            <w:vAlign w:val="center"/>
            <w:textDirection w:val="lrTb"/>
            <w:noWrap w:val="false"/>
          </w:tcPr>
          <w:p>
            <w:pPr>
              <w:jc w:val="center"/>
              <w:rPr>
                <w:rFonts w:ascii="方正黑体_GBK" w:hAnsi="方正黑体_GBK" w:eastAsia="方正黑体_GBK" w:cs="方正黑体_GBK"/>
                <w:sz w:val="18"/>
                <w:szCs w:val="18"/>
              </w:rPr>
            </w:pPr>
            <w:r>
              <w:rPr>
                <w:rFonts w:ascii="方正黑体_GBK" w:hAnsi="方正黑体_GBK" w:eastAsia="方正黑体_GBK" w:cs="方正黑体_GBK"/>
                <w:spacing w:val="4"/>
                <w:sz w:val="18"/>
                <w:szCs w:val="18"/>
              </w:rPr>
              <w:t xml:space="preserve">业务可用性巡检</w:t>
            </w:r>
            <w:r/>
          </w:p>
        </w:tc>
        <w:tc>
          <w:tcPr>
            <w:tcW w:w="1820" w:type="dxa"/>
            <w:vAlign w:val="center"/>
            <w:textDirection w:val="lrTb"/>
            <w:noWrap w:val="false"/>
          </w:tcPr>
          <w:p>
            <w:pPr>
              <w:jc w:val="center"/>
              <w:rPr>
                <w:rFonts w:ascii="Arial"/>
                <w:sz w:val="18"/>
                <w:szCs w:val="18"/>
              </w:rPr>
            </w:pPr>
            <w:r>
              <w:rPr>
                <w:rFonts w:ascii="Arial"/>
                <w:sz w:val="18"/>
                <w:szCs w:val="18"/>
              </w:rPr>
            </w:r>
            <w:r/>
          </w:p>
        </w:tc>
        <w:tc>
          <w:tcPr>
            <w:tcW w:w="1950" w:type="dxa"/>
            <w:vAlign w:val="center"/>
            <w:textDirection w:val="lrTb"/>
            <w:noWrap w:val="false"/>
          </w:tcPr>
          <w:p>
            <w:pPr>
              <w:jc w:val="center"/>
              <w:rPr>
                <w:rFonts w:ascii="Arial"/>
                <w:sz w:val="18"/>
                <w:szCs w:val="18"/>
              </w:rPr>
            </w:pPr>
            <w:r>
              <w:rPr>
                <w:rFonts w:ascii="Arial"/>
                <w:sz w:val="18"/>
                <w:szCs w:val="18"/>
              </w:rPr>
            </w:r>
            <w:r/>
          </w:p>
        </w:tc>
      </w:tr>
      <w:tr>
        <w:trPr>
          <w:jc w:val="center"/>
          <w:trHeight w:val="397"/>
        </w:trPr>
        <w:tc>
          <w:tcPr>
            <w:tcW w:w="2336" w:type="dxa"/>
            <w:vAlign w:val="center"/>
            <w:vMerge w:val="restart"/>
            <w:textDirection w:val="lrTb"/>
            <w:noWrap w:val="false"/>
          </w:tcPr>
          <w:p>
            <w:pPr>
              <w:jc w:val="center"/>
              <w:rPr>
                <w:rFonts w:ascii="方正黑体_GBK" w:hAnsi="方正黑体_GBK" w:eastAsia="方正黑体_GBK" w:cs="方正黑体_GBK"/>
                <w:sz w:val="18"/>
                <w:szCs w:val="18"/>
              </w:rPr>
            </w:pPr>
            <w:r>
              <w:rPr>
                <w:rFonts w:ascii="方正黑体_GBK" w:hAnsi="方正黑体_GBK" w:eastAsia="方正黑体_GBK" w:cs="方正黑体_GBK"/>
                <w:spacing w:val="7"/>
                <w:sz w:val="18"/>
                <w:szCs w:val="18"/>
              </w:rPr>
              <w:t xml:space="preserve">运维保障</w:t>
            </w:r>
            <w:r>
              <w:rPr>
                <w:rFonts w:ascii="方正黑体_GBK" w:hAnsi="方正黑体_GBK" w:eastAsia="方正黑体_GBK" w:cs="方正黑体_GBK"/>
                <w:spacing w:val="2"/>
                <w:sz w:val="18"/>
                <w:szCs w:val="18"/>
              </w:rPr>
              <w:t xml:space="preserve">工作</w:t>
            </w:r>
            <w:r/>
          </w:p>
        </w:tc>
        <w:tc>
          <w:tcPr>
            <w:tcW w:w="2847" w:type="dxa"/>
            <w:vAlign w:val="center"/>
            <w:textDirection w:val="lrTb"/>
            <w:noWrap w:val="false"/>
          </w:tcPr>
          <w:p>
            <w:pPr>
              <w:jc w:val="center"/>
              <w:rPr>
                <w:rFonts w:ascii="方正黑体_GBK" w:hAnsi="方正黑体_GBK" w:eastAsia="方正黑体_GBK" w:cs="方正黑体_GBK"/>
                <w:sz w:val="18"/>
                <w:szCs w:val="18"/>
              </w:rPr>
            </w:pPr>
            <w:r>
              <w:rPr>
                <w:rFonts w:ascii="方正黑体_GBK" w:hAnsi="方正黑体_GBK" w:eastAsia="方正黑体_GBK" w:cs="方正黑体_GBK"/>
                <w:spacing w:val="5"/>
                <w:sz w:val="18"/>
                <w:szCs w:val="18"/>
              </w:rPr>
              <w:t xml:space="preserve">重大事项现场保障</w:t>
            </w:r>
            <w:r/>
          </w:p>
        </w:tc>
        <w:tc>
          <w:tcPr>
            <w:tcW w:w="1820" w:type="dxa"/>
            <w:vAlign w:val="center"/>
            <w:textDirection w:val="lrTb"/>
            <w:noWrap w:val="false"/>
          </w:tcPr>
          <w:p>
            <w:pPr>
              <w:jc w:val="center"/>
              <w:rPr>
                <w:rFonts w:ascii="Arial"/>
                <w:sz w:val="18"/>
                <w:szCs w:val="18"/>
              </w:rPr>
            </w:pPr>
            <w:r>
              <w:rPr>
                <w:rFonts w:ascii="Arial"/>
                <w:sz w:val="18"/>
                <w:szCs w:val="18"/>
              </w:rPr>
            </w:r>
            <w:r/>
          </w:p>
        </w:tc>
        <w:tc>
          <w:tcPr>
            <w:tcW w:w="1950" w:type="dxa"/>
            <w:vAlign w:val="center"/>
            <w:textDirection w:val="lrTb"/>
            <w:noWrap w:val="false"/>
          </w:tcPr>
          <w:p>
            <w:pPr>
              <w:jc w:val="center"/>
              <w:rPr>
                <w:rFonts w:ascii="Arial"/>
                <w:sz w:val="18"/>
                <w:szCs w:val="18"/>
              </w:rPr>
            </w:pPr>
            <w:r>
              <w:rPr>
                <w:rFonts w:ascii="Arial"/>
                <w:sz w:val="18"/>
                <w:szCs w:val="18"/>
              </w:rPr>
            </w:r>
            <w:r/>
          </w:p>
        </w:tc>
      </w:tr>
      <w:tr>
        <w:trPr>
          <w:jc w:val="center"/>
          <w:trHeight w:val="397"/>
        </w:trPr>
        <w:tc>
          <w:tcPr>
            <w:tcW w:w="2336" w:type="dxa"/>
            <w:vAlign w:val="center"/>
            <w:vMerge w:val="continue"/>
            <w:textDirection w:val="lrTb"/>
            <w:noWrap w:val="false"/>
          </w:tcPr>
          <w:p>
            <w:pPr>
              <w:jc w:val="center"/>
              <w:rPr>
                <w:rFonts w:ascii="Arial"/>
                <w:sz w:val="18"/>
                <w:szCs w:val="18"/>
              </w:rPr>
            </w:pPr>
            <w:r>
              <w:rPr>
                <w:rFonts w:ascii="Arial"/>
                <w:sz w:val="18"/>
                <w:szCs w:val="18"/>
              </w:rPr>
            </w:r>
            <w:r/>
          </w:p>
        </w:tc>
        <w:tc>
          <w:tcPr>
            <w:tcW w:w="2847" w:type="dxa"/>
            <w:vAlign w:val="center"/>
            <w:textDirection w:val="lrTb"/>
            <w:noWrap w:val="false"/>
          </w:tcPr>
          <w:p>
            <w:pPr>
              <w:jc w:val="center"/>
              <w:rPr>
                <w:rFonts w:ascii="方正黑体_GBK" w:hAnsi="方正黑体_GBK" w:eastAsia="方正黑体_GBK" w:cs="方正黑体_GBK"/>
                <w:sz w:val="18"/>
                <w:szCs w:val="18"/>
              </w:rPr>
            </w:pPr>
            <w:r>
              <w:rPr>
                <w:rFonts w:ascii="方正黑体_GBK" w:hAnsi="方正黑体_GBK" w:eastAsia="方正黑体_GBK" w:cs="方正黑体_GBK"/>
                <w:spacing w:val="7"/>
                <w:sz w:val="18"/>
                <w:szCs w:val="18"/>
              </w:rPr>
              <w:t xml:space="preserve">系统安全加固</w:t>
            </w:r>
            <w:r/>
          </w:p>
        </w:tc>
        <w:tc>
          <w:tcPr>
            <w:tcW w:w="1820" w:type="dxa"/>
            <w:vAlign w:val="center"/>
            <w:textDirection w:val="lrTb"/>
            <w:noWrap w:val="false"/>
          </w:tcPr>
          <w:p>
            <w:pPr>
              <w:jc w:val="center"/>
              <w:rPr>
                <w:rFonts w:ascii="Arial"/>
                <w:sz w:val="18"/>
                <w:szCs w:val="18"/>
              </w:rPr>
            </w:pPr>
            <w:r>
              <w:rPr>
                <w:rFonts w:ascii="Arial"/>
                <w:sz w:val="18"/>
                <w:szCs w:val="18"/>
              </w:rPr>
            </w:r>
            <w:r/>
          </w:p>
        </w:tc>
        <w:tc>
          <w:tcPr>
            <w:tcW w:w="1950" w:type="dxa"/>
            <w:vAlign w:val="center"/>
            <w:textDirection w:val="lrTb"/>
            <w:noWrap w:val="false"/>
          </w:tcPr>
          <w:p>
            <w:pPr>
              <w:jc w:val="center"/>
              <w:rPr>
                <w:rFonts w:ascii="Arial"/>
                <w:sz w:val="18"/>
                <w:szCs w:val="18"/>
              </w:rPr>
            </w:pPr>
            <w:r>
              <w:rPr>
                <w:rFonts w:ascii="Arial"/>
                <w:sz w:val="18"/>
                <w:szCs w:val="18"/>
              </w:rPr>
            </w:r>
            <w:r/>
          </w:p>
        </w:tc>
      </w:tr>
      <w:tr>
        <w:trPr>
          <w:jc w:val="center"/>
          <w:trHeight w:val="397"/>
        </w:trPr>
        <w:tc>
          <w:tcPr>
            <w:tcW w:w="2336" w:type="dxa"/>
            <w:vAlign w:val="center"/>
            <w:vMerge w:val="continue"/>
            <w:textDirection w:val="lrTb"/>
            <w:noWrap w:val="false"/>
          </w:tcPr>
          <w:p>
            <w:pPr>
              <w:jc w:val="center"/>
              <w:rPr>
                <w:rFonts w:ascii="Arial"/>
                <w:sz w:val="18"/>
                <w:szCs w:val="18"/>
              </w:rPr>
            </w:pPr>
            <w:r>
              <w:rPr>
                <w:rFonts w:ascii="Arial"/>
                <w:sz w:val="18"/>
                <w:szCs w:val="18"/>
              </w:rPr>
            </w:r>
            <w:r/>
          </w:p>
        </w:tc>
        <w:tc>
          <w:tcPr>
            <w:tcW w:w="2847" w:type="dxa"/>
            <w:vAlign w:val="center"/>
            <w:textDirection w:val="lrTb"/>
            <w:noWrap w:val="false"/>
          </w:tcPr>
          <w:p>
            <w:pPr>
              <w:jc w:val="center"/>
              <w:rPr>
                <w:rFonts w:ascii="方正黑体_GBK" w:hAnsi="方正黑体_GBK" w:eastAsia="方正黑体_GBK" w:cs="方正黑体_GBK"/>
                <w:sz w:val="18"/>
                <w:szCs w:val="18"/>
              </w:rPr>
            </w:pPr>
            <w:r>
              <w:rPr>
                <w:rFonts w:ascii="方正黑体_GBK" w:hAnsi="方正黑体_GBK" w:eastAsia="方正黑体_GBK" w:cs="方正黑体_GBK"/>
                <w:spacing w:val="7"/>
                <w:sz w:val="18"/>
                <w:szCs w:val="18"/>
              </w:rPr>
              <w:t xml:space="preserve">数据备份、恢复与迁移</w:t>
            </w:r>
            <w:r/>
          </w:p>
        </w:tc>
        <w:tc>
          <w:tcPr>
            <w:tcW w:w="1820" w:type="dxa"/>
            <w:vAlign w:val="center"/>
            <w:textDirection w:val="lrTb"/>
            <w:noWrap w:val="false"/>
          </w:tcPr>
          <w:p>
            <w:pPr>
              <w:jc w:val="center"/>
              <w:rPr>
                <w:rFonts w:ascii="Arial"/>
                <w:sz w:val="18"/>
                <w:szCs w:val="18"/>
              </w:rPr>
            </w:pPr>
            <w:r>
              <w:rPr>
                <w:rFonts w:ascii="Arial"/>
                <w:sz w:val="18"/>
                <w:szCs w:val="18"/>
              </w:rPr>
            </w:r>
            <w:r/>
          </w:p>
        </w:tc>
        <w:tc>
          <w:tcPr>
            <w:tcW w:w="1950" w:type="dxa"/>
            <w:vAlign w:val="center"/>
            <w:textDirection w:val="lrTb"/>
            <w:noWrap w:val="false"/>
          </w:tcPr>
          <w:p>
            <w:pPr>
              <w:jc w:val="center"/>
              <w:rPr>
                <w:rFonts w:ascii="Arial"/>
                <w:sz w:val="18"/>
                <w:szCs w:val="18"/>
              </w:rPr>
            </w:pPr>
            <w:r>
              <w:rPr>
                <w:rFonts w:ascii="Arial"/>
                <w:sz w:val="18"/>
                <w:szCs w:val="18"/>
              </w:rPr>
            </w:r>
            <w:r/>
          </w:p>
        </w:tc>
      </w:tr>
      <w:tr>
        <w:trPr>
          <w:jc w:val="center"/>
          <w:trHeight w:val="397"/>
        </w:trPr>
        <w:tc>
          <w:tcPr>
            <w:tcW w:w="2336" w:type="dxa"/>
            <w:vAlign w:val="center"/>
            <w:vMerge w:val="continue"/>
            <w:textDirection w:val="lrTb"/>
            <w:noWrap w:val="false"/>
          </w:tcPr>
          <w:p>
            <w:pPr>
              <w:jc w:val="center"/>
              <w:rPr>
                <w:rFonts w:ascii="Arial"/>
                <w:sz w:val="18"/>
                <w:szCs w:val="18"/>
              </w:rPr>
            </w:pPr>
            <w:r>
              <w:rPr>
                <w:rFonts w:ascii="Arial"/>
                <w:sz w:val="18"/>
                <w:szCs w:val="18"/>
              </w:rPr>
            </w:r>
            <w:r/>
          </w:p>
        </w:tc>
        <w:tc>
          <w:tcPr>
            <w:tcW w:w="2847" w:type="dxa"/>
            <w:vAlign w:val="center"/>
            <w:textDirection w:val="lrTb"/>
            <w:noWrap w:val="false"/>
          </w:tcPr>
          <w:p>
            <w:pPr>
              <w:jc w:val="center"/>
              <w:rPr>
                <w:rFonts w:ascii="方正黑体_GBK" w:hAnsi="方正黑体_GBK" w:eastAsia="方正黑体_GBK" w:cs="方正黑体_GBK"/>
                <w:sz w:val="18"/>
                <w:szCs w:val="18"/>
              </w:rPr>
            </w:pPr>
            <w:r>
              <w:rPr>
                <w:rFonts w:ascii="方正黑体_GBK" w:hAnsi="方正黑体_GBK" w:eastAsia="方正黑体_GBK" w:cs="方正黑体_GBK"/>
                <w:spacing w:val="7"/>
                <w:sz w:val="18"/>
                <w:szCs w:val="18"/>
              </w:rPr>
              <w:t xml:space="preserve">故障排查与恢复</w:t>
            </w:r>
            <w:r/>
          </w:p>
        </w:tc>
        <w:tc>
          <w:tcPr>
            <w:tcW w:w="1820" w:type="dxa"/>
            <w:vAlign w:val="center"/>
            <w:textDirection w:val="lrTb"/>
            <w:noWrap w:val="false"/>
          </w:tcPr>
          <w:p>
            <w:pPr>
              <w:jc w:val="center"/>
              <w:rPr>
                <w:rFonts w:ascii="Arial"/>
                <w:sz w:val="18"/>
                <w:szCs w:val="18"/>
              </w:rPr>
            </w:pPr>
            <w:r>
              <w:rPr>
                <w:rFonts w:ascii="Arial"/>
                <w:sz w:val="18"/>
                <w:szCs w:val="18"/>
              </w:rPr>
            </w:r>
            <w:r/>
          </w:p>
        </w:tc>
        <w:tc>
          <w:tcPr>
            <w:tcW w:w="1950" w:type="dxa"/>
            <w:vAlign w:val="center"/>
            <w:textDirection w:val="lrTb"/>
            <w:noWrap w:val="false"/>
          </w:tcPr>
          <w:p>
            <w:pPr>
              <w:jc w:val="center"/>
              <w:rPr>
                <w:rFonts w:ascii="Arial"/>
                <w:sz w:val="18"/>
                <w:szCs w:val="18"/>
              </w:rPr>
            </w:pPr>
            <w:r>
              <w:rPr>
                <w:rFonts w:ascii="Arial"/>
                <w:sz w:val="18"/>
                <w:szCs w:val="18"/>
              </w:rPr>
            </w:r>
            <w:r/>
          </w:p>
        </w:tc>
      </w:tr>
      <w:tr>
        <w:trPr>
          <w:jc w:val="center"/>
          <w:trHeight w:val="397"/>
        </w:trPr>
        <w:tc>
          <w:tcPr>
            <w:tcW w:w="2336" w:type="dxa"/>
            <w:vAlign w:val="center"/>
            <w:vMerge w:val="continue"/>
            <w:textDirection w:val="lrTb"/>
            <w:noWrap w:val="false"/>
          </w:tcPr>
          <w:p>
            <w:pPr>
              <w:jc w:val="center"/>
              <w:rPr>
                <w:rFonts w:ascii="Arial"/>
                <w:sz w:val="18"/>
                <w:szCs w:val="18"/>
              </w:rPr>
            </w:pPr>
            <w:r>
              <w:rPr>
                <w:rFonts w:ascii="Arial"/>
                <w:sz w:val="18"/>
                <w:szCs w:val="18"/>
              </w:rPr>
            </w:r>
            <w:r/>
          </w:p>
        </w:tc>
        <w:tc>
          <w:tcPr>
            <w:tcW w:w="2847" w:type="dxa"/>
            <w:vAlign w:val="center"/>
            <w:textDirection w:val="lrTb"/>
            <w:noWrap w:val="false"/>
          </w:tcPr>
          <w:p>
            <w:pPr>
              <w:jc w:val="center"/>
              <w:rPr>
                <w:rFonts w:ascii="方正黑体_GBK" w:hAnsi="方正黑体_GBK" w:eastAsia="方正黑体_GBK" w:cs="方正黑体_GBK"/>
                <w:sz w:val="18"/>
                <w:szCs w:val="18"/>
              </w:rPr>
            </w:pPr>
            <w:r>
              <w:rPr>
                <w:rFonts w:ascii="方正黑体_GBK" w:hAnsi="方正黑体_GBK" w:eastAsia="方正黑体_GBK" w:cs="方正黑体_GBK"/>
                <w:spacing w:val="3"/>
                <w:sz w:val="18"/>
                <w:szCs w:val="18"/>
              </w:rPr>
              <w:t xml:space="preserve">业务与技术支持</w:t>
            </w:r>
            <w:r/>
          </w:p>
        </w:tc>
        <w:tc>
          <w:tcPr>
            <w:tcW w:w="1820" w:type="dxa"/>
            <w:vAlign w:val="center"/>
            <w:textDirection w:val="lrTb"/>
            <w:noWrap w:val="false"/>
          </w:tcPr>
          <w:p>
            <w:pPr>
              <w:jc w:val="center"/>
              <w:rPr>
                <w:rFonts w:ascii="Arial"/>
                <w:sz w:val="18"/>
                <w:szCs w:val="18"/>
              </w:rPr>
            </w:pPr>
            <w:r>
              <w:rPr>
                <w:rFonts w:ascii="Arial"/>
                <w:sz w:val="18"/>
                <w:szCs w:val="18"/>
              </w:rPr>
            </w:r>
            <w:r/>
          </w:p>
        </w:tc>
        <w:tc>
          <w:tcPr>
            <w:tcW w:w="1950" w:type="dxa"/>
            <w:vAlign w:val="center"/>
            <w:textDirection w:val="lrTb"/>
            <w:noWrap w:val="false"/>
          </w:tcPr>
          <w:p>
            <w:pPr>
              <w:jc w:val="center"/>
              <w:rPr>
                <w:rFonts w:ascii="Arial"/>
                <w:sz w:val="18"/>
                <w:szCs w:val="18"/>
              </w:rPr>
            </w:pPr>
            <w:r>
              <w:rPr>
                <w:rFonts w:ascii="Arial"/>
                <w:sz w:val="18"/>
                <w:szCs w:val="18"/>
              </w:rPr>
            </w:r>
            <w:r/>
          </w:p>
        </w:tc>
      </w:tr>
      <w:tr>
        <w:trPr>
          <w:jc w:val="center"/>
          <w:trHeight w:val="397"/>
        </w:trPr>
        <w:tc>
          <w:tcPr>
            <w:tcW w:w="2336" w:type="dxa"/>
            <w:vAlign w:val="center"/>
            <w:vMerge w:val="continue"/>
            <w:textDirection w:val="lrTb"/>
            <w:noWrap w:val="false"/>
          </w:tcPr>
          <w:p>
            <w:pPr>
              <w:jc w:val="center"/>
              <w:rPr>
                <w:rFonts w:ascii="Arial"/>
                <w:sz w:val="18"/>
                <w:szCs w:val="18"/>
              </w:rPr>
            </w:pPr>
            <w:r>
              <w:rPr>
                <w:rFonts w:ascii="Arial"/>
                <w:sz w:val="18"/>
                <w:szCs w:val="18"/>
              </w:rPr>
            </w:r>
            <w:r/>
          </w:p>
        </w:tc>
        <w:tc>
          <w:tcPr>
            <w:tcW w:w="2847" w:type="dxa"/>
            <w:vAlign w:val="center"/>
            <w:textDirection w:val="lrTb"/>
            <w:noWrap w:val="false"/>
          </w:tcPr>
          <w:p>
            <w:pPr>
              <w:jc w:val="center"/>
              <w:rPr>
                <w:rFonts w:ascii="方正黑体_GBK" w:hAnsi="方正黑体_GBK" w:eastAsia="方正黑体_GBK" w:cs="方正黑体_GBK"/>
                <w:sz w:val="18"/>
                <w:szCs w:val="18"/>
              </w:rPr>
            </w:pPr>
            <w:r>
              <w:rPr>
                <w:rFonts w:ascii="方正黑体_GBK" w:hAnsi="方正黑体_GBK" w:eastAsia="方正黑体_GBK" w:cs="方正黑体_GBK"/>
                <w:spacing w:val="3"/>
                <w:sz w:val="18"/>
                <w:szCs w:val="18"/>
              </w:rPr>
              <w:t xml:space="preserve">系统优化与开发</w:t>
            </w:r>
            <w:r/>
          </w:p>
        </w:tc>
        <w:tc>
          <w:tcPr>
            <w:tcW w:w="1820" w:type="dxa"/>
            <w:vAlign w:val="center"/>
            <w:textDirection w:val="lrTb"/>
            <w:noWrap w:val="false"/>
          </w:tcPr>
          <w:p>
            <w:pPr>
              <w:jc w:val="center"/>
              <w:rPr>
                <w:rFonts w:ascii="Arial"/>
                <w:sz w:val="18"/>
                <w:szCs w:val="18"/>
              </w:rPr>
            </w:pPr>
            <w:r>
              <w:rPr>
                <w:rFonts w:ascii="Arial"/>
                <w:sz w:val="18"/>
                <w:szCs w:val="18"/>
              </w:rPr>
            </w:r>
            <w:r/>
          </w:p>
        </w:tc>
        <w:tc>
          <w:tcPr>
            <w:tcW w:w="1950" w:type="dxa"/>
            <w:vAlign w:val="center"/>
            <w:textDirection w:val="lrTb"/>
            <w:noWrap w:val="false"/>
          </w:tcPr>
          <w:p>
            <w:pPr>
              <w:jc w:val="center"/>
              <w:rPr>
                <w:rFonts w:ascii="Arial"/>
                <w:sz w:val="18"/>
                <w:szCs w:val="18"/>
              </w:rPr>
            </w:pPr>
            <w:r>
              <w:rPr>
                <w:rFonts w:ascii="Arial"/>
                <w:sz w:val="18"/>
                <w:szCs w:val="18"/>
              </w:rPr>
            </w:r>
            <w:r/>
          </w:p>
        </w:tc>
      </w:tr>
      <w:tr>
        <w:trPr>
          <w:jc w:val="center"/>
          <w:trHeight w:val="397"/>
        </w:trPr>
        <w:tc>
          <w:tcPr>
            <w:tcW w:w="2336" w:type="dxa"/>
            <w:vAlign w:val="center"/>
            <w:vMerge w:val="continue"/>
            <w:textDirection w:val="lrTb"/>
            <w:noWrap w:val="false"/>
          </w:tcPr>
          <w:p>
            <w:pPr>
              <w:jc w:val="center"/>
              <w:rPr>
                <w:rFonts w:ascii="Arial"/>
                <w:sz w:val="18"/>
                <w:szCs w:val="18"/>
              </w:rPr>
            </w:pPr>
            <w:r>
              <w:rPr>
                <w:rFonts w:ascii="Arial"/>
                <w:sz w:val="18"/>
                <w:szCs w:val="18"/>
              </w:rPr>
            </w:r>
            <w:r/>
          </w:p>
        </w:tc>
        <w:tc>
          <w:tcPr>
            <w:tcW w:w="2847" w:type="dxa"/>
            <w:vAlign w:val="center"/>
            <w:textDirection w:val="lrTb"/>
            <w:noWrap w:val="false"/>
          </w:tcPr>
          <w:p>
            <w:pPr>
              <w:jc w:val="center"/>
              <w:rPr>
                <w:rFonts w:ascii="方正黑体_GBK" w:hAnsi="方正黑体_GBK" w:eastAsia="方正黑体_GBK" w:cs="方正黑体_GBK"/>
                <w:sz w:val="18"/>
                <w:szCs w:val="18"/>
              </w:rPr>
            </w:pPr>
            <w:r>
              <w:rPr>
                <w:rFonts w:ascii="方正黑体_GBK" w:hAnsi="方正黑体_GBK" w:eastAsia="方正黑体_GBK" w:cs="方正黑体_GBK"/>
                <w:spacing w:val="5"/>
                <w:sz w:val="18"/>
                <w:szCs w:val="18"/>
              </w:rPr>
              <w:t xml:space="preserve">相关文档填报</w:t>
            </w:r>
            <w:r/>
          </w:p>
        </w:tc>
        <w:tc>
          <w:tcPr>
            <w:tcW w:w="1820" w:type="dxa"/>
            <w:vAlign w:val="center"/>
            <w:textDirection w:val="lrTb"/>
            <w:noWrap w:val="false"/>
          </w:tcPr>
          <w:p>
            <w:pPr>
              <w:jc w:val="center"/>
              <w:rPr>
                <w:rFonts w:ascii="Arial"/>
                <w:sz w:val="18"/>
                <w:szCs w:val="18"/>
              </w:rPr>
            </w:pPr>
            <w:r>
              <w:rPr>
                <w:rFonts w:ascii="Arial"/>
                <w:sz w:val="18"/>
                <w:szCs w:val="18"/>
              </w:rPr>
            </w:r>
            <w:r/>
          </w:p>
        </w:tc>
        <w:tc>
          <w:tcPr>
            <w:tcW w:w="1950" w:type="dxa"/>
            <w:vAlign w:val="center"/>
            <w:textDirection w:val="lrTb"/>
            <w:noWrap w:val="false"/>
          </w:tcPr>
          <w:p>
            <w:pPr>
              <w:jc w:val="center"/>
              <w:rPr>
                <w:rFonts w:ascii="Arial"/>
                <w:sz w:val="18"/>
                <w:szCs w:val="18"/>
              </w:rPr>
            </w:pPr>
            <w:r>
              <w:rPr>
                <w:rFonts w:ascii="Arial"/>
                <w:sz w:val="18"/>
                <w:szCs w:val="18"/>
              </w:rPr>
            </w:r>
            <w:r/>
          </w:p>
        </w:tc>
      </w:tr>
      <w:tr>
        <w:trPr>
          <w:jc w:val="center"/>
          <w:trHeight w:val="397"/>
        </w:trPr>
        <w:tc>
          <w:tcPr>
            <w:tcW w:w="2336" w:type="dxa"/>
            <w:vAlign w:val="center"/>
            <w:textDirection w:val="lrTb"/>
            <w:noWrap w:val="false"/>
          </w:tcPr>
          <w:p>
            <w:pPr>
              <w:ind w:right="133"/>
              <w:jc w:val="center"/>
              <w:rPr>
                <w:rFonts w:ascii="方正黑体_GBK" w:hAnsi="方正黑体_GBK" w:eastAsia="方正黑体_GBK" w:cs="方正黑体_GBK"/>
                <w:sz w:val="18"/>
                <w:szCs w:val="18"/>
              </w:rPr>
            </w:pPr>
            <w:r>
              <w:rPr>
                <w:rFonts w:ascii="方正黑体_GBK" w:hAnsi="方正黑体_GBK" w:eastAsia="方正黑体_GBK" w:cs="方正黑体_GBK"/>
                <w:spacing w:val="3"/>
                <w:sz w:val="18"/>
                <w:szCs w:val="18"/>
              </w:rPr>
              <w:t xml:space="preserve">其他交办</w:t>
            </w:r>
            <w:r>
              <w:rPr>
                <w:rFonts w:ascii="方正黑体_GBK" w:hAnsi="方正黑体_GBK" w:eastAsia="方正黑体_GBK" w:cs="方正黑体_GBK"/>
                <w:spacing w:val="4"/>
                <w:sz w:val="18"/>
                <w:szCs w:val="18"/>
              </w:rPr>
              <w:t xml:space="preserve">任务</w:t>
            </w:r>
            <w:r/>
          </w:p>
        </w:tc>
        <w:tc>
          <w:tcPr>
            <w:tcW w:w="2847" w:type="dxa"/>
            <w:vAlign w:val="center"/>
            <w:textDirection w:val="lrTb"/>
            <w:noWrap w:val="false"/>
          </w:tcPr>
          <w:p>
            <w:pPr>
              <w:jc w:val="center"/>
              <w:rPr>
                <w:rFonts w:ascii="方正黑体_GBK" w:hAnsi="方正黑体_GBK" w:eastAsia="方正黑体_GBK" w:cs="方正黑体_GBK"/>
                <w:sz w:val="18"/>
                <w:szCs w:val="18"/>
              </w:rPr>
            </w:pPr>
            <w:r>
              <w:rPr>
                <w:rFonts w:ascii="方正黑体_GBK" w:hAnsi="方正黑体_GBK" w:eastAsia="方正黑体_GBK" w:cs="方正黑体_GBK"/>
                <w:spacing w:val="3"/>
                <w:sz w:val="18"/>
                <w:szCs w:val="18"/>
              </w:rPr>
              <w:t xml:space="preserve">其他交办任务</w:t>
            </w:r>
            <w:r/>
          </w:p>
        </w:tc>
        <w:tc>
          <w:tcPr>
            <w:tcW w:w="1820" w:type="dxa"/>
            <w:vAlign w:val="center"/>
            <w:textDirection w:val="lrTb"/>
            <w:noWrap w:val="false"/>
          </w:tcPr>
          <w:p>
            <w:pPr>
              <w:jc w:val="center"/>
              <w:rPr>
                <w:rFonts w:ascii="Arial"/>
                <w:sz w:val="18"/>
                <w:szCs w:val="18"/>
              </w:rPr>
            </w:pPr>
            <w:r>
              <w:rPr>
                <w:rFonts w:ascii="Arial"/>
                <w:sz w:val="18"/>
                <w:szCs w:val="18"/>
              </w:rPr>
            </w:r>
            <w:r/>
          </w:p>
        </w:tc>
        <w:tc>
          <w:tcPr>
            <w:tcW w:w="1950" w:type="dxa"/>
            <w:vAlign w:val="center"/>
            <w:textDirection w:val="lrTb"/>
            <w:noWrap w:val="false"/>
          </w:tcPr>
          <w:p>
            <w:pPr>
              <w:jc w:val="center"/>
              <w:rPr>
                <w:rFonts w:ascii="Arial"/>
                <w:sz w:val="18"/>
                <w:szCs w:val="18"/>
              </w:rPr>
            </w:pPr>
            <w:r>
              <w:rPr>
                <w:rFonts w:ascii="Arial"/>
                <w:sz w:val="18"/>
                <w:szCs w:val="18"/>
              </w:rPr>
            </w:r>
            <w:r/>
          </w:p>
        </w:tc>
      </w:tr>
      <w:tr>
        <w:trPr>
          <w:jc w:val="center"/>
          <w:trHeight w:val="397"/>
        </w:trPr>
        <w:tc>
          <w:tcPr>
            <w:tcW w:w="2336" w:type="dxa"/>
            <w:vAlign w:val="center"/>
            <w:textDirection w:val="lrTb"/>
            <w:noWrap w:val="false"/>
          </w:tcPr>
          <w:p>
            <w:pPr>
              <w:ind w:right="133"/>
              <w:jc w:val="center"/>
              <w:rPr>
                <w:rFonts w:ascii="方正黑体_GBK" w:hAnsi="方正黑体_GBK" w:eastAsia="方正黑体_GBK" w:cs="方正黑体_GBK"/>
                <w:sz w:val="18"/>
                <w:szCs w:val="18"/>
              </w:rPr>
            </w:pPr>
            <w:r>
              <w:rPr>
                <w:rFonts w:ascii="方正黑体_GBK" w:hAnsi="方正黑体_GBK" w:eastAsia="方正黑体_GBK" w:cs="方正黑体_GBK"/>
                <w:spacing w:val="8"/>
                <w:sz w:val="18"/>
                <w:szCs w:val="18"/>
              </w:rPr>
              <w:t xml:space="preserve">驻场</w:t>
            </w:r>
            <w:r>
              <w:rPr>
                <w:rFonts w:ascii="方正黑体_GBK" w:hAnsi="方正黑体_GBK" w:eastAsia="方正黑体_GBK" w:cs="方正黑体_GBK"/>
                <w:spacing w:val="6"/>
                <w:sz w:val="18"/>
                <w:szCs w:val="18"/>
              </w:rPr>
              <w:t xml:space="preserve">人员签字</w:t>
            </w:r>
            <w:r/>
          </w:p>
        </w:tc>
        <w:tc>
          <w:tcPr>
            <w:tcW w:w="2847" w:type="dxa"/>
            <w:vAlign w:val="center"/>
            <w:textDirection w:val="lrTb"/>
            <w:noWrap w:val="false"/>
          </w:tcPr>
          <w:p>
            <w:pPr>
              <w:jc w:val="center"/>
              <w:rPr>
                <w:rFonts w:ascii="楷体" w:hAnsi="楷体" w:eastAsia="楷体" w:cs="楷体"/>
                <w:color w:val="a5a5a5"/>
                <w:spacing w:val="6"/>
                <w:sz w:val="18"/>
                <w:szCs w:val="18"/>
              </w:rPr>
            </w:pPr>
            <w:r>
              <w:rPr>
                <w:rFonts w:hint="eastAsia" w:ascii="楷体" w:hAnsi="楷体" w:eastAsia="楷体" w:cs="楷体"/>
                <w:color w:val="a5a5a5"/>
                <w:spacing w:val="6"/>
                <w:sz w:val="18"/>
                <w:szCs w:val="18"/>
              </w:rPr>
              <w:t xml:space="preserve">驻场人员签名</w:t>
            </w:r>
            <w:r/>
          </w:p>
        </w:tc>
        <w:tc>
          <w:tcPr>
            <w:tcW w:w="1820" w:type="dxa"/>
            <w:vAlign w:val="center"/>
            <w:textDirection w:val="lrTb"/>
            <w:noWrap w:val="false"/>
          </w:tcPr>
          <w:p>
            <w:pPr>
              <w:jc w:val="center"/>
              <w:rPr>
                <w:rFonts w:ascii="方正黑体_GBK" w:hAnsi="方正黑体_GBK" w:eastAsia="方正黑体_GBK" w:cs="方正黑体_GBK"/>
                <w:sz w:val="18"/>
                <w:szCs w:val="18"/>
              </w:rPr>
            </w:pPr>
            <w:r>
              <w:rPr>
                <w:rFonts w:ascii="方正黑体_GBK" w:hAnsi="方正黑体_GBK" w:eastAsia="方正黑体_GBK" w:cs="方正黑体_GBK"/>
                <w:spacing w:val="8"/>
                <w:sz w:val="18"/>
                <w:szCs w:val="18"/>
              </w:rPr>
              <w:t xml:space="preserve">驻场管理人签字</w:t>
            </w:r>
            <w:r/>
          </w:p>
        </w:tc>
        <w:tc>
          <w:tcPr>
            <w:tcW w:w="1950" w:type="dxa"/>
            <w:vAlign w:val="center"/>
            <w:textDirection w:val="lrTb"/>
            <w:noWrap w:val="false"/>
          </w:tcPr>
          <w:p>
            <w:pPr>
              <w:jc w:val="center"/>
              <w:rPr>
                <w:rFonts w:ascii="楷体" w:hAnsi="楷体" w:eastAsia="楷体" w:cs="楷体"/>
                <w:color w:val="a5a5a5"/>
                <w:spacing w:val="6"/>
                <w:sz w:val="18"/>
                <w:szCs w:val="18"/>
              </w:rPr>
            </w:pPr>
            <w:r>
              <w:rPr>
                <w:rFonts w:hint="eastAsia" w:ascii="楷体" w:hAnsi="楷体" w:eastAsia="楷体" w:cs="楷体"/>
                <w:color w:val="a5a5a5"/>
                <w:spacing w:val="6"/>
                <w:sz w:val="18"/>
                <w:szCs w:val="18"/>
              </w:rPr>
              <w:t xml:space="preserve">团队负责人姓名</w:t>
            </w:r>
            <w:r/>
          </w:p>
        </w:tc>
      </w:tr>
      <w:tr>
        <w:trPr>
          <w:jc w:val="center"/>
          <w:trHeight w:val="397"/>
        </w:trPr>
        <w:tc>
          <w:tcPr>
            <w:tcW w:w="2336" w:type="dxa"/>
            <w:vAlign w:val="center"/>
            <w:textDirection w:val="lrTb"/>
            <w:noWrap w:val="false"/>
          </w:tcPr>
          <w:p>
            <w:pPr>
              <w:ind w:right="133"/>
              <w:jc w:val="center"/>
              <w:rPr>
                <w:rFonts w:ascii="方正黑体_GBK" w:hAnsi="方正黑体_GBK" w:eastAsia="方正黑体_GBK" w:cs="方正黑体_GBK"/>
                <w:sz w:val="18"/>
                <w:szCs w:val="18"/>
              </w:rPr>
            </w:pPr>
            <w:r>
              <w:rPr>
                <w:rFonts w:ascii="方正黑体_GBK" w:hAnsi="方正黑体_GBK" w:eastAsia="方正黑体_GBK" w:cs="方正黑体_GBK"/>
                <w:spacing w:val="8"/>
                <w:sz w:val="18"/>
                <w:szCs w:val="18"/>
              </w:rPr>
              <w:t xml:space="preserve">处室项目负责</w:t>
            </w:r>
            <w:r>
              <w:rPr>
                <w:rFonts w:ascii="方正黑体_GBK" w:hAnsi="方正黑体_GBK" w:eastAsia="方正黑体_GBK" w:cs="方正黑体_GBK"/>
                <w:spacing w:val="6"/>
                <w:sz w:val="18"/>
                <w:szCs w:val="18"/>
              </w:rPr>
              <w:t xml:space="preserve">人签字</w:t>
            </w:r>
            <w:r/>
          </w:p>
        </w:tc>
        <w:tc>
          <w:tcPr>
            <w:tcW w:w="2847" w:type="dxa"/>
            <w:vAlign w:val="center"/>
            <w:textDirection w:val="lrTb"/>
            <w:noWrap w:val="false"/>
          </w:tcPr>
          <w:p>
            <w:pPr>
              <w:jc w:val="center"/>
              <w:rPr>
                <w:rFonts w:ascii="楷体" w:hAnsi="楷体" w:eastAsia="楷体" w:cs="楷体"/>
                <w:color w:val="a5a5a5"/>
                <w:spacing w:val="6"/>
                <w:sz w:val="18"/>
                <w:szCs w:val="18"/>
              </w:rPr>
            </w:pPr>
            <w:r>
              <w:rPr>
                <w:rFonts w:hint="eastAsia" w:ascii="楷体" w:hAnsi="楷体" w:eastAsia="楷体" w:cs="楷体"/>
                <w:color w:val="a5a5a5"/>
                <w:spacing w:val="6"/>
                <w:sz w:val="18"/>
                <w:szCs w:val="18"/>
              </w:rPr>
              <w:t xml:space="preserve">经办人签名</w:t>
            </w:r>
            <w:r/>
          </w:p>
        </w:tc>
        <w:tc>
          <w:tcPr>
            <w:tcW w:w="1820" w:type="dxa"/>
            <w:vAlign w:val="center"/>
            <w:textDirection w:val="lrTb"/>
            <w:noWrap w:val="false"/>
          </w:tcPr>
          <w:p>
            <w:pPr>
              <w:jc w:val="center"/>
              <w:rPr>
                <w:rFonts w:ascii="方正黑体_GBK" w:hAnsi="方正黑体_GBK" w:eastAsia="方正黑体_GBK" w:cs="方正黑体_GBK"/>
                <w:sz w:val="18"/>
                <w:szCs w:val="18"/>
              </w:rPr>
            </w:pPr>
            <w:r>
              <w:rPr>
                <w:rFonts w:ascii="方正黑体_GBK" w:hAnsi="方正黑体_GBK" w:eastAsia="方正黑体_GBK" w:cs="方正黑体_GBK"/>
                <w:spacing w:val="8"/>
                <w:sz w:val="18"/>
                <w:szCs w:val="18"/>
              </w:rPr>
              <w:t xml:space="preserve">处室负责人签字</w:t>
            </w:r>
            <w:r/>
          </w:p>
        </w:tc>
        <w:tc>
          <w:tcPr>
            <w:tcW w:w="1950" w:type="dxa"/>
            <w:vAlign w:val="center"/>
            <w:textDirection w:val="lrTb"/>
            <w:noWrap w:val="false"/>
          </w:tcPr>
          <w:p>
            <w:pPr>
              <w:jc w:val="center"/>
              <w:rPr>
                <w:rFonts w:ascii="楷体" w:hAnsi="楷体" w:eastAsia="楷体" w:cs="楷体"/>
                <w:color w:val="a5a5a5"/>
                <w:spacing w:val="6"/>
                <w:sz w:val="18"/>
                <w:szCs w:val="18"/>
              </w:rPr>
            </w:pPr>
            <w:r>
              <w:rPr>
                <w:rFonts w:hint="eastAsia" w:ascii="楷体" w:hAnsi="楷体" w:eastAsia="楷体" w:cs="楷体"/>
                <w:color w:val="a5a5a5"/>
                <w:spacing w:val="6"/>
                <w:sz w:val="18"/>
                <w:szCs w:val="18"/>
              </w:rPr>
              <w:t xml:space="preserve">负责人签名</w:t>
            </w:r>
            <w:r/>
          </w:p>
        </w:tc>
      </w:tr>
    </w:tbl>
    <w:p>
      <w:pPr>
        <w:ind w:firstLine="480"/>
        <w:spacing w:line="440" w:lineRule="exact"/>
        <w:rPr>
          <w:rFonts w:ascii="宋体" w:hAnsi="宋体" w:cs="宋体"/>
          <w:sz w:val="24"/>
          <w:szCs w:val="24"/>
        </w:rPr>
      </w:pPr>
      <w:r>
        <w:rPr>
          <w:rFonts w:hint="eastAsia" w:ascii="宋体" w:hAnsi="宋体" w:cs="宋体"/>
          <w:sz w:val="24"/>
          <w:szCs w:val="24"/>
        </w:rPr>
        <w:t xml:space="preserve">3.服务期内发生任何异常事件（含业务系统类、基础环境类、安全技术类、信息内容类</w:t>
      </w:r>
      <w:r>
        <w:rPr>
          <w:rFonts w:hint="eastAsia" w:ascii="宋体" w:hAnsi="宋体" w:cs="宋体"/>
          <w:sz w:val="24"/>
          <w:szCs w:val="24"/>
        </w:rPr>
        <w:t xml:space="preserve">及其他类事件），投标人须在事件发现后30分钟内启动处置，并填写《异常情况汇报表》（具体格式如下表），明确事件分类、分级、异常情况概述（含历史类似情况说明）、发现方式、事件时间（发生及发现时间）、当前状态、影响程度，深入分析初步原因（从系统软件、硬件设备、网络环境等维度），详细列明已采取的处置措施、后续处置计划（含时间节点），事件处置完成后补充填写最终处理结果，经填报人、审核人签字后，于事件结束后 24 小时内提交采购人；涉及重大 （ Ⅱ级）及以上事件的，须同步启动应急响应，并每小时向采购人更新事件处置进展。</w:t>
      </w:r>
      <w:r/>
    </w:p>
    <w:tbl>
      <w:tblPr>
        <w:tblStyle w:val="1010"/>
        <w:tblW w:w="895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82"/>
        <w:gridCol w:w="4333"/>
        <w:gridCol w:w="946"/>
        <w:gridCol w:w="2592"/>
      </w:tblGrid>
      <w:tr>
        <w:trPr>
          <w:jc w:val="center"/>
          <w:trHeight w:val="454"/>
          <w:tblHeader/>
        </w:trPr>
        <w:tc>
          <w:tcPr>
            <w:gridSpan w:val="4"/>
            <w:tcBorders>
              <w:top w:val="none" w:color="000000" w:sz="4" w:space="0"/>
              <w:left w:val="none" w:color="000000" w:sz="4" w:space="0"/>
              <w:right w:val="none" w:color="000000" w:sz="4" w:space="0"/>
            </w:tcBorders>
            <w:tcW w:w="8953" w:type="dxa"/>
            <w:vAlign w:val="center"/>
            <w:textDirection w:val="lrTb"/>
            <w:noWrap w:val="false"/>
          </w:tcPr>
          <w:p>
            <w:pPr>
              <w:jc w:val="center"/>
              <w:rPr>
                <w:rFonts w:ascii="方正仿宋_GBK" w:hAnsi="方正仿宋_GBK" w:eastAsia="方正仿宋_GBK" w:cs="方正仿宋_GBK"/>
                <w:sz w:val="20"/>
                <w:szCs w:val="20"/>
              </w:rPr>
            </w:pPr>
            <w:r>
              <w:rPr>
                <w:rFonts w:hint="eastAsia" w:ascii="黑体" w:hAnsi="黑体" w:eastAsia="黑体" w:cs="黑体"/>
                <w:sz w:val="24"/>
                <w:szCs w:val="24"/>
              </w:rPr>
              <w:t xml:space="preserve">异常情况汇报表</w:t>
            </w:r>
            <w:r/>
          </w:p>
        </w:tc>
      </w:tr>
      <w:tr>
        <w:trPr>
          <w:jc w:val="center"/>
          <w:trHeight w:val="397"/>
        </w:trPr>
        <w:tc>
          <w:tcPr>
            <w:tcW w:w="1082" w:type="dxa"/>
            <w:vAlign w:val="center"/>
            <w:textDirection w:val="lrTb"/>
            <w:noWrap w:val="false"/>
          </w:tcPr>
          <w:p>
            <w:pPr>
              <w:jc w:val="center"/>
              <w:rPr>
                <w:rFonts w:ascii="黑体" w:hAnsi="黑体" w:eastAsia="黑体" w:cs="黑体"/>
                <w:sz w:val="18"/>
                <w:szCs w:val="18"/>
              </w:rPr>
            </w:pPr>
            <w:r>
              <w:rPr>
                <w:rFonts w:hint="eastAsia" w:ascii="黑体" w:hAnsi="黑体" w:eastAsia="黑体" w:cs="黑体"/>
                <w:spacing w:val="7"/>
                <w:sz w:val="18"/>
                <w:szCs w:val="18"/>
              </w:rPr>
              <w:t xml:space="preserve">项目名称</w:t>
            </w:r>
            <w:r/>
          </w:p>
        </w:tc>
        <w:tc>
          <w:tcPr>
            <w:tcW w:w="4333" w:type="dxa"/>
            <w:vAlign w:val="center"/>
            <w:textDirection w:val="lrTb"/>
            <w:noWrap w:val="false"/>
          </w:tcPr>
          <w:p>
            <w:pPr>
              <w:jc w:val="center"/>
              <w:rPr>
                <w:rFonts w:ascii="黑体" w:hAnsi="黑体" w:eastAsia="黑体" w:cs="黑体"/>
                <w:sz w:val="18"/>
                <w:szCs w:val="18"/>
              </w:rPr>
            </w:pPr>
            <w:r>
              <w:rPr>
                <w:rFonts w:ascii="黑体" w:hAnsi="黑体" w:eastAsia="黑体" w:cs="黑体"/>
                <w:sz w:val="18"/>
                <w:szCs w:val="18"/>
              </w:rPr>
            </w:r>
            <w:r/>
          </w:p>
        </w:tc>
        <w:tc>
          <w:tcPr>
            <w:tcW w:w="946" w:type="dxa"/>
            <w:vAlign w:val="center"/>
            <w:textDirection w:val="lrTb"/>
            <w:noWrap w:val="false"/>
          </w:tcPr>
          <w:p>
            <w:pPr>
              <w:jc w:val="center"/>
              <w:rPr>
                <w:rFonts w:ascii="黑体" w:hAnsi="黑体" w:eastAsia="黑体" w:cs="黑体"/>
                <w:sz w:val="18"/>
                <w:szCs w:val="18"/>
              </w:rPr>
            </w:pPr>
            <w:r>
              <w:rPr>
                <w:rFonts w:hint="eastAsia" w:ascii="黑体" w:hAnsi="黑体" w:eastAsia="黑体" w:cs="黑体"/>
                <w:spacing w:val="7"/>
                <w:sz w:val="18"/>
                <w:szCs w:val="18"/>
              </w:rPr>
              <w:t xml:space="preserve">服务对象</w:t>
            </w:r>
            <w:r/>
          </w:p>
        </w:tc>
        <w:tc>
          <w:tcPr>
            <w:tcW w:w="2592" w:type="dxa"/>
            <w:vAlign w:val="center"/>
            <w:textDirection w:val="lrTb"/>
            <w:noWrap w:val="false"/>
          </w:tcPr>
          <w:p>
            <w:pPr>
              <w:jc w:val="center"/>
              <w:rPr>
                <w:rFonts w:ascii="黑体" w:hAnsi="黑体" w:eastAsia="黑体" w:cs="黑体"/>
                <w:sz w:val="18"/>
                <w:szCs w:val="18"/>
              </w:rPr>
            </w:pPr>
            <w:r>
              <w:rPr>
                <w:rFonts w:ascii="黑体" w:hAnsi="黑体" w:eastAsia="黑体" w:cs="黑体"/>
                <w:sz w:val="18"/>
                <w:szCs w:val="18"/>
              </w:rPr>
            </w:r>
            <w:r/>
          </w:p>
        </w:tc>
      </w:tr>
      <w:tr>
        <w:trPr>
          <w:jc w:val="center"/>
          <w:trHeight w:val="794"/>
        </w:trPr>
        <w:tc>
          <w:tcPr>
            <w:tcW w:w="1082" w:type="dxa"/>
            <w:vAlign w:val="center"/>
            <w:textDirection w:val="lrTb"/>
            <w:noWrap w:val="false"/>
          </w:tcPr>
          <w:p>
            <w:pPr>
              <w:jc w:val="center"/>
              <w:rPr>
                <w:rFonts w:ascii="黑体" w:hAnsi="黑体" w:eastAsia="黑体" w:cs="黑体"/>
                <w:sz w:val="18"/>
                <w:szCs w:val="18"/>
              </w:rPr>
            </w:pPr>
            <w:r>
              <w:rPr>
                <w:rFonts w:hint="eastAsia" w:ascii="黑体" w:hAnsi="黑体" w:eastAsia="黑体" w:cs="黑体"/>
                <w:spacing w:val="6"/>
                <w:sz w:val="18"/>
                <w:szCs w:val="18"/>
              </w:rPr>
              <w:t xml:space="preserve">事件分类</w:t>
            </w:r>
            <w:r/>
          </w:p>
        </w:tc>
        <w:tc>
          <w:tcPr>
            <w:tcW w:w="4333" w:type="dxa"/>
            <w:vAlign w:val="center"/>
            <w:textDirection w:val="lrTb"/>
            <w:noWrap w:val="false"/>
          </w:tcPr>
          <w:p>
            <w:pPr>
              <w:ind w:firstLine="204"/>
              <w:rPr>
                <w:rFonts w:ascii="黑体" w:hAnsi="黑体" w:eastAsia="黑体" w:cs="黑体"/>
                <w:sz w:val="18"/>
                <w:szCs w:val="18"/>
              </w:rPr>
            </w:pPr>
            <w:r>
              <w:rPr>
                <w:rFonts w:hint="eastAsia" w:ascii="黑体" w:hAnsi="黑体" w:eastAsia="黑体" w:cs="黑体"/>
                <w:spacing w:val="12"/>
                <w:sz w:val="18"/>
                <w:szCs w:val="18"/>
              </w:rPr>
              <w:t xml:space="preserve">□业务系统类  □基础环境类</w:t>
            </w:r>
            <w:r/>
          </w:p>
          <w:p>
            <w:pPr>
              <w:ind w:firstLine="204"/>
              <w:rPr>
                <w:rFonts w:ascii="黑体" w:hAnsi="黑体" w:eastAsia="黑体" w:cs="黑体"/>
                <w:sz w:val="18"/>
                <w:szCs w:val="18"/>
              </w:rPr>
            </w:pPr>
            <w:r>
              <w:rPr>
                <w:rFonts w:hint="eastAsia" w:ascii="黑体" w:hAnsi="黑体" w:eastAsia="黑体" w:cs="黑体"/>
                <w:spacing w:val="12"/>
                <w:sz w:val="18"/>
                <w:szCs w:val="18"/>
              </w:rPr>
              <w:t xml:space="preserve">□安全技术类  □信息内容类  </w:t>
            </w:r>
            <w:r>
              <w:rPr>
                <w:rFonts w:hint="eastAsia" w:ascii="黑体" w:hAnsi="黑体" w:eastAsia="黑体" w:cs="黑体"/>
                <w:spacing w:val="2"/>
                <w:sz w:val="18"/>
                <w:szCs w:val="18"/>
              </w:rPr>
              <w:t xml:space="preserve">□其他</w:t>
            </w:r>
            <w:r/>
          </w:p>
        </w:tc>
        <w:tc>
          <w:tcPr>
            <w:tcW w:w="946" w:type="dxa"/>
            <w:vAlign w:val="center"/>
            <w:textDirection w:val="lrTb"/>
            <w:noWrap w:val="false"/>
          </w:tcPr>
          <w:p>
            <w:pPr>
              <w:jc w:val="center"/>
              <w:rPr>
                <w:rFonts w:ascii="黑体" w:hAnsi="黑体" w:eastAsia="黑体" w:cs="黑体"/>
                <w:sz w:val="18"/>
                <w:szCs w:val="18"/>
              </w:rPr>
            </w:pPr>
            <w:r>
              <w:rPr>
                <w:rFonts w:hint="eastAsia" w:ascii="黑体" w:hAnsi="黑体" w:eastAsia="黑体" w:cs="黑体"/>
                <w:spacing w:val="6"/>
                <w:sz w:val="18"/>
                <w:szCs w:val="18"/>
              </w:rPr>
              <w:t xml:space="preserve">事件分级</w:t>
            </w:r>
            <w:r/>
          </w:p>
        </w:tc>
        <w:tc>
          <w:tcPr>
            <w:tcW w:w="2592" w:type="dxa"/>
            <w:vAlign w:val="center"/>
            <w:textDirection w:val="lrTb"/>
            <w:noWrap w:val="false"/>
          </w:tcPr>
          <w:p>
            <w:pPr>
              <w:ind w:left="178"/>
              <w:jc w:val="left"/>
              <w:rPr>
                <w:rFonts w:ascii="黑体" w:hAnsi="黑体" w:eastAsia="黑体" w:cs="黑体"/>
                <w:sz w:val="18"/>
                <w:szCs w:val="18"/>
              </w:rPr>
            </w:pPr>
            <w:r>
              <w:rPr>
                <w:rFonts w:hint="eastAsia" w:ascii="黑体" w:hAnsi="黑体" w:eastAsia="黑体" w:cs="黑体"/>
                <w:spacing w:val="-2"/>
                <w:sz w:val="18"/>
                <w:szCs w:val="18"/>
              </w:rPr>
              <w:t xml:space="preserve">□特别重大  □重大</w:t>
            </w:r>
            <w:r>
              <w:rPr>
                <w:rFonts w:hint="eastAsia" w:ascii="黑体" w:hAnsi="黑体" w:eastAsia="黑体" w:cs="黑体"/>
                <w:spacing w:val="-2"/>
                <w:sz w:val="18"/>
                <w:szCs w:val="18"/>
              </w:rPr>
              <w:br/>
            </w:r>
            <w:r>
              <w:rPr>
                <w:rFonts w:hint="eastAsia" w:ascii="黑体" w:hAnsi="黑体" w:eastAsia="黑体" w:cs="黑体"/>
                <w:spacing w:val="-9"/>
                <w:sz w:val="18"/>
                <w:szCs w:val="18"/>
              </w:rPr>
              <w:t xml:space="preserve">□较大        □</w:t>
            </w:r>
            <w:r>
              <w:rPr>
                <w:rFonts w:hint="eastAsia" w:ascii="黑体" w:hAnsi="黑体" w:eastAsia="黑体" w:cs="黑体"/>
                <w:spacing w:val="-2"/>
                <w:sz w:val="18"/>
                <w:szCs w:val="18"/>
              </w:rPr>
              <w:t xml:space="preserve">一般</w:t>
            </w:r>
            <w:r>
              <w:rPr>
                <w:rFonts w:hint="eastAsia" w:ascii="黑体" w:hAnsi="黑体" w:eastAsia="黑体" w:cs="黑体"/>
                <w:spacing w:val="42"/>
                <w:sz w:val="18"/>
                <w:szCs w:val="18"/>
              </w:rPr>
              <w:t xml:space="preserve"> </w:t>
            </w:r>
            <w:r/>
          </w:p>
        </w:tc>
      </w:tr>
      <w:tr>
        <w:trPr>
          <w:jc w:val="center"/>
          <w:trHeight w:val="397"/>
        </w:trPr>
        <w:tc>
          <w:tcPr>
            <w:tcW w:w="1082" w:type="dxa"/>
            <w:vAlign w:val="center"/>
            <w:textDirection w:val="lrTb"/>
            <w:noWrap w:val="false"/>
          </w:tcPr>
          <w:p>
            <w:pPr>
              <w:jc w:val="center"/>
              <w:rPr>
                <w:rFonts w:ascii="黑体" w:hAnsi="黑体" w:eastAsia="黑体" w:cs="黑体"/>
                <w:sz w:val="18"/>
                <w:szCs w:val="18"/>
              </w:rPr>
            </w:pPr>
            <w:r>
              <w:rPr>
                <w:rFonts w:hint="eastAsia" w:ascii="黑体" w:hAnsi="黑体" w:eastAsia="黑体" w:cs="黑体"/>
                <w:spacing w:val="7"/>
                <w:sz w:val="18"/>
                <w:szCs w:val="18"/>
              </w:rPr>
              <w:t xml:space="preserve">情况概述</w:t>
            </w:r>
            <w:r/>
          </w:p>
        </w:tc>
        <w:tc>
          <w:tcPr>
            <w:gridSpan w:val="3"/>
            <w:tcW w:w="7871" w:type="dxa"/>
            <w:vAlign w:val="center"/>
            <w:textDirection w:val="lrTb"/>
            <w:noWrap w:val="false"/>
          </w:tcPr>
          <w:p>
            <w:pPr>
              <w:jc w:val="left"/>
              <w:rPr>
                <w:rFonts w:ascii="黑体" w:hAnsi="黑体" w:eastAsia="黑体" w:cs="黑体"/>
                <w:sz w:val="18"/>
                <w:szCs w:val="18"/>
              </w:rPr>
            </w:pPr>
            <w:r>
              <w:rPr>
                <w:rFonts w:hint="eastAsia" w:ascii="楷体" w:hAnsi="楷体" w:eastAsia="楷体" w:cs="楷体"/>
                <w:color w:val="a5a5a5"/>
                <w:spacing w:val="8"/>
                <w:sz w:val="18"/>
                <w:szCs w:val="18"/>
              </w:rPr>
              <w:t xml:space="preserve">（如以前出现过类似情况也应加以说明）</w:t>
            </w:r>
            <w:r/>
          </w:p>
        </w:tc>
      </w:tr>
      <w:tr>
        <w:trPr>
          <w:jc w:val="center"/>
          <w:trHeight w:val="794"/>
        </w:trPr>
        <w:tc>
          <w:tcPr>
            <w:tcW w:w="1082" w:type="dxa"/>
            <w:vAlign w:val="center"/>
            <w:textDirection w:val="lrTb"/>
            <w:noWrap w:val="false"/>
          </w:tcPr>
          <w:p>
            <w:pPr>
              <w:jc w:val="center"/>
              <w:rPr>
                <w:rFonts w:ascii="黑体" w:hAnsi="黑体" w:eastAsia="黑体" w:cs="黑体"/>
                <w:sz w:val="18"/>
                <w:szCs w:val="18"/>
              </w:rPr>
            </w:pPr>
            <w:r>
              <w:rPr>
                <w:rFonts w:hint="eastAsia" w:ascii="黑体" w:hAnsi="黑体" w:eastAsia="黑体" w:cs="黑体"/>
                <w:spacing w:val="7"/>
                <w:sz w:val="18"/>
                <w:szCs w:val="18"/>
              </w:rPr>
              <w:t xml:space="preserve">发现方式</w:t>
            </w:r>
            <w:r/>
          </w:p>
        </w:tc>
        <w:tc>
          <w:tcPr>
            <w:tcW w:w="4333" w:type="dxa"/>
            <w:vAlign w:val="center"/>
            <w:textDirection w:val="lrTb"/>
            <w:noWrap w:val="false"/>
          </w:tcPr>
          <w:p>
            <w:pPr>
              <w:ind w:left="199"/>
              <w:jc w:val="left"/>
              <w:rPr>
                <w:rFonts w:ascii="黑体" w:hAnsi="黑体" w:eastAsia="黑体" w:cs="黑体"/>
                <w:sz w:val="18"/>
                <w:szCs w:val="18"/>
              </w:rPr>
            </w:pPr>
            <w:r>
              <w:rPr>
                <w:rFonts w:hint="eastAsia" w:ascii="黑体" w:hAnsi="黑体" w:eastAsia="黑体" w:cs="黑体"/>
                <w:spacing w:val="15"/>
                <w:sz w:val="18"/>
                <w:szCs w:val="18"/>
              </w:rPr>
              <w:t xml:space="preserve">□上级通报</w:t>
            </w:r>
            <w:r>
              <w:rPr>
                <w:rFonts w:hint="eastAsia" w:ascii="黑体" w:hAnsi="黑体" w:eastAsia="黑体" w:cs="黑体"/>
                <w:spacing w:val="23"/>
                <w:sz w:val="18"/>
                <w:szCs w:val="18"/>
              </w:rPr>
              <w:t xml:space="preserve">  </w:t>
            </w:r>
            <w:r>
              <w:rPr>
                <w:rFonts w:hint="eastAsia" w:ascii="黑体" w:hAnsi="黑体" w:eastAsia="黑体" w:cs="黑体"/>
                <w:spacing w:val="15"/>
                <w:sz w:val="18"/>
                <w:szCs w:val="18"/>
              </w:rPr>
              <w:t xml:space="preserve">□监控告警</w:t>
            </w:r>
            <w:r>
              <w:rPr>
                <w:rFonts w:hint="eastAsia" w:ascii="黑体" w:hAnsi="黑体" w:eastAsia="黑体" w:cs="黑体"/>
                <w:spacing w:val="-9"/>
                <w:sz w:val="18"/>
                <w:szCs w:val="18"/>
              </w:rPr>
              <w:t xml:space="preserve">   </w:t>
            </w:r>
            <w:r>
              <w:rPr>
                <w:rFonts w:hint="eastAsia" w:ascii="黑体" w:hAnsi="黑体" w:eastAsia="黑体" w:cs="黑体"/>
                <w:spacing w:val="15"/>
                <w:sz w:val="18"/>
                <w:szCs w:val="18"/>
              </w:rPr>
              <w:t xml:space="preserve">□</w:t>
            </w:r>
            <w:r>
              <w:rPr>
                <w:rFonts w:hint="eastAsia" w:ascii="黑体" w:hAnsi="黑体" w:eastAsia="黑体" w:cs="黑体"/>
                <w:spacing w:val="16"/>
                <w:sz w:val="18"/>
                <w:szCs w:val="18"/>
              </w:rPr>
              <w:t xml:space="preserve">用户报障</w:t>
            </w:r>
            <w:r>
              <w:rPr>
                <w:rFonts w:hint="eastAsia" w:ascii="黑体" w:hAnsi="黑体" w:eastAsia="黑体" w:cs="黑体"/>
                <w:spacing w:val="24"/>
                <w:sz w:val="18"/>
                <w:szCs w:val="18"/>
              </w:rPr>
              <w:t xml:space="preserve">  </w:t>
            </w:r>
            <w:r>
              <w:rPr>
                <w:rFonts w:hint="eastAsia" w:ascii="黑体" w:hAnsi="黑体" w:eastAsia="黑体" w:cs="黑体"/>
                <w:spacing w:val="16"/>
                <w:sz w:val="18"/>
                <w:szCs w:val="18"/>
              </w:rPr>
              <w:t xml:space="preserve">□系统巡检</w:t>
            </w:r>
            <w:r>
              <w:rPr>
                <w:rFonts w:hint="eastAsia" w:ascii="黑体" w:hAnsi="黑体" w:eastAsia="黑体" w:cs="黑体"/>
                <w:spacing w:val="23"/>
                <w:sz w:val="18"/>
                <w:szCs w:val="18"/>
              </w:rPr>
              <w:t xml:space="preserve">  </w:t>
            </w:r>
            <w:r>
              <w:rPr>
                <w:rFonts w:hint="eastAsia" w:ascii="黑体" w:hAnsi="黑体" w:eastAsia="黑体" w:cs="黑体"/>
                <w:spacing w:val="16"/>
                <w:sz w:val="18"/>
                <w:szCs w:val="18"/>
              </w:rPr>
              <w:t xml:space="preserve">□预</w:t>
            </w:r>
            <w:r>
              <w:rPr>
                <w:rFonts w:hint="eastAsia" w:ascii="黑体" w:hAnsi="黑体" w:eastAsia="黑体" w:cs="黑体"/>
                <w:spacing w:val="3"/>
                <w:sz w:val="18"/>
                <w:szCs w:val="18"/>
              </w:rPr>
              <w:t xml:space="preserve">警响应</w:t>
            </w:r>
            <w:r>
              <w:rPr>
                <w:rFonts w:hint="eastAsia" w:ascii="黑体" w:hAnsi="黑体" w:eastAsia="黑体" w:cs="黑体"/>
                <w:spacing w:val="-9"/>
                <w:sz w:val="18"/>
                <w:szCs w:val="18"/>
              </w:rPr>
              <w:t xml:space="preserve">    </w:t>
            </w:r>
            <w:r>
              <w:rPr>
                <w:rFonts w:hint="eastAsia" w:ascii="黑体" w:hAnsi="黑体" w:eastAsia="黑体" w:cs="黑体"/>
                <w:spacing w:val="3"/>
                <w:sz w:val="18"/>
                <w:szCs w:val="18"/>
              </w:rPr>
              <w:t xml:space="preserve">□其他</w:t>
            </w:r>
            <w:r/>
          </w:p>
        </w:tc>
        <w:tc>
          <w:tcPr>
            <w:tcW w:w="946" w:type="dxa"/>
            <w:vAlign w:val="center"/>
            <w:textDirection w:val="lrTb"/>
            <w:noWrap w:val="false"/>
          </w:tcPr>
          <w:p>
            <w:pPr>
              <w:jc w:val="center"/>
              <w:rPr>
                <w:rFonts w:ascii="黑体" w:hAnsi="黑体" w:eastAsia="黑体" w:cs="黑体"/>
                <w:sz w:val="18"/>
                <w:szCs w:val="18"/>
              </w:rPr>
            </w:pPr>
            <w:r>
              <w:rPr>
                <w:rFonts w:hint="eastAsia" w:ascii="黑体" w:hAnsi="黑体" w:eastAsia="黑体" w:cs="黑体"/>
                <w:spacing w:val="7"/>
                <w:sz w:val="18"/>
                <w:szCs w:val="18"/>
              </w:rPr>
              <w:t xml:space="preserve">事件时间</w:t>
            </w:r>
            <w:r/>
          </w:p>
        </w:tc>
        <w:tc>
          <w:tcPr>
            <w:tcW w:w="2592" w:type="dxa"/>
            <w:vAlign w:val="center"/>
            <w:textDirection w:val="lrTb"/>
            <w:noWrap w:val="false"/>
          </w:tcPr>
          <w:p>
            <w:pPr>
              <w:ind w:firstLine="196"/>
              <w:jc w:val="left"/>
              <w:rPr>
                <w:rFonts w:ascii="黑体" w:hAnsi="黑体" w:eastAsia="黑体" w:cs="黑体"/>
                <w:sz w:val="18"/>
                <w:szCs w:val="18"/>
              </w:rPr>
            </w:pPr>
            <w:r>
              <w:rPr>
                <w:rFonts w:hint="eastAsia" w:ascii="楷体" w:hAnsi="楷体" w:eastAsia="楷体" w:cs="楷体"/>
                <w:color w:val="a5a5a5"/>
                <w:spacing w:val="8"/>
                <w:sz w:val="18"/>
                <w:szCs w:val="18"/>
              </w:rPr>
              <w:t xml:space="preserve">事件发生时间、发现时间</w:t>
            </w:r>
            <w:r/>
          </w:p>
        </w:tc>
      </w:tr>
      <w:tr>
        <w:trPr>
          <w:jc w:val="center"/>
          <w:trHeight w:val="794"/>
        </w:trPr>
        <w:tc>
          <w:tcPr>
            <w:tcW w:w="1082" w:type="dxa"/>
            <w:vAlign w:val="center"/>
            <w:textDirection w:val="lrTb"/>
            <w:noWrap w:val="false"/>
          </w:tcPr>
          <w:p>
            <w:pPr>
              <w:jc w:val="center"/>
              <w:rPr>
                <w:rFonts w:ascii="黑体" w:hAnsi="黑体" w:eastAsia="黑体" w:cs="黑体"/>
                <w:sz w:val="18"/>
                <w:szCs w:val="18"/>
              </w:rPr>
            </w:pPr>
            <w:r>
              <w:rPr>
                <w:rFonts w:hint="eastAsia" w:ascii="黑体" w:hAnsi="黑体" w:eastAsia="黑体" w:cs="黑体"/>
                <w:spacing w:val="2"/>
                <w:sz w:val="18"/>
                <w:szCs w:val="18"/>
              </w:rPr>
              <w:t xml:space="preserve">当前状态</w:t>
            </w:r>
            <w:r/>
          </w:p>
        </w:tc>
        <w:tc>
          <w:tcPr>
            <w:tcW w:w="4333" w:type="dxa"/>
            <w:vAlign w:val="center"/>
            <w:textDirection w:val="lrTb"/>
            <w:noWrap w:val="false"/>
          </w:tcPr>
          <w:p>
            <w:pPr>
              <w:ind w:left="199"/>
              <w:jc w:val="left"/>
              <w:rPr>
                <w:rFonts w:ascii="黑体" w:hAnsi="黑体" w:eastAsia="黑体" w:cs="黑体"/>
                <w:spacing w:val="15"/>
                <w:sz w:val="18"/>
                <w:szCs w:val="18"/>
              </w:rPr>
            </w:pPr>
            <w:r>
              <w:rPr>
                <w:rFonts w:hint="eastAsia" w:ascii="黑体" w:hAnsi="黑体" w:eastAsia="黑体" w:cs="黑体"/>
                <w:spacing w:val="15"/>
                <w:sz w:val="18"/>
                <w:szCs w:val="18"/>
              </w:rPr>
              <w:t xml:space="preserve">□发现待处理  □处理中  □已恢复</w:t>
            </w:r>
            <w:r/>
          </w:p>
          <w:p>
            <w:pPr>
              <w:ind w:left="199"/>
              <w:jc w:val="left"/>
              <w:rPr>
                <w:rFonts w:ascii="黑体" w:hAnsi="黑体" w:eastAsia="黑体" w:cs="黑体"/>
                <w:sz w:val="18"/>
                <w:szCs w:val="18"/>
              </w:rPr>
            </w:pPr>
            <w:r>
              <w:rPr>
                <w:rFonts w:hint="eastAsia" w:ascii="黑体" w:hAnsi="黑体" w:eastAsia="黑体" w:cs="黑体"/>
                <w:spacing w:val="15"/>
                <w:sz w:val="18"/>
                <w:szCs w:val="18"/>
              </w:rPr>
              <w:t xml:space="preserve">□影响扩大    □需要升级处理</w:t>
            </w:r>
            <w:r/>
          </w:p>
        </w:tc>
        <w:tc>
          <w:tcPr>
            <w:tcW w:w="946" w:type="dxa"/>
            <w:vAlign w:val="center"/>
            <w:textDirection w:val="lrTb"/>
            <w:noWrap w:val="false"/>
          </w:tcPr>
          <w:p>
            <w:pPr>
              <w:jc w:val="center"/>
              <w:rPr>
                <w:rFonts w:ascii="黑体" w:hAnsi="黑体" w:eastAsia="黑体" w:cs="黑体"/>
                <w:sz w:val="18"/>
                <w:szCs w:val="18"/>
              </w:rPr>
            </w:pPr>
            <w:r>
              <w:rPr>
                <w:rFonts w:hint="eastAsia" w:ascii="黑体" w:hAnsi="黑体" w:eastAsia="黑体" w:cs="黑体"/>
                <w:spacing w:val="7"/>
                <w:sz w:val="18"/>
                <w:szCs w:val="18"/>
              </w:rPr>
              <w:t xml:space="preserve">影响程度</w:t>
            </w:r>
            <w:r/>
          </w:p>
        </w:tc>
        <w:tc>
          <w:tcPr>
            <w:tcW w:w="2592" w:type="dxa"/>
            <w:vAlign w:val="center"/>
            <w:textDirection w:val="lrTb"/>
            <w:noWrap w:val="false"/>
          </w:tcPr>
          <w:p>
            <w:pPr>
              <w:ind w:firstLine="170"/>
              <w:rPr>
                <w:rFonts w:ascii="黑体" w:hAnsi="黑体" w:eastAsia="黑体" w:cs="黑体"/>
                <w:spacing w:val="-5"/>
                <w:sz w:val="18"/>
                <w:szCs w:val="18"/>
              </w:rPr>
            </w:pPr>
            <w:r>
              <w:rPr>
                <w:rFonts w:hint="eastAsia" w:ascii="黑体" w:hAnsi="黑体" w:eastAsia="黑体" w:cs="黑体"/>
                <w:spacing w:val="-5"/>
                <w:sz w:val="18"/>
                <w:szCs w:val="18"/>
              </w:rPr>
              <w:t xml:space="preserve">□</w:t>
            </w:r>
            <w:r>
              <w:rPr>
                <w:rFonts w:hint="eastAsia" w:ascii="黑体" w:hAnsi="黑体" w:eastAsia="黑体" w:cs="黑体"/>
                <w:spacing w:val="-15"/>
                <w:sz w:val="18"/>
                <w:szCs w:val="18"/>
              </w:rPr>
              <w:t xml:space="preserve"> </w:t>
            </w:r>
            <w:r>
              <w:rPr>
                <w:rFonts w:hint="eastAsia" w:ascii="黑体" w:hAnsi="黑体" w:eastAsia="黑体" w:cs="黑体"/>
                <w:spacing w:val="-5"/>
                <w:sz w:val="18"/>
                <w:szCs w:val="18"/>
              </w:rPr>
              <w:t xml:space="preserve">严重   □</w:t>
            </w:r>
            <w:r>
              <w:rPr>
                <w:rFonts w:hint="eastAsia" w:ascii="黑体" w:hAnsi="黑体" w:eastAsia="黑体" w:cs="黑体"/>
                <w:spacing w:val="-17"/>
                <w:sz w:val="18"/>
                <w:szCs w:val="18"/>
              </w:rPr>
              <w:t xml:space="preserve"> </w:t>
            </w:r>
            <w:r>
              <w:rPr>
                <w:rFonts w:hint="eastAsia" w:ascii="黑体" w:hAnsi="黑体" w:eastAsia="黑体" w:cs="黑体"/>
                <w:spacing w:val="-5"/>
                <w:sz w:val="18"/>
                <w:szCs w:val="18"/>
              </w:rPr>
              <w:t xml:space="preserve">较</w:t>
            </w:r>
            <w:r>
              <w:rPr>
                <w:rFonts w:hint="eastAsia" w:ascii="黑体" w:hAnsi="黑体" w:eastAsia="黑体" w:cs="黑体"/>
                <w:spacing w:val="-14"/>
                <w:sz w:val="18"/>
                <w:szCs w:val="18"/>
              </w:rPr>
              <w:t xml:space="preserve"> </w:t>
            </w:r>
            <w:r>
              <w:rPr>
                <w:rFonts w:hint="eastAsia" w:ascii="黑体" w:hAnsi="黑体" w:eastAsia="黑体" w:cs="黑体"/>
                <w:spacing w:val="-5"/>
                <w:sz w:val="18"/>
                <w:szCs w:val="18"/>
              </w:rPr>
              <w:t xml:space="preserve">重</w:t>
            </w:r>
            <w:r/>
          </w:p>
          <w:p>
            <w:pPr>
              <w:ind w:firstLine="170"/>
              <w:rPr>
                <w:rFonts w:ascii="黑体" w:hAnsi="黑体" w:eastAsia="黑体" w:cs="黑体"/>
                <w:sz w:val="18"/>
                <w:szCs w:val="18"/>
              </w:rPr>
            </w:pPr>
            <w:r>
              <w:rPr>
                <w:rFonts w:hint="eastAsia" w:ascii="黑体" w:hAnsi="黑体" w:eastAsia="黑体" w:cs="黑体"/>
                <w:spacing w:val="-5"/>
                <w:sz w:val="18"/>
                <w:szCs w:val="18"/>
              </w:rPr>
              <w:t xml:space="preserve">□一</w:t>
            </w:r>
            <w:r>
              <w:rPr>
                <w:rFonts w:hint="eastAsia" w:ascii="黑体" w:hAnsi="黑体" w:eastAsia="黑体" w:cs="黑体"/>
                <w:spacing w:val="-14"/>
                <w:sz w:val="18"/>
                <w:szCs w:val="18"/>
              </w:rPr>
              <w:t xml:space="preserve"> </w:t>
            </w:r>
            <w:r>
              <w:rPr>
                <w:rFonts w:hint="eastAsia" w:ascii="黑体" w:hAnsi="黑体" w:eastAsia="黑体" w:cs="黑体"/>
                <w:spacing w:val="-5"/>
                <w:sz w:val="18"/>
                <w:szCs w:val="18"/>
              </w:rPr>
              <w:t xml:space="preserve">般   </w:t>
            </w:r>
            <w:r>
              <w:rPr>
                <w:rFonts w:hint="eastAsia" w:ascii="黑体" w:hAnsi="黑体" w:eastAsia="黑体" w:cs="黑体"/>
                <w:spacing w:val="2"/>
                <w:sz w:val="18"/>
                <w:szCs w:val="18"/>
              </w:rPr>
              <w:t xml:space="preserve">□轻微</w:t>
            </w:r>
            <w:r/>
          </w:p>
        </w:tc>
      </w:tr>
      <w:tr>
        <w:trPr>
          <w:jc w:val="center"/>
          <w:trHeight w:val="397"/>
        </w:trPr>
        <w:tc>
          <w:tcPr>
            <w:tcW w:w="1082" w:type="dxa"/>
            <w:vAlign w:val="center"/>
            <w:textDirection w:val="lrTb"/>
            <w:noWrap w:val="false"/>
          </w:tcPr>
          <w:p>
            <w:pPr>
              <w:jc w:val="center"/>
              <w:rPr>
                <w:rFonts w:ascii="黑体" w:hAnsi="黑体" w:eastAsia="黑体" w:cs="黑体"/>
                <w:sz w:val="18"/>
                <w:szCs w:val="18"/>
              </w:rPr>
            </w:pPr>
            <w:r>
              <w:rPr>
                <w:rFonts w:hint="eastAsia" w:ascii="黑体" w:hAnsi="黑体" w:eastAsia="黑体" w:cs="黑体"/>
                <w:spacing w:val="8"/>
                <w:sz w:val="18"/>
                <w:szCs w:val="18"/>
              </w:rPr>
              <w:t xml:space="preserve">原因分析</w:t>
            </w:r>
            <w:r/>
          </w:p>
        </w:tc>
        <w:tc>
          <w:tcPr>
            <w:gridSpan w:val="3"/>
            <w:tcW w:w="7871" w:type="dxa"/>
            <w:vAlign w:val="center"/>
            <w:textDirection w:val="lrTb"/>
            <w:noWrap w:val="false"/>
          </w:tcPr>
          <w:p>
            <w:pPr>
              <w:jc w:val="left"/>
              <w:rPr>
                <w:rFonts w:ascii="楷体" w:hAnsi="楷体" w:eastAsia="楷体" w:cs="楷体"/>
                <w:color w:val="a5a5a5"/>
                <w:spacing w:val="8"/>
                <w:sz w:val="18"/>
                <w:szCs w:val="18"/>
              </w:rPr>
            </w:pPr>
            <w:r>
              <w:rPr>
                <w:rFonts w:hint="eastAsia" w:ascii="楷体" w:hAnsi="楷体" w:eastAsia="楷体" w:cs="楷体"/>
                <w:color w:val="a5a5a5"/>
                <w:spacing w:val="8"/>
                <w:sz w:val="18"/>
                <w:szCs w:val="18"/>
              </w:rPr>
              <w:t xml:space="preserve">（系统软件、硬件设备、网络环境、安全攻击、人为操作、外部因素等方面简要分析）</w:t>
            </w:r>
            <w:r/>
          </w:p>
        </w:tc>
      </w:tr>
      <w:tr>
        <w:trPr>
          <w:jc w:val="center"/>
          <w:trHeight w:val="397"/>
        </w:trPr>
        <w:tc>
          <w:tcPr>
            <w:tcW w:w="1082" w:type="dxa"/>
            <w:vAlign w:val="center"/>
            <w:textDirection w:val="lrTb"/>
            <w:noWrap w:val="false"/>
          </w:tcPr>
          <w:p>
            <w:pPr>
              <w:jc w:val="center"/>
              <w:rPr>
                <w:rFonts w:ascii="黑体" w:hAnsi="黑体" w:eastAsia="黑体" w:cs="黑体"/>
                <w:sz w:val="18"/>
                <w:szCs w:val="18"/>
              </w:rPr>
            </w:pPr>
            <w:r>
              <w:rPr>
                <w:rFonts w:hint="eastAsia" w:ascii="黑体" w:hAnsi="黑体" w:eastAsia="黑体" w:cs="黑体"/>
                <w:spacing w:val="21"/>
                <w:sz w:val="18"/>
                <w:szCs w:val="18"/>
              </w:rPr>
              <w:t xml:space="preserve">处置</w:t>
            </w:r>
            <w:r>
              <w:rPr>
                <w:rFonts w:hint="eastAsia" w:ascii="黑体" w:hAnsi="黑体" w:eastAsia="黑体" w:cs="黑体"/>
                <w:spacing w:val="5"/>
                <w:sz w:val="18"/>
                <w:szCs w:val="18"/>
              </w:rPr>
              <w:t xml:space="preserve">措施</w:t>
            </w:r>
            <w:r/>
          </w:p>
        </w:tc>
        <w:tc>
          <w:tcPr>
            <w:gridSpan w:val="3"/>
            <w:tcW w:w="7871" w:type="dxa"/>
            <w:vAlign w:val="center"/>
            <w:textDirection w:val="lrTb"/>
            <w:noWrap w:val="false"/>
          </w:tcPr>
          <w:p>
            <w:pPr>
              <w:jc w:val="left"/>
              <w:rPr>
                <w:rFonts w:ascii="楷体" w:hAnsi="楷体" w:eastAsia="楷体" w:cs="楷体"/>
                <w:color w:val="a5a5a5"/>
                <w:spacing w:val="8"/>
                <w:sz w:val="18"/>
                <w:szCs w:val="18"/>
              </w:rPr>
            </w:pPr>
            <w:r>
              <w:rPr>
                <w:rFonts w:hint="eastAsia" w:ascii="楷体" w:hAnsi="楷体" w:eastAsia="楷体" w:cs="楷体"/>
                <w:color w:val="a5a5a5"/>
                <w:spacing w:val="8"/>
                <w:sz w:val="18"/>
                <w:szCs w:val="18"/>
              </w:rPr>
              <w:t xml:space="preserve">（按照预案要求采取的隔离、排查、恢复、上报等具体措施）</w:t>
            </w:r>
            <w:r/>
          </w:p>
        </w:tc>
      </w:tr>
      <w:tr>
        <w:trPr>
          <w:jc w:val="center"/>
          <w:trHeight w:val="397"/>
        </w:trPr>
        <w:tc>
          <w:tcPr>
            <w:tcW w:w="1082" w:type="dxa"/>
            <w:vAlign w:val="center"/>
            <w:textDirection w:val="lrTb"/>
            <w:noWrap w:val="false"/>
          </w:tcPr>
          <w:p>
            <w:pPr>
              <w:jc w:val="center"/>
              <w:rPr>
                <w:rFonts w:ascii="黑体" w:hAnsi="黑体" w:eastAsia="黑体" w:cs="黑体"/>
                <w:sz w:val="18"/>
                <w:szCs w:val="18"/>
              </w:rPr>
            </w:pPr>
            <w:r>
              <w:rPr>
                <w:rFonts w:hint="eastAsia" w:ascii="黑体" w:hAnsi="黑体" w:eastAsia="黑体" w:cs="黑体"/>
                <w:spacing w:val="8"/>
                <w:sz w:val="18"/>
                <w:szCs w:val="18"/>
              </w:rPr>
              <w:t xml:space="preserve">处置计划</w:t>
            </w:r>
            <w:r/>
          </w:p>
        </w:tc>
        <w:tc>
          <w:tcPr>
            <w:gridSpan w:val="3"/>
            <w:tcW w:w="7871" w:type="dxa"/>
            <w:vAlign w:val="center"/>
            <w:textDirection w:val="lrTb"/>
            <w:noWrap w:val="false"/>
          </w:tcPr>
          <w:p>
            <w:pPr>
              <w:jc w:val="left"/>
              <w:rPr>
                <w:rFonts w:ascii="楷体" w:hAnsi="楷体" w:eastAsia="楷体" w:cs="楷体"/>
                <w:color w:val="a5a5a5"/>
                <w:spacing w:val="8"/>
                <w:sz w:val="18"/>
                <w:szCs w:val="18"/>
              </w:rPr>
            </w:pPr>
            <w:r>
              <w:rPr>
                <w:rFonts w:hint="eastAsia" w:ascii="楷体" w:hAnsi="楷体" w:eastAsia="楷体" w:cs="楷体"/>
                <w:color w:val="a5a5a5"/>
                <w:spacing w:val="8"/>
                <w:sz w:val="18"/>
                <w:szCs w:val="18"/>
              </w:rPr>
              <w:t xml:space="preserve">（包括整改措施、系统优化、预案修订等后续工作计划和时间节点）</w:t>
            </w:r>
            <w:r/>
          </w:p>
        </w:tc>
      </w:tr>
      <w:tr>
        <w:trPr>
          <w:jc w:val="center"/>
          <w:trHeight w:val="397"/>
        </w:trPr>
        <w:tc>
          <w:tcPr>
            <w:tcW w:w="1082" w:type="dxa"/>
            <w:vAlign w:val="center"/>
            <w:textDirection w:val="lrTb"/>
            <w:noWrap w:val="false"/>
          </w:tcPr>
          <w:p>
            <w:pPr>
              <w:jc w:val="center"/>
              <w:rPr>
                <w:rFonts w:ascii="黑体" w:hAnsi="黑体" w:eastAsia="黑体" w:cs="黑体"/>
                <w:sz w:val="18"/>
                <w:szCs w:val="18"/>
              </w:rPr>
            </w:pPr>
            <w:r>
              <w:rPr>
                <w:rFonts w:hint="eastAsia" w:ascii="黑体" w:hAnsi="黑体" w:eastAsia="黑体" w:cs="黑体"/>
                <w:spacing w:val="8"/>
                <w:sz w:val="18"/>
                <w:szCs w:val="18"/>
              </w:rPr>
              <w:t xml:space="preserve">处理结果</w:t>
            </w:r>
            <w:r/>
          </w:p>
        </w:tc>
        <w:tc>
          <w:tcPr>
            <w:gridSpan w:val="3"/>
            <w:tcW w:w="7871" w:type="dxa"/>
            <w:vAlign w:val="center"/>
            <w:textDirection w:val="lrTb"/>
            <w:noWrap w:val="false"/>
          </w:tcPr>
          <w:p>
            <w:pPr>
              <w:jc w:val="left"/>
              <w:rPr>
                <w:rFonts w:ascii="楷体" w:hAnsi="楷体" w:eastAsia="楷体" w:cs="楷体"/>
                <w:color w:val="a5a5a5"/>
                <w:spacing w:val="8"/>
                <w:sz w:val="18"/>
                <w:szCs w:val="18"/>
              </w:rPr>
            </w:pPr>
            <w:r>
              <w:rPr>
                <w:rFonts w:hint="eastAsia" w:ascii="楷体" w:hAnsi="楷体" w:eastAsia="楷体" w:cs="楷体"/>
                <w:color w:val="a5a5a5"/>
                <w:spacing w:val="8"/>
                <w:sz w:val="18"/>
                <w:szCs w:val="18"/>
              </w:rPr>
              <w:t xml:space="preserve">（事件处置的最终结果、业务影响范围和持续时间等的确认）</w:t>
            </w:r>
            <w:r/>
          </w:p>
        </w:tc>
      </w:tr>
      <w:tr>
        <w:trPr>
          <w:jc w:val="center"/>
          <w:trHeight w:val="397"/>
        </w:trPr>
        <w:tc>
          <w:tcPr>
            <w:tcW w:w="1082" w:type="dxa"/>
            <w:vAlign w:val="center"/>
            <w:textDirection w:val="lrTb"/>
            <w:noWrap w:val="false"/>
          </w:tcPr>
          <w:p>
            <w:pPr>
              <w:jc w:val="center"/>
              <w:rPr>
                <w:rFonts w:ascii="黑体" w:hAnsi="黑体" w:eastAsia="黑体" w:cs="黑体"/>
                <w:sz w:val="18"/>
                <w:szCs w:val="18"/>
              </w:rPr>
            </w:pPr>
            <w:r>
              <w:rPr>
                <w:rFonts w:hint="eastAsia" w:ascii="黑体" w:hAnsi="黑体" w:eastAsia="黑体" w:cs="黑体"/>
                <w:spacing w:val="8"/>
                <w:sz w:val="18"/>
                <w:szCs w:val="18"/>
              </w:rPr>
              <w:t xml:space="preserve">填报人</w:t>
            </w:r>
            <w:r/>
          </w:p>
        </w:tc>
        <w:tc>
          <w:tcPr>
            <w:tcW w:w="4333" w:type="dxa"/>
            <w:vAlign w:val="center"/>
            <w:textDirection w:val="lrTb"/>
            <w:noWrap w:val="false"/>
          </w:tcPr>
          <w:p>
            <w:pPr>
              <w:jc w:val="center"/>
              <w:rPr>
                <w:rFonts w:ascii="黑体" w:hAnsi="黑体" w:eastAsia="黑体" w:cs="黑体"/>
                <w:sz w:val="18"/>
                <w:szCs w:val="18"/>
              </w:rPr>
            </w:pPr>
            <w:r>
              <w:rPr>
                <w:rFonts w:hint="eastAsia" w:ascii="楷体" w:hAnsi="楷体" w:eastAsia="楷体" w:cs="楷体"/>
                <w:color w:val="a5a5a5"/>
                <w:spacing w:val="8"/>
                <w:sz w:val="18"/>
                <w:szCs w:val="18"/>
              </w:rPr>
              <w:t xml:space="preserve">运维工程师签名</w:t>
            </w:r>
            <w:r/>
          </w:p>
        </w:tc>
        <w:tc>
          <w:tcPr>
            <w:tcW w:w="946" w:type="dxa"/>
            <w:vAlign w:val="center"/>
            <w:textDirection w:val="lrTb"/>
            <w:noWrap w:val="false"/>
          </w:tcPr>
          <w:p>
            <w:pPr>
              <w:jc w:val="center"/>
              <w:rPr>
                <w:rFonts w:ascii="黑体" w:hAnsi="黑体" w:eastAsia="黑体" w:cs="黑体"/>
                <w:sz w:val="18"/>
                <w:szCs w:val="18"/>
              </w:rPr>
            </w:pPr>
            <w:r>
              <w:rPr>
                <w:rFonts w:hint="eastAsia" w:ascii="黑体" w:hAnsi="黑体" w:eastAsia="黑体" w:cs="黑体"/>
                <w:spacing w:val="3"/>
                <w:sz w:val="18"/>
                <w:szCs w:val="18"/>
              </w:rPr>
              <w:t xml:space="preserve">审核人</w:t>
            </w:r>
            <w:r/>
          </w:p>
        </w:tc>
        <w:tc>
          <w:tcPr>
            <w:tcW w:w="2592" w:type="dxa"/>
            <w:vAlign w:val="center"/>
            <w:textDirection w:val="lrTb"/>
            <w:noWrap w:val="false"/>
          </w:tcPr>
          <w:p>
            <w:pPr>
              <w:jc w:val="center"/>
              <w:rPr>
                <w:rFonts w:ascii="黑体" w:hAnsi="黑体" w:eastAsia="黑体" w:cs="黑体"/>
                <w:sz w:val="18"/>
                <w:szCs w:val="18"/>
              </w:rPr>
            </w:pPr>
            <w:r>
              <w:rPr>
                <w:rFonts w:hint="eastAsia" w:ascii="楷体" w:hAnsi="楷体" w:eastAsia="楷体" w:cs="楷体"/>
                <w:color w:val="a5a5a5"/>
                <w:spacing w:val="8"/>
                <w:sz w:val="18"/>
                <w:szCs w:val="18"/>
              </w:rPr>
              <w:t xml:space="preserve">项目经理签名</w:t>
            </w:r>
            <w:r/>
          </w:p>
        </w:tc>
      </w:tr>
    </w:tbl>
    <w:p>
      <w:pPr>
        <w:ind w:firstLine="480"/>
        <w:spacing w:line="440" w:lineRule="exact"/>
        <w:rPr>
          <w:rFonts w:ascii="宋体" w:hAnsi="宋体" w:cs="宋体"/>
          <w:sz w:val="24"/>
          <w:szCs w:val="24"/>
        </w:rPr>
      </w:pPr>
      <w:r>
        <w:rPr>
          <w:rFonts w:hint="eastAsia" w:ascii="宋体" w:hAnsi="宋体" w:cs="宋体"/>
          <w:sz w:val="24"/>
          <w:szCs w:val="24"/>
        </w:rPr>
        <w:t xml:space="preserve">4.投标人须在服务上线前编制《运维项目</w:t>
      </w:r>
      <w:r>
        <w:rPr>
          <w:rFonts w:hint="eastAsia" w:ascii="宋体" w:hAnsi="宋体" w:cs="宋体"/>
          <w:sz w:val="24"/>
          <w:szCs w:val="24"/>
        </w:rPr>
        <w:t xml:space="preserve">应急预案》，明确总则（含编制目的、依据、适用范围）、应急领导小组与工作小组的组成及职责，按文件标准开展定期风险评估，对事件进行分类，并划分为特别重大（Ⅰ级）、重大（Ⅱ级）、较大（Ⅲ级）、一般（Ⅳ级）四级，执行预警响应流程；应急响应阶段需规范信息报告、分级响应（按事件级别匹配不同处置资源与时限）、分类处置措施（针对各类事件制定专项流程）、指挥协调及应急结束条件，后续完成恢复重建、10个工作日日内事件调查评估与总结改进；同时落实技术（7×24 小时监控、数据备份）、物资、电力、通信保障，按需组织应急培训和演练。</w:t>
      </w:r>
      <w:r/>
    </w:p>
    <w:p>
      <w:pPr>
        <w:ind w:firstLine="480"/>
        <w:spacing w:line="440" w:lineRule="exact"/>
        <w:rPr>
          <w:rFonts w:ascii="宋体" w:hAnsi="宋体" w:cs="宋体"/>
          <w:sz w:val="24"/>
          <w:szCs w:val="24"/>
        </w:rPr>
      </w:pPr>
      <w:r>
        <w:rPr>
          <w:rFonts w:hint="eastAsia" w:ascii="宋体" w:hAnsi="宋体" w:cs="宋体"/>
          <w:sz w:val="24"/>
          <w:szCs w:val="24"/>
        </w:rPr>
        <w:t xml:space="preserve">5.为确保服务质量达标，投标人须按季度、年度提交绩效评价报告，全面总结服务成效、梳理问题并提出改进措施。</w:t>
      </w:r>
      <w:r/>
    </w:p>
    <w:p>
      <w:pPr>
        <w:ind w:firstLine="480"/>
        <w:spacing w:line="440" w:lineRule="exact"/>
        <w:rPr>
          <w:rFonts w:ascii="宋体" w:hAnsi="宋体" w:cs="宋体"/>
          <w:sz w:val="24"/>
          <w:szCs w:val="24"/>
        </w:rPr>
      </w:pPr>
      <w:r>
        <w:rPr>
          <w:rFonts w:hint="eastAsia" w:ascii="宋体" w:hAnsi="宋体" w:cs="宋体"/>
          <w:sz w:val="24"/>
          <w:szCs w:val="24"/>
        </w:rPr>
        <w:t xml:space="preserve">（二）投标人须在合同期满后向采购人提交年度总结报告，总结报告内容包括服务质量、信息安全、服务响应等方面。采购人组织考核，从</w:t>
      </w:r>
      <w:r>
        <w:rPr>
          <w:rFonts w:hint="eastAsia" w:ascii="宋体" w:hAnsi="宋体" w:cs="宋体"/>
          <w:color w:val="000000"/>
          <w:sz w:val="24"/>
          <w:szCs w:val="24"/>
        </w:rPr>
        <w:t xml:space="preserve">运维成效、服务规范、人员组织</w:t>
      </w:r>
      <w:r>
        <w:rPr>
          <w:rFonts w:ascii="宋体" w:hAnsi="宋体" w:cs="宋体"/>
          <w:color w:val="000000"/>
          <w:sz w:val="24"/>
          <w:szCs w:val="24"/>
        </w:rPr>
        <w:t xml:space="preserve">等</w:t>
      </w:r>
      <w:r>
        <w:rPr>
          <w:rFonts w:hint="eastAsia" w:ascii="宋体" w:hAnsi="宋体" w:cs="宋体"/>
          <w:color w:val="000000"/>
          <w:sz w:val="24"/>
          <w:szCs w:val="24"/>
        </w:rPr>
        <w:t xml:space="preserve">维度进行评价打分，详见“融合视频会议运行服务考核表”。</w:t>
      </w:r>
      <w:r>
        <w:rPr>
          <w:rFonts w:hint="eastAsia" w:ascii="宋体" w:hAnsi="宋体" w:cs="宋体"/>
          <w:sz w:val="24"/>
          <w:szCs w:val="24"/>
        </w:rPr>
        <w:t xml:space="preserve">采购人有权根据实际情况和需求，对考核表中的内容进行必要的调整，并提前通知投标人。投标人应充分理解并接受采购人的调整意见，并在调整后的考核指标基础上，继续履行合同义务。</w:t>
      </w:r>
      <w:r/>
    </w:p>
    <w:tbl>
      <w:tblPr>
        <w:tblStyle w:val="749"/>
        <w:tblW w:w="5000" w:type="pct"/>
        <w:jc w:val="center"/>
        <w:tblLayout w:type="fixed"/>
        <w:tblCellMar>
          <w:left w:w="108" w:type="dxa"/>
          <w:top w:w="0" w:type="dxa"/>
          <w:right w:w="108" w:type="dxa"/>
          <w:bottom w:w="0" w:type="dxa"/>
        </w:tblCellMar>
        <w:tblLook w:val="04A0" w:firstRow="1" w:lastRow="0" w:firstColumn="1" w:lastColumn="0" w:noHBand="0" w:noVBand="1"/>
      </w:tblPr>
      <w:tblGrid>
        <w:gridCol w:w="1127"/>
        <w:gridCol w:w="796"/>
        <w:gridCol w:w="7247"/>
      </w:tblGrid>
      <w:tr>
        <w:trPr>
          <w:jc w:val="center"/>
          <w:trHeight w:val="454"/>
          <w:tblHeader/>
        </w:trPr>
        <w:tc>
          <w:tcPr>
            <w:gridSpan w:val="3"/>
            <w:tcBorders>
              <w:top w:val="none" w:color="000000" w:sz="4" w:space="0"/>
              <w:left w:val="none" w:color="000000" w:sz="4" w:space="0"/>
              <w:bottom w:val="none" w:color="000000" w:sz="4" w:space="0"/>
              <w:right w:val="none" w:color="000000" w:sz="4" w:space="0"/>
            </w:tcBorders>
            <w:tcW w:w="9169" w:type="dxa"/>
            <w:vAlign w:val="center"/>
            <w:textDirection w:val="lrTb"/>
            <w:noWrap w:val="false"/>
          </w:tcPr>
          <w:p>
            <w:pPr>
              <w:jc w:val="center"/>
              <w:rPr>
                <w:rFonts w:ascii="黑体" w:hAnsi="黑体" w:eastAsia="黑体" w:cs="宋体"/>
                <w:sz w:val="36"/>
                <w:szCs w:val="36"/>
              </w:rPr>
            </w:pPr>
            <w:r>
              <w:rPr>
                <w:rFonts w:hint="eastAsia" w:ascii="黑体" w:hAnsi="黑体" w:eastAsia="黑体" w:cs="黑体"/>
                <w:sz w:val="24"/>
                <w:szCs w:val="24"/>
              </w:rPr>
              <w:t xml:space="preserve">融合视频会议运行服务考核表</w:t>
            </w:r>
            <w:r/>
          </w:p>
        </w:tc>
      </w:tr>
      <w:tr>
        <w:trPr>
          <w:jc w:val="center"/>
          <w:trHeight w:val="397"/>
          <w:tblHeader/>
        </w:trPr>
        <w:tc>
          <w:tcPr>
            <w:gridSpan w:val="3"/>
            <w:tcBorders>
              <w:top w:val="none" w:color="000000" w:sz="4" w:space="0"/>
              <w:left w:val="none" w:color="000000" w:sz="4" w:space="0"/>
              <w:bottom w:val="none" w:color="000000" w:sz="4" w:space="0"/>
              <w:right w:val="none" w:color="000000" w:sz="4" w:space="0"/>
            </w:tcBorders>
            <w:tcW w:w="9169" w:type="dxa"/>
            <w:vAlign w:val="center"/>
            <w:textDirection w:val="lrTb"/>
            <w:noWrap w:val="false"/>
          </w:tcPr>
          <w:p>
            <w:pPr>
              <w:jc w:val="center"/>
              <w:widowControl/>
              <w:rPr>
                <w:rFonts w:ascii="方正宋一_GBK" w:hAnsi="等线" w:eastAsia="方正宋一_GBK" w:cs="宋体"/>
                <w:b/>
                <w:bCs/>
                <w:sz w:val="24"/>
                <w:szCs w:val="24"/>
              </w:rPr>
            </w:pPr>
            <w:r>
              <w:rPr>
                <w:rFonts w:hint="eastAsia" w:ascii="黑体" w:hAnsi="黑体" w:eastAsia="黑体" w:cs="宋体"/>
                <w:sz w:val="18"/>
                <w:szCs w:val="18"/>
              </w:rPr>
              <w:t xml:space="preserve">_____年度</w:t>
            </w:r>
            <w:r/>
          </w:p>
        </w:tc>
      </w:tr>
      <w:tr>
        <w:trPr>
          <w:jc w:val="center"/>
          <w:trHeight w:val="397"/>
          <w:tblHeader/>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rPr>
                <w:rFonts w:ascii="黑体" w:hAnsi="黑体" w:eastAsia="黑体" w:cs="黑体"/>
                <w:spacing w:val="7"/>
                <w:sz w:val="18"/>
                <w:szCs w:val="18"/>
              </w:rPr>
            </w:pPr>
            <w:r>
              <w:rPr>
                <w:rFonts w:hint="eastAsia" w:ascii="黑体" w:hAnsi="黑体" w:eastAsia="黑体" w:cs="黑体"/>
                <w:spacing w:val="7"/>
                <w:sz w:val="18"/>
                <w:szCs w:val="18"/>
              </w:rPr>
              <w:t xml:space="preserve">考核项目</w:t>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jc w:val="center"/>
              <w:rPr>
                <w:rFonts w:ascii="黑体" w:hAnsi="黑体" w:eastAsia="黑体" w:cs="黑体"/>
                <w:spacing w:val="7"/>
                <w:sz w:val="18"/>
                <w:szCs w:val="18"/>
              </w:rPr>
            </w:pPr>
            <w:r>
              <w:rPr>
                <w:rFonts w:hint="eastAsia" w:ascii="黑体" w:hAnsi="黑体" w:eastAsia="黑体" w:cs="黑体"/>
                <w:spacing w:val="7"/>
                <w:sz w:val="18"/>
                <w:szCs w:val="18"/>
              </w:rPr>
              <w:t xml:space="preserve">分值</w:t>
            </w:r>
            <w:r/>
          </w:p>
        </w:tc>
        <w:tc>
          <w:tcPr>
            <w:tcBorders>
              <w:top w:val="single" w:color="000000" w:sz="4" w:space="0"/>
              <w:left w:val="none" w:color="000000" w:sz="4" w:space="0"/>
              <w:bottom w:val="single" w:color="000000" w:sz="4" w:space="0"/>
              <w:right w:val="single" w:color="000000" w:sz="4" w:space="0"/>
            </w:tcBorders>
            <w:tcW w:w="7255" w:type="dxa"/>
            <w:vAlign w:val="center"/>
            <w:textDirection w:val="lrTb"/>
            <w:noWrap w:val="false"/>
          </w:tcPr>
          <w:p>
            <w:pPr>
              <w:jc w:val="center"/>
              <w:rPr>
                <w:rFonts w:ascii="黑体" w:hAnsi="黑体" w:eastAsia="黑体" w:cs="黑体"/>
                <w:spacing w:val="7"/>
                <w:sz w:val="18"/>
                <w:szCs w:val="18"/>
              </w:rPr>
            </w:pPr>
            <w:r>
              <w:rPr>
                <w:rFonts w:hint="eastAsia" w:ascii="黑体" w:hAnsi="黑体" w:eastAsia="黑体" w:cs="黑体"/>
                <w:spacing w:val="7"/>
                <w:sz w:val="18"/>
                <w:szCs w:val="18"/>
              </w:rPr>
              <w:t xml:space="preserve">考核内容</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123" w:type="dxa"/>
            <w:vAlign w:val="center"/>
            <w:vMerge w:val="restart"/>
            <w:textDirection w:val="lrTb"/>
            <w:noWrap w:val="false"/>
          </w:tcPr>
          <w:p>
            <w:pPr>
              <w:jc w:val="center"/>
              <w:rPr>
                <w:rFonts w:ascii="黑体" w:hAnsi="黑体" w:eastAsia="黑体" w:cs="黑体"/>
                <w:spacing w:val="7"/>
                <w:sz w:val="18"/>
                <w:szCs w:val="18"/>
              </w:rPr>
            </w:pPr>
            <w:r>
              <w:rPr>
                <w:rFonts w:hint="eastAsia" w:ascii="黑体" w:hAnsi="黑体" w:eastAsia="黑体" w:cs="黑体"/>
                <w:spacing w:val="7"/>
                <w:sz w:val="18"/>
                <w:szCs w:val="18"/>
              </w:rPr>
              <w:t xml:space="preserve">运维成效</w:t>
            </w:r>
            <w:r/>
          </w:p>
        </w:tc>
        <w:tc>
          <w:tcPr>
            <w:tcBorders>
              <w:top w:val="none" w:color="000000" w:sz="4" w:space="0"/>
              <w:left w:val="single" w:color="000000" w:sz="4" w:space="0"/>
              <w:bottom w:val="single" w:color="000000" w:sz="4" w:space="0"/>
              <w:right w:val="single" w:color="000000" w:sz="4" w:space="0"/>
            </w:tcBorders>
            <w:tcW w:w="791" w:type="dxa"/>
            <w:vAlign w:val="center"/>
            <w:vMerge w:val="restart"/>
            <w:textDirection w:val="lrTb"/>
            <w:noWrap w:val="false"/>
          </w:tcPr>
          <w:p>
            <w:pPr>
              <w:jc w:val="center"/>
              <w:rPr>
                <w:rFonts w:eastAsia="方正黑体_GBK"/>
                <w:spacing w:val="7"/>
                <w:sz w:val="18"/>
                <w:szCs w:val="18"/>
              </w:rPr>
            </w:pPr>
            <w:r>
              <w:rPr>
                <w:rFonts w:eastAsia="方正黑体_GBK"/>
                <w:spacing w:val="7"/>
                <w:sz w:val="18"/>
                <w:szCs w:val="18"/>
              </w:rPr>
              <w:t xml:space="preserve">60</w:t>
            </w:r>
            <w:r/>
          </w:p>
        </w:tc>
        <w:tc>
          <w:tcPr>
            <w:tcBorders>
              <w:top w:val="single" w:color="000000" w:sz="4" w:space="0"/>
              <w:left w:val="none" w:color="000000" w:sz="4" w:space="0"/>
              <w:bottom w:val="single" w:color="000000" w:sz="4" w:space="0"/>
              <w:right w:val="single" w:color="000000" w:sz="4" w:space="0"/>
            </w:tcBorders>
            <w:tcW w:w="7255" w:type="dxa"/>
            <w:vAlign w:val="center"/>
            <w:textDirection w:val="lrTb"/>
            <w:noWrap w:val="false"/>
          </w:tcPr>
          <w:p>
            <w:pPr>
              <w:jc w:val="left"/>
              <w:widowControl/>
              <w:rPr>
                <w:sz w:val="18"/>
                <w:szCs w:val="18"/>
              </w:rPr>
            </w:pPr>
            <w:r>
              <w:rPr>
                <w:sz w:val="18"/>
                <w:szCs w:val="18"/>
              </w:rPr>
              <w:t xml:space="preserve">①按时按需执行巡检任务，巡检过程中发现的故障应在巡检结束后5分钟内开展问题分析。影响使用的问题30分钟内解决，不影响使用的问题当天解决。超出时限未解决的，一次扣2分；造成影响的，视轻重一次扣3—5分。</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jc w:val="center"/>
              <w:rPr>
                <w:rFonts w:ascii="黑体" w:hAnsi="黑体" w:eastAsia="黑体" w:cs="黑体"/>
                <w:spacing w:val="7"/>
                <w:sz w:val="18"/>
                <w:szCs w:val="18"/>
              </w:rPr>
            </w:pPr>
            <w:r>
              <w:rPr>
                <w:rFonts w:ascii="黑体" w:hAnsi="黑体" w:eastAsia="黑体" w:cs="黑体"/>
                <w:spacing w:val="7"/>
                <w:sz w:val="18"/>
                <w:szCs w:val="18"/>
              </w:rPr>
            </w:r>
            <w:r/>
          </w:p>
        </w:tc>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jc w:val="center"/>
              <w:rPr>
                <w:rFonts w:eastAsia="方正黑体_GBK"/>
                <w:spacing w:val="7"/>
                <w:sz w:val="18"/>
                <w:szCs w:val="18"/>
              </w:rPr>
            </w:pPr>
            <w:r>
              <w:rPr>
                <w:rFonts w:eastAsia="方正黑体_GBK"/>
                <w:spacing w:val="7"/>
                <w:sz w:val="18"/>
                <w:szCs w:val="18"/>
              </w:rPr>
            </w:r>
            <w:r/>
          </w:p>
        </w:tc>
        <w:tc>
          <w:tcPr>
            <w:tcBorders>
              <w:top w:val="single" w:color="000000" w:sz="4" w:space="0"/>
              <w:left w:val="none" w:color="000000" w:sz="4" w:space="0"/>
              <w:bottom w:val="single" w:color="000000" w:sz="4" w:space="0"/>
              <w:right w:val="single" w:color="000000" w:sz="4" w:space="0"/>
            </w:tcBorders>
            <w:tcW w:w="7255" w:type="dxa"/>
            <w:vAlign w:val="center"/>
            <w:textDirection w:val="lrTb"/>
            <w:noWrap w:val="false"/>
          </w:tcPr>
          <w:p>
            <w:pPr>
              <w:jc w:val="left"/>
              <w:widowControl/>
              <w:rPr>
                <w:sz w:val="18"/>
                <w:szCs w:val="18"/>
              </w:rPr>
            </w:pPr>
            <w:r>
              <w:rPr>
                <w:sz w:val="18"/>
                <w:szCs w:val="18"/>
              </w:rPr>
              <w:t xml:space="preserve">②及时发现并处理安全隐患。因安全检查发现未执行的，一次扣2分。安全整改未按要求完成一次扣2分。</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jc w:val="center"/>
              <w:rPr>
                <w:rFonts w:ascii="黑体" w:hAnsi="黑体" w:eastAsia="黑体" w:cs="黑体"/>
                <w:spacing w:val="7"/>
                <w:sz w:val="18"/>
                <w:szCs w:val="18"/>
              </w:rPr>
            </w:pPr>
            <w:r>
              <w:rPr>
                <w:rFonts w:ascii="黑体" w:hAnsi="黑体" w:eastAsia="黑体" w:cs="黑体"/>
                <w:spacing w:val="7"/>
                <w:sz w:val="18"/>
                <w:szCs w:val="18"/>
              </w:rPr>
            </w:r>
            <w:r/>
          </w:p>
        </w:tc>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jc w:val="center"/>
              <w:rPr>
                <w:rFonts w:eastAsia="方正黑体_GBK"/>
                <w:spacing w:val="7"/>
                <w:sz w:val="18"/>
                <w:szCs w:val="18"/>
              </w:rPr>
            </w:pPr>
            <w:r>
              <w:rPr>
                <w:rFonts w:eastAsia="方正黑体_GBK"/>
                <w:spacing w:val="7"/>
                <w:sz w:val="18"/>
                <w:szCs w:val="18"/>
              </w:rPr>
            </w:r>
            <w:r/>
          </w:p>
        </w:tc>
        <w:tc>
          <w:tcPr>
            <w:tcBorders>
              <w:top w:val="single" w:color="000000" w:sz="4" w:space="0"/>
              <w:left w:val="none" w:color="000000" w:sz="4" w:space="0"/>
              <w:bottom w:val="single" w:color="000000" w:sz="4" w:space="0"/>
              <w:right w:val="single" w:color="000000" w:sz="4" w:space="0"/>
            </w:tcBorders>
            <w:tcW w:w="7255" w:type="dxa"/>
            <w:vAlign w:val="center"/>
            <w:textDirection w:val="lrTb"/>
            <w:noWrap w:val="false"/>
          </w:tcPr>
          <w:p>
            <w:pPr>
              <w:jc w:val="left"/>
              <w:widowControl/>
              <w:rPr>
                <w:sz w:val="18"/>
                <w:szCs w:val="18"/>
              </w:rPr>
            </w:pPr>
            <w:r>
              <w:rPr>
                <w:sz w:val="18"/>
                <w:szCs w:val="18"/>
              </w:rPr>
              <w:t xml:space="preserve">③分类建立完备的运维台账，按时提交运维月报/季报，缺一次扣2分。</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jc w:val="center"/>
              <w:rPr>
                <w:rFonts w:ascii="黑体" w:hAnsi="黑体" w:eastAsia="黑体" w:cs="黑体"/>
                <w:spacing w:val="7"/>
                <w:sz w:val="18"/>
                <w:szCs w:val="18"/>
              </w:rPr>
            </w:pPr>
            <w:r>
              <w:rPr>
                <w:rFonts w:ascii="黑体" w:hAnsi="黑体" w:eastAsia="黑体" w:cs="黑体"/>
                <w:spacing w:val="7"/>
                <w:sz w:val="18"/>
                <w:szCs w:val="18"/>
              </w:rPr>
            </w:r>
            <w:r/>
          </w:p>
        </w:tc>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jc w:val="center"/>
              <w:rPr>
                <w:rFonts w:eastAsia="方正黑体_GBK"/>
                <w:spacing w:val="7"/>
                <w:sz w:val="18"/>
                <w:szCs w:val="18"/>
              </w:rPr>
            </w:pPr>
            <w:r>
              <w:rPr>
                <w:rFonts w:eastAsia="方正黑体_GBK"/>
                <w:spacing w:val="7"/>
                <w:sz w:val="18"/>
                <w:szCs w:val="18"/>
              </w:rPr>
            </w:r>
            <w:r/>
          </w:p>
        </w:tc>
        <w:tc>
          <w:tcPr>
            <w:tcBorders>
              <w:top w:val="single" w:color="000000" w:sz="4" w:space="0"/>
              <w:left w:val="none" w:color="000000" w:sz="4" w:space="0"/>
              <w:bottom w:val="single" w:color="000000" w:sz="4" w:space="0"/>
              <w:right w:val="single" w:color="000000" w:sz="4" w:space="0"/>
            </w:tcBorders>
            <w:tcW w:w="7255" w:type="dxa"/>
            <w:vAlign w:val="center"/>
            <w:textDirection w:val="lrTb"/>
            <w:noWrap w:val="false"/>
          </w:tcPr>
          <w:p>
            <w:pPr>
              <w:jc w:val="left"/>
              <w:widowControl/>
              <w:rPr>
                <w:sz w:val="18"/>
                <w:szCs w:val="18"/>
              </w:rPr>
            </w:pPr>
            <w:r>
              <w:rPr>
                <w:sz w:val="18"/>
                <w:szCs w:val="18"/>
              </w:rPr>
              <w:t xml:space="preserve">④服务过程中，各类故障应在5分钟内响应，15分钟内提出解决方案。如需现场服务，应在30分钟内派资深工程师到现场处置。因响应不及时造成影响的，根据影响大小一次扣1—3分；因工作失误造成影响的，根据影响大小一次扣1—3分。</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jc w:val="center"/>
              <w:rPr>
                <w:rFonts w:ascii="黑体" w:hAnsi="黑体" w:eastAsia="黑体" w:cs="黑体"/>
                <w:spacing w:val="7"/>
                <w:sz w:val="18"/>
                <w:szCs w:val="18"/>
              </w:rPr>
            </w:pPr>
            <w:r>
              <w:rPr>
                <w:rFonts w:ascii="黑体" w:hAnsi="黑体" w:eastAsia="黑体" w:cs="黑体"/>
                <w:spacing w:val="7"/>
                <w:sz w:val="18"/>
                <w:szCs w:val="18"/>
              </w:rPr>
            </w:r>
            <w:r/>
          </w:p>
        </w:tc>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jc w:val="center"/>
              <w:rPr>
                <w:rFonts w:eastAsia="方正黑体_GBK"/>
                <w:spacing w:val="7"/>
                <w:sz w:val="18"/>
                <w:szCs w:val="18"/>
              </w:rPr>
            </w:pPr>
            <w:r>
              <w:rPr>
                <w:rFonts w:eastAsia="方正黑体_GBK"/>
                <w:spacing w:val="7"/>
                <w:sz w:val="18"/>
                <w:szCs w:val="18"/>
              </w:rPr>
            </w:r>
            <w:r/>
          </w:p>
        </w:tc>
        <w:tc>
          <w:tcPr>
            <w:tcBorders>
              <w:top w:val="single" w:color="000000" w:sz="4" w:space="0"/>
              <w:left w:val="none" w:color="000000" w:sz="4" w:space="0"/>
              <w:bottom w:val="single" w:color="000000" w:sz="4" w:space="0"/>
              <w:right w:val="single" w:color="000000" w:sz="4" w:space="0"/>
            </w:tcBorders>
            <w:tcW w:w="7255" w:type="dxa"/>
            <w:vAlign w:val="center"/>
            <w:textDirection w:val="lrTb"/>
            <w:noWrap w:val="false"/>
          </w:tcPr>
          <w:p>
            <w:pPr>
              <w:jc w:val="left"/>
              <w:widowControl/>
              <w:rPr>
                <w:sz w:val="18"/>
                <w:szCs w:val="18"/>
              </w:rPr>
            </w:pPr>
            <w:r>
              <w:rPr>
                <w:sz w:val="18"/>
                <w:szCs w:val="18"/>
              </w:rPr>
              <w:t xml:space="preserve">⑤突发故障或重大保障任务时，未发现故障或接到通知后5分钟内未响应并启动应急服务，一次扣5分。远程不能解决的，未在30分钟内到现场处置，一次扣2分，造成影响的，视轻重一次扣3—5分。</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jc w:val="center"/>
              <w:rPr>
                <w:rFonts w:ascii="黑体" w:hAnsi="黑体" w:eastAsia="黑体" w:cs="黑体"/>
                <w:spacing w:val="7"/>
                <w:sz w:val="18"/>
                <w:szCs w:val="18"/>
              </w:rPr>
            </w:pPr>
            <w:r>
              <w:rPr>
                <w:rFonts w:ascii="黑体" w:hAnsi="黑体" w:eastAsia="黑体" w:cs="黑体"/>
                <w:spacing w:val="7"/>
                <w:sz w:val="18"/>
                <w:szCs w:val="18"/>
              </w:rPr>
            </w:r>
            <w:r/>
          </w:p>
        </w:tc>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jc w:val="center"/>
              <w:rPr>
                <w:rFonts w:eastAsia="方正黑体_GBK"/>
                <w:spacing w:val="7"/>
                <w:sz w:val="18"/>
                <w:szCs w:val="18"/>
              </w:rPr>
            </w:pPr>
            <w:r>
              <w:rPr>
                <w:rFonts w:eastAsia="方正黑体_GBK"/>
                <w:spacing w:val="7"/>
                <w:sz w:val="18"/>
                <w:szCs w:val="18"/>
              </w:rPr>
            </w:r>
            <w:r/>
          </w:p>
        </w:tc>
        <w:tc>
          <w:tcPr>
            <w:tcBorders>
              <w:top w:val="single" w:color="000000" w:sz="4" w:space="0"/>
              <w:left w:val="none" w:color="000000" w:sz="4" w:space="0"/>
              <w:bottom w:val="single" w:color="000000" w:sz="4" w:space="0"/>
              <w:right w:val="single" w:color="000000" w:sz="4" w:space="0"/>
            </w:tcBorders>
            <w:tcW w:w="7255" w:type="dxa"/>
            <w:vAlign w:val="center"/>
            <w:textDirection w:val="lrTb"/>
            <w:noWrap w:val="false"/>
          </w:tcPr>
          <w:p>
            <w:pPr>
              <w:jc w:val="left"/>
              <w:widowControl/>
              <w:rPr>
                <w:sz w:val="18"/>
                <w:szCs w:val="18"/>
              </w:rPr>
            </w:pPr>
            <w:r>
              <w:rPr>
                <w:sz w:val="18"/>
                <w:szCs w:val="18"/>
              </w:rPr>
              <w:t xml:space="preserve">⑥对照运维要求，为业务系统运行、故障处置、功能升级等提供咨询服务和技术支持。未按要求完成服务内容，一次扣2分。</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123" w:type="dxa"/>
            <w:vAlign w:val="center"/>
            <w:vMerge w:val="restart"/>
            <w:textDirection w:val="lrTb"/>
            <w:noWrap w:val="false"/>
          </w:tcPr>
          <w:p>
            <w:pPr>
              <w:jc w:val="center"/>
              <w:rPr>
                <w:rFonts w:ascii="黑体" w:hAnsi="黑体" w:eastAsia="黑体" w:cs="黑体"/>
                <w:spacing w:val="7"/>
                <w:sz w:val="18"/>
                <w:szCs w:val="18"/>
              </w:rPr>
            </w:pPr>
            <w:r>
              <w:rPr>
                <w:rFonts w:hint="eastAsia" w:ascii="黑体" w:hAnsi="黑体" w:eastAsia="黑体" w:cs="黑体"/>
                <w:spacing w:val="7"/>
                <w:sz w:val="18"/>
                <w:szCs w:val="18"/>
              </w:rPr>
              <w:t xml:space="preserve">服务规范</w:t>
            </w:r>
            <w:r/>
          </w:p>
        </w:tc>
        <w:tc>
          <w:tcPr>
            <w:tcBorders>
              <w:top w:val="none" w:color="000000" w:sz="4" w:space="0"/>
              <w:left w:val="single" w:color="000000" w:sz="4" w:space="0"/>
              <w:bottom w:val="single" w:color="000000" w:sz="4" w:space="0"/>
              <w:right w:val="single" w:color="000000" w:sz="4" w:space="0"/>
            </w:tcBorders>
            <w:tcW w:w="791" w:type="dxa"/>
            <w:vAlign w:val="center"/>
            <w:vMerge w:val="restart"/>
            <w:textDirection w:val="lrTb"/>
            <w:noWrap w:val="false"/>
          </w:tcPr>
          <w:p>
            <w:pPr>
              <w:jc w:val="center"/>
              <w:rPr>
                <w:rFonts w:eastAsia="方正黑体_GBK"/>
                <w:spacing w:val="7"/>
                <w:sz w:val="18"/>
                <w:szCs w:val="18"/>
              </w:rPr>
            </w:pPr>
            <w:r>
              <w:rPr>
                <w:rFonts w:eastAsia="方正黑体_GBK"/>
                <w:spacing w:val="7"/>
                <w:sz w:val="18"/>
                <w:szCs w:val="18"/>
              </w:rPr>
              <w:t xml:space="preserve">20</w:t>
            </w:r>
            <w:r/>
          </w:p>
        </w:tc>
        <w:tc>
          <w:tcPr>
            <w:tcBorders>
              <w:top w:val="single" w:color="000000" w:sz="4" w:space="0"/>
              <w:left w:val="none" w:color="000000" w:sz="4" w:space="0"/>
              <w:bottom w:val="single" w:color="000000" w:sz="4" w:space="0"/>
              <w:right w:val="single" w:color="000000" w:sz="4" w:space="0"/>
            </w:tcBorders>
            <w:tcW w:w="7255" w:type="dxa"/>
            <w:vAlign w:val="center"/>
            <w:textDirection w:val="lrTb"/>
            <w:noWrap w:val="false"/>
          </w:tcPr>
          <w:p>
            <w:pPr>
              <w:jc w:val="left"/>
              <w:widowControl/>
              <w:rPr>
                <w:sz w:val="18"/>
                <w:szCs w:val="18"/>
              </w:rPr>
            </w:pPr>
            <w:r>
              <w:rPr>
                <w:sz w:val="18"/>
                <w:szCs w:val="18"/>
              </w:rPr>
              <w:t xml:space="preserve">⑦遵守制度要求，严格执行甲方制定管理流程，违反一次扣5分。</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jc w:val="center"/>
              <w:rPr>
                <w:rFonts w:ascii="黑体" w:hAnsi="黑体" w:eastAsia="黑体" w:cs="黑体"/>
                <w:spacing w:val="7"/>
                <w:sz w:val="18"/>
                <w:szCs w:val="18"/>
              </w:rPr>
            </w:pPr>
            <w:r>
              <w:rPr>
                <w:rFonts w:ascii="黑体" w:hAnsi="黑体" w:eastAsia="黑体" w:cs="黑体"/>
                <w:spacing w:val="7"/>
                <w:sz w:val="18"/>
                <w:szCs w:val="18"/>
              </w:rPr>
            </w:r>
            <w:r/>
          </w:p>
        </w:tc>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jc w:val="center"/>
              <w:rPr>
                <w:rFonts w:eastAsia="方正黑体_GBK"/>
                <w:spacing w:val="7"/>
                <w:sz w:val="18"/>
                <w:szCs w:val="18"/>
              </w:rPr>
            </w:pPr>
            <w:r>
              <w:rPr>
                <w:rFonts w:eastAsia="方正黑体_GBK"/>
                <w:spacing w:val="7"/>
                <w:sz w:val="18"/>
                <w:szCs w:val="18"/>
              </w:rPr>
            </w:r>
            <w:r/>
          </w:p>
        </w:tc>
        <w:tc>
          <w:tcPr>
            <w:tcBorders>
              <w:top w:val="single" w:color="000000" w:sz="4" w:space="0"/>
              <w:left w:val="none" w:color="000000" w:sz="4" w:space="0"/>
              <w:bottom w:val="single" w:color="000000" w:sz="4" w:space="0"/>
              <w:right w:val="single" w:color="000000" w:sz="4" w:space="0"/>
            </w:tcBorders>
            <w:tcW w:w="7255" w:type="dxa"/>
            <w:vAlign w:val="center"/>
            <w:textDirection w:val="lrTb"/>
            <w:noWrap w:val="false"/>
          </w:tcPr>
          <w:p>
            <w:pPr>
              <w:jc w:val="left"/>
              <w:widowControl/>
              <w:rPr>
                <w:sz w:val="18"/>
                <w:szCs w:val="18"/>
              </w:rPr>
            </w:pPr>
            <w:r>
              <w:rPr>
                <w:sz w:val="18"/>
                <w:szCs w:val="18"/>
              </w:rPr>
              <w:t xml:space="preserve">⑧建立完备的平台运维管理规范、平台安全管理规范和应急预案等相关制度规范，缺少一个扣5分。</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jc w:val="center"/>
              <w:rPr>
                <w:rFonts w:ascii="黑体" w:hAnsi="黑体" w:eastAsia="黑体" w:cs="黑体"/>
                <w:spacing w:val="7"/>
                <w:sz w:val="18"/>
                <w:szCs w:val="18"/>
              </w:rPr>
            </w:pPr>
            <w:r>
              <w:rPr>
                <w:rFonts w:ascii="黑体" w:hAnsi="黑体" w:eastAsia="黑体" w:cs="黑体"/>
                <w:spacing w:val="7"/>
                <w:sz w:val="18"/>
                <w:szCs w:val="18"/>
              </w:rPr>
            </w:r>
            <w:r/>
          </w:p>
        </w:tc>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jc w:val="center"/>
              <w:rPr>
                <w:rFonts w:eastAsia="方正黑体_GBK"/>
                <w:spacing w:val="7"/>
                <w:sz w:val="18"/>
                <w:szCs w:val="18"/>
              </w:rPr>
            </w:pPr>
            <w:r>
              <w:rPr>
                <w:rFonts w:eastAsia="方正黑体_GBK"/>
                <w:spacing w:val="7"/>
                <w:sz w:val="18"/>
                <w:szCs w:val="18"/>
              </w:rPr>
            </w:r>
            <w:r/>
          </w:p>
        </w:tc>
        <w:tc>
          <w:tcPr>
            <w:tcBorders>
              <w:top w:val="single" w:color="000000" w:sz="4" w:space="0"/>
              <w:left w:val="none" w:color="000000" w:sz="4" w:space="0"/>
              <w:bottom w:val="single" w:color="000000" w:sz="4" w:space="0"/>
              <w:right w:val="single" w:color="000000" w:sz="4" w:space="0"/>
            </w:tcBorders>
            <w:tcW w:w="7255" w:type="dxa"/>
            <w:vAlign w:val="center"/>
            <w:textDirection w:val="lrTb"/>
            <w:noWrap w:val="false"/>
          </w:tcPr>
          <w:p>
            <w:pPr>
              <w:jc w:val="left"/>
              <w:widowControl/>
              <w:rPr>
                <w:sz w:val="18"/>
                <w:szCs w:val="18"/>
              </w:rPr>
            </w:pPr>
            <w:r>
              <w:rPr>
                <w:sz w:val="18"/>
                <w:szCs w:val="18"/>
              </w:rPr>
              <w:t xml:space="preserve">⑨服务态度良好，若被投诉且经甲方核查属实，每成立一次扣5分。</w:t>
            </w:r>
            <w:r/>
          </w:p>
        </w:tc>
      </w:tr>
      <w:tr>
        <w:trPr>
          <w:jc w:val="center"/>
          <w:trHeight w:val="397"/>
        </w:trPr>
        <w:tc>
          <w:tcPr>
            <w:tcBorders>
              <w:top w:val="none" w:color="000000" w:sz="4" w:space="0"/>
              <w:left w:val="single" w:color="000000" w:sz="4" w:space="0"/>
              <w:bottom w:val="single" w:color="auto" w:sz="4" w:space="0"/>
              <w:right w:val="single" w:color="000000" w:sz="4" w:space="0"/>
            </w:tcBorders>
            <w:tcW w:w="1123" w:type="dxa"/>
            <w:vAlign w:val="center"/>
            <w:textDirection w:val="lrTb"/>
            <w:noWrap w:val="false"/>
          </w:tcPr>
          <w:p>
            <w:pPr>
              <w:jc w:val="center"/>
              <w:rPr>
                <w:rFonts w:ascii="黑体" w:hAnsi="黑体" w:eastAsia="黑体" w:cs="黑体"/>
                <w:spacing w:val="7"/>
                <w:sz w:val="18"/>
                <w:szCs w:val="18"/>
              </w:rPr>
            </w:pPr>
            <w:r>
              <w:rPr>
                <w:rFonts w:hint="eastAsia" w:ascii="黑体" w:hAnsi="黑体" w:eastAsia="黑体" w:cs="黑体"/>
                <w:spacing w:val="7"/>
                <w:sz w:val="18"/>
                <w:szCs w:val="18"/>
              </w:rPr>
              <w:t xml:space="preserve">人员组织</w:t>
            </w:r>
            <w:r/>
          </w:p>
        </w:tc>
        <w:tc>
          <w:tcPr>
            <w:tcBorders>
              <w:top w:val="none" w:color="000000" w:sz="4" w:space="0"/>
              <w:left w:val="none" w:color="000000" w:sz="4" w:space="0"/>
              <w:bottom w:val="single" w:color="auto" w:sz="4" w:space="0"/>
              <w:right w:val="single" w:color="000000" w:sz="4" w:space="0"/>
            </w:tcBorders>
            <w:tcW w:w="791" w:type="dxa"/>
            <w:vAlign w:val="center"/>
            <w:textDirection w:val="lrTb"/>
            <w:noWrap w:val="false"/>
          </w:tcPr>
          <w:p>
            <w:pPr>
              <w:jc w:val="center"/>
              <w:rPr>
                <w:rFonts w:eastAsia="方正黑体_GBK"/>
                <w:spacing w:val="7"/>
                <w:sz w:val="18"/>
                <w:szCs w:val="18"/>
              </w:rPr>
            </w:pPr>
            <w:r>
              <w:rPr>
                <w:rFonts w:eastAsia="方正黑体_GBK"/>
                <w:spacing w:val="7"/>
                <w:sz w:val="18"/>
                <w:szCs w:val="18"/>
              </w:rPr>
              <w:t xml:space="preserve">20</w:t>
            </w:r>
            <w:r/>
          </w:p>
        </w:tc>
        <w:tc>
          <w:tcPr>
            <w:tcBorders>
              <w:top w:val="single" w:color="000000" w:sz="4" w:space="0"/>
              <w:left w:val="none" w:color="000000" w:sz="4" w:space="0"/>
              <w:bottom w:val="single" w:color="auto" w:sz="4" w:space="0"/>
              <w:right w:val="single" w:color="000000" w:sz="4" w:space="0"/>
            </w:tcBorders>
            <w:tcW w:w="7255" w:type="dxa"/>
            <w:vAlign w:val="center"/>
            <w:textDirection w:val="lrTb"/>
            <w:noWrap w:val="false"/>
          </w:tcPr>
          <w:p>
            <w:pPr>
              <w:jc w:val="left"/>
              <w:widowControl/>
              <w:rPr>
                <w:sz w:val="18"/>
                <w:szCs w:val="18"/>
              </w:rPr>
            </w:pPr>
            <w:r>
              <w:rPr>
                <w:sz w:val="18"/>
                <w:szCs w:val="18"/>
              </w:rPr>
              <w:t xml:space="preserve">⑩运维人员人数投入和技术水平满足运维要求，人员变动提前告知甲方征得同意，并做好工作交接。无故脱岗或随意变更，发现一人次扣2分。</w:t>
            </w:r>
            <w:r/>
          </w:p>
        </w:tc>
      </w:tr>
      <w:tr>
        <w:trPr>
          <w:jc w:val="center"/>
          <w:trHeight w:val="397"/>
        </w:trPr>
        <w:tc>
          <w:tcPr>
            <w:gridSpan w:val="3"/>
            <w:tcBorders>
              <w:top w:val="single" w:color="auto" w:sz="4" w:space="0"/>
              <w:left w:val="none" w:color="000000" w:sz="4" w:space="0"/>
              <w:bottom w:val="none" w:color="000000" w:sz="4" w:space="0"/>
              <w:right w:val="none" w:color="000000" w:sz="4" w:space="0"/>
            </w:tcBorders>
            <w:tcW w:w="9169" w:type="dxa"/>
            <w:vAlign w:val="center"/>
            <w:textDirection w:val="lrTb"/>
            <w:noWrap w:val="false"/>
          </w:tcPr>
          <w:p>
            <w:pPr>
              <w:jc w:val="left"/>
              <w:rPr>
                <w:rFonts w:ascii="黑体" w:hAnsi="黑体" w:eastAsia="黑体" w:cs="黑体"/>
                <w:sz w:val="18"/>
                <w:szCs w:val="18"/>
              </w:rPr>
            </w:pPr>
            <w:r>
              <w:rPr>
                <w:rFonts w:hint="eastAsia" w:ascii="黑体" w:hAnsi="黑体" w:eastAsia="黑体" w:cs="黑体"/>
                <w:sz w:val="18"/>
                <w:szCs w:val="18"/>
              </w:rPr>
              <w:t xml:space="preserve">考核结果90分（含）以上为“优秀”；考核结果80分（含）至90分为“良好”；考核结果70分（含）至80分为“一般”；考核结果60分（含）至70分为“合格”；考核结果60分以下为“不合格”；因乙方责任导致重大安全事故的，直接认定“不合格”。</w:t>
            </w:r>
            <w:r/>
          </w:p>
          <w:p>
            <w:pPr>
              <w:spacing w:line="0" w:lineRule="atLeast"/>
              <w:rPr>
                <w:rFonts w:ascii="宋体" w:hAnsi="宋体" w:cs="宋体"/>
                <w:sz w:val="22"/>
                <w:szCs w:val="22"/>
              </w:rPr>
            </w:pPr>
            <w:r>
              <w:rPr>
                <w:rFonts w:hint="eastAsia" w:ascii="黑体" w:hAnsi="黑体" w:eastAsia="黑体" w:cs="黑体"/>
                <w:sz w:val="18"/>
                <w:szCs w:val="18"/>
              </w:rPr>
              <w:t xml:space="preserve">考核结果为“一般”甲方有权扣除合同金额的2%；考核结果为“合格”甲方有权扣除合同金额的3%；考核结果为“不合格”甲方有权</w:t>
            </w:r>
            <w:r>
              <w:rPr>
                <w:rFonts w:hint="eastAsia" w:ascii="黑体" w:hAnsi="黑体" w:eastAsia="黑体" w:cs="黑体"/>
                <w:bCs/>
                <w:sz w:val="18"/>
                <w:szCs w:val="18"/>
              </w:rPr>
              <w:t xml:space="preserve">扣除合同金额的5%</w:t>
            </w:r>
            <w:r>
              <w:rPr>
                <w:rFonts w:hint="eastAsia" w:ascii="黑体" w:hAnsi="黑体" w:eastAsia="黑体" w:cs="黑体"/>
                <w:sz w:val="18"/>
                <w:szCs w:val="18"/>
              </w:rPr>
              <w:t xml:space="preserve">。</w:t>
            </w:r>
            <w:r/>
          </w:p>
        </w:tc>
      </w:tr>
    </w:tbl>
    <w:p>
      <w:pPr>
        <w:numPr>
          <w:ilvl w:val="0"/>
          <w:numId w:val="5"/>
        </w:numPr>
        <w:spacing w:line="440" w:lineRule="exact"/>
        <w:rPr>
          <w:rFonts w:ascii="宋体" w:hAnsi="宋体"/>
          <w:b/>
          <w:color w:val="000000"/>
          <w:sz w:val="24"/>
          <w:szCs w:val="24"/>
        </w:rPr>
      </w:pPr>
      <w:r>
        <w:rPr>
          <w:rFonts w:hint="eastAsia" w:ascii="宋体" w:hAnsi="宋体"/>
          <w:b/>
          <w:color w:val="000000"/>
          <w:sz w:val="24"/>
          <w:szCs w:val="24"/>
        </w:rPr>
        <w:t xml:space="preserve">履约能力要求</w:t>
      </w:r>
      <w:r/>
    </w:p>
    <w:p>
      <w:pPr>
        <w:ind w:firstLine="480"/>
        <w:spacing w:line="440" w:lineRule="exact"/>
        <w:rPr>
          <w:rFonts w:ascii="宋体" w:hAnsi="宋体" w:cs="宋体"/>
          <w:sz w:val="24"/>
          <w:szCs w:val="24"/>
        </w:rPr>
      </w:pPr>
      <w:r>
        <w:rPr>
          <w:rFonts w:ascii="宋体" w:hAnsi="宋体" w:cs="宋体"/>
          <w:sz w:val="24"/>
          <w:szCs w:val="24"/>
        </w:rPr>
        <w:t xml:space="preserve">投标人</w:t>
      </w:r>
      <w:r>
        <w:rPr>
          <w:rFonts w:hint="eastAsia" w:ascii="宋体" w:hAnsi="宋体" w:cs="宋体"/>
          <w:sz w:val="24"/>
          <w:szCs w:val="24"/>
        </w:rPr>
        <w:t xml:space="preserve">需</w:t>
      </w:r>
      <w:r>
        <w:rPr>
          <w:rFonts w:ascii="宋体" w:hAnsi="宋体" w:cs="宋体"/>
          <w:sz w:val="24"/>
          <w:szCs w:val="24"/>
        </w:rPr>
        <w:t xml:space="preserve">具有国家认监委认可的认证机构颁发的ISO9001服务质量管理体系评价证书、ISO20000信息技术服务管理体系认证、</w:t>
      </w:r>
      <w:r>
        <w:rPr>
          <w:rFonts w:hint="eastAsia" w:ascii="宋体" w:hAnsi="宋体" w:cs="宋体"/>
          <w:sz w:val="24"/>
          <w:szCs w:val="24"/>
        </w:rPr>
        <w:t xml:space="preserve">ISO27001信息安全管理体系认证、</w:t>
      </w:r>
      <w:r>
        <w:rPr>
          <w:rFonts w:ascii="宋体" w:hAnsi="宋体" w:cs="宋体"/>
          <w:sz w:val="24"/>
          <w:szCs w:val="24"/>
        </w:rPr>
        <w:t xml:space="preserve">ISO10015培训管理体系认证、ISO22301业务连续性管理体系认证、ISO29151个人数据隐私保护管理体系认证证书。</w:t>
      </w:r>
      <w:r/>
    </w:p>
    <w:p>
      <w:pPr>
        <w:ind w:firstLine="480"/>
        <w:spacing w:line="440" w:lineRule="exact"/>
        <w:rPr>
          <w:rFonts w:ascii="宋体" w:hAnsi="宋体" w:cs="宋体"/>
          <w:sz w:val="24"/>
          <w:szCs w:val="24"/>
        </w:rPr>
      </w:pPr>
      <w:r>
        <w:rPr>
          <w:rFonts w:ascii="宋体" w:hAnsi="宋体" w:cs="宋体"/>
          <w:sz w:val="24"/>
          <w:szCs w:val="24"/>
        </w:rPr>
        <w:t xml:space="preserve">投标人应按人员配置要求配置服务团队</w:t>
      </w:r>
      <w:r>
        <w:rPr>
          <w:rFonts w:hint="eastAsia" w:ascii="宋体" w:hAnsi="宋体" w:cs="宋体"/>
          <w:sz w:val="24"/>
          <w:szCs w:val="24"/>
        </w:rPr>
        <w:t xml:space="preserve">。</w:t>
      </w:r>
      <w:r>
        <w:rPr>
          <w:rFonts w:ascii="宋体" w:hAnsi="宋体" w:cs="宋体"/>
          <w:sz w:val="24"/>
          <w:szCs w:val="24"/>
        </w:rPr>
        <w:t xml:space="preserve">服务团队</w:t>
      </w:r>
      <w:r>
        <w:rPr>
          <w:rFonts w:hint="eastAsia" w:ascii="宋体" w:hAnsi="宋体" w:cs="宋体"/>
          <w:sz w:val="24"/>
          <w:szCs w:val="24"/>
        </w:rPr>
        <w:t xml:space="preserve">需配备</w:t>
      </w:r>
      <w:r>
        <w:rPr>
          <w:rFonts w:ascii="宋体" w:hAnsi="宋体" w:cs="宋体"/>
          <w:sz w:val="24"/>
          <w:szCs w:val="24"/>
        </w:rPr>
        <w:t xml:space="preserve">项目经理</w:t>
      </w:r>
      <w:r>
        <w:rPr>
          <w:rFonts w:hint="eastAsia" w:ascii="宋体" w:hAnsi="宋体" w:cs="宋体"/>
          <w:sz w:val="24"/>
          <w:szCs w:val="24"/>
        </w:rPr>
        <w:t xml:space="preserve">1人，</w:t>
      </w:r>
      <w:r>
        <w:rPr>
          <w:rFonts w:ascii="宋体" w:hAnsi="宋体" w:cs="宋体"/>
          <w:sz w:val="24"/>
          <w:szCs w:val="24"/>
        </w:rPr>
        <w:t xml:space="preserve">具备相关的运维服务管理能力，具有正高级工程师职称、高级信息系统项目管理师、高级系统架构设计师、注册信息安全管理人员（CISO）、CISAW信息安全保障人员认证证书；技术经理</w:t>
      </w:r>
      <w:r>
        <w:rPr>
          <w:rFonts w:hint="eastAsia" w:ascii="宋体" w:hAnsi="宋体" w:cs="宋体"/>
          <w:sz w:val="24"/>
          <w:szCs w:val="24"/>
        </w:rPr>
        <w:t xml:space="preserve">1人，</w:t>
      </w:r>
      <w:r>
        <w:rPr>
          <w:rFonts w:ascii="宋体" w:hAnsi="宋体" w:cs="宋体"/>
          <w:sz w:val="24"/>
          <w:szCs w:val="24"/>
        </w:rPr>
        <w:t xml:space="preserve">应具备且熟悉本项目所涉及的各方面技术能力，具有高级信息系统项目管理师、高级系统架构设计师、注册信息安全管理人员（CISO）证书、CISAW信息安全保障人员认证；团队成员</w:t>
      </w:r>
      <w:r>
        <w:rPr>
          <w:rFonts w:hint="eastAsia" w:ascii="宋体" w:hAnsi="宋体" w:cs="宋体"/>
          <w:sz w:val="24"/>
          <w:szCs w:val="24"/>
        </w:rPr>
        <w:t xml:space="preserve">不少于</w:t>
      </w:r>
      <w:r>
        <w:rPr>
          <w:rFonts w:ascii="宋体" w:hAnsi="宋体" w:cs="宋体"/>
          <w:sz w:val="24"/>
          <w:szCs w:val="24"/>
        </w:rPr>
        <w:t xml:space="preserve">3</w:t>
      </w:r>
      <w:r>
        <w:rPr>
          <w:rFonts w:hint="eastAsia" w:ascii="宋体" w:hAnsi="宋体" w:cs="宋体"/>
          <w:sz w:val="24"/>
          <w:szCs w:val="24"/>
        </w:rPr>
        <w:t xml:space="preserve">人（含驻场1人），</w:t>
      </w:r>
      <w:r>
        <w:rPr>
          <w:rFonts w:ascii="宋体" w:hAnsi="宋体" w:cs="宋体"/>
          <w:sz w:val="24"/>
          <w:szCs w:val="24"/>
        </w:rPr>
        <w:t xml:space="preserve">应具备服务所需的专业能力，满足本项目的要求，具有系统集成项目管理工程师、CISAW信息安全保障人员认证（应急服务）证书。</w:t>
      </w:r>
      <w:r/>
    </w:p>
    <w:p>
      <w:pPr>
        <w:ind w:firstLine="480"/>
        <w:spacing w:line="440" w:lineRule="exact"/>
        <w:rPr>
          <w:rFonts w:ascii="宋体" w:hAnsi="宋体" w:cs="宋体"/>
          <w:sz w:val="24"/>
          <w:szCs w:val="24"/>
        </w:rPr>
      </w:pPr>
      <w:r>
        <w:rPr>
          <w:rFonts w:ascii="宋体" w:hAnsi="宋体" w:cs="宋体"/>
          <w:sz w:val="24"/>
          <w:szCs w:val="24"/>
        </w:rPr>
        <w:t xml:space="preserve">投标人承担过同类服务项目案例，合同包含“视频会议”或“远程会商”或“远程视频”等关键字或专家评审团认可的同类服务项目案例。</w:t>
      </w:r>
      <w:r/>
    </w:p>
    <w:p>
      <w:pPr>
        <w:numPr>
          <w:ilvl w:val="0"/>
          <w:numId w:val="5"/>
        </w:numPr>
        <w:spacing w:line="440" w:lineRule="exact"/>
        <w:rPr>
          <w:rFonts w:ascii="宋体" w:hAnsi="宋体"/>
          <w:b/>
          <w:color w:val="000000"/>
          <w:sz w:val="24"/>
          <w:szCs w:val="24"/>
        </w:rPr>
      </w:pPr>
      <w:r>
        <w:rPr>
          <w:rFonts w:hint="eastAsia" w:ascii="宋体" w:hAnsi="宋体"/>
          <w:b/>
          <w:color w:val="000000"/>
          <w:sz w:val="24"/>
          <w:szCs w:val="24"/>
        </w:rPr>
        <w:t xml:space="preserve">商务要求</w:t>
      </w:r>
      <w:r/>
    </w:p>
    <w:p>
      <w:pPr>
        <w:ind w:firstLine="476"/>
        <w:spacing w:line="440" w:lineRule="exact"/>
        <w:rPr>
          <w:rFonts w:ascii="宋体" w:hAnsi="宋体" w:cs="宋体"/>
          <w:sz w:val="24"/>
          <w:szCs w:val="24"/>
        </w:rPr>
      </w:pPr>
      <w:r>
        <w:rPr>
          <w:rFonts w:hint="eastAsia" w:ascii="宋体" w:hAnsi="宋体" w:cs="宋体"/>
          <w:sz w:val="24"/>
          <w:szCs w:val="24"/>
        </w:rPr>
        <w:t xml:space="preserve">1.服务期：自合同签订之日起一年。</w:t>
      </w:r>
      <w:r/>
    </w:p>
    <w:p>
      <w:pPr>
        <w:ind w:firstLine="476"/>
        <w:spacing w:line="440" w:lineRule="exact"/>
        <w:rPr>
          <w:rFonts w:ascii="宋体" w:hAnsi="宋体" w:cs="宋体"/>
          <w:sz w:val="24"/>
          <w:szCs w:val="24"/>
        </w:rPr>
      </w:pPr>
      <w:r>
        <w:rPr>
          <w:rFonts w:hint="eastAsia" w:ascii="宋体" w:hAnsi="宋体" w:cs="宋体"/>
          <w:sz w:val="24"/>
          <w:szCs w:val="24"/>
        </w:rPr>
        <w:t xml:space="preserve">2.服务地点：按采购人指定地点提供服务。采购人不提供驻场场地，中标人需按照要求自行解决，并服从采购人管理。</w:t>
      </w:r>
      <w:r/>
    </w:p>
    <w:p>
      <w:pPr>
        <w:ind w:firstLine="476"/>
        <w:spacing w:line="440" w:lineRule="exact"/>
        <w:rPr>
          <w:rFonts w:ascii="宋体" w:hAnsi="宋体" w:cs="宋体"/>
          <w:sz w:val="24"/>
          <w:szCs w:val="24"/>
        </w:rPr>
      </w:pPr>
      <w:r>
        <w:rPr>
          <w:rFonts w:ascii="宋体" w:hAnsi="宋体" w:cs="宋体"/>
          <w:sz w:val="24"/>
          <w:szCs w:val="24"/>
        </w:rPr>
        <w:t xml:space="preserve">3.付款方式：</w:t>
      </w:r>
      <w:r/>
    </w:p>
    <w:p>
      <w:pPr>
        <w:ind w:firstLine="500"/>
        <w:spacing w:line="440" w:lineRule="exact"/>
        <w:rPr>
          <w:rFonts w:ascii="宋体" w:hAnsi="宋体" w:cs="宋体"/>
          <w:sz w:val="24"/>
          <w:szCs w:val="24"/>
        </w:rPr>
      </w:pPr>
      <w:r>
        <w:rPr>
          <w:rFonts w:hint="eastAsia" w:ascii="宋体" w:hAnsi="宋体" w:cs="宋体"/>
          <w:sz w:val="24"/>
          <w:szCs w:val="24"/>
        </w:rPr>
        <w:t xml:space="preserve">（1）合同签订后20个工作日内支付合同总金额的30%。</w:t>
      </w:r>
      <w:r/>
    </w:p>
    <w:p>
      <w:pPr>
        <w:ind w:firstLine="500"/>
        <w:spacing w:line="440" w:lineRule="exact"/>
        <w:rPr>
          <w:rFonts w:ascii="宋体" w:hAnsi="宋体" w:cs="宋体"/>
          <w:sz w:val="24"/>
          <w:szCs w:val="24"/>
        </w:rPr>
      </w:pPr>
      <w:r>
        <w:rPr>
          <w:rFonts w:hint="eastAsia" w:ascii="宋体" w:hAnsi="宋体" w:cs="宋体"/>
          <w:sz w:val="24"/>
          <w:szCs w:val="24"/>
        </w:rPr>
        <w:t xml:space="preserve">（2）服务满3个月后，投标人应针对一季度的服务情况出具服务报告，经采购人确认后支付合同总金额的50%。</w:t>
      </w:r>
      <w:r/>
    </w:p>
    <w:p>
      <w:pPr>
        <w:ind w:firstLine="500"/>
        <w:spacing w:line="440" w:lineRule="exact"/>
        <w:rPr>
          <w:rFonts w:cs="宋体"/>
          <w:color w:val="000000"/>
          <w:sz w:val="24"/>
          <w:szCs w:val="24"/>
          <w:highlight w:val="none"/>
        </w:rPr>
      </w:pPr>
      <w:r>
        <w:rPr>
          <w:rFonts w:hint="eastAsia" w:ascii="宋体" w:hAnsi="宋体" w:cs="宋体"/>
          <w:sz w:val="24"/>
          <w:szCs w:val="24"/>
          <w:highlight w:val="none"/>
        </w:rPr>
        <w:t xml:space="preserve">（3）服务期满后，投标人须向采购人提交年度总结报告。</w:t>
      </w:r>
      <w:r>
        <w:rPr>
          <w:rFonts w:hint="eastAsia" w:cs="宋体"/>
          <w:color w:val="000000"/>
          <w:sz w:val="24"/>
          <w:szCs w:val="24"/>
          <w:highlight w:val="none"/>
        </w:rPr>
        <w:t xml:space="preserve">采购人</w:t>
      </w:r>
      <w:r>
        <w:rPr>
          <w:rFonts w:ascii="宋体" w:hAnsi="宋体"/>
          <w:color w:val="000000"/>
          <w:sz w:val="24"/>
          <w:szCs w:val="24"/>
          <w:highlight w:val="none"/>
        </w:rPr>
        <w:t xml:space="preserve">确认</w:t>
      </w:r>
      <w:r>
        <w:rPr>
          <w:rFonts w:hint="eastAsia" w:ascii="宋体" w:hAnsi="宋体"/>
          <w:color w:val="000000"/>
          <w:sz w:val="24"/>
          <w:szCs w:val="24"/>
          <w:highlight w:val="none"/>
        </w:rPr>
        <w:t xml:space="preserve">后</w:t>
      </w:r>
      <w:r>
        <w:rPr>
          <w:rFonts w:ascii="宋体" w:hAnsi="宋体"/>
          <w:color w:val="000000"/>
          <w:sz w:val="24"/>
          <w:szCs w:val="24"/>
          <w:highlight w:val="none"/>
        </w:rPr>
        <w:t xml:space="preserve">向投标人支付</w:t>
      </w:r>
      <w:r>
        <w:rPr>
          <w:rFonts w:hint="eastAsia" w:ascii="宋体" w:hAnsi="宋体" w:cs="宋体"/>
          <w:sz w:val="24"/>
          <w:szCs w:val="24"/>
          <w:highlight w:val="none"/>
        </w:rPr>
        <w:t xml:space="preserve">合同总金额的20%尾款</w:t>
      </w:r>
      <w:r>
        <w:rPr>
          <w:rFonts w:ascii="宋体" w:hAnsi="宋体"/>
          <w:color w:val="000000"/>
          <w:sz w:val="24"/>
          <w:szCs w:val="24"/>
          <w:highlight w:val="none"/>
        </w:rPr>
        <w:t xml:space="preserve">。</w:t>
      </w:r>
      <w:r>
        <w:rPr>
          <w:highlight w:val="none"/>
        </w:rPr>
      </w:r>
    </w:p>
    <w:p>
      <w:pPr>
        <w:ind w:firstLine="500"/>
        <w:spacing w:line="440" w:lineRule="exact"/>
        <w:rPr>
          <w:rFonts w:ascii="宋体" w:hAnsi="宋体" w:cs="宋体"/>
          <w:sz w:val="24"/>
          <w:szCs w:val="24"/>
        </w:rPr>
      </w:pPr>
      <w:r>
        <w:rPr>
          <w:rFonts w:hint="eastAsia" w:ascii="宋体" w:hAnsi="宋体" w:cs="宋体"/>
          <w:sz w:val="24"/>
          <w:szCs w:val="24"/>
        </w:rPr>
        <w:t xml:space="preserve">4.知识产权：</w:t>
      </w:r>
      <w:r>
        <w:rPr>
          <w:rFonts w:ascii="宋体" w:hAnsi="宋体" w:cs="宋体"/>
          <w:sz w:val="24"/>
          <w:szCs w:val="24"/>
        </w:rPr>
        <w:t xml:space="preserve">本项目中产生的所有文档，知识产权属于采购人。项目结束时，所有文档（包括文字资料和电子文件）必须全部提交给采购人，投标人不得在其他场合、项目中使用。所有产出文档投标人向采购人提交纸质文档一套、电子文档一套。</w:t>
      </w:r>
      <w:r/>
    </w:p>
    <w:p>
      <w:pPr>
        <w:ind w:firstLine="480"/>
        <w:spacing w:line="440" w:lineRule="exac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报价说明</w:t>
      </w:r>
      <w:r>
        <w:rPr>
          <w:rFonts w:hint="eastAsia" w:ascii="宋体" w:hAnsi="宋体" w:cs="宋体"/>
          <w:sz w:val="24"/>
          <w:szCs w:val="24"/>
        </w:rPr>
        <w:t xml:space="preserve">：</w:t>
      </w:r>
      <w:r/>
    </w:p>
    <w:p>
      <w:pPr>
        <w:ind w:firstLine="500"/>
        <w:spacing w:line="440" w:lineRule="exact"/>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验收、售后服务、伴随配套服务等所有含税费用。同时，还应包含支付给员工的工资和国家强制缴纳的各种社会保障资金，以及投标人认为需要的其他费用等。</w:t>
      </w:r>
      <w:r/>
    </w:p>
    <w:p>
      <w:pPr>
        <w:ind w:firstLine="500"/>
        <w:spacing w:line="440" w:lineRule="exact"/>
        <w:rPr>
          <w:rFonts w:ascii="宋体" w:hAnsi="宋体" w:cs="宋体"/>
          <w:sz w:val="24"/>
          <w:szCs w:val="24"/>
        </w:rPr>
      </w:pPr>
      <w:r>
        <w:rPr>
          <w:rFonts w:hint="eastAsia" w:ascii="宋体" w:hAnsi="宋体" w:cs="宋体"/>
          <w:sz w:val="24"/>
          <w:szCs w:val="24"/>
        </w:rPr>
        <w:t xml:space="preserve">（2）投标人的任何错漏、优惠、竞争性报价不得作为减轻责任、减少服务、增加收费、降低服务质量的理由。</w:t>
      </w:r>
      <w:r/>
    </w:p>
    <w:p>
      <w:pPr>
        <w:ind w:firstLine="500"/>
        <w:spacing w:line="440" w:lineRule="exact"/>
        <w:rPr>
          <w:rFonts w:ascii="宋体" w:hAnsi="宋体" w:cs="宋体"/>
          <w:sz w:val="24"/>
          <w:szCs w:val="24"/>
        </w:rPr>
      </w:pPr>
      <w:r>
        <w:rPr>
          <w:rFonts w:hint="eastAsia" w:ascii="宋体" w:hAnsi="宋体" w:cs="宋体"/>
          <w:sz w:val="24"/>
          <w:szCs w:val="24"/>
        </w:rPr>
        <w:t xml:space="preserve">（3）投标人报价除包含采购文件中列明的项目外，还应包括保障服务正常运行应当具有的物资和服务，对服务正常运行应当具有的物资和服务理解不一致的以采购人理解为准。</w:t>
      </w:r>
      <w:r/>
    </w:p>
    <w:p>
      <w:pPr>
        <w:ind w:firstLine="475"/>
        <w:spacing w:line="440" w:lineRule="exact"/>
        <w:rPr>
          <w:rFonts w:ascii="宋体" w:hAnsi="宋体" w:cs="宋体"/>
          <w:sz w:val="24"/>
          <w:szCs w:val="24"/>
        </w:rPr>
      </w:pPr>
      <w:r>
        <w:rPr>
          <w:rFonts w:hint="eastAsia"/>
          <w:sz w:val="24"/>
          <w:szCs w:val="24"/>
        </w:rPr>
        <w:t xml:space="preserve">6</w:t>
      </w:r>
      <w:r>
        <w:rPr>
          <w:rFonts w:eastAsia="Times New Roman"/>
          <w:sz w:val="24"/>
          <w:szCs w:val="24"/>
        </w:rPr>
        <w:t xml:space="preserve">. </w:t>
      </w:r>
      <w:r>
        <w:rPr>
          <w:rFonts w:hint="eastAsia" w:ascii="宋体" w:hAnsi="宋体" w:cs="宋体"/>
          <w:sz w:val="24"/>
          <w:szCs w:val="24"/>
        </w:rPr>
        <w:t xml:space="preserve">如</w:t>
      </w:r>
      <w:r>
        <w:rPr>
          <w:rFonts w:ascii="宋体" w:hAnsi="宋体" w:cs="宋体"/>
          <w:sz w:val="24"/>
          <w:szCs w:val="24"/>
        </w:rPr>
        <w:t xml:space="preserve">投标人提供的技术服务不能够满足本文件服务要求，投标人应承担责任，并及时予以解决；投标人应对提供材料的真实性以及出具的结果负责。</w:t>
      </w:r>
      <w:r/>
    </w:p>
    <w:p>
      <w:pPr>
        <w:numPr>
          <w:ilvl w:val="0"/>
          <w:numId w:val="5"/>
        </w:numPr>
        <w:spacing w:line="440" w:lineRule="exact"/>
        <w:rPr>
          <w:rFonts w:ascii="宋体" w:hAnsi="宋体"/>
          <w:b/>
          <w:color w:val="000000"/>
          <w:sz w:val="24"/>
          <w:szCs w:val="24"/>
        </w:rPr>
      </w:pPr>
      <w:r>
        <w:rPr>
          <w:rFonts w:hint="eastAsia" w:ascii="宋体" w:hAnsi="宋体"/>
          <w:b/>
          <w:color w:val="000000"/>
          <w:sz w:val="24"/>
          <w:szCs w:val="24"/>
        </w:rPr>
        <w:t xml:space="preserve">保密要求</w:t>
      </w:r>
      <w:r/>
    </w:p>
    <w:p>
      <w:pPr>
        <w:ind w:firstLine="500"/>
        <w:spacing w:line="440" w:lineRule="exact"/>
        <w:rPr>
          <w:rFonts w:ascii="宋体" w:hAnsi="宋体" w:cs="宋体"/>
          <w:i/>
          <w:iCs/>
          <w:sz w:val="24"/>
          <w:szCs w:val="24"/>
          <w:u w:val="single"/>
        </w:rPr>
      </w:pPr>
      <w:r>
        <w:rPr>
          <w:rFonts w:ascii="宋体" w:hAnsi="宋体" w:cs="宋体"/>
          <w:sz w:val="24"/>
          <w:szCs w:val="24"/>
        </w:rPr>
        <w:t xml:space="preserve">所有参与服务项目的人员应签订正式保密协议，并在工作中坚持保密原则，投标人严格规范执行各项保密制度，对取得的采购人各类信息进行保密管理，杜绝任何泄密事件的发生。在结束采购人委托的工作时，要销毁工作期间使用的相关纸质文件和电子文档，不能保存相关文件。</w:t>
      </w:r>
      <w:r>
        <w:rPr>
          <w:rFonts w:ascii="宋体" w:hAnsi="宋体" w:cs="宋体"/>
          <w:i/>
          <w:iCs/>
          <w:sz w:val="24"/>
          <w:szCs w:val="24"/>
          <w:u w:val="single"/>
        </w:rPr>
        <w:t xml:space="preserve">投标人须对本项目配备的实施人员进行背景调查，确保其无犯罪记录、无数据窃取与泄露等不良行为。采购人可根据工作实际需要，对相关实施人员进行考察确认。（投标人须出具承诺函，并加盖投标人公章）</w:t>
      </w:r>
      <w:r/>
    </w:p>
    <w:p>
      <w:pPr>
        <w:numPr>
          <w:ilvl w:val="0"/>
          <w:numId w:val="5"/>
        </w:numPr>
        <w:spacing w:line="440" w:lineRule="exact"/>
        <w:rPr>
          <w:rFonts w:ascii="宋体" w:hAnsi="宋体"/>
          <w:b/>
          <w:color w:val="000000"/>
          <w:sz w:val="24"/>
          <w:szCs w:val="24"/>
        </w:rPr>
      </w:pPr>
      <w:r>
        <w:rPr>
          <w:rFonts w:hint="eastAsia" w:ascii="宋体" w:hAnsi="宋体"/>
          <w:b/>
          <w:color w:val="000000"/>
          <w:sz w:val="24"/>
          <w:szCs w:val="24"/>
        </w:rPr>
        <w:t xml:space="preserve">其他要求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1.项目属性：服务类项目。</w:t>
      </w:r>
      <w:r/>
    </w:p>
    <w:p>
      <w:pPr>
        <w:ind w:firstLine="488"/>
        <w:spacing w:line="440" w:lineRule="exac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.进口</w:t>
      </w:r>
      <w:r>
        <w:rPr>
          <w:rFonts w:ascii="宋体" w:hAnsi="宋体" w:cs="宋体"/>
          <w:sz w:val="24"/>
          <w:szCs w:val="24"/>
        </w:rPr>
        <w:t xml:space="preserve">产品</w:t>
      </w:r>
      <w:r>
        <w:rPr>
          <w:rFonts w:hint="eastAsia" w:ascii="宋体" w:hAnsi="宋体" w:cs="宋体"/>
          <w:sz w:val="24"/>
          <w:szCs w:val="24"/>
        </w:rPr>
        <w:t xml:space="preserve">投标</w:t>
      </w:r>
      <w:r/>
    </w:p>
    <w:tbl>
      <w:tblPr>
        <w:tblStyle w:val="749"/>
        <w:tblW w:w="551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38"/>
        <w:gridCol w:w="4376"/>
      </w:tblGrid>
      <w:tr>
        <w:trPr>
          <w:jc w:val="center"/>
          <w:trHeight w:val="454"/>
          <w:tblHeader/>
        </w:trPr>
        <w:tc>
          <w:tcPr>
            <w:shd w:val="clear" w:color="auto" w:fill="eeece1" w:themeFill="background2"/>
            <w:tcW w:w="1138" w:type="dxa"/>
            <w:vAlign w:val="center"/>
            <w:textDirection w:val="lrTb"/>
            <w:noWrap w:val="false"/>
          </w:tcPr>
          <w:p>
            <w:pPr>
              <w:pStyle w:val="751"/>
              <w:jc w:val="center"/>
              <w:rPr>
                <w:rFonts w:ascii="黑体" w:hAnsi="黑体" w:eastAsia="黑体" w:cs="黑体"/>
                <w:color w:val="000000"/>
                <w:sz w:val="21"/>
                <w:szCs w:val="21"/>
              </w:rPr>
            </w:pPr>
            <w:r>
              <w:rPr>
                <w:rFonts w:hint="eastAsia" w:ascii="黑体" w:hAnsi="黑体" w:eastAsia="黑体" w:cs="黑体"/>
                <w:color w:val="000000"/>
                <w:sz w:val="21"/>
                <w:szCs w:val="21"/>
                <w:lang w:eastAsia="en-US"/>
              </w:rPr>
              <w:t xml:space="preserve">采购包</w:t>
            </w:r>
            <w:r>
              <w:rPr>
                <w:rFonts w:hint="eastAsia" w:ascii="黑体" w:hAnsi="黑体" w:eastAsia="黑体" w:cs="黑体"/>
                <w:color w:val="000000"/>
                <w:sz w:val="21"/>
                <w:szCs w:val="21"/>
              </w:rPr>
              <w:t xml:space="preserve">号</w:t>
            </w:r>
            <w:r/>
          </w:p>
        </w:tc>
        <w:tc>
          <w:tcPr>
            <w:shd w:val="clear" w:color="auto" w:fill="eeece1" w:themeFill="background2"/>
            <w:tcW w:w="4376" w:type="dxa"/>
            <w:vAlign w:val="center"/>
            <w:textDirection w:val="lrTb"/>
            <w:noWrap w:val="false"/>
          </w:tcPr>
          <w:p>
            <w:pPr>
              <w:pStyle w:val="751"/>
              <w:jc w:val="center"/>
              <w:rPr>
                <w:rFonts w:ascii="黑体" w:hAnsi="黑体" w:eastAsia="黑体" w:cs="黑体"/>
                <w:color w:val="000000"/>
                <w:sz w:val="21"/>
                <w:szCs w:val="21"/>
              </w:rPr>
            </w:pPr>
            <w:r>
              <w:rPr>
                <w:rFonts w:hint="eastAsia" w:ascii="黑体" w:hAnsi="黑体" w:eastAsia="黑体" w:cs="黑体"/>
                <w:color w:val="000000"/>
                <w:sz w:val="21"/>
                <w:szCs w:val="21"/>
              </w:rPr>
              <w:t xml:space="preserve">是否接受进口产品投标（是/否）</w:t>
            </w:r>
            <w:r/>
          </w:p>
        </w:tc>
      </w:tr>
      <w:tr>
        <w:trPr>
          <w:jc w:val="center"/>
          <w:trHeight w:val="397"/>
        </w:trPr>
        <w:tc>
          <w:tcPr>
            <w:tcW w:w="1138" w:type="dxa"/>
            <w:vAlign w:val="center"/>
            <w:textDirection w:val="lrTb"/>
            <w:noWrap w:val="false"/>
          </w:tcPr>
          <w:p>
            <w:pPr>
              <w:pStyle w:val="1009"/>
              <w:jc w:val="center"/>
              <w:rPr>
                <w:rFonts w:asciiTheme="minorEastAsia" w:hAnsiTheme="minorEastAsia" w:eastAsiaTheme="minorEastAsia" w:cstheme="minorEastAsia"/>
                <w:sz w:val="18"/>
                <w:szCs w:val="18"/>
                <w:lang w:eastAsia="zh-CN"/>
              </w:rPr>
            </w:pPr>
            <w:r>
              <w:rPr>
                <w:rFonts w:ascii="Times New Roman" w:hAnsi="Times New Roman" w:cs="Times New Roman" w:eastAsiaTheme="minorEastAsia"/>
                <w:sz w:val="18"/>
                <w:szCs w:val="18"/>
                <w:lang w:eastAsia="zh-CN"/>
              </w:rPr>
              <w:t xml:space="preserve">1</w:t>
            </w:r>
            <w:r/>
          </w:p>
        </w:tc>
        <w:tc>
          <w:tcPr>
            <w:tcW w:w="4376" w:type="dxa"/>
            <w:vAlign w:val="center"/>
            <w:textDirection w:val="lrTb"/>
            <w:noWrap w:val="false"/>
          </w:tcPr>
          <w:p>
            <w:pPr>
              <w:pStyle w:val="1009"/>
              <w:jc w:val="center"/>
              <w:rPr>
                <w:rFonts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eastAsia="zh-CN"/>
              </w:rPr>
              <w:t xml:space="preserve">否</w:t>
            </w:r>
            <w:r/>
          </w:p>
        </w:tc>
      </w:tr>
    </w:tbl>
    <w:p>
      <w:r/>
      <w:r/>
    </w:p>
    <w:p>
      <w:pPr>
        <w:pStyle w:val="783"/>
        <w:jc w:val="both"/>
        <w:spacing w:before="0" w:beforeAutospacing="0" w:after="0" w:afterAutospacing="0" w:line="0" w:lineRule="atLeast"/>
        <w:widowControl w:val="off"/>
      </w:pPr>
      <w:r>
        <w:rPr>
          <w:rFonts w:hint="eastAsia" w:ascii="黑体" w:eastAsia="黑体" w:cs="黑体"/>
          <w:color w:val="000000"/>
          <w:sz w:val="44"/>
          <w:szCs w:val="44"/>
        </w:rPr>
        <w:br w:type="page" w:clear="all"/>
      </w:r>
      <w:r/>
    </w:p>
    <w:p>
      <w:pPr>
        <w:pStyle w:val="739"/>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783"/>
        <w:ind w:firstLine="632"/>
        <w:spacing w:before="120" w:beforeAutospacing="0" w:after="120" w:afterAutospacing="0" w:line="0" w:lineRule="atLeast"/>
        <w:widowControl w:val="off"/>
      </w:pPr>
      <w:r>
        <w:rPr>
          <w:rFonts w:hint="eastAsia"/>
          <w:color w:val="000000"/>
        </w:rPr>
        <w:t xml:space="preserve">采用综合评分法的，评标结果按评审后得分由高到低顺序排列。得分相同的，按投标报价由低到高顺序排列。得分且投标报价相同的并列。</w:t>
      </w:r>
      <w:r/>
    </w:p>
    <w:tbl>
      <w:tblPr>
        <w:tblStyle w:val="749"/>
        <w:tblW w:w="0" w:type="auto"/>
        <w:jc w:val="center"/>
        <w:tblCellSpacing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415"/>
        <w:gridCol w:w="2551"/>
        <w:gridCol w:w="5205"/>
      </w:tblGrid>
      <w:tr>
        <w:trPr>
          <w:jc w:val="center"/>
          <w:tblCellSpacing w:w="0" w:type="dxa"/>
          <w:trHeight w:val="454"/>
        </w:trPr>
        <w:tc>
          <w:tcPr>
            <w:shd w:val="clear" w:color="auto" w:fill="e7e6e6"/>
            <w:tcBorders>
              <w:top w:val="single" w:color="000000" w:sz="2" w:space="0"/>
              <w:left w:val="single" w:color="000000" w:sz="2" w:space="0"/>
              <w:bottom w:val="single" w:color="000000" w:sz="2" w:space="0"/>
              <w:right w:val="single" w:color="000000" w:sz="2" w:space="0"/>
            </w:tcBorders>
            <w:tcMar>
              <w:left w:w="108" w:type="dxa"/>
              <w:right w:w="108" w:type="dxa"/>
            </w:tcMar>
            <w:tcW w:w="1415" w:type="dxa"/>
            <w:vAlign w:val="center"/>
            <w:textDirection w:val="lrTb"/>
            <w:noWrap w:val="false"/>
          </w:tcPr>
          <w:p>
            <w:pPr>
              <w:pStyle w:val="783"/>
              <w:ind w:firstLine="412"/>
              <w:jc w:val="center"/>
              <w:spacing w:before="0" w:beforeAutospacing="0" w:after="0" w:afterAutospacing="0"/>
              <w:widowControl w:val="off"/>
            </w:pPr>
            <w:r>
              <w:rPr>
                <w:rFonts w:ascii="方正仿宋_GBK" w:hAnsi="方正仿宋_GBK" w:eastAsia="方正仿宋_GBK" w:cs="方正仿宋_GBK"/>
                <w:color w:val="000000"/>
              </w:rPr>
              <w:t xml:space="preserve">采购包号</w:t>
            </w:r>
            <w:r/>
          </w:p>
        </w:tc>
        <w:tc>
          <w:tcPr>
            <w:shd w:val="clear" w:color="auto" w:fill="e7e6e6"/>
            <w:tcBorders>
              <w:top w:val="single" w:color="000000" w:sz="2" w:space="0"/>
              <w:left w:val="single" w:color="000000" w:sz="2" w:space="0"/>
              <w:bottom w:val="single" w:color="000000" w:sz="2" w:space="0"/>
              <w:right w:val="single" w:color="000000" w:sz="2" w:space="0"/>
            </w:tcBorders>
            <w:tcMar>
              <w:left w:w="108" w:type="dxa"/>
              <w:right w:w="108" w:type="dxa"/>
            </w:tcMar>
            <w:tcW w:w="2551" w:type="dxa"/>
            <w:vAlign w:val="center"/>
            <w:textDirection w:val="lrTb"/>
            <w:noWrap w:val="false"/>
          </w:tcPr>
          <w:p>
            <w:pPr>
              <w:pStyle w:val="783"/>
              <w:ind w:firstLine="412"/>
              <w:jc w:val="center"/>
              <w:spacing w:before="0" w:beforeAutospacing="0" w:after="0" w:afterAutospacing="0"/>
              <w:widowControl w:val="off"/>
            </w:pPr>
            <w:r>
              <w:rPr>
                <w:rFonts w:ascii="方正仿宋_GBK" w:hAnsi="方正仿宋_GBK" w:eastAsia="方正仿宋_GBK" w:cs="方正仿宋_GBK"/>
                <w:color w:val="000000"/>
              </w:rPr>
              <w:t xml:space="preserve">选取中标候选人数量</w:t>
            </w:r>
            <w:r/>
          </w:p>
        </w:tc>
        <w:tc>
          <w:tcPr>
            <w:shd w:val="clear" w:color="auto" w:fill="e7e6e6"/>
            <w:tcBorders>
              <w:top w:val="single" w:color="000000" w:sz="2" w:space="0"/>
              <w:left w:val="single" w:color="000000" w:sz="2" w:space="0"/>
              <w:bottom w:val="single" w:color="000000" w:sz="2" w:space="0"/>
              <w:right w:val="single" w:color="000000" w:sz="2" w:space="0"/>
            </w:tcBorders>
            <w:tcMar>
              <w:left w:w="108" w:type="dxa"/>
              <w:right w:w="108" w:type="dxa"/>
            </w:tcMar>
            <w:tcW w:w="5205" w:type="dxa"/>
            <w:vAlign w:val="center"/>
            <w:textDirection w:val="lrTb"/>
            <w:noWrap w:val="false"/>
          </w:tcPr>
          <w:p>
            <w:pPr>
              <w:pStyle w:val="783"/>
              <w:ind w:firstLine="412"/>
              <w:jc w:val="center"/>
              <w:spacing w:before="0" w:beforeAutospacing="0" w:after="0" w:afterAutospacing="0"/>
              <w:widowControl w:val="off"/>
            </w:pPr>
            <w:r>
              <w:rPr>
                <w:rFonts w:ascii="方正仿宋_GBK" w:hAnsi="方正仿宋_GBK" w:eastAsia="方正仿宋_GBK" w:cs="方正仿宋_GBK"/>
                <w:color w:val="000000"/>
              </w:rPr>
              <w:t xml:space="preserve">选取中标候选人的原则</w:t>
            </w:r>
            <w:r/>
          </w:p>
        </w:tc>
      </w:tr>
      <w:tr>
        <w:trPr>
          <w:jc w:val="center"/>
          <w:tblCellSpacing w:w="0" w:type="dxa"/>
          <w:trHeight w:val="39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415" w:type="dxa"/>
            <w:vAlign w:val="center"/>
            <w:textDirection w:val="lrTb"/>
            <w:noWrap w:val="false"/>
          </w:tcPr>
          <w:p>
            <w:pPr>
              <w:pStyle w:val="783"/>
              <w:ind w:firstLine="412"/>
              <w:jc w:val="center"/>
              <w:spacing w:before="0" w:beforeAutospacing="0" w:after="0" w:afterAutospacing="0"/>
              <w:widowControl w:val="off"/>
            </w:pPr>
            <w:r>
              <w:rPr>
                <w:rFonts w:ascii="方正仿宋_GBK" w:hAnsi="方正仿宋_GBK" w:eastAsia="方正仿宋_GBK" w:cs="方正仿宋_GBK"/>
                <w:color w:val="000000"/>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551" w:type="dxa"/>
            <w:vAlign w:val="center"/>
            <w:textDirection w:val="lrTb"/>
            <w:noWrap w:val="false"/>
          </w:tcPr>
          <w:p>
            <w:pPr>
              <w:pStyle w:val="783"/>
              <w:ind w:firstLine="412"/>
              <w:jc w:val="center"/>
              <w:spacing w:before="0" w:beforeAutospacing="0" w:after="0" w:afterAutospacing="0"/>
              <w:widowControl w:val="off"/>
            </w:pPr>
            <w:r>
              <w:rPr>
                <w:rFonts w:ascii="方正仿宋_GBK" w:hAnsi="方正仿宋_GBK" w:eastAsia="方正仿宋_GBK" w:cs="方正仿宋_GBK"/>
                <w:color w:val="000000"/>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205" w:type="dxa"/>
            <w:vAlign w:val="center"/>
            <w:textDirection w:val="lrTb"/>
            <w:noWrap w:val="false"/>
          </w:tcPr>
          <w:p>
            <w:pPr>
              <w:pStyle w:val="783"/>
              <w:ind w:firstLine="412"/>
              <w:jc w:val="center"/>
              <w:spacing w:before="0" w:beforeAutospacing="0" w:after="0" w:afterAutospacing="0"/>
              <w:widowControl w:val="off"/>
            </w:pPr>
            <w:r>
              <w:rPr>
                <w:rFonts w:ascii="方正仿宋_GBK" w:hAnsi="方正仿宋_GBK" w:eastAsia="方正仿宋_GBK" w:cs="方正仿宋_GBK"/>
                <w:color w:val="000000"/>
              </w:rPr>
              <w:t xml:space="preserve">满足招标文件全部实质性要求，且按照评审因素的量化指标评审得分最高的投标人为中标候选人。</w:t>
            </w:r>
            <w:r/>
          </w:p>
        </w:tc>
      </w:tr>
    </w:tbl>
    <w:p>
      <w:pPr>
        <w:pStyle w:val="783"/>
        <w:ind w:firstLine="634"/>
        <w:spacing w:before="0" w:beforeAutospacing="0" w:after="0" w:afterAutospacing="0" w:line="0" w:lineRule="atLeast"/>
        <w:widowControl w:val="off"/>
      </w:pPr>
      <w:r>
        <w:rPr>
          <w:rFonts w:hint="eastAsia"/>
          <w:b/>
          <w:bCs/>
          <w:color w:val="000000"/>
        </w:rPr>
        <w:t xml:space="preserve">政府采购政策功能落实</w:t>
      </w:r>
      <w:r/>
    </w:p>
    <w:p>
      <w:pPr>
        <w:pStyle w:val="783"/>
        <w:ind w:firstLine="632"/>
        <w:spacing w:before="120" w:beforeAutospacing="0" w:after="120" w:afterAutospacing="0" w:line="0" w:lineRule="atLeast"/>
        <w:widowControl w:val="off"/>
      </w:pPr>
      <w:r>
        <w:rPr>
          <w:rFonts w:hint="eastAsia"/>
          <w:color w:val="000000"/>
        </w:rPr>
        <w:t xml:space="preserve">1、小微型企业价格扣除</w:t>
      </w:r>
      <w:r/>
    </w:p>
    <w:p>
      <w:pPr>
        <w:pStyle w:val="783"/>
        <w:ind w:firstLine="632"/>
        <w:spacing w:before="120" w:beforeAutospacing="0" w:after="120" w:afterAutospacing="0" w:line="0" w:lineRule="atLeast"/>
        <w:widowControl w:val="off"/>
      </w:pPr>
      <w:r>
        <w:rPr>
          <w:rFonts w:hint="eastAsia"/>
          <w:color w:val="000000"/>
        </w:rPr>
        <w:t xml:space="preserve">（1）本项目对小型和微型企业提供的服务给予10%的扣除价格，用扣除后的价格参与评审。</w:t>
      </w:r>
      <w:r/>
    </w:p>
    <w:p>
      <w:pPr>
        <w:pStyle w:val="783"/>
        <w:ind w:firstLine="632"/>
        <w:spacing w:before="120" w:beforeAutospacing="0" w:after="120" w:afterAutospacing="0" w:line="0" w:lineRule="atLeast"/>
        <w:widowControl w:val="off"/>
      </w:pPr>
      <w:r>
        <w:rPr>
          <w:rFonts w:hint="eastAsia"/>
          <w:color w:val="000000"/>
        </w:rPr>
        <w:t xml:space="preserve">（2）供应商需按照采购文件的要求提供相应的《中小微企业声明函》。</w:t>
      </w:r>
      <w:r/>
    </w:p>
    <w:p>
      <w:pPr>
        <w:pStyle w:val="783"/>
        <w:ind w:firstLine="632"/>
        <w:spacing w:before="120" w:beforeAutospacing="0" w:after="120" w:afterAutospacing="0" w:line="0" w:lineRule="atLeast"/>
        <w:widowControl w:val="off"/>
      </w:pPr>
      <w:r>
        <w:rPr>
          <w:rFonts w:hint="eastAsia"/>
          <w:color w:val="000000"/>
        </w:rPr>
        <w:t xml:space="preserve">2、残疾人福利单位价格扣除</w:t>
      </w:r>
      <w:r/>
    </w:p>
    <w:p>
      <w:pPr>
        <w:pStyle w:val="783"/>
        <w:ind w:firstLine="632"/>
        <w:spacing w:before="120" w:beforeAutospacing="0" w:after="120" w:afterAutospacing="0" w:line="0" w:lineRule="atLeast"/>
        <w:widowControl w:val="off"/>
      </w:pPr>
      <w:r>
        <w:rPr>
          <w:rFonts w:hint="eastAsia"/>
          <w:color w:val="000000"/>
        </w:rPr>
        <w:t xml:space="preserve">（1）本项目对残疾人福利性单位视同小型、微型企业，给予10%的价格扣除，用扣除后的价格参与评审。</w:t>
      </w:r>
      <w:r/>
    </w:p>
    <w:p>
      <w:pPr>
        <w:pStyle w:val="783"/>
        <w:ind w:firstLine="632"/>
        <w:spacing w:before="120" w:beforeAutospacing="0" w:after="120" w:afterAutospacing="0" w:line="0" w:lineRule="atLeast"/>
        <w:widowControl w:val="off"/>
      </w:pPr>
      <w:r>
        <w:rPr>
          <w:rFonts w:hint="eastAsia"/>
          <w:color w:val="000000"/>
        </w:rPr>
        <w:t xml:space="preserve">（2）残疾人福利单位需按照采购文件的要求提供《残疾人福利性单位声明函》。</w:t>
      </w:r>
      <w:r/>
    </w:p>
    <w:p>
      <w:pPr>
        <w:pStyle w:val="783"/>
        <w:ind w:firstLine="632"/>
        <w:spacing w:before="120" w:beforeAutospacing="0" w:after="120" w:afterAutospacing="0" w:line="0" w:lineRule="atLeast"/>
        <w:widowControl w:val="off"/>
      </w:pPr>
      <w:r>
        <w:rPr>
          <w:rFonts w:hint="eastAsia"/>
          <w:color w:val="000000"/>
        </w:rPr>
        <w:t xml:space="preserve">（3）残疾人福利单位标准请参照《关于促进残疾人就业政府采购政策的通知》（财库〔2017〕141号）。</w:t>
      </w:r>
      <w:r/>
    </w:p>
    <w:p>
      <w:pPr>
        <w:pStyle w:val="783"/>
        <w:ind w:firstLine="632"/>
        <w:spacing w:before="120" w:beforeAutospacing="0" w:after="120" w:afterAutospacing="0" w:line="0" w:lineRule="atLeast"/>
        <w:widowControl w:val="off"/>
      </w:pPr>
      <w:r>
        <w:rPr>
          <w:rFonts w:hint="eastAsia"/>
          <w:color w:val="000000"/>
        </w:rPr>
        <w:t xml:space="preserve">3、监狱和戒毒企业价格扣除</w:t>
      </w:r>
      <w:r/>
    </w:p>
    <w:p>
      <w:pPr>
        <w:pStyle w:val="783"/>
        <w:ind w:firstLine="632"/>
        <w:spacing w:before="120" w:beforeAutospacing="0" w:after="120" w:afterAutospacing="0" w:line="0" w:lineRule="atLeast"/>
        <w:widowControl w:val="off"/>
      </w:pPr>
      <w:r>
        <w:rPr>
          <w:rFonts w:hint="eastAsia"/>
          <w:color w:val="000000"/>
        </w:rPr>
        <w:t xml:space="preserve">（1）本项目对监狱和戒毒企业（简称监狱企业）视同小型、微型企业，给予10%的价格扣除，用扣除后的价格参与评审。</w:t>
      </w:r>
      <w:r/>
    </w:p>
    <w:p>
      <w:pPr>
        <w:pStyle w:val="783"/>
        <w:ind w:firstLine="632"/>
        <w:spacing w:before="120" w:beforeAutospacing="0" w:after="120" w:afterAutospacing="0" w:line="0" w:lineRule="atLeast"/>
        <w:widowControl w:val="off"/>
      </w:pPr>
      <w:r>
        <w:rPr>
          <w:rFonts w:hint="eastAsia"/>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83"/>
        <w:ind w:firstLine="632"/>
        <w:spacing w:before="120" w:beforeAutospacing="0" w:after="120" w:afterAutospacing="0" w:line="0" w:lineRule="atLeast"/>
        <w:widowControl w:val="off"/>
      </w:pPr>
      <w:r>
        <w:rPr>
          <w:rFonts w:hint="eastAsia"/>
          <w:color w:val="000000"/>
        </w:rPr>
        <w:t xml:space="preserve">（3）监狱企业标准请参照《关于政府采购支持监狱企业发展有关问题的通知》（财库〔2014〕68号）。</w:t>
      </w:r>
      <w:r/>
    </w:p>
    <w:p>
      <w:pPr>
        <w:pStyle w:val="783"/>
        <w:ind w:firstLine="632"/>
        <w:spacing w:before="120" w:beforeAutospacing="0" w:after="120" w:afterAutospacing="0" w:line="0" w:lineRule="atLeast"/>
        <w:widowControl w:val="off"/>
      </w:pPr>
      <w:r>
        <w:rPr>
          <w:rFonts w:hint="eastAsia"/>
          <w:color w:val="000000"/>
        </w:rPr>
        <w:t xml:space="preserve">4、残疾人福利单位、监狱企业属于小型、微型企业的，不重复享受政策。</w:t>
      </w:r>
      <w:r/>
    </w:p>
    <w:p>
      <w:pPr>
        <w:pStyle w:val="783"/>
        <w:ind w:firstLine="632"/>
        <w:spacing w:before="120" w:beforeAutospacing="0" w:after="120" w:afterAutospacing="0" w:line="0" w:lineRule="atLeast"/>
        <w:widowControl w:val="off"/>
      </w:pPr>
      <w:r>
        <w:rPr>
          <w:rFonts w:hint="eastAsia"/>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783"/>
        <w:ind w:firstLine="632"/>
        <w:spacing w:before="120" w:beforeAutospacing="0" w:after="120" w:afterAutospacing="0" w:line="0" w:lineRule="atLeast"/>
        <w:widowControl w:val="off"/>
      </w:pPr>
      <w:r>
        <w:rPr>
          <w:rFonts w:hint="eastAsia"/>
          <w:color w:val="000000"/>
        </w:rPr>
        <w:t xml:space="preserve">6、联合体各方均为小型、微型企业（残疾人福利单位、监狱企业）的，联合体享受10%价格扣除，用扣除后的价格参与评审。</w:t>
      </w:r>
      <w:r/>
    </w:p>
    <w:p>
      <w:pPr>
        <w:pStyle w:val="783"/>
        <w:ind w:firstLine="634"/>
        <w:spacing w:before="0" w:beforeAutospacing="0" w:after="0" w:afterAutospacing="0" w:line="0" w:lineRule="atLeast"/>
        <w:widowControl w:val="off"/>
      </w:pPr>
      <w:r>
        <w:rPr>
          <w:rFonts w:hint="eastAsia"/>
          <w:b/>
          <w:bCs/>
          <w:color w:val="000000"/>
        </w:rPr>
        <w:t xml:space="preserve">评标方法与评标标准</w:t>
      </w:r>
      <w:r/>
    </w:p>
    <w:p>
      <w:pPr>
        <w:pStyle w:val="783"/>
        <w:ind w:left="126" w:right="181" w:firstLine="472"/>
        <w:jc w:val="both"/>
        <w:spacing w:before="0" w:beforeAutospacing="0" w:after="0" w:afterAutospacing="0" w:line="0" w:lineRule="atLeast"/>
        <w:widowControl w:val="off"/>
      </w:pPr>
      <w:r>
        <w:rPr>
          <w:rFonts w:hint="eastAsia"/>
          <w:color w:val="000000"/>
        </w:rPr>
        <w:t xml:space="preserve">本项目采用综合评分法确定中标候选人。评标委员会将按下列评分办法和标准进行评分，总分值为 </w:t>
      </w:r>
      <w:r>
        <w:rPr>
          <w:rFonts w:ascii="Times New Roman" w:hAnsi="Times New Roman" w:cs="Times New Roman"/>
          <w:color w:val="000000"/>
        </w:rPr>
        <w:t xml:space="preserve">100 </w:t>
      </w:r>
      <w:r>
        <w:rPr>
          <w:rFonts w:hint="eastAsia"/>
          <w:color w:val="000000"/>
        </w:rPr>
        <w:t xml:space="preserve">分。</w:t>
      </w:r>
      <w:r/>
    </w:p>
    <w:tbl>
      <w:tblPr>
        <w:tblStyle w:val="749"/>
        <w:tblW w:w="0" w:type="auto"/>
        <w:tblCellSpacing w:w="0" w:type="dxa"/>
        <w:tblInd w:w="-18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50"/>
        <w:gridCol w:w="1000"/>
        <w:gridCol w:w="6979"/>
        <w:gridCol w:w="638"/>
      </w:tblGrid>
      <w:tr>
        <w:trPr>
          <w:tblCellSpacing w:w="0" w:type="dxa"/>
          <w:trHeight w:val="454"/>
        </w:trPr>
        <w:tc>
          <w:tcPr>
            <w:shd w:val="clear" w:color="auto" w:fill="e7e6e6"/>
            <w:tcBorders>
              <w:top w:val="single" w:color="000000" w:sz="2" w:space="0"/>
              <w:left w:val="single" w:color="000000" w:sz="2" w:space="0"/>
              <w:bottom w:val="single" w:color="000000" w:sz="2" w:space="0"/>
              <w:right w:val="single" w:color="000000" w:sz="2" w:space="0"/>
            </w:tcBorders>
            <w:tcMar>
              <w:left w:w="108" w:type="dxa"/>
              <w:right w:w="108" w:type="dxa"/>
            </w:tcMar>
            <w:tcW w:w="750" w:type="dxa"/>
            <w:vAlign w:val="center"/>
            <w:textDirection w:val="lrTb"/>
            <w:noWrap w:val="false"/>
          </w:tcPr>
          <w:p>
            <w:pPr>
              <w:pStyle w:val="783"/>
              <w:jc w:val="both"/>
              <w:spacing w:before="0" w:beforeAutospacing="0" w:after="0" w:afterAutospacing="0" w:line="0" w:lineRule="atLeast"/>
              <w:widowControl w:val="off"/>
              <w:rPr>
                <w:highlight w:val="none"/>
              </w:rPr>
            </w:pPr>
            <w:r/>
            <w:bookmarkStart w:id="199" w:name="_GoBack"/>
            <w:r>
              <w:rPr>
                <w:rFonts w:ascii="Times New Roman" w:hAnsi="Times New Roman" w:cs="Times New Roman"/>
                <w:color w:val="000000"/>
                <w:highlight w:val="none"/>
              </w:rPr>
              <w:t xml:space="preserve">序号</w:t>
            </w:r>
            <w:r/>
          </w:p>
        </w:tc>
        <w:tc>
          <w:tcPr>
            <w:shd w:val="clear" w:color="auto" w:fill="e7e6e6"/>
            <w:tcBorders>
              <w:top w:val="single" w:color="000000" w:sz="2" w:space="0"/>
              <w:left w:val="single" w:color="000000" w:sz="2" w:space="0"/>
              <w:bottom w:val="single" w:color="000000" w:sz="2" w:space="0"/>
              <w:right w:val="single" w:color="000000" w:sz="2" w:space="0"/>
            </w:tcBorders>
            <w:tcMar>
              <w:left w:w="108" w:type="dxa"/>
              <w:right w:w="108" w:type="dxa"/>
            </w:tcMar>
            <w:tcW w:w="1000"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评审因素</w:t>
            </w:r>
            <w:r/>
          </w:p>
        </w:tc>
        <w:tc>
          <w:tcPr>
            <w:shd w:val="clear" w:color="auto" w:fill="e7e6e6"/>
            <w:tcBorders>
              <w:top w:val="single" w:color="000000" w:sz="2" w:space="0"/>
              <w:left w:val="single" w:color="000000" w:sz="2" w:space="0"/>
              <w:bottom w:val="single" w:color="000000" w:sz="2" w:space="0"/>
              <w:right w:val="single" w:color="000000" w:sz="2" w:space="0"/>
            </w:tcBorders>
            <w:tcMar>
              <w:left w:w="108" w:type="dxa"/>
              <w:right w:w="108" w:type="dxa"/>
            </w:tcMar>
            <w:tcW w:w="6984" w:type="dxa"/>
            <w:vAlign w:val="center"/>
            <w:textDirection w:val="lrTb"/>
            <w:noWrap w:val="false"/>
          </w:tcPr>
          <w:p>
            <w:pPr>
              <w:pStyle w:val="783"/>
              <w:jc w:val="center"/>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评审标准</w:t>
            </w:r>
            <w:r/>
          </w:p>
        </w:tc>
        <w:tc>
          <w:tcPr>
            <w:shd w:val="clear" w:color="auto" w:fill="e7e6e6"/>
            <w:tcBorders>
              <w:top w:val="single" w:color="000000" w:sz="2" w:space="0"/>
              <w:left w:val="single" w:color="000000" w:sz="2" w:space="0"/>
              <w:bottom w:val="single" w:color="000000" w:sz="2" w:space="0"/>
              <w:right w:val="single" w:color="000000" w:sz="2" w:space="0"/>
            </w:tcBorders>
            <w:tcMar>
              <w:left w:w="108" w:type="dxa"/>
              <w:right w:w="108" w:type="dxa"/>
            </w:tcMar>
            <w:tcW w:w="638"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分值</w:t>
            </w:r>
            <w:r/>
          </w:p>
        </w:tc>
      </w:tr>
      <w:tr>
        <w:trPr>
          <w:tblCellSpacing w:w="0" w:type="dxa"/>
          <w:trHeight w:val="397"/>
        </w:trPr>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372"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1.价格（10分）</w:t>
            </w:r>
            <w:r/>
          </w:p>
        </w:tc>
      </w:tr>
      <w:tr>
        <w:trPr>
          <w:tblCellSpacing w:w="0" w:type="dxa"/>
          <w:trHeight w:val="39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50"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1. 1</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00"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价格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984"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价格分采用低价优先法计算，即满足招标文件要求且报价最低的投标报价为评标基准价，其价格分为满分10分，其他投标人的价格分统一按照以下公式计算：投标报价得分=（评标基准价/该投标人的投标报价）×10分。分值保留小数点后 2位。</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38"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10</w:t>
            </w:r>
            <w:r/>
          </w:p>
        </w:tc>
      </w:tr>
      <w:tr>
        <w:trPr>
          <w:tblCellSpacing w:w="0" w:type="dxa"/>
          <w:trHeight w:val="397"/>
        </w:trPr>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372"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2.技术和方案（5</w:t>
            </w:r>
            <w:r>
              <w:rPr>
                <w:rFonts w:hint="eastAsia" w:ascii="Times New Roman" w:hAnsi="Times New Roman" w:cs="Times New Roman"/>
                <w:color w:val="000000"/>
                <w:highlight w:val="none"/>
              </w:rPr>
              <w:t xml:space="preserve">8</w:t>
            </w:r>
            <w:r>
              <w:rPr>
                <w:rFonts w:ascii="Times New Roman" w:hAnsi="Times New Roman" w:cs="Times New Roman"/>
                <w:color w:val="000000"/>
                <w:highlight w:val="none"/>
              </w:rPr>
              <w:t xml:space="preserve">分）</w:t>
            </w:r>
            <w:r/>
          </w:p>
        </w:tc>
      </w:tr>
      <w:tr>
        <w:trPr>
          <w:tblCellSpacing w:w="0" w:type="dxa"/>
          <w:trHeight w:val="39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50"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2. 1</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00"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技术参数响应</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984"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根据投标人投标文件的技术响应情况进行评分。招标文件第四章采购需求“技术要求”中</w:t>
            </w:r>
            <w:r>
              <w:rPr>
                <w:rFonts w:hint="eastAsia" w:ascii="Times New Roman" w:hAnsi="Times New Roman" w:cs="Times New Roman"/>
                <w:color w:val="000000"/>
                <w:highlight w:val="none"/>
              </w:rPr>
              <w:t xml:space="preserve">26个“</w:t>
            </w:r>
            <w:r>
              <w:rPr>
                <w:rFonts w:ascii="Times New Roman" w:hAnsi="Times New Roman" w:cs="Times New Roman"/>
                <w:color w:val="000000"/>
                <w:highlight w:val="none"/>
              </w:rPr>
              <w:t xml:space="preserve">▲</w:t>
            </w:r>
            <w:r>
              <w:rPr>
                <w:rFonts w:hint="eastAsia" w:ascii="Times New Roman" w:hAnsi="Times New Roman" w:cs="Times New Roman"/>
                <w:color w:val="000000"/>
                <w:highlight w:val="none"/>
              </w:rPr>
              <w:t xml:space="preserve">”</w:t>
            </w:r>
            <w:r>
              <w:rPr>
                <w:rFonts w:ascii="Times New Roman" w:hAnsi="Times New Roman" w:cs="Times New Roman"/>
                <w:color w:val="000000"/>
                <w:highlight w:val="none"/>
              </w:rPr>
              <w:t xml:space="preserve">号条款</w:t>
            </w:r>
            <w:r>
              <w:rPr>
                <w:rFonts w:hint="eastAsia" w:ascii="Times New Roman" w:hAnsi="Times New Roman" w:cs="Times New Roman"/>
                <w:color w:val="000000"/>
                <w:highlight w:val="none"/>
              </w:rPr>
              <w:t xml:space="preserve">每项0.5分，共计13分。</w:t>
            </w:r>
            <w:r>
              <w:rPr>
                <w:rFonts w:ascii="Times New Roman" w:hAnsi="Times New Roman" w:cs="Times New Roman"/>
                <w:color w:val="000000"/>
                <w:highlight w:val="none"/>
              </w:rPr>
              <w:t xml:space="preserve">（投标人需按照本采购文件的技术参数指标要求，在“技术参数响应偏离表”中如实详细填列所投产品的参数及服务承诺，并按照采购要求提供产品的技术参数的证明材料）</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38"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1</w:t>
            </w:r>
            <w:r>
              <w:rPr>
                <w:rFonts w:hint="eastAsia" w:ascii="Times New Roman" w:hAnsi="Times New Roman" w:cs="Times New Roman"/>
                <w:color w:val="000000"/>
                <w:highlight w:val="none"/>
              </w:rPr>
              <w:t xml:space="preserve">3</w:t>
            </w:r>
            <w:r/>
          </w:p>
        </w:tc>
      </w:tr>
      <w:tr>
        <w:trPr>
          <w:tblCellSpacing w:w="0" w:type="dxa"/>
          <w:trHeight w:val="39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50"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2.2</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00"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总体技术</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984"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投标人根据招标文件要求提供项目总体技术方案。方案针对性、可操作性强</w:t>
            </w:r>
            <w:r>
              <w:rPr>
                <w:rFonts w:hint="eastAsia" w:ascii="Times New Roman" w:hAnsi="Times New Roman" w:cs="Times New Roman"/>
                <w:color w:val="000000"/>
                <w:highlight w:val="none"/>
              </w:rPr>
              <w:t xml:space="preserve">，</w:t>
            </w:r>
            <w:r>
              <w:rPr>
                <w:rFonts w:ascii="Times New Roman" w:hAnsi="Times New Roman" w:cs="Times New Roman"/>
                <w:color w:val="000000"/>
                <w:highlight w:val="none"/>
              </w:rPr>
              <w:t xml:space="preserve">优于招标文件要求的得5分，有针对性、可操作</w:t>
            </w:r>
            <w:r>
              <w:rPr>
                <w:rFonts w:hint="eastAsia" w:ascii="Times New Roman" w:hAnsi="Times New Roman" w:cs="Times New Roman"/>
                <w:color w:val="000000"/>
                <w:highlight w:val="none"/>
              </w:rPr>
              <w:t xml:space="preserve">性，</w:t>
            </w:r>
            <w:r>
              <w:rPr>
                <w:highlight w:val="none"/>
              </w:rPr>
              <w:t xml:space="preserve">符合招标要求文件</w:t>
            </w:r>
            <w:r>
              <w:rPr>
                <w:rFonts w:ascii="Times New Roman" w:hAnsi="Times New Roman" w:cs="Times New Roman"/>
                <w:color w:val="000000"/>
                <w:highlight w:val="none"/>
              </w:rPr>
              <w:t xml:space="preserve">的得3分，</w:t>
            </w:r>
            <w:r>
              <w:rPr>
                <w:highlight w:val="none"/>
              </w:rPr>
              <w:t xml:space="preserve">不符合招标文件要求</w:t>
            </w:r>
            <w:r>
              <w:rPr>
                <w:rFonts w:ascii="Times New Roman" w:hAnsi="Times New Roman" w:cs="Times New Roman"/>
                <w:color w:val="000000"/>
                <w:highlight w:val="none"/>
              </w:rPr>
              <w:t xml:space="preserve">或未提供的不得分。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38"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5</w:t>
            </w:r>
            <w:r/>
          </w:p>
        </w:tc>
      </w:tr>
      <w:tr>
        <w:trPr>
          <w:tblCellSpacing w:w="0" w:type="dxa"/>
          <w:trHeight w:val="39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50"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2.3</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00"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运营支撑</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984"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投标人根据招标文件要求提供运营支撑方案。方案针对性、可操作性强</w:t>
            </w:r>
            <w:r>
              <w:rPr>
                <w:rFonts w:hint="eastAsia" w:ascii="Times New Roman" w:hAnsi="Times New Roman" w:cs="Times New Roman"/>
                <w:color w:val="000000"/>
                <w:highlight w:val="none"/>
              </w:rPr>
              <w:t xml:space="preserve">，</w:t>
            </w:r>
            <w:r>
              <w:rPr>
                <w:rFonts w:ascii="Times New Roman" w:hAnsi="Times New Roman" w:cs="Times New Roman"/>
                <w:color w:val="000000"/>
                <w:highlight w:val="none"/>
              </w:rPr>
              <w:t xml:space="preserve">优于招标文件要求的得5分，有针对性、可操作</w:t>
            </w:r>
            <w:r>
              <w:rPr>
                <w:rFonts w:hint="eastAsia" w:ascii="Times New Roman" w:hAnsi="Times New Roman" w:cs="Times New Roman"/>
                <w:color w:val="000000"/>
                <w:highlight w:val="none"/>
              </w:rPr>
              <w:t xml:space="preserve">性，</w:t>
            </w:r>
            <w:r>
              <w:rPr>
                <w:highlight w:val="none"/>
              </w:rPr>
              <w:t xml:space="preserve">符合招标要求文件</w:t>
            </w:r>
            <w:r>
              <w:rPr>
                <w:rFonts w:ascii="Times New Roman" w:hAnsi="Times New Roman" w:cs="Times New Roman"/>
                <w:color w:val="000000"/>
                <w:highlight w:val="none"/>
              </w:rPr>
              <w:t xml:space="preserve">的得3分，</w:t>
            </w:r>
            <w:r>
              <w:rPr>
                <w:highlight w:val="none"/>
              </w:rPr>
              <w:t xml:space="preserve">不符合招标文件要求</w:t>
            </w:r>
            <w:r>
              <w:rPr>
                <w:rFonts w:ascii="Times New Roman" w:hAnsi="Times New Roman" w:cs="Times New Roman"/>
                <w:color w:val="000000"/>
                <w:highlight w:val="none"/>
              </w:rPr>
              <w:t xml:space="preserve">或未提供的不得分。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38"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5</w:t>
            </w:r>
            <w:r/>
          </w:p>
        </w:tc>
      </w:tr>
      <w:tr>
        <w:trPr>
          <w:tblCellSpacing w:w="0" w:type="dxa"/>
          <w:trHeight w:val="39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50"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2.4</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00"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平台对接</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984"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投标人提供与国家局视频会议系统对接方案。方案针对性、可操作性强</w:t>
            </w:r>
            <w:r>
              <w:rPr>
                <w:rFonts w:hint="eastAsia" w:ascii="Times New Roman" w:hAnsi="Times New Roman" w:cs="Times New Roman"/>
                <w:color w:val="000000"/>
                <w:highlight w:val="none"/>
              </w:rPr>
              <w:t xml:space="preserve">，</w:t>
            </w:r>
            <w:r>
              <w:rPr>
                <w:rFonts w:ascii="Times New Roman" w:hAnsi="Times New Roman" w:cs="Times New Roman"/>
                <w:color w:val="000000"/>
                <w:highlight w:val="none"/>
              </w:rPr>
              <w:t xml:space="preserve">优于招标文件要求的得5分，有针对性、可操作</w:t>
            </w:r>
            <w:r>
              <w:rPr>
                <w:rFonts w:hint="eastAsia" w:ascii="Times New Roman" w:hAnsi="Times New Roman" w:cs="Times New Roman"/>
                <w:color w:val="000000"/>
                <w:highlight w:val="none"/>
              </w:rPr>
              <w:t xml:space="preserve">性，</w:t>
            </w:r>
            <w:r>
              <w:rPr>
                <w:highlight w:val="none"/>
              </w:rPr>
              <w:t xml:space="preserve">符合招标要求文件</w:t>
            </w:r>
            <w:r>
              <w:rPr>
                <w:rFonts w:ascii="Times New Roman" w:hAnsi="Times New Roman" w:cs="Times New Roman"/>
                <w:color w:val="000000"/>
                <w:highlight w:val="none"/>
              </w:rPr>
              <w:t xml:space="preserve">的得3分，</w:t>
            </w:r>
            <w:r>
              <w:rPr>
                <w:highlight w:val="none"/>
              </w:rPr>
              <w:t xml:space="preserve">不符合招标文件要求</w:t>
            </w:r>
            <w:r>
              <w:rPr>
                <w:rFonts w:ascii="Times New Roman" w:hAnsi="Times New Roman" w:cs="Times New Roman"/>
                <w:color w:val="000000"/>
                <w:highlight w:val="none"/>
              </w:rPr>
              <w:t xml:space="preserve">或未提供的不得分。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38"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5</w:t>
            </w:r>
            <w:r/>
          </w:p>
        </w:tc>
      </w:tr>
      <w:tr>
        <w:trPr>
          <w:tblCellSpacing w:w="0" w:type="dxa"/>
          <w:trHeight w:val="39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50"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2.5</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00"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项目实施</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984"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投标人应根据招标文件要求提供项目实施方案。方案针对性、可操作性强</w:t>
            </w:r>
            <w:r>
              <w:rPr>
                <w:rFonts w:hint="eastAsia" w:ascii="Times New Roman" w:hAnsi="Times New Roman" w:cs="Times New Roman"/>
                <w:color w:val="000000"/>
                <w:highlight w:val="none"/>
              </w:rPr>
              <w:t xml:space="preserve">，</w:t>
            </w:r>
            <w:r>
              <w:rPr>
                <w:rFonts w:ascii="Times New Roman" w:hAnsi="Times New Roman" w:cs="Times New Roman"/>
                <w:color w:val="000000"/>
                <w:highlight w:val="none"/>
              </w:rPr>
              <w:t xml:space="preserve">优于招标文件要求的得5分，有针对性、可操作</w:t>
            </w:r>
            <w:r>
              <w:rPr>
                <w:rFonts w:hint="eastAsia" w:ascii="Times New Roman" w:hAnsi="Times New Roman" w:cs="Times New Roman"/>
                <w:color w:val="000000"/>
                <w:highlight w:val="none"/>
              </w:rPr>
              <w:t xml:space="preserve">性，</w:t>
            </w:r>
            <w:r>
              <w:rPr>
                <w:highlight w:val="none"/>
              </w:rPr>
              <w:t xml:space="preserve">符合招标要求文件</w:t>
            </w:r>
            <w:r>
              <w:rPr>
                <w:rFonts w:ascii="Times New Roman" w:hAnsi="Times New Roman" w:cs="Times New Roman"/>
                <w:color w:val="000000"/>
                <w:highlight w:val="none"/>
              </w:rPr>
              <w:t xml:space="preserve">的得3分，</w:t>
            </w:r>
            <w:r>
              <w:rPr>
                <w:highlight w:val="none"/>
              </w:rPr>
              <w:t xml:space="preserve">不符合招标文件要求</w:t>
            </w:r>
            <w:r>
              <w:rPr>
                <w:rFonts w:ascii="Times New Roman" w:hAnsi="Times New Roman" w:cs="Times New Roman"/>
                <w:color w:val="000000"/>
                <w:highlight w:val="none"/>
              </w:rPr>
              <w:t xml:space="preserve">或未提供的不得分。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38"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5</w:t>
            </w:r>
            <w:r/>
          </w:p>
        </w:tc>
      </w:tr>
      <w:tr>
        <w:trPr>
          <w:tblCellSpacing w:w="0" w:type="dxa"/>
          <w:trHeight w:val="39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50"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2.6</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00"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项目文档管理方案</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984"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投标人应根据招标文件要求制定项目文档管理方案，涵盖配置记录、运维日志等关键文档的分类、更新、归档。方案针对性、可操作性强</w:t>
            </w:r>
            <w:r>
              <w:rPr>
                <w:rFonts w:hint="eastAsia" w:ascii="Times New Roman" w:hAnsi="Times New Roman" w:cs="Times New Roman"/>
                <w:color w:val="000000"/>
                <w:highlight w:val="none"/>
              </w:rPr>
              <w:t xml:space="preserve">，</w:t>
            </w:r>
            <w:r>
              <w:rPr>
                <w:rFonts w:ascii="Times New Roman" w:hAnsi="Times New Roman" w:cs="Times New Roman"/>
                <w:color w:val="000000"/>
                <w:highlight w:val="none"/>
              </w:rPr>
              <w:t xml:space="preserve">优于招标文件要求的得5分，有针对性、可操作</w:t>
            </w:r>
            <w:r>
              <w:rPr>
                <w:rFonts w:hint="eastAsia" w:ascii="Times New Roman" w:hAnsi="Times New Roman" w:cs="Times New Roman"/>
                <w:color w:val="000000"/>
                <w:highlight w:val="none"/>
              </w:rPr>
              <w:t xml:space="preserve">性，</w:t>
            </w:r>
            <w:r>
              <w:rPr>
                <w:highlight w:val="none"/>
              </w:rPr>
              <w:t xml:space="preserve">符合招标要求文件</w:t>
            </w:r>
            <w:r>
              <w:rPr>
                <w:rFonts w:ascii="Times New Roman" w:hAnsi="Times New Roman" w:cs="Times New Roman"/>
                <w:color w:val="000000"/>
                <w:highlight w:val="none"/>
              </w:rPr>
              <w:t xml:space="preserve">的得3分，</w:t>
            </w:r>
            <w:r>
              <w:rPr>
                <w:highlight w:val="none"/>
              </w:rPr>
              <w:t xml:space="preserve">不符合招标文件要求</w:t>
            </w:r>
            <w:r>
              <w:rPr>
                <w:rFonts w:ascii="Times New Roman" w:hAnsi="Times New Roman" w:cs="Times New Roman"/>
                <w:color w:val="000000"/>
                <w:highlight w:val="none"/>
              </w:rPr>
              <w:t xml:space="preserve">或未提供的不得分。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38"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5</w:t>
            </w:r>
            <w:r/>
          </w:p>
        </w:tc>
      </w:tr>
      <w:tr>
        <w:trPr>
          <w:tblCellSpacing w:w="0" w:type="dxa"/>
          <w:trHeight w:val="39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50"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2.7</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00"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运维服务</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984"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投标人应根据招标文件要求制定运维服务方案。方案针对性、可操作性强得5分，有针对性、可操作的得3分，针对性、可操作性不强或未提供的不得分。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38"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5</w:t>
            </w:r>
            <w:r/>
          </w:p>
        </w:tc>
      </w:tr>
      <w:tr>
        <w:trPr>
          <w:tblCellSpacing w:w="0" w:type="dxa"/>
          <w:trHeight w:val="39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50"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2.8</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00"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培训服务</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984"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投标人应根据招标文件要求制定培训服务方案。方案针对性、可操作性强</w:t>
            </w:r>
            <w:r>
              <w:rPr>
                <w:rFonts w:hint="eastAsia" w:ascii="Times New Roman" w:hAnsi="Times New Roman" w:cs="Times New Roman"/>
                <w:color w:val="000000"/>
                <w:highlight w:val="none"/>
              </w:rPr>
              <w:t xml:space="preserve">，</w:t>
            </w:r>
            <w:r>
              <w:rPr>
                <w:rFonts w:ascii="Times New Roman" w:hAnsi="Times New Roman" w:cs="Times New Roman"/>
                <w:color w:val="000000"/>
                <w:highlight w:val="none"/>
              </w:rPr>
              <w:t xml:space="preserve">优于招标文件要求的得5分，有针对性、可操作</w:t>
            </w:r>
            <w:r>
              <w:rPr>
                <w:rFonts w:hint="eastAsia" w:ascii="Times New Roman" w:hAnsi="Times New Roman" w:cs="Times New Roman"/>
                <w:color w:val="000000"/>
                <w:highlight w:val="none"/>
              </w:rPr>
              <w:t xml:space="preserve">性，</w:t>
            </w:r>
            <w:r>
              <w:rPr>
                <w:highlight w:val="none"/>
              </w:rPr>
              <w:t xml:space="preserve">符合招标要求文件</w:t>
            </w:r>
            <w:r>
              <w:rPr>
                <w:rFonts w:ascii="Times New Roman" w:hAnsi="Times New Roman" w:cs="Times New Roman"/>
                <w:color w:val="000000"/>
                <w:highlight w:val="none"/>
              </w:rPr>
              <w:t xml:space="preserve">的得3分，</w:t>
            </w:r>
            <w:r>
              <w:rPr>
                <w:highlight w:val="none"/>
              </w:rPr>
              <w:t xml:space="preserve">不符合招标文件要求</w:t>
            </w:r>
            <w:r>
              <w:rPr>
                <w:rFonts w:ascii="Times New Roman" w:hAnsi="Times New Roman" w:cs="Times New Roman"/>
                <w:color w:val="000000"/>
                <w:highlight w:val="none"/>
              </w:rPr>
              <w:t xml:space="preserve">或未提供的不得分。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38"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5</w:t>
            </w:r>
            <w:r/>
          </w:p>
        </w:tc>
      </w:tr>
      <w:tr>
        <w:trPr>
          <w:tblCellSpacing w:w="0" w:type="dxa"/>
          <w:trHeight w:val="39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50"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2.9</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00"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会议现场保障服务</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984"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投标人应根据招标文件要求制定会议现场保障服务方案。方案针对性、可操作性强</w:t>
            </w:r>
            <w:r>
              <w:rPr>
                <w:rFonts w:hint="eastAsia" w:ascii="Times New Roman" w:hAnsi="Times New Roman" w:cs="Times New Roman"/>
                <w:color w:val="000000"/>
                <w:highlight w:val="none"/>
              </w:rPr>
              <w:t xml:space="preserve">，</w:t>
            </w:r>
            <w:r>
              <w:rPr>
                <w:rFonts w:ascii="Times New Roman" w:hAnsi="Times New Roman" w:cs="Times New Roman"/>
                <w:color w:val="000000"/>
                <w:highlight w:val="none"/>
              </w:rPr>
              <w:t xml:space="preserve">优于招标文件要求的得5分，有针对性、可操作</w:t>
            </w:r>
            <w:r>
              <w:rPr>
                <w:rFonts w:hint="eastAsia" w:ascii="Times New Roman" w:hAnsi="Times New Roman" w:cs="Times New Roman"/>
                <w:color w:val="000000"/>
                <w:highlight w:val="none"/>
              </w:rPr>
              <w:t xml:space="preserve">性，</w:t>
            </w:r>
            <w:r>
              <w:rPr>
                <w:highlight w:val="none"/>
              </w:rPr>
              <w:t xml:space="preserve">符合招标要求文件</w:t>
            </w:r>
            <w:r>
              <w:rPr>
                <w:rFonts w:ascii="Times New Roman" w:hAnsi="Times New Roman" w:cs="Times New Roman"/>
                <w:color w:val="000000"/>
                <w:highlight w:val="none"/>
              </w:rPr>
              <w:t xml:space="preserve">的得3分，</w:t>
            </w:r>
            <w:r>
              <w:rPr>
                <w:highlight w:val="none"/>
              </w:rPr>
              <w:t xml:space="preserve">不符合招标文件要求</w:t>
            </w:r>
            <w:r>
              <w:rPr>
                <w:rFonts w:ascii="Times New Roman" w:hAnsi="Times New Roman" w:cs="Times New Roman"/>
                <w:color w:val="000000"/>
                <w:highlight w:val="none"/>
              </w:rPr>
              <w:t xml:space="preserve">或未提供的不得分。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38"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5</w:t>
            </w:r>
            <w:r/>
          </w:p>
        </w:tc>
      </w:tr>
      <w:tr>
        <w:trPr>
          <w:tblCellSpacing w:w="0" w:type="dxa"/>
          <w:trHeight w:val="39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50"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2.10</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00"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服务质量控制</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984"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投标人应根据招标文件要求制定服务质量控制方案。方案针对性、可操作性强</w:t>
            </w:r>
            <w:r>
              <w:rPr>
                <w:rFonts w:hint="eastAsia" w:ascii="Times New Roman" w:hAnsi="Times New Roman" w:cs="Times New Roman"/>
                <w:color w:val="000000"/>
                <w:highlight w:val="none"/>
              </w:rPr>
              <w:t xml:space="preserve">，</w:t>
            </w:r>
            <w:r>
              <w:rPr>
                <w:rFonts w:ascii="Times New Roman" w:hAnsi="Times New Roman" w:cs="Times New Roman"/>
                <w:color w:val="000000"/>
                <w:highlight w:val="none"/>
              </w:rPr>
              <w:t xml:space="preserve">优于招标文件要求的得5分，有针对性、可操作</w:t>
            </w:r>
            <w:r>
              <w:rPr>
                <w:rFonts w:hint="eastAsia" w:ascii="Times New Roman" w:hAnsi="Times New Roman" w:cs="Times New Roman"/>
                <w:color w:val="000000"/>
                <w:highlight w:val="none"/>
              </w:rPr>
              <w:t xml:space="preserve">性，</w:t>
            </w:r>
            <w:r>
              <w:rPr>
                <w:highlight w:val="none"/>
              </w:rPr>
              <w:t xml:space="preserve">符合招标要求文件</w:t>
            </w:r>
            <w:r>
              <w:rPr>
                <w:rFonts w:ascii="Times New Roman" w:hAnsi="Times New Roman" w:cs="Times New Roman"/>
                <w:color w:val="000000"/>
                <w:highlight w:val="none"/>
              </w:rPr>
              <w:t xml:space="preserve">的得3分，</w:t>
            </w:r>
            <w:r>
              <w:rPr>
                <w:highlight w:val="none"/>
              </w:rPr>
              <w:t xml:space="preserve">不符合招标文件要求</w:t>
            </w:r>
            <w:r>
              <w:rPr>
                <w:rFonts w:ascii="Times New Roman" w:hAnsi="Times New Roman" w:cs="Times New Roman"/>
                <w:color w:val="000000"/>
                <w:highlight w:val="none"/>
              </w:rPr>
              <w:t xml:space="preserve">或未提供的不得分。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38"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5</w:t>
            </w:r>
            <w:r/>
          </w:p>
        </w:tc>
      </w:tr>
      <w:tr>
        <w:trPr>
          <w:tblCellSpacing w:w="0" w:type="dxa"/>
          <w:trHeight w:val="397"/>
        </w:trPr>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372"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3.履约能力（</w:t>
            </w:r>
            <w:r>
              <w:rPr>
                <w:rFonts w:hint="eastAsia" w:ascii="Times New Roman" w:hAnsi="Times New Roman" w:cs="Times New Roman"/>
                <w:color w:val="000000"/>
                <w:highlight w:val="none"/>
              </w:rPr>
              <w:t xml:space="preserve">6</w:t>
            </w:r>
            <w:r>
              <w:rPr>
                <w:rFonts w:ascii="Times New Roman" w:hAnsi="Times New Roman" w:cs="Times New Roman"/>
                <w:color w:val="000000"/>
                <w:highlight w:val="none"/>
              </w:rPr>
              <w:t xml:space="preserve">分）</w:t>
            </w:r>
            <w:r/>
          </w:p>
        </w:tc>
      </w:tr>
      <w:tr>
        <w:trPr>
          <w:tblCellSpacing w:w="0" w:type="dxa"/>
          <w:trHeight w:val="39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50"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3.1</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00"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资质证书</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984"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投标人具有有效期内的国家认监委认可的认证机构颁发的ISO9001服务质量管理体系评价证书、ISO20000信息技术服务管理体系认证、ISO27001信息安全管理体系认证、ISO10015培训管理体系认证、ISO22301业务连续性管理体系认证、ISO29151个人数据隐私保护管理体系认证证书的，每提供一种得1分</w:t>
            </w:r>
            <w:r>
              <w:rPr>
                <w:rFonts w:hint="eastAsia" w:ascii="Times New Roman" w:hAnsi="Times New Roman" w:cs="Times New Roman"/>
                <w:color w:val="000000"/>
                <w:highlight w:val="none"/>
              </w:rPr>
              <w:t xml:space="preserve">，</w:t>
            </w:r>
            <w:r>
              <w:rPr>
                <w:rFonts w:ascii="Times New Roman" w:hAnsi="Times New Roman" w:cs="Times New Roman"/>
                <w:color w:val="000000"/>
                <w:highlight w:val="none"/>
              </w:rPr>
              <w:t xml:space="preserve">最高得</w:t>
            </w:r>
            <w:r>
              <w:rPr>
                <w:rFonts w:hint="eastAsia" w:ascii="Times New Roman" w:hAnsi="Times New Roman" w:cs="Times New Roman"/>
                <w:color w:val="000000"/>
                <w:highlight w:val="none"/>
              </w:rPr>
              <w:t xml:space="preserve">6</w:t>
            </w:r>
            <w:r>
              <w:rPr>
                <w:rFonts w:ascii="Times New Roman" w:hAnsi="Times New Roman" w:cs="Times New Roman"/>
                <w:color w:val="000000"/>
                <w:highlight w:val="none"/>
              </w:rPr>
              <w:t xml:space="preserve">分，未提供的不得分。（需提供相关证书复印件加盖公章）</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38" w:type="dxa"/>
            <w:vAlign w:val="center"/>
            <w:textDirection w:val="lrTb"/>
            <w:noWrap w:val="false"/>
          </w:tcPr>
          <w:p>
            <w:pPr>
              <w:pStyle w:val="783"/>
              <w:jc w:val="both"/>
              <w:spacing w:before="0" w:beforeAutospacing="0" w:after="0" w:afterAutospacing="0" w:line="0" w:lineRule="atLeast"/>
              <w:widowControl w:val="off"/>
              <w:rPr>
                <w:highlight w:val="none"/>
              </w:rPr>
            </w:pPr>
            <w:r>
              <w:rPr>
                <w:rFonts w:hint="eastAsia"/>
                <w:highlight w:val="none"/>
              </w:rPr>
              <w:t xml:space="preserve">6</w:t>
            </w:r>
            <w:r/>
          </w:p>
        </w:tc>
      </w:tr>
      <w:tr>
        <w:trPr>
          <w:tblCellSpacing w:w="0" w:type="dxa"/>
          <w:trHeight w:val="397"/>
        </w:trPr>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372"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4.服务（16分）</w:t>
            </w:r>
            <w:r/>
          </w:p>
        </w:tc>
      </w:tr>
      <w:tr>
        <w:trPr>
          <w:tblCellSpacing w:w="0" w:type="dxa"/>
          <w:trHeight w:val="397"/>
        </w:trPr>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372"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注：此项人员（包括项目经理、技术负责人和团队成员）需提供证书复印件以及投标人为相关人员在距离投标文件递交截止时间前3个月内任意1个月缴纳社保的证明文件扫描件，并加盖投标人公章。</w:t>
            </w:r>
            <w:r/>
          </w:p>
        </w:tc>
      </w:tr>
      <w:tr>
        <w:trPr>
          <w:tblCellSpacing w:w="0" w:type="dxa"/>
          <w:trHeight w:val="39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50"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4. 1</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00"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项目经理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984"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项目配备项目经理1人。项目经理具有正高级工程师职称、高级信息系统项目管理师、高级系统架构设计师、注册信息安全管理人员（CISO）、CISAW信息安全保障人员认证证书的，每提供1个得1.5分，最多得6分。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38"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6</w:t>
            </w:r>
            <w:r/>
          </w:p>
        </w:tc>
      </w:tr>
      <w:tr>
        <w:trPr>
          <w:tblCellSpacing w:w="0" w:type="dxa"/>
          <w:trHeight w:val="39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50"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4.2</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00"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技术负责人</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984"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项目配备技术负责人1人。技术负责人具有高级信息系统项目管理师、高级系统架构设计师、注册信息安全管理人员（CISO）证书、CISAW信息安全保障人员认证的，每提供1种证书得2.5分，此项最多得5分。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38"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5</w:t>
            </w:r>
            <w:r/>
          </w:p>
        </w:tc>
      </w:tr>
      <w:tr>
        <w:trPr>
          <w:tblCellSpacing w:w="0" w:type="dxa"/>
          <w:trHeight w:val="39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50"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4.3</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00"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团队成员</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984"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团队成员不少于3人（除项目经理、技术负责人外）具有系统集成项目管理工程师、CISAW信息安全保障人员认证（应急服务）证书的，每提供1种证书得1分，每人最多得2分，此项最多得5分。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38"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5</w:t>
            </w:r>
            <w:r/>
          </w:p>
        </w:tc>
      </w:tr>
      <w:tr>
        <w:trPr>
          <w:tblCellSpacing w:w="0" w:type="dxa"/>
          <w:trHeight w:val="397"/>
        </w:trPr>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372"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5.业绩（10分）</w:t>
            </w:r>
            <w:r/>
          </w:p>
        </w:tc>
      </w:tr>
      <w:tr>
        <w:trPr>
          <w:tblCellSpacing w:w="0" w:type="dxa"/>
          <w:trHeight w:val="39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50"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5. 1</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00"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业绩案例</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984" w:type="dxa"/>
            <w:vAlign w:val="center"/>
            <w:textDirection w:val="lrTb"/>
            <w:noWrap w:val="false"/>
          </w:tcPr>
          <w:p>
            <w:pPr>
              <w:pStyle w:val="783"/>
              <w:ind w:right="104"/>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投标人提供2023年1月以来签订的类似服务合同（须包含“视频会议”或“远程会商”或“远程视频”），每提供一个得2分，最高得10分（需提供合同关键页复印件并加盖投标人公章）。</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38"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10</w:t>
            </w:r>
            <w:r/>
          </w:p>
        </w:tc>
      </w:tr>
      <w:tr>
        <w:trPr>
          <w:tblCellSpacing w:w="0" w:type="dxa"/>
          <w:trHeight w:val="397"/>
        </w:trPr>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8734"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合计：</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38" w:type="dxa"/>
            <w:vAlign w:val="center"/>
            <w:textDirection w:val="lrTb"/>
            <w:noWrap w:val="false"/>
          </w:tcPr>
          <w:p>
            <w:pPr>
              <w:pStyle w:val="783"/>
              <w:jc w:val="both"/>
              <w:spacing w:before="0" w:beforeAutospacing="0" w:after="0" w:afterAutospacing="0" w:line="0" w:lineRule="atLeast"/>
              <w:widowControl w:val="off"/>
              <w:rPr>
                <w:highlight w:val="none"/>
              </w:rPr>
            </w:pPr>
            <w:r>
              <w:rPr>
                <w:rFonts w:ascii="Times New Roman" w:hAnsi="Times New Roman" w:cs="Times New Roman"/>
                <w:color w:val="000000"/>
                <w:highlight w:val="none"/>
              </w:rPr>
              <w:t xml:space="preserve">100</w:t>
            </w:r>
            <w:bookmarkEnd w:id="199"/>
            <w:r/>
            <w:r/>
          </w:p>
        </w:tc>
      </w:tr>
    </w:tbl>
    <w:p>
      <w:pPr>
        <w:pStyle w:val="739"/>
        <w:rPr>
          <w:rFonts w:ascii="黑体" w:eastAsia="黑体"/>
          <w:bCs/>
          <w:sz w:val="44"/>
        </w:rPr>
      </w:pPr>
      <w:r>
        <w:rPr>
          <w:rFonts w:ascii="黑体" w:eastAsia="黑体"/>
          <w:bCs/>
          <w:sz w:val="44"/>
        </w:rPr>
      </w:r>
      <w:r/>
    </w:p>
    <w:p>
      <w:pPr>
        <w:pStyle w:val="739"/>
        <w:rPr>
          <w:rFonts w:ascii="黑体" w:eastAsia="黑体"/>
          <w:bCs/>
          <w:sz w:val="44"/>
        </w:rPr>
      </w:pPr>
      <w:r>
        <w:rPr>
          <w:rFonts w:ascii="黑体" w:eastAsia="黑体"/>
          <w:bCs/>
          <w:sz w:val="44"/>
        </w:rPr>
      </w:r>
      <w:r/>
    </w:p>
    <w:p>
      <w:pPr>
        <w:pStyle w:val="739"/>
        <w:rPr>
          <w:rFonts w:ascii="黑体" w:eastAsia="黑体"/>
          <w:bCs/>
          <w:sz w:val="44"/>
        </w:rPr>
      </w:pPr>
      <w:r>
        <w:rPr>
          <w:rFonts w:hint="eastAsia" w:ascii="黑体" w:eastAsia="黑体"/>
          <w:bCs/>
          <w:sz w:val="44"/>
        </w:rPr>
        <w:t xml:space="preserve">第六章  投标</w:t>
      </w:r>
      <w:bookmarkEnd w:id="190"/>
      <w:r/>
      <w:bookmarkEnd w:id="191"/>
      <w:r/>
      <w:bookmarkEnd w:id="192"/>
      <w:r>
        <w:rPr>
          <w:rFonts w:hint="eastAsia" w:ascii="黑体" w:eastAsia="黑体"/>
          <w:bCs/>
          <w:sz w:val="44"/>
        </w:rPr>
        <w:t xml:space="preserve">文件格式 </w:t>
      </w:r>
      <w:r/>
    </w:p>
    <w:p>
      <w:pPr>
        <w:jc w:val="center"/>
        <w:rPr>
          <w:rFonts w:ascii="宋体" w:hAnsi="宋体"/>
          <w:b/>
          <w:sz w:val="72"/>
        </w:rPr>
      </w:pPr>
      <w:r/>
      <w:bookmarkStart w:id="193" w:name="_Hlt26671244"/>
      <w:r/>
      <w:bookmarkEnd w:id="193"/>
      <w:r/>
      <w:bookmarkStart w:id="194" w:name="_Hlt26955039"/>
      <w:r/>
      <w:bookmarkEnd w:id="194"/>
      <w:r/>
      <w:bookmarkStart w:id="195" w:name="_Toc26554094"/>
      <w:r/>
      <w:bookmarkStart w:id="196" w:name="_Toc120614282"/>
      <w:r/>
      <w:bookmarkStart w:id="197" w:name="_Toc49090576"/>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eastAsia="仿宋_GB2312"/>
          <w:sz w:val="24"/>
          <w:szCs w:val="20"/>
        </w:rPr>
      </w:pPr>
      <w:r>
        <w:rPr>
          <w:rFonts w:hint="eastAsia" w:ascii="宋体" w:hAnsi="宋体"/>
          <w:b/>
          <w:sz w:val="24"/>
          <w:szCs w:val="24"/>
        </w:rPr>
        <w:t xml:space="preserve">附件1 开标一览表</w:t>
      </w:r>
      <w:r/>
    </w:p>
    <w:p>
      <w:pPr>
        <w:ind w:firstLine="482"/>
        <w:spacing w:line="0" w:lineRule="atLeast"/>
        <w:rPr>
          <w:rFonts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采购编号：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74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79"/>
              <w:ind w:firstLine="0"/>
              <w:spacing w:before="0" w:after="0" w:line="500" w:lineRule="exact"/>
              <w:rPr>
                <w:rFonts w:ascii="宋体" w:hAnsi="宋体"/>
                <w:szCs w:val="21"/>
              </w:rPr>
            </w:pPr>
            <w:r>
              <w:rPr>
                <w:rFonts w:hint="eastAsia" w:ascii="宋体" w:hAnsi="宋体" w:cs="宋体"/>
              </w:rPr>
              <w:t xml:space="preserve">小写：                             （人民币：元）</w:t>
            </w:r>
            <w:r/>
          </w:p>
        </w:tc>
      </w:tr>
    </w:tbl>
    <w:p>
      <w:pPr>
        <w:ind w:firstLine="480"/>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附件2 投标分项报价表（采购包号：**）</w:t>
      </w:r>
      <w:r/>
    </w:p>
    <w:tbl>
      <w:tblPr>
        <w:tblStyle w:val="749"/>
        <w:tblW w:w="8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w:t>
            </w:r>
            <w:r/>
          </w:p>
        </w:tc>
        <w:tc>
          <w:tcPr>
            <w:tcW w:w="12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7"/>
            <w:tcW w:w="8339" w:type="dxa"/>
            <w:vAlign w:val="center"/>
            <w:textDirection w:val="lrTb"/>
            <w:noWrap w:val="false"/>
          </w:tcPr>
          <w:p>
            <w:pPr>
              <w:spacing w:line="0" w:lineRule="atLeast"/>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0" w:lineRule="atLeast"/>
        <w:rPr>
          <w:rFonts w:ascii="宋体" w:hAnsi="宋体"/>
          <w:sz w:val="24"/>
          <w:szCs w:val="24"/>
        </w:rPr>
      </w:pPr>
      <w:r>
        <w:rPr>
          <w:rFonts w:ascii="宋体" w:hAnsi="宋体"/>
          <w:sz w:val="24"/>
          <w:szCs w:val="24"/>
        </w:rPr>
      </w:r>
      <w:r/>
    </w:p>
    <w:p>
      <w:pPr>
        <w:jc w:val="center"/>
        <w:spacing w:line="0" w:lineRule="atLeast"/>
        <w:rPr>
          <w:rFonts w:ascii="宋体" w:hAnsi="宋体" w:cs="宋体"/>
          <w:b/>
          <w:sz w:val="24"/>
          <w:szCs w:val="24"/>
        </w:rPr>
      </w:pPr>
      <w:r>
        <w:rPr>
          <w:rFonts w:hint="eastAsia" w:ascii="宋体" w:hAnsi="宋体" w:cs="宋体"/>
          <w:b/>
          <w:sz w:val="24"/>
          <w:szCs w:val="24"/>
        </w:rPr>
        <w:t xml:space="preserve">人员工资、社会保险和公积金三项费用报价表（采购包号：**）</w:t>
      </w:r>
      <w:r/>
    </w:p>
    <w:tbl>
      <w:tblPr>
        <w:tblStyle w:val="749"/>
        <w:tblW w:w="4888" w:type="pct"/>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1520"/>
        <w:gridCol w:w="723"/>
        <w:gridCol w:w="965"/>
        <w:gridCol w:w="1123"/>
        <w:gridCol w:w="1135"/>
        <w:gridCol w:w="2884"/>
      </w:tblGrid>
      <w:tr>
        <w:trPr>
          <w:trHeight w:val="369"/>
        </w:trPr>
        <w:tc>
          <w:tcPr>
            <w:tcW w:w="34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tcW w:w="848"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40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538"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626"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期 限</w:t>
            </w:r>
            <w:r/>
          </w:p>
        </w:tc>
        <w:tc>
          <w:tcPr>
            <w:tcW w:w="63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总价1</w:t>
            </w:r>
            <w:r/>
          </w:p>
        </w:tc>
        <w:tc>
          <w:tcPr>
            <w:tcW w:w="1605"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trHeight w:val="369"/>
        </w:trPr>
        <w:tc>
          <w:tcPr>
            <w:tcW w:w="34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1</w:t>
            </w:r>
            <w:r/>
          </w:p>
        </w:tc>
        <w:tc>
          <w:tcPr>
            <w:tcW w:w="848"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人员工资</w:t>
            </w:r>
            <w:r/>
          </w:p>
        </w:tc>
        <w:tc>
          <w:tcPr>
            <w:tcW w:w="40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人数</w:t>
            </w:r>
            <w:r/>
          </w:p>
        </w:tc>
        <w:tc>
          <w:tcPr>
            <w:tcW w:w="538"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元/月·人</w:t>
            </w:r>
            <w:r/>
          </w:p>
        </w:tc>
        <w:tc>
          <w:tcPr>
            <w:tcW w:w="626"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63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605" w:type="pct"/>
            <w:vAlign w:val="center"/>
            <w:vMerge w:val="continue"/>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343"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1.1</w:t>
            </w:r>
            <w:r/>
          </w:p>
        </w:tc>
        <w:tc>
          <w:tcPr>
            <w:tcW w:w="848"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岗位1（如：保洁员1）</w:t>
            </w:r>
            <w:r/>
          </w:p>
        </w:tc>
        <w:tc>
          <w:tcPr>
            <w:tcW w:w="40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538"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626"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633"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605"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tcW w:w="343"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1.2</w:t>
            </w:r>
            <w:r/>
          </w:p>
        </w:tc>
        <w:tc>
          <w:tcPr>
            <w:tcW w:w="848"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岗位2（如：保洁员2）</w:t>
            </w:r>
            <w:r/>
          </w:p>
        </w:tc>
        <w:tc>
          <w:tcPr>
            <w:tcW w:w="40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538"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626"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633"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605"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tcW w:w="343"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1.3</w:t>
            </w:r>
            <w:r/>
          </w:p>
        </w:tc>
        <w:tc>
          <w:tcPr>
            <w:tcW w:w="848"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40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538"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626"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633"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605"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gridSpan w:val="7"/>
            <w:tcW w:w="5000" w:type="pct"/>
            <w:vAlign w:val="center"/>
            <w:textDirection w:val="lrTb"/>
            <w:noWrap w:val="false"/>
          </w:tcPr>
          <w:p>
            <w:pPr>
              <w:jc w:val="left"/>
              <w:spacing w:line="0" w:lineRule="atLeast"/>
              <w:rPr>
                <w:rFonts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trHeight w:val="369"/>
        </w:trPr>
        <w:tc>
          <w:tcPr>
            <w:tcW w:w="34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tcW w:w="848"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40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538"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626"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 期 限</w:t>
            </w:r>
            <w:r/>
          </w:p>
        </w:tc>
        <w:tc>
          <w:tcPr>
            <w:tcW w:w="63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总价2</w:t>
            </w:r>
            <w:r/>
          </w:p>
        </w:tc>
        <w:tc>
          <w:tcPr>
            <w:tcW w:w="1605"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trHeight w:val="628"/>
        </w:trPr>
        <w:tc>
          <w:tcPr>
            <w:tcW w:w="34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2</w:t>
            </w:r>
            <w:r/>
          </w:p>
        </w:tc>
        <w:tc>
          <w:tcPr>
            <w:tcW w:w="848"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社会保险</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费用</w:t>
            </w:r>
            <w:r/>
          </w:p>
        </w:tc>
        <w:tc>
          <w:tcPr>
            <w:tcW w:w="403"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人数</w:t>
            </w:r>
            <w:r/>
          </w:p>
        </w:tc>
        <w:tc>
          <w:tcPr>
            <w:tcW w:w="538"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元/月·人</w:t>
            </w:r>
            <w:r/>
          </w:p>
        </w:tc>
        <w:tc>
          <w:tcPr>
            <w:tcW w:w="626"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63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605" w:type="pct"/>
            <w:vAlign w:val="center"/>
            <w:vMerge w:val="continue"/>
            <w:textDirection w:val="lrTb"/>
            <w:noWrap w:val="false"/>
          </w:tcPr>
          <w:p>
            <w:pPr>
              <w:jc w:val="left"/>
              <w:spacing w:line="0" w:lineRule="atLeast"/>
              <w:rPr>
                <w:rFonts w:ascii="宋体" w:hAnsi="宋体" w:cs="宋体"/>
                <w:i/>
                <w:sz w:val="24"/>
                <w:szCs w:val="24"/>
                <w:u w:val="single"/>
              </w:rPr>
            </w:pPr>
            <w:r>
              <w:rPr>
                <w:rFonts w:ascii="宋体" w:hAnsi="宋体" w:cs="宋体"/>
                <w:i/>
                <w:sz w:val="24"/>
                <w:szCs w:val="24"/>
                <w:u w:val="single"/>
              </w:rPr>
            </w:r>
            <w:r/>
          </w:p>
        </w:tc>
      </w:tr>
      <w:tr>
        <w:trPr>
          <w:trHeight w:val="563"/>
        </w:trPr>
        <w:tc>
          <w:tcPr>
            <w:tcW w:w="343"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2.1</w:t>
            </w:r>
            <w:r/>
          </w:p>
        </w:tc>
        <w:tc>
          <w:tcPr>
            <w:tcW w:w="848"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岗位1（如：保洁员1）</w:t>
            </w:r>
            <w:r/>
          </w:p>
        </w:tc>
        <w:tc>
          <w:tcPr>
            <w:tcW w:w="40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38"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26"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3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605" w:type="pct"/>
            <w:vAlign w:val="center"/>
            <w:vMerge w:val="restart"/>
            <w:textDirection w:val="lrTb"/>
            <w:noWrap w:val="false"/>
          </w:tcPr>
          <w:p>
            <w:pPr>
              <w:jc w:val="center"/>
              <w:spacing w:line="0" w:lineRule="atLeast"/>
              <w:widowControl/>
              <w:rPr>
                <w:rFonts w:ascii="宋体" w:hAnsi="宋体" w:cs="宋体"/>
              </w:rPr>
            </w:pPr>
            <w:r>
              <w:rPr>
                <w:rFonts w:hint="eastAsia" w:ascii="宋体" w:hAnsi="宋体" w:cs="宋体"/>
              </w:rPr>
              <w:t xml:space="preserve">该人员正常缴纳社会保险/</w:t>
            </w:r>
            <w:r/>
          </w:p>
          <w:p>
            <w:pPr>
              <w:jc w:val="left"/>
              <w:spacing w:line="0" w:lineRule="atLeast"/>
              <w:rPr>
                <w:rFonts w:ascii="宋体" w:hAnsi="宋体" w:cs="宋体"/>
              </w:rPr>
            </w:pPr>
            <w:r>
              <w:rPr>
                <w:rFonts w:hint="eastAsia" w:ascii="宋体" w:hAnsi="宋体" w:cs="宋体"/>
                <w:iCs/>
              </w:rPr>
              <w:t xml:space="preserve">如该人员依法享受社会保险费用缴纳减免政策，请在此框内进行说明</w:t>
            </w:r>
            <w:r/>
          </w:p>
        </w:tc>
      </w:tr>
      <w:tr>
        <w:trPr>
          <w:trHeight w:val="261"/>
        </w:trPr>
        <w:tc>
          <w:tcPr>
            <w:tcW w:w="343"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2.2</w:t>
            </w:r>
            <w:r/>
          </w:p>
        </w:tc>
        <w:tc>
          <w:tcPr>
            <w:tcW w:w="848"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岗位2（如：保洁员2）</w:t>
            </w:r>
            <w:r/>
          </w:p>
        </w:tc>
        <w:tc>
          <w:tcPr>
            <w:tcW w:w="40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38"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26"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3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605" w:type="pct"/>
            <w:vAlign w:val="center"/>
            <w:vMerge w:val="continue"/>
            <w:textDirection w:val="lrTb"/>
            <w:noWrap w:val="false"/>
          </w:tcPr>
          <w:p>
            <w:pPr>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trHeight w:val="261"/>
        </w:trPr>
        <w:tc>
          <w:tcPr>
            <w:tcW w:w="34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848"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40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38"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26"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3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605" w:type="pct"/>
            <w:vAlign w:val="center"/>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261"/>
        </w:trPr>
        <w:tc>
          <w:tcPr>
            <w:gridSpan w:val="7"/>
            <w:tcW w:w="5000" w:type="pct"/>
            <w:vAlign w:val="center"/>
            <w:textDirection w:val="lrTb"/>
            <w:noWrap w:val="false"/>
          </w:tcPr>
          <w:p>
            <w:pPr>
              <w:jc w:val="left"/>
              <w:spacing w:line="0" w:lineRule="atLeast"/>
              <w:rPr>
                <w:rFonts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trHeight w:val="261"/>
        </w:trPr>
        <w:tc>
          <w:tcPr>
            <w:tcW w:w="34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tcW w:w="848"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40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538"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626"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期 限</w:t>
            </w:r>
            <w:r/>
          </w:p>
        </w:tc>
        <w:tc>
          <w:tcPr>
            <w:tcW w:w="63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总价3</w:t>
            </w:r>
            <w:r/>
          </w:p>
        </w:tc>
        <w:tc>
          <w:tcPr>
            <w:tcW w:w="1605"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trHeight w:val="261"/>
        </w:trPr>
        <w:tc>
          <w:tcPr>
            <w:tcW w:w="343" w:type="pct"/>
            <w:vAlign w:val="center"/>
            <w:textDirection w:val="lrTb"/>
            <w:noWrap w:val="false"/>
          </w:tcPr>
          <w:p>
            <w:pPr>
              <w:jc w:val="center"/>
              <w:spacing w:line="0" w:lineRule="atLeast"/>
              <w:widowControl/>
              <w:rPr>
                <w:rFonts w:ascii="宋体" w:hAnsi="宋体" w:cs="宋体"/>
                <w:b/>
                <w:sz w:val="24"/>
                <w:szCs w:val="24"/>
              </w:rPr>
            </w:pPr>
            <w:r>
              <w:rPr>
                <w:rFonts w:hint="eastAsia" w:ascii="宋体" w:hAnsi="宋体" w:cs="宋体"/>
                <w:b/>
                <w:sz w:val="24"/>
                <w:szCs w:val="24"/>
              </w:rPr>
              <w:t xml:space="preserve">3</w:t>
            </w:r>
            <w:r/>
          </w:p>
        </w:tc>
        <w:tc>
          <w:tcPr>
            <w:tcW w:w="848" w:type="pct"/>
            <w:vAlign w:val="center"/>
            <w:textDirection w:val="lrTb"/>
            <w:noWrap w:val="false"/>
          </w:tcPr>
          <w:p>
            <w:pPr>
              <w:jc w:val="center"/>
              <w:spacing w:line="0" w:lineRule="atLeast"/>
              <w:widowControl/>
              <w:rPr>
                <w:rFonts w:ascii="宋体" w:hAnsi="宋体" w:cs="宋体"/>
                <w:b/>
                <w:sz w:val="24"/>
                <w:szCs w:val="24"/>
              </w:rPr>
            </w:pPr>
            <w:r>
              <w:rPr>
                <w:rFonts w:hint="eastAsia" w:ascii="宋体" w:hAnsi="宋体" w:cs="宋体"/>
                <w:b/>
                <w:sz w:val="24"/>
                <w:szCs w:val="24"/>
              </w:rPr>
              <w:t xml:space="preserve">住房公积金</w:t>
            </w:r>
            <w:r/>
          </w:p>
        </w:tc>
        <w:tc>
          <w:tcPr>
            <w:tcW w:w="403"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人数</w:t>
            </w:r>
            <w:r/>
          </w:p>
        </w:tc>
        <w:tc>
          <w:tcPr>
            <w:tcW w:w="538"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元/月·人</w:t>
            </w:r>
            <w:r/>
          </w:p>
        </w:tc>
        <w:tc>
          <w:tcPr>
            <w:tcW w:w="626"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63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605" w:type="pct"/>
            <w:vAlign w:val="center"/>
            <w:vMerge w:val="continue"/>
            <w:textDirection w:val="lrTb"/>
            <w:noWrap w:val="false"/>
          </w:tcPr>
          <w:p>
            <w:pPr>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trHeight w:val="369"/>
        </w:trPr>
        <w:tc>
          <w:tcPr>
            <w:tcW w:w="343"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3.1</w:t>
            </w:r>
            <w:r/>
          </w:p>
        </w:tc>
        <w:tc>
          <w:tcPr>
            <w:tcW w:w="848"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岗位1（如：保洁员1）</w:t>
            </w:r>
            <w:r/>
          </w:p>
        </w:tc>
        <w:tc>
          <w:tcPr>
            <w:tcW w:w="40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38"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26"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3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605" w:type="pct"/>
            <w:vAlign w:val="center"/>
            <w:vMerge w:val="restart"/>
            <w:textDirection w:val="lrTb"/>
            <w:noWrap w:val="false"/>
          </w:tcPr>
          <w:p>
            <w:pPr>
              <w:jc w:val="center"/>
              <w:spacing w:line="0" w:lineRule="atLeast"/>
              <w:widowControl/>
              <w:rPr>
                <w:rFonts w:ascii="宋体" w:hAnsi="宋体" w:cs="宋体"/>
                <w:i/>
                <w:u w:val="single"/>
              </w:rPr>
            </w:pPr>
            <w:r>
              <w:rPr>
                <w:rFonts w:hint="eastAsia" w:ascii="宋体" w:hAnsi="宋体" w:cs="宋体"/>
              </w:rPr>
              <w:t xml:space="preserve">该人员正常缴存住房公积金/</w:t>
            </w:r>
            <w:r/>
          </w:p>
          <w:p>
            <w:pPr>
              <w:jc w:val="left"/>
              <w:spacing w:line="0" w:lineRule="atLeast"/>
              <w:rPr>
                <w:rFonts w:ascii="宋体" w:hAnsi="宋体" w:cs="宋体"/>
                <w:i/>
                <w:u w:val="single"/>
              </w:rPr>
            </w:pPr>
            <w:r>
              <w:rPr>
                <w:rFonts w:hint="eastAsia" w:ascii="宋体" w:hAnsi="宋体" w:cs="宋体"/>
                <w:iCs/>
              </w:rPr>
              <w:t xml:space="preserve">如该人员依法享受住房公积金缴存减免政策，请在此框内进行说明</w:t>
            </w:r>
            <w:r/>
          </w:p>
        </w:tc>
      </w:tr>
      <w:tr>
        <w:trPr>
          <w:trHeight w:val="369"/>
        </w:trPr>
        <w:tc>
          <w:tcPr>
            <w:tcW w:w="343"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3.2</w:t>
            </w:r>
            <w:r/>
          </w:p>
        </w:tc>
        <w:tc>
          <w:tcPr>
            <w:tcW w:w="848"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岗位2（如：保洁员2）</w:t>
            </w:r>
            <w:r/>
          </w:p>
        </w:tc>
        <w:tc>
          <w:tcPr>
            <w:tcW w:w="40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38"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26"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3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605" w:type="pct"/>
            <w:vAlign w:val="center"/>
            <w:vMerge w:val="continue"/>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34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848"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40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38"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26"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3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605" w:type="pct"/>
            <w:vAlign w:val="center"/>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gridSpan w:val="7"/>
            <w:tcW w:w="5000" w:type="pct"/>
            <w:vAlign w:val="center"/>
            <w:textDirection w:val="lrTb"/>
            <w:noWrap w:val="false"/>
          </w:tcPr>
          <w:p>
            <w:pPr>
              <w:jc w:val="left"/>
              <w:spacing w:line="0" w:lineRule="atLeast"/>
              <w:widowControl/>
              <w:rPr>
                <w:rFonts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bl>
    <w:p>
      <w:pPr>
        <w:spacing w:line="0" w:lineRule="atLeast"/>
        <w:rPr>
          <w:rFonts w:ascii="宋体" w:hAnsi="宋体" w:cs="宋体"/>
          <w:sz w:val="24"/>
          <w:szCs w:val="24"/>
        </w:rPr>
      </w:pPr>
      <w:r>
        <w:rPr>
          <w:rFonts w:hint="eastAsia" w:ascii="宋体" w:hAnsi="宋体" w:cs="宋体"/>
          <w:sz w:val="24"/>
          <w:szCs w:val="24"/>
        </w:rPr>
        <w:t xml:space="preserve">备注：</w:t>
      </w:r>
      <w:r/>
    </w:p>
    <w:p>
      <w:pPr>
        <w:spacing w:line="0" w:lineRule="atLeast"/>
        <w:rPr>
          <w:rFonts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p>
    <w:p>
      <w:pPr>
        <w:spacing w:line="0" w:lineRule="atLeast"/>
        <w:rPr>
          <w:rFonts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p>
    <w:p>
      <w:pPr>
        <w:spacing w:line="400" w:lineRule="exact"/>
        <w:rPr>
          <w:rFonts w:ascii="方正魏碑_GBK" w:hAnsi="方正魏碑_GBK" w:eastAsia="方正魏碑_GBK" w:cs="方正魏碑_GBK"/>
          <w:b/>
          <w:bCs/>
          <w:color w:val="ff0000"/>
          <w:sz w:val="28"/>
          <w:szCs w:val="28"/>
        </w:rPr>
      </w:pPr>
      <w:r>
        <w:rPr>
          <w:rFonts w:ascii="方正魏碑_GBK" w:hAnsi="方正魏碑_GBK" w:eastAsia="方正魏碑_GBK" w:cs="方正魏碑_GBK"/>
          <w:b/>
          <w:bCs/>
          <w:color w:val="ff0000"/>
          <w:sz w:val="28"/>
          <w:szCs w:val="28"/>
        </w:rPr>
      </w:r>
      <w:r/>
    </w:p>
    <w:p>
      <w:r/>
      <w:r/>
    </w:p>
    <w:p>
      <w:pPr>
        <w:spacing w:line="0" w:lineRule="atLeast"/>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ind w:firstLine="480"/>
        <w:spacing w:line="440" w:lineRule="exact"/>
        <w:rPr>
          <w:rFonts w:ascii="宋体" w:hAnsi="宋体"/>
          <w:sz w:val="24"/>
        </w:rPr>
      </w:pPr>
      <w:r>
        <w:rPr>
          <w:rFonts w:ascii="宋体" w:hAnsi="宋体"/>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日期：</w:t>
      </w:r>
      <w:r>
        <w:rPr>
          <w:rFonts w:hint="eastAsia"/>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79"/>
        <w:spacing w:before="0" w:after="0" w:line="420" w:lineRule="exact"/>
        <w:rPr>
          <w:rFonts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79"/>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979"/>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79"/>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79"/>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9"/>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9"/>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9"/>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79"/>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79"/>
        <w:ind w:left="420"/>
        <w:spacing w:before="0" w:after="0" w:line="420" w:lineRule="exact"/>
        <w:rPr>
          <w:rFonts w:ascii="宋体" w:hAnsi="宋体"/>
          <w:szCs w:val="21"/>
        </w:rPr>
      </w:pPr>
      <w:r>
        <w:rPr>
          <w:rFonts w:hint="eastAsia" w:ascii="宋体" w:hAnsi="宋体"/>
          <w:szCs w:val="21"/>
        </w:rPr>
        <w:t xml:space="preserve">地          址：</w:t>
      </w:r>
      <w:r/>
    </w:p>
    <w:p>
      <w:pPr>
        <w:pStyle w:val="979"/>
        <w:ind w:left="420"/>
        <w:spacing w:before="0" w:after="0" w:line="420" w:lineRule="exact"/>
        <w:rPr>
          <w:rFonts w:ascii="宋体" w:hAnsi="宋体"/>
          <w:szCs w:val="21"/>
        </w:rPr>
      </w:pPr>
      <w:r>
        <w:rPr>
          <w:rFonts w:hint="eastAsia" w:ascii="宋体" w:hAnsi="宋体"/>
          <w:szCs w:val="21"/>
        </w:rPr>
        <w:t xml:space="preserve">邮          编：</w:t>
      </w:r>
      <w:r/>
    </w:p>
    <w:p>
      <w:pPr>
        <w:pStyle w:val="979"/>
        <w:ind w:left="420"/>
        <w:spacing w:before="0" w:after="0" w:line="420" w:lineRule="exact"/>
        <w:rPr>
          <w:rFonts w:ascii="宋体" w:hAnsi="宋体"/>
          <w:szCs w:val="21"/>
        </w:rPr>
      </w:pPr>
      <w:r>
        <w:rPr>
          <w:rFonts w:hint="eastAsia" w:ascii="宋体" w:hAnsi="宋体"/>
          <w:szCs w:val="21"/>
        </w:rPr>
        <w:t xml:space="preserve">电          话：</w:t>
      </w:r>
      <w:r/>
    </w:p>
    <w:p>
      <w:pPr>
        <w:pStyle w:val="979"/>
        <w:ind w:left="420"/>
        <w:spacing w:before="0" w:after="0" w:line="420" w:lineRule="exact"/>
        <w:rPr>
          <w:rFonts w:ascii="宋体" w:hAnsi="宋体"/>
          <w:szCs w:val="21"/>
        </w:rPr>
      </w:pPr>
      <w:r>
        <w:rPr>
          <w:rFonts w:hint="eastAsia" w:ascii="宋体" w:hAnsi="宋体"/>
          <w:szCs w:val="21"/>
        </w:rPr>
        <w:t xml:space="preserve">传          真：</w:t>
      </w:r>
      <w:r/>
    </w:p>
    <w:p>
      <w:pPr>
        <w:pStyle w:val="979"/>
        <w:ind w:left="420"/>
        <w:spacing w:before="0" w:after="0" w:line="420" w:lineRule="exact"/>
        <w:rPr>
          <w:rFonts w:ascii="宋体" w:hAnsi="宋体"/>
          <w:szCs w:val="21"/>
        </w:rPr>
      </w:pPr>
      <w:r>
        <w:rPr>
          <w:rFonts w:hint="eastAsia" w:ascii="宋体" w:hAnsi="宋体"/>
          <w:szCs w:val="21"/>
        </w:rPr>
        <w:t xml:space="preserve">投标人开户行：</w:t>
      </w:r>
      <w:r/>
    </w:p>
    <w:p>
      <w:pPr>
        <w:pStyle w:val="979"/>
        <w:ind w:left="420"/>
        <w:spacing w:before="0" w:after="0" w:line="420" w:lineRule="exact"/>
        <w:rPr>
          <w:rFonts w:ascii="宋体" w:hAnsi="宋体"/>
          <w:szCs w:val="21"/>
        </w:rPr>
      </w:pPr>
      <w:r>
        <w:rPr>
          <w:rFonts w:hint="eastAsia" w:ascii="宋体" w:hAnsi="宋体"/>
          <w:szCs w:val="21"/>
        </w:rPr>
        <w:t xml:space="preserve">账          号： </w:t>
      </w:r>
      <w:r/>
    </w:p>
    <w:p>
      <w:pPr>
        <w:pStyle w:val="979"/>
        <w:ind w:left="420"/>
        <w:spacing w:before="0" w:after="0" w:line="420" w:lineRule="exact"/>
        <w:rPr>
          <w:rFonts w:ascii="宋体" w:hAnsi="宋体"/>
          <w:szCs w:val="21"/>
        </w:rPr>
      </w:pPr>
      <w:r>
        <w:rPr>
          <w:rFonts w:hint="eastAsia" w:ascii="宋体" w:hAnsi="宋体"/>
          <w:szCs w:val="21"/>
        </w:rPr>
        <w:t xml:space="preserve">日           期：___年____月____日</w:t>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195"/>
      <w:r/>
      <w:bookmarkEnd w:id="196"/>
      <w:r/>
      <w:bookmarkEnd w:id="197"/>
      <w:r/>
      <w:r/>
    </w:p>
    <w:p>
      <w:pPr>
        <w:ind w:firstLine="480"/>
        <w:spacing w:line="440" w:lineRule="exact"/>
        <w:rPr>
          <w:rFonts w:ascii="宋体" w:hAnsi="宋体"/>
          <w:sz w:val="24"/>
        </w:rPr>
      </w:pPr>
      <w:r>
        <w:rPr>
          <w:rFonts w:ascii="宋体" w:hAnsi="宋体"/>
          <w:sz w:val="24"/>
        </w:rPr>
      </w:r>
      <w:r/>
    </w:p>
    <w:p>
      <w:pPr>
        <w:spacing w:line="460" w:lineRule="exact"/>
        <w:rPr>
          <w:rFonts w:ascii="黑体" w:hAnsi="黑体" w:eastAsia="黑体"/>
          <w:b/>
          <w:sz w:val="32"/>
          <w:szCs w:val="32"/>
        </w:rPr>
      </w:pPr>
      <w:r/>
      <w:bookmarkStart w:id="198" w:name="_Toc120614284"/>
      <w:r/>
      <w:r/>
    </w:p>
    <w:p>
      <w:pPr>
        <w:jc w:val="center"/>
        <w:spacing w:line="4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center"/>
        <w:spacing w:line="400" w:lineRule="exact"/>
        <w:rPr>
          <w:rFonts w:ascii="宋体" w:hAnsi="宋体"/>
          <w:sz w:val="24"/>
          <w:szCs w:val="24"/>
        </w:rPr>
      </w:pPr>
      <w:r>
        <w:rPr>
          <w:rFonts w:hint="eastAsia" w:ascii="宋体" w:hAnsi="宋体"/>
          <w:sz w:val="24"/>
          <w:szCs w:val="24"/>
        </w:rPr>
        <w:t xml:space="preserve">                                   企业名称（加盖CA电子公章）：</w:t>
      </w:r>
      <w:r/>
    </w:p>
    <w:p>
      <w:pPr>
        <w:ind w:right="180" w:firstLine="360"/>
        <w:jc w:val="center"/>
        <w:spacing w:line="400" w:lineRule="exact"/>
        <w:rPr>
          <w:rFonts w:ascii="宋体" w:hAnsi="宋体"/>
          <w:sz w:val="24"/>
          <w:szCs w:val="24"/>
        </w:rPr>
      </w:pPr>
      <w:r>
        <w:rPr>
          <w:rFonts w:hint="eastAsia" w:ascii="宋体" w:hAnsi="宋体" w:cs="宋体"/>
          <w:sz w:val="24"/>
          <w:szCs w:val="24"/>
          <w:shd w:val="clear" w:color="auto" w:fill="ffffff"/>
        </w:rPr>
        <w:t xml:space="preserve">                               日期：___年____月____日 </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ascii="宋体" w:hAnsi="宋体"/>
          <w:sz w:val="24"/>
        </w:rPr>
      </w:pPr>
      <w:r>
        <w:rPr>
          <w:rFonts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Style w:val="7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bookmarkEnd w:id="188"/>
      <w:r/>
      <w:bookmarkEnd w:id="189"/>
      <w:r/>
      <w:bookmarkEnd w:id="198"/>
      <w:r/>
      <w:r/>
    </w:p>
    <w:p>
      <w:pPr>
        <w:rPr>
          <w:rFonts w:ascii="黑体" w:hAnsi="黑体" w:eastAsia="黑体"/>
          <w:b/>
          <w:sz w:val="32"/>
          <w:szCs w:val="32"/>
        </w:rPr>
      </w:pPr>
      <w:r>
        <w:rPr>
          <w:rFonts w:ascii="黑体" w:hAnsi="黑体" w:eastAsia="黑体"/>
          <w:b/>
          <w:sz w:val="32"/>
          <w:szCs w:val="32"/>
        </w:rPr>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52"/>
        <w:rPr>
          <w:sz w:val="24"/>
          <w:szCs w:val="24"/>
        </w:rPr>
      </w:pPr>
      <w:r>
        <w:rPr>
          <w:sz w:val="24"/>
          <w:szCs w:val="24"/>
        </w:rPr>
      </w:r>
      <w:r/>
    </w:p>
    <w:p>
      <w:pPr>
        <w:pStyle w:val="752"/>
        <w:rPr>
          <w:sz w:val="24"/>
          <w:szCs w:val="24"/>
        </w:rPr>
      </w:pPr>
      <w:r>
        <w:rPr>
          <w:sz w:val="24"/>
          <w:szCs w:val="24"/>
        </w:rPr>
      </w:r>
      <w:r/>
    </w:p>
    <w:p>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楷体">
    <w:panose1 w:val="02010609060101010101"/>
  </w:font>
  <w:font w:name="方正魏碑_GBK">
    <w:panose1 w:val="020B0503020202020204"/>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方正宋一_GBK">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rPr>
        <w:rStyle w:val="792"/>
        <w:rFonts w:ascii="宋体" w:hAnsi="宋体"/>
      </w:rPr>
      <w:framePr w:wrap="around" w:vAnchor="text" w:hAnchor="margin" w:xAlign="center" w:y="1"/>
    </w:pPr>
    <w:r>
      <w:rPr>
        <w:rFonts w:ascii="宋体" w:hAnsi="宋体"/>
      </w:rPr>
      <w:fldChar w:fldCharType="begin"/>
    </w:r>
    <w:r>
      <w:rPr>
        <w:rStyle w:val="792"/>
        <w:rFonts w:ascii="宋体" w:hAnsi="宋体"/>
      </w:rPr>
      <w:instrText xml:space="preserve">PAGE  </w:instrText>
    </w:r>
    <w:r>
      <w:rPr>
        <w:rFonts w:ascii="宋体" w:hAnsi="宋体"/>
      </w:rPr>
      <w:fldChar w:fldCharType="separate"/>
    </w:r>
    <w:r>
      <w:rPr>
        <w:rStyle w:val="792"/>
        <w:rFonts w:ascii="宋体" w:hAnsi="宋体"/>
      </w:rPr>
      <w:t xml:space="preserve">42</w:t>
    </w:r>
    <w:r>
      <w:rPr>
        <w:rFonts w:ascii="宋体" w:hAnsi="宋体"/>
      </w:rPr>
      <w:fldChar w:fldCharType="end"/>
    </w:r>
    <w:r/>
  </w:p>
  <w:p>
    <w:pPr>
      <w:pStyle w:val="77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rPr>
        <w:rStyle w:val="792"/>
      </w:rPr>
      <w:framePr w:wrap="around" w:vAnchor="text" w:hAnchor="margin" w:xAlign="center" w:y="1"/>
    </w:pPr>
    <w:r>
      <w:fldChar w:fldCharType="begin"/>
    </w:r>
    <w:r>
      <w:rPr>
        <w:rStyle w:val="792"/>
      </w:rPr>
      <w:instrText xml:space="preserve">PAGE  </w:instrText>
    </w:r>
    <w:r>
      <w:fldChar w:fldCharType="separate"/>
    </w:r>
    <w:r>
      <w:rPr>
        <w:rStyle w:val="792"/>
      </w:rPr>
      <w:t xml:space="preserve">1</w:t>
    </w:r>
    <w:r>
      <w:fldChar w:fldCharType="end"/>
    </w:r>
    <w:r/>
  </w:p>
  <w:p>
    <w:pPr>
      <w:pStyle w:val="7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pPr>
    <w:r>
      <w:fldChar w:fldCharType="begin"/>
    </w:r>
    <w:r>
      <w:instrText xml:space="preserve">PAGE   \* MERGEFORMAT</w:instrText>
    </w:r>
    <w:r>
      <w:fldChar w:fldCharType="separate"/>
    </w:r>
    <w:r>
      <w:rPr>
        <w:lang w:val="zh-CN"/>
      </w:rPr>
      <w:t xml:space="preserve">1</w:t>
    </w:r>
    <w:r>
      <w:fldChar w:fldCharType="end"/>
    </w:r>
    <w:r/>
  </w:p>
  <w:p>
    <w:pPr>
      <w:pStyle w:val="7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44"/>
      <w:isLgl w:val="false"/>
      <w:suff w:val="nothing"/>
      <w:lvlText w:val=""/>
      <w:lvlJc w:val="left"/>
      <w:pPr>
        <w:ind w:left="0" w:firstLine="0"/>
      </w:pPr>
      <w:rPr>
        <w:rFonts w:hint="eastAsia"/>
      </w:rPr>
    </w:lvl>
    <w:lvl w:ilvl="6">
      <w:start w:val="1"/>
      <w:numFmt w:val="none"/>
      <w:pStyle w:val="745"/>
      <w:isLgl w:val="false"/>
      <w:suff w:val="nothing"/>
      <w:lvlText w:val=""/>
      <w:lvlJc w:val="left"/>
      <w:pPr>
        <w:ind w:left="0" w:firstLine="0"/>
      </w:pPr>
      <w:rPr>
        <w:rFonts w:hint="eastAsia"/>
      </w:rPr>
    </w:lvl>
    <w:lvl w:ilvl="7">
      <w:start w:val="1"/>
      <w:numFmt w:val="none"/>
      <w:pStyle w:val="746"/>
      <w:isLgl w:val="false"/>
      <w:suff w:val="nothing"/>
      <w:lvlText w:val=""/>
      <w:lvlJc w:val="left"/>
      <w:pPr>
        <w:ind w:left="0" w:firstLine="0"/>
      </w:pPr>
      <w:rPr>
        <w:rFonts w:hint="eastAsia"/>
      </w:rPr>
    </w:lvl>
    <w:lvl w:ilvl="8">
      <w:start w:val="1"/>
      <w:numFmt w:val="none"/>
      <w:pStyle w:val="747"/>
      <w:isLgl w:val="false"/>
      <w:suff w:val="nothing"/>
      <w:lvlText w:val=""/>
      <w:lvlJc w:val="left"/>
      <w:pPr>
        <w:ind w:left="0" w:firstLine="0"/>
      </w:pPr>
      <w:rPr>
        <w:rFonts w:hint="eastAsia"/>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1"/>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Title Char"/>
    <w:basedOn w:val="748"/>
    <w:link w:val="785"/>
    <w:uiPriority w:val="10"/>
    <w:rPr>
      <w:sz w:val="48"/>
      <w:szCs w:val="48"/>
    </w:rPr>
  </w:style>
  <w:style w:type="character" w:styleId="713">
    <w:name w:val="Subtitle Char"/>
    <w:basedOn w:val="748"/>
    <w:link w:val="774"/>
    <w:uiPriority w:val="11"/>
    <w:rPr>
      <w:sz w:val="24"/>
      <w:szCs w:val="24"/>
    </w:rPr>
  </w:style>
  <w:style w:type="character" w:styleId="714">
    <w:name w:val="Quote Char"/>
    <w:link w:val="808"/>
    <w:uiPriority w:val="29"/>
    <w:rPr>
      <w:i/>
    </w:rPr>
  </w:style>
  <w:style w:type="character" w:styleId="715">
    <w:name w:val="Intense Quote Char"/>
    <w:link w:val="810"/>
    <w:uiPriority w:val="30"/>
    <w:rPr>
      <w:i/>
    </w:rPr>
  </w:style>
  <w:style w:type="table" w:styleId="716">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6">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0">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1">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2">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3">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4">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5">
    <w:name w:val="Footnote Text Char"/>
    <w:link w:val="776"/>
    <w:uiPriority w:val="99"/>
    <w:rPr>
      <w:sz w:val="18"/>
    </w:rPr>
  </w:style>
  <w:style w:type="character" w:styleId="736">
    <w:name w:val="Endnote Text Char"/>
    <w:link w:val="768"/>
    <w:uiPriority w:val="99"/>
    <w:rPr>
      <w:sz w:val="20"/>
    </w:rPr>
  </w:style>
  <w:style w:type="paragraph" w:styleId="737">
    <w:name w:val="TOC Heading"/>
    <w:uiPriority w:val="39"/>
    <w:unhideWhenUsed/>
  </w:style>
  <w:style w:type="paragraph" w:styleId="738" w:default="1">
    <w:name w:val="Normal"/>
    <w:next w:val="750"/>
    <w:uiPriority w:val="0"/>
    <w:qFormat/>
    <w:pPr>
      <w:jc w:val="both"/>
      <w:widowControl w:val="off"/>
    </w:pPr>
    <w:rPr>
      <w:rFonts w:ascii="Times New Roman" w:hAnsi="Times New Roman" w:eastAsia="宋体" w:cs="Times New Roman"/>
      <w:sz w:val="21"/>
      <w:szCs w:val="21"/>
      <w:lang w:val="en-US" w:eastAsia="zh-CN" w:bidi="ar-SA"/>
    </w:rPr>
  </w:style>
  <w:style w:type="paragraph" w:styleId="739">
    <w:name w:val="Heading 1"/>
    <w:basedOn w:val="738"/>
    <w:next w:val="738"/>
    <w:link w:val="943"/>
    <w:uiPriority w:val="0"/>
    <w:qFormat/>
    <w:pPr>
      <w:jc w:val="center"/>
      <w:keepNext/>
      <w:outlineLvl w:val="0"/>
    </w:pPr>
    <w:rPr>
      <w:rFonts w:ascii="楷体_GB2312" w:eastAsia="楷体_GB2312"/>
      <w:sz w:val="28"/>
      <w:szCs w:val="28"/>
    </w:rPr>
  </w:style>
  <w:style w:type="paragraph" w:styleId="740">
    <w:name w:val="Heading 2"/>
    <w:basedOn w:val="738"/>
    <w:next w:val="752"/>
    <w:link w:val="94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41">
    <w:name w:val="Heading 3"/>
    <w:basedOn w:val="738"/>
    <w:next w:val="752"/>
    <w:link w:val="946"/>
    <w:uiPriority w:val="0"/>
    <w:qFormat/>
    <w:pPr>
      <w:keepLines/>
      <w:keepNext/>
      <w:spacing w:before="260" w:after="260" w:line="416" w:lineRule="auto"/>
      <w:outlineLvl w:val="2"/>
    </w:pPr>
    <w:rPr>
      <w:b/>
      <w:bCs/>
      <w:sz w:val="32"/>
      <w:szCs w:val="32"/>
    </w:rPr>
  </w:style>
  <w:style w:type="paragraph" w:styleId="742">
    <w:name w:val="Heading 4"/>
    <w:basedOn w:val="738"/>
    <w:next w:val="752"/>
    <w:link w:val="947"/>
    <w:uiPriority w:val="0"/>
    <w:qFormat/>
    <w:pPr>
      <w:keepLines/>
      <w:keepNext/>
      <w:spacing w:before="280" w:after="290" w:line="376" w:lineRule="auto"/>
      <w:outlineLvl w:val="3"/>
    </w:pPr>
    <w:rPr>
      <w:rFonts w:ascii="Arial" w:hAnsi="Arial" w:eastAsia="黑体" w:cs="Arial"/>
      <w:b/>
      <w:bCs/>
      <w:sz w:val="28"/>
      <w:szCs w:val="28"/>
    </w:rPr>
  </w:style>
  <w:style w:type="paragraph" w:styleId="743">
    <w:name w:val="Heading 5"/>
    <w:basedOn w:val="738"/>
    <w:next w:val="752"/>
    <w:link w:val="948"/>
    <w:uiPriority w:val="0"/>
    <w:qFormat/>
    <w:pPr>
      <w:keepNext/>
      <w:outlineLvl w:val="4"/>
    </w:pPr>
    <w:rPr>
      <w:rFonts w:ascii="宋体"/>
      <w:color w:val="000000"/>
      <w:sz w:val="28"/>
      <w:szCs w:val="28"/>
    </w:rPr>
  </w:style>
  <w:style w:type="paragraph" w:styleId="744">
    <w:name w:val="Heading 6"/>
    <w:basedOn w:val="738"/>
    <w:next w:val="738"/>
    <w:link w:val="94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45">
    <w:name w:val="Heading 7"/>
    <w:basedOn w:val="738"/>
    <w:next w:val="738"/>
    <w:link w:val="950"/>
    <w:uiPriority w:val="0"/>
    <w:qFormat/>
    <w:pPr>
      <w:numPr>
        <w:ilvl w:val="6"/>
        <w:numId w:val="1"/>
      </w:numPr>
      <w:keepLines/>
      <w:keepNext/>
      <w:spacing w:before="240" w:after="64" w:line="320" w:lineRule="auto"/>
      <w:outlineLvl w:val="6"/>
    </w:pPr>
    <w:rPr>
      <w:b/>
      <w:bCs/>
      <w:sz w:val="24"/>
      <w:szCs w:val="24"/>
    </w:rPr>
  </w:style>
  <w:style w:type="paragraph" w:styleId="746">
    <w:name w:val="Heading 8"/>
    <w:basedOn w:val="738"/>
    <w:next w:val="738"/>
    <w:link w:val="95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47">
    <w:name w:val="Heading 9"/>
    <w:basedOn w:val="738"/>
    <w:next w:val="738"/>
    <w:link w:val="952"/>
    <w:uiPriority w:val="0"/>
    <w:qFormat/>
    <w:pPr>
      <w:numPr>
        <w:ilvl w:val="8"/>
        <w:numId w:val="1"/>
      </w:numPr>
      <w:keepLines/>
      <w:keepNext/>
      <w:spacing w:before="240" w:after="64" w:line="320" w:lineRule="auto"/>
      <w:outlineLvl w:val="8"/>
    </w:pPr>
    <w:rPr>
      <w:rFonts w:ascii="Arial" w:hAnsi="Arial" w:eastAsia="黑体"/>
    </w:rPr>
  </w:style>
  <w:style w:type="character" w:styleId="748" w:default="1">
    <w:name w:val="Default Paragraph Font"/>
    <w:uiPriority w:val="1"/>
    <w:semiHidden/>
    <w:unhideWhenUsed/>
  </w:style>
  <w:style w:type="table" w:styleId="749" w:default="1">
    <w:name w:val="Normal Table"/>
    <w:uiPriority w:val="99"/>
    <w:semiHidden/>
    <w:unhideWhenUsed/>
    <w:tblPr>
      <w:tblCellMar>
        <w:left w:w="108" w:type="dxa"/>
        <w:top w:w="0" w:type="dxa"/>
        <w:right w:w="108" w:type="dxa"/>
        <w:bottom w:w="0" w:type="dxa"/>
      </w:tblCellMar>
    </w:tblPr>
  </w:style>
  <w:style w:type="paragraph" w:styleId="750" w:customStyle="1">
    <w:name w:val="正文首行缩进1"/>
    <w:basedOn w:val="751"/>
    <w:uiPriority w:val="0"/>
    <w:qFormat/>
    <w:pPr>
      <w:ind w:firstLine="200"/>
      <w:spacing w:line="360" w:lineRule="auto"/>
    </w:pPr>
    <w:rPr>
      <w:rFonts w:ascii="仿宋_GB2312" w:hAnsi="Times New Roman" w:eastAsia="仿宋_GB2312"/>
      <w:sz w:val="30"/>
      <w:szCs w:val="30"/>
    </w:rPr>
  </w:style>
  <w:style w:type="paragraph" w:styleId="751" w:customStyle="1">
    <w:name w:val="正文文本1"/>
    <w:basedOn w:val="738"/>
    <w:link w:val="1008"/>
    <w:uiPriority w:val="0"/>
    <w:qFormat/>
    <w:rPr>
      <w:rFonts w:ascii="楷体_GB2312" w:hAnsi="Arial" w:eastAsia="楷体_GB2312"/>
      <w:sz w:val="28"/>
      <w:szCs w:val="28"/>
    </w:rPr>
  </w:style>
  <w:style w:type="paragraph" w:styleId="752">
    <w:name w:val="Normal Indent"/>
    <w:basedOn w:val="738"/>
    <w:link w:val="945"/>
    <w:uiPriority w:val="0"/>
    <w:qFormat/>
    <w:pPr>
      <w:ind w:firstLine="420"/>
    </w:pPr>
  </w:style>
  <w:style w:type="paragraph" w:styleId="753">
    <w:name w:val="List 3"/>
    <w:basedOn w:val="738"/>
    <w:uiPriority w:val="0"/>
    <w:qFormat/>
    <w:pPr>
      <w:ind w:left="100" w:hanging="200"/>
    </w:pPr>
  </w:style>
  <w:style w:type="paragraph" w:styleId="754">
    <w:name w:val="toc 7"/>
    <w:basedOn w:val="738"/>
    <w:next w:val="738"/>
    <w:uiPriority w:val="0"/>
    <w:semiHidden/>
    <w:qFormat/>
    <w:pPr>
      <w:ind w:left="1260"/>
      <w:jc w:val="left"/>
    </w:pPr>
  </w:style>
  <w:style w:type="paragraph" w:styleId="755">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Document Map"/>
    <w:basedOn w:val="738"/>
    <w:link w:val="953"/>
    <w:uiPriority w:val="0"/>
    <w:semiHidden/>
    <w:qFormat/>
    <w:pPr>
      <w:shd w:val="clear" w:color="auto" w:fill="000080"/>
    </w:pPr>
  </w:style>
  <w:style w:type="paragraph" w:styleId="757">
    <w:name w:val="annotation text"/>
    <w:basedOn w:val="738"/>
    <w:link w:val="954"/>
    <w:uiPriority w:val="0"/>
    <w:semiHidden/>
    <w:qFormat/>
    <w:pPr>
      <w:jc w:val="left"/>
    </w:pPr>
  </w:style>
  <w:style w:type="paragraph" w:styleId="758">
    <w:name w:val="Body Text 3"/>
    <w:basedOn w:val="738"/>
    <w:link w:val="955"/>
    <w:uiPriority w:val="0"/>
    <w:qFormat/>
    <w:rPr>
      <w:rFonts w:ascii="仿宋_GB2312" w:hAnsi="Arial" w:eastAsia="仿宋_GB2312"/>
      <w:sz w:val="32"/>
      <w:szCs w:val="32"/>
    </w:rPr>
  </w:style>
  <w:style w:type="paragraph" w:styleId="759">
    <w:name w:val="Body Text"/>
    <w:basedOn w:val="738"/>
    <w:link w:val="956"/>
    <w:uiPriority w:val="0"/>
    <w:qFormat/>
    <w:rPr>
      <w:rFonts w:ascii="楷体_GB2312" w:hAnsi="Arial" w:eastAsia="楷体_GB2312"/>
      <w:sz w:val="28"/>
      <w:szCs w:val="28"/>
    </w:rPr>
  </w:style>
  <w:style w:type="paragraph" w:styleId="760">
    <w:name w:val="Body Text Indent"/>
    <w:basedOn w:val="738"/>
    <w:link w:val="957"/>
    <w:uiPriority w:val="0"/>
    <w:qFormat/>
    <w:pPr>
      <w:ind w:firstLine="645"/>
    </w:pPr>
    <w:rPr>
      <w:rFonts w:ascii="楷体_GB2312" w:eastAsia="楷体_GB2312"/>
      <w:sz w:val="32"/>
      <w:szCs w:val="32"/>
    </w:rPr>
  </w:style>
  <w:style w:type="paragraph" w:styleId="761">
    <w:name w:val="List 2"/>
    <w:basedOn w:val="738"/>
    <w:uiPriority w:val="0"/>
    <w:qFormat/>
    <w:pPr>
      <w:ind w:left="100" w:hanging="200"/>
    </w:pPr>
  </w:style>
  <w:style w:type="paragraph" w:styleId="762">
    <w:name w:val="toc 5"/>
    <w:basedOn w:val="738"/>
    <w:next w:val="738"/>
    <w:uiPriority w:val="0"/>
    <w:semiHidden/>
    <w:qFormat/>
    <w:pPr>
      <w:ind w:left="840"/>
      <w:jc w:val="left"/>
    </w:pPr>
  </w:style>
  <w:style w:type="paragraph" w:styleId="763">
    <w:name w:val="toc 3"/>
    <w:basedOn w:val="738"/>
    <w:next w:val="738"/>
    <w:uiPriority w:val="0"/>
    <w:semiHidden/>
    <w:qFormat/>
    <w:pPr>
      <w:ind w:left="420"/>
      <w:jc w:val="left"/>
    </w:pPr>
    <w:rPr>
      <w:i/>
      <w:iCs/>
      <w:szCs w:val="24"/>
    </w:rPr>
  </w:style>
  <w:style w:type="paragraph" w:styleId="764">
    <w:name w:val="Plain Text"/>
    <w:basedOn w:val="738"/>
    <w:link w:val="958"/>
    <w:uiPriority w:val="0"/>
    <w:qFormat/>
    <w:rPr>
      <w:rFonts w:ascii="宋体" w:hAnsi="Courier New" w:cs="Courier New"/>
    </w:rPr>
  </w:style>
  <w:style w:type="paragraph" w:styleId="765">
    <w:name w:val="toc 8"/>
    <w:basedOn w:val="738"/>
    <w:next w:val="738"/>
    <w:uiPriority w:val="0"/>
    <w:semiHidden/>
    <w:qFormat/>
    <w:pPr>
      <w:ind w:left="1470"/>
      <w:jc w:val="left"/>
    </w:pPr>
  </w:style>
  <w:style w:type="paragraph" w:styleId="766">
    <w:name w:val="Date"/>
    <w:basedOn w:val="738"/>
    <w:next w:val="738"/>
    <w:link w:val="959"/>
    <w:uiPriority w:val="0"/>
    <w:qFormat/>
    <w:rPr>
      <w:sz w:val="24"/>
      <w:szCs w:val="24"/>
    </w:rPr>
  </w:style>
  <w:style w:type="paragraph" w:styleId="767">
    <w:name w:val="Body Text Indent 2"/>
    <w:basedOn w:val="738"/>
    <w:link w:val="960"/>
    <w:uiPriority w:val="0"/>
    <w:qFormat/>
    <w:pPr>
      <w:ind w:left="630" w:firstLine="645"/>
    </w:pPr>
    <w:rPr>
      <w:rFonts w:ascii="Arial" w:hAnsi="Arial" w:eastAsia="仿宋_GB2312" w:cs="Arial"/>
      <w:sz w:val="32"/>
      <w:szCs w:val="32"/>
    </w:rPr>
  </w:style>
  <w:style w:type="paragraph" w:styleId="768">
    <w:name w:val="endnote text"/>
    <w:basedOn w:val="738"/>
    <w:link w:val="941"/>
    <w:uiPriority w:val="99"/>
    <w:semiHidden/>
    <w:unhideWhenUsed/>
    <w:qFormat/>
    <w:rPr>
      <w:sz w:val="20"/>
    </w:rPr>
  </w:style>
  <w:style w:type="paragraph" w:styleId="769">
    <w:name w:val="Balloon Text"/>
    <w:basedOn w:val="738"/>
    <w:link w:val="961"/>
    <w:uiPriority w:val="0"/>
    <w:semiHidden/>
    <w:qFormat/>
    <w:rPr>
      <w:sz w:val="18"/>
      <w:szCs w:val="18"/>
    </w:rPr>
  </w:style>
  <w:style w:type="paragraph" w:styleId="770">
    <w:name w:val="Footer"/>
    <w:basedOn w:val="738"/>
    <w:link w:val="962"/>
    <w:uiPriority w:val="99"/>
    <w:qFormat/>
    <w:pPr>
      <w:jc w:val="left"/>
      <w:tabs>
        <w:tab w:val="center" w:pos="4153" w:leader="none"/>
        <w:tab w:val="right" w:pos="8306" w:leader="none"/>
      </w:tabs>
    </w:pPr>
    <w:rPr>
      <w:sz w:val="18"/>
      <w:szCs w:val="18"/>
    </w:rPr>
  </w:style>
  <w:style w:type="paragraph" w:styleId="771">
    <w:name w:val="Header"/>
    <w:basedOn w:val="738"/>
    <w:link w:val="963"/>
    <w:uiPriority w:val="0"/>
    <w:qFormat/>
    <w:pPr>
      <w:jc w:val="center"/>
      <w:tabs>
        <w:tab w:val="center" w:pos="4153" w:leader="none"/>
        <w:tab w:val="right" w:pos="8306" w:leader="none"/>
      </w:tabs>
      <w:pBdr>
        <w:bottom w:val="single" w:color="auto" w:sz="6" w:space="1"/>
      </w:pBdr>
    </w:pPr>
    <w:rPr>
      <w:sz w:val="18"/>
      <w:szCs w:val="18"/>
    </w:rPr>
  </w:style>
  <w:style w:type="paragraph" w:styleId="772">
    <w:name w:val="toc 1"/>
    <w:basedOn w:val="738"/>
    <w:next w:val="738"/>
    <w:uiPriority w:val="0"/>
    <w:semiHidden/>
    <w:qFormat/>
    <w:pPr>
      <w:jc w:val="left"/>
      <w:spacing w:before="120" w:after="120" w:line="400" w:lineRule="exact"/>
      <w:tabs>
        <w:tab w:val="right" w:pos="8720" w:leader="dot"/>
      </w:tabs>
    </w:pPr>
    <w:rPr>
      <w:rFonts w:ascii="宋体" w:hAnsi="宋体"/>
      <w:caps/>
      <w:sz w:val="24"/>
      <w:szCs w:val="24"/>
    </w:rPr>
  </w:style>
  <w:style w:type="paragraph" w:styleId="773">
    <w:name w:val="toc 4"/>
    <w:basedOn w:val="738"/>
    <w:next w:val="738"/>
    <w:uiPriority w:val="0"/>
    <w:semiHidden/>
    <w:qFormat/>
    <w:pPr>
      <w:ind w:left="630"/>
      <w:jc w:val="left"/>
    </w:pPr>
  </w:style>
  <w:style w:type="paragraph" w:styleId="774">
    <w:name w:val="Subtitle"/>
    <w:basedOn w:val="738"/>
    <w:next w:val="738"/>
    <w:link w:val="807"/>
    <w:uiPriority w:val="11"/>
    <w:qFormat/>
    <w:pPr>
      <w:spacing w:before="200" w:after="200"/>
    </w:pPr>
    <w:rPr>
      <w:sz w:val="24"/>
      <w:szCs w:val="24"/>
    </w:rPr>
  </w:style>
  <w:style w:type="paragraph" w:styleId="775">
    <w:name w:val="List"/>
    <w:basedOn w:val="738"/>
    <w:uiPriority w:val="0"/>
    <w:qFormat/>
    <w:pPr>
      <w:ind w:left="200" w:hanging="200"/>
    </w:pPr>
  </w:style>
  <w:style w:type="paragraph" w:styleId="776">
    <w:name w:val="footnote text"/>
    <w:basedOn w:val="738"/>
    <w:link w:val="940"/>
    <w:uiPriority w:val="99"/>
    <w:semiHidden/>
    <w:unhideWhenUsed/>
    <w:qFormat/>
    <w:pPr>
      <w:spacing w:after="40"/>
    </w:pPr>
    <w:rPr>
      <w:sz w:val="18"/>
    </w:rPr>
  </w:style>
  <w:style w:type="paragraph" w:styleId="777">
    <w:name w:val="toc 6"/>
    <w:basedOn w:val="738"/>
    <w:next w:val="738"/>
    <w:uiPriority w:val="0"/>
    <w:semiHidden/>
    <w:qFormat/>
    <w:pPr>
      <w:ind w:left="1050"/>
      <w:jc w:val="left"/>
    </w:pPr>
  </w:style>
  <w:style w:type="paragraph" w:styleId="778">
    <w:name w:val="Body Text Indent 3"/>
    <w:basedOn w:val="738"/>
    <w:link w:val="964"/>
    <w:uiPriority w:val="0"/>
    <w:qFormat/>
    <w:pPr>
      <w:ind w:left="645" w:firstLine="645"/>
    </w:pPr>
    <w:rPr>
      <w:rFonts w:ascii="Arial" w:hAnsi="Arial" w:eastAsia="仿宋_GB2312" w:cs="Arial"/>
      <w:color w:val="ffff00"/>
      <w:sz w:val="32"/>
      <w:szCs w:val="32"/>
    </w:rPr>
  </w:style>
  <w:style w:type="paragraph" w:styleId="779">
    <w:name w:val="table of figures"/>
    <w:basedOn w:val="738"/>
    <w:next w:val="738"/>
    <w:uiPriority w:val="0"/>
    <w:semiHidden/>
    <w:qFormat/>
    <w:pPr>
      <w:ind w:left="840" w:hanging="420"/>
    </w:pPr>
  </w:style>
  <w:style w:type="paragraph" w:styleId="780">
    <w:name w:val="toc 2"/>
    <w:basedOn w:val="738"/>
    <w:next w:val="738"/>
    <w:uiPriority w:val="0"/>
    <w:semiHidden/>
    <w:qFormat/>
    <w:pPr>
      <w:ind w:left="210"/>
      <w:jc w:val="left"/>
    </w:pPr>
    <w:rPr>
      <w:smallCaps/>
      <w:szCs w:val="24"/>
    </w:rPr>
  </w:style>
  <w:style w:type="paragraph" w:styleId="781">
    <w:name w:val="toc 9"/>
    <w:basedOn w:val="738"/>
    <w:next w:val="738"/>
    <w:uiPriority w:val="0"/>
    <w:semiHidden/>
    <w:qFormat/>
    <w:pPr>
      <w:ind w:left="1680"/>
      <w:jc w:val="left"/>
    </w:pPr>
  </w:style>
  <w:style w:type="paragraph" w:styleId="782">
    <w:name w:val="Body Text 2"/>
    <w:basedOn w:val="738"/>
    <w:link w:val="965"/>
    <w:uiPriority w:val="0"/>
    <w:qFormat/>
    <w:pPr>
      <w:jc w:val="center"/>
      <w:widowControl/>
    </w:pPr>
    <w:rPr>
      <w:rFonts w:ascii="楷体_GB2312" w:eastAsia="楷体_GB2312"/>
      <w:sz w:val="28"/>
      <w:szCs w:val="28"/>
    </w:rPr>
  </w:style>
  <w:style w:type="paragraph" w:styleId="783">
    <w:name w:val="Normal (Web)"/>
    <w:basedOn w:val="738"/>
    <w:uiPriority w:val="99"/>
    <w:qFormat/>
    <w:pPr>
      <w:jc w:val="left"/>
      <w:spacing w:before="100" w:beforeAutospacing="1" w:after="100" w:afterAutospacing="1"/>
      <w:widowControl/>
    </w:pPr>
    <w:rPr>
      <w:rFonts w:ascii="宋体" w:hAnsi="宋体" w:cs="宋体"/>
      <w:sz w:val="24"/>
      <w:szCs w:val="24"/>
    </w:rPr>
  </w:style>
  <w:style w:type="paragraph" w:styleId="784">
    <w:name w:val="index 1"/>
    <w:basedOn w:val="738"/>
    <w:next w:val="738"/>
    <w:uiPriority w:val="0"/>
    <w:semiHidden/>
    <w:qFormat/>
    <w:pPr>
      <w:spacing w:line="240" w:lineRule="atLeast"/>
    </w:pPr>
    <w:rPr>
      <w:b/>
      <w:bCs/>
    </w:rPr>
  </w:style>
  <w:style w:type="paragraph" w:styleId="785">
    <w:name w:val="Title"/>
    <w:basedOn w:val="738"/>
    <w:next w:val="738"/>
    <w:link w:val="806"/>
    <w:uiPriority w:val="10"/>
    <w:qFormat/>
    <w:pPr>
      <w:contextualSpacing/>
      <w:spacing w:before="300" w:after="200"/>
    </w:pPr>
    <w:rPr>
      <w:sz w:val="48"/>
      <w:szCs w:val="48"/>
    </w:rPr>
  </w:style>
  <w:style w:type="paragraph" w:styleId="786">
    <w:name w:val="annotation subject"/>
    <w:basedOn w:val="757"/>
    <w:next w:val="757"/>
    <w:link w:val="966"/>
    <w:uiPriority w:val="0"/>
    <w:semiHidden/>
    <w:qFormat/>
    <w:rPr>
      <w:b/>
      <w:bCs/>
    </w:rPr>
  </w:style>
  <w:style w:type="paragraph" w:styleId="787">
    <w:name w:val="Body Text First Indent"/>
    <w:basedOn w:val="738"/>
    <w:link w:val="967"/>
    <w:uiPriority w:val="0"/>
    <w:qFormat/>
    <w:pPr>
      <w:ind w:firstLine="200"/>
      <w:spacing w:line="360" w:lineRule="auto"/>
    </w:pPr>
    <w:rPr>
      <w:rFonts w:ascii="仿宋_GB2312" w:eastAsia="仿宋_GB2312"/>
      <w:sz w:val="30"/>
      <w:szCs w:val="30"/>
    </w:rPr>
  </w:style>
  <w:style w:type="paragraph" w:styleId="788">
    <w:name w:val="Body Text First Indent 2"/>
    <w:basedOn w:val="760"/>
    <w:link w:val="968"/>
    <w:uiPriority w:val="0"/>
    <w:qFormat/>
    <w:pPr>
      <w:ind w:firstLine="420"/>
      <w:spacing w:line="360" w:lineRule="auto"/>
    </w:pPr>
    <w:rPr>
      <w:rFonts w:ascii="宋体" w:hAnsi="宋体" w:eastAsia="宋体"/>
      <w:sz w:val="21"/>
      <w:szCs w:val="20"/>
    </w:rPr>
  </w:style>
  <w:style w:type="table" w:styleId="789">
    <w:name w:val="Table Grid"/>
    <w:basedOn w:val="74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0">
    <w:name w:val="Strong"/>
    <w:uiPriority w:val="0"/>
    <w:qFormat/>
    <w:rPr>
      <w:b/>
      <w:bCs/>
    </w:rPr>
  </w:style>
  <w:style w:type="character" w:styleId="791">
    <w:name w:val="endnote reference"/>
    <w:basedOn w:val="748"/>
    <w:uiPriority w:val="99"/>
    <w:semiHidden/>
    <w:unhideWhenUsed/>
    <w:qFormat/>
    <w:rPr>
      <w:vertAlign w:val="superscript"/>
    </w:rPr>
  </w:style>
  <w:style w:type="character" w:styleId="792">
    <w:name w:val="page number"/>
    <w:uiPriority w:val="0"/>
    <w:qFormat/>
  </w:style>
  <w:style w:type="character" w:styleId="793">
    <w:name w:val="FollowedHyperlink"/>
    <w:uiPriority w:val="0"/>
    <w:qFormat/>
    <w:rPr>
      <w:color w:val="800080"/>
      <w:u w:val="single"/>
    </w:rPr>
  </w:style>
  <w:style w:type="character" w:styleId="794">
    <w:name w:val="Hyperlink"/>
    <w:uiPriority w:val="0"/>
    <w:qFormat/>
    <w:rPr>
      <w:color w:val="0000ff"/>
      <w:u w:val="single"/>
    </w:rPr>
  </w:style>
  <w:style w:type="character" w:styleId="795">
    <w:name w:val="annotation reference"/>
    <w:uiPriority w:val="0"/>
    <w:semiHidden/>
    <w:qFormat/>
    <w:rPr>
      <w:sz w:val="21"/>
      <w:szCs w:val="21"/>
    </w:rPr>
  </w:style>
  <w:style w:type="character" w:styleId="796">
    <w:name w:val="footnote reference"/>
    <w:basedOn w:val="748"/>
    <w:uiPriority w:val="99"/>
    <w:unhideWhenUsed/>
    <w:qFormat/>
    <w:rPr>
      <w:vertAlign w:val="superscript"/>
    </w:rPr>
  </w:style>
  <w:style w:type="character" w:styleId="797" w:customStyle="1">
    <w:name w:val="Heading 1 Char"/>
    <w:basedOn w:val="748"/>
    <w:uiPriority w:val="9"/>
    <w:qFormat/>
    <w:rPr>
      <w:rFonts w:ascii="Arial" w:hAnsi="Arial" w:eastAsia="Arial" w:cs="Arial"/>
      <w:sz w:val="40"/>
      <w:szCs w:val="40"/>
    </w:rPr>
  </w:style>
  <w:style w:type="character" w:styleId="798" w:customStyle="1">
    <w:name w:val="Heading 2 Char"/>
    <w:basedOn w:val="748"/>
    <w:uiPriority w:val="9"/>
    <w:qFormat/>
    <w:rPr>
      <w:rFonts w:ascii="Arial" w:hAnsi="Arial" w:eastAsia="Arial" w:cs="Arial"/>
      <w:sz w:val="34"/>
    </w:rPr>
  </w:style>
  <w:style w:type="character" w:styleId="799" w:customStyle="1">
    <w:name w:val="Heading 3 Char"/>
    <w:basedOn w:val="748"/>
    <w:uiPriority w:val="9"/>
    <w:qFormat/>
    <w:rPr>
      <w:rFonts w:ascii="Arial" w:hAnsi="Arial" w:eastAsia="Arial" w:cs="Arial"/>
      <w:sz w:val="30"/>
      <w:szCs w:val="30"/>
    </w:rPr>
  </w:style>
  <w:style w:type="character" w:styleId="800" w:customStyle="1">
    <w:name w:val="Heading 4 Char"/>
    <w:basedOn w:val="748"/>
    <w:uiPriority w:val="9"/>
    <w:qFormat/>
    <w:rPr>
      <w:rFonts w:ascii="Arial" w:hAnsi="Arial" w:eastAsia="Arial" w:cs="Arial"/>
      <w:b/>
      <w:bCs/>
      <w:sz w:val="26"/>
      <w:szCs w:val="26"/>
    </w:rPr>
  </w:style>
  <w:style w:type="character" w:styleId="801" w:customStyle="1">
    <w:name w:val="Heading 5 Char"/>
    <w:basedOn w:val="748"/>
    <w:uiPriority w:val="9"/>
    <w:qFormat/>
    <w:rPr>
      <w:rFonts w:ascii="Arial" w:hAnsi="Arial" w:eastAsia="Arial" w:cs="Arial"/>
      <w:b/>
      <w:bCs/>
      <w:sz w:val="24"/>
      <w:szCs w:val="24"/>
    </w:rPr>
  </w:style>
  <w:style w:type="character" w:styleId="802" w:customStyle="1">
    <w:name w:val="Heading 6 Char"/>
    <w:basedOn w:val="748"/>
    <w:uiPriority w:val="9"/>
    <w:qFormat/>
    <w:rPr>
      <w:rFonts w:ascii="Arial" w:hAnsi="Arial" w:eastAsia="Arial" w:cs="Arial"/>
      <w:b/>
      <w:bCs/>
      <w:sz w:val="22"/>
      <w:szCs w:val="22"/>
    </w:rPr>
  </w:style>
  <w:style w:type="character" w:styleId="803" w:customStyle="1">
    <w:name w:val="Heading 7 Char"/>
    <w:basedOn w:val="748"/>
    <w:uiPriority w:val="9"/>
    <w:qFormat/>
    <w:rPr>
      <w:rFonts w:ascii="Arial" w:hAnsi="Arial" w:eastAsia="Arial" w:cs="Arial"/>
      <w:b/>
      <w:bCs/>
      <w:i/>
      <w:iCs/>
      <w:sz w:val="22"/>
      <w:szCs w:val="22"/>
    </w:rPr>
  </w:style>
  <w:style w:type="character" w:styleId="804" w:customStyle="1">
    <w:name w:val="Heading 8 Char"/>
    <w:basedOn w:val="748"/>
    <w:uiPriority w:val="9"/>
    <w:qFormat/>
    <w:rPr>
      <w:rFonts w:ascii="Arial" w:hAnsi="Arial" w:eastAsia="Arial" w:cs="Arial"/>
      <w:i/>
      <w:iCs/>
      <w:sz w:val="22"/>
      <w:szCs w:val="22"/>
    </w:rPr>
  </w:style>
  <w:style w:type="character" w:styleId="805" w:customStyle="1">
    <w:name w:val="Heading 9 Char"/>
    <w:basedOn w:val="748"/>
    <w:uiPriority w:val="9"/>
    <w:qFormat/>
    <w:rPr>
      <w:rFonts w:ascii="Arial" w:hAnsi="Arial" w:eastAsia="Arial" w:cs="Arial"/>
      <w:i/>
      <w:iCs/>
      <w:sz w:val="21"/>
      <w:szCs w:val="21"/>
    </w:rPr>
  </w:style>
  <w:style w:type="character" w:styleId="806" w:customStyle="1">
    <w:name w:val="标题 字符"/>
    <w:basedOn w:val="748"/>
    <w:link w:val="785"/>
    <w:uiPriority w:val="10"/>
    <w:qFormat/>
    <w:rPr>
      <w:sz w:val="48"/>
      <w:szCs w:val="48"/>
    </w:rPr>
  </w:style>
  <w:style w:type="character" w:styleId="807" w:customStyle="1">
    <w:name w:val="副标题 字符"/>
    <w:basedOn w:val="748"/>
    <w:link w:val="774"/>
    <w:uiPriority w:val="11"/>
    <w:qFormat/>
    <w:rPr>
      <w:sz w:val="24"/>
      <w:szCs w:val="24"/>
    </w:rPr>
  </w:style>
  <w:style w:type="paragraph" w:styleId="808">
    <w:name w:val="Quote"/>
    <w:basedOn w:val="738"/>
    <w:next w:val="738"/>
    <w:link w:val="809"/>
    <w:uiPriority w:val="29"/>
    <w:qFormat/>
    <w:pPr>
      <w:ind w:left="720" w:right="720"/>
    </w:pPr>
    <w:rPr>
      <w:i/>
    </w:rPr>
  </w:style>
  <w:style w:type="character" w:styleId="809" w:customStyle="1">
    <w:name w:val="引用 字符"/>
    <w:link w:val="808"/>
    <w:uiPriority w:val="29"/>
    <w:qFormat/>
    <w:rPr>
      <w:i/>
    </w:rPr>
  </w:style>
  <w:style w:type="paragraph" w:styleId="810">
    <w:name w:val="Intense Quote"/>
    <w:basedOn w:val="738"/>
    <w:next w:val="738"/>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明显引用 字符"/>
    <w:link w:val="810"/>
    <w:uiPriority w:val="30"/>
    <w:qFormat/>
    <w:rPr>
      <w:i/>
    </w:rPr>
  </w:style>
  <w:style w:type="character" w:styleId="812" w:customStyle="1">
    <w:name w:val="Header Char"/>
    <w:basedOn w:val="748"/>
    <w:uiPriority w:val="99"/>
    <w:qFormat/>
  </w:style>
  <w:style w:type="character" w:styleId="813" w:customStyle="1">
    <w:name w:val="Footer Char"/>
    <w:basedOn w:val="748"/>
    <w:uiPriority w:val="99"/>
    <w:qFormat/>
  </w:style>
  <w:style w:type="character" w:styleId="814" w:customStyle="1">
    <w:name w:val="Caption Char"/>
    <w:uiPriority w:val="99"/>
    <w:qFormat/>
  </w:style>
  <w:style w:type="table" w:styleId="815" w:customStyle="1">
    <w:name w:val="Table Grid Light"/>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6" w:customStyle="1">
    <w:name w:val="无格式表格 11"/>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basedOn w:val="7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basedOn w:val="7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basedOn w:val="7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basedOn w:val="7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basedOn w:val="7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basedOn w:val="7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8" w:customStyle="1">
    <w:name w:val="网格表 21"/>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basedOn w:val="7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4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4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网格表 31"/>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basedOn w:val="7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basedOn w:val="7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basedOn w:val="7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basedOn w:val="7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basedOn w:val="74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basedOn w:val="74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网格表 41"/>
    <w:basedOn w:val="7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basedOn w:val="74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4" w:customStyle="1">
    <w:name w:val="Grid Table 4 - Accent 2"/>
    <w:basedOn w:val="74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5" w:customStyle="1">
    <w:name w:val="Grid Table 4 - Accent 3"/>
    <w:basedOn w:val="74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6" w:customStyle="1">
    <w:name w:val="Grid Table 4 - Accent 4"/>
    <w:basedOn w:val="74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basedOn w:val="74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basedOn w:val="74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网格表 5 深色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1" w:customStyle="1">
    <w:name w:val="Grid Table 5 Dark - Accent 2"/>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2" w:customStyle="1">
    <w:name w:val="Grid Table 5 Dark - Accent 3"/>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3" w:customStyle="1">
    <w:name w:val="Grid Table 5 Dark- Accent 4"/>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4" w:customStyle="1">
    <w:name w:val="Grid Table 5 Dark - Accent 5"/>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网格表 6 彩色1"/>
    <w:basedOn w:val="7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basedOn w:val="74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8" w:customStyle="1">
    <w:name w:val="Grid Table 6 Colorful - Accent 2"/>
    <w:basedOn w:val="7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9" w:customStyle="1">
    <w:name w:val="Grid Table 6 Colorful - Accent 3"/>
    <w:basedOn w:val="74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0" w:customStyle="1">
    <w:name w:val="Grid Table 6 Colorful - Accent 4"/>
    <w:basedOn w:val="7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1" w:customStyle="1">
    <w:name w:val="Grid Table 6 Colorful - Accent 5"/>
    <w:basedOn w:val="74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6 Colorful - Accent 6"/>
    <w:basedOn w:val="74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网格表 7 彩色1"/>
    <w:basedOn w:val="7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basedOn w:val="74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basedOn w:val="74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basedOn w:val="74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basedOn w:val="74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basedOn w:val="74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basedOn w:val="74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0" w:customStyle="1">
    <w:name w:val="清单表 1 浅色1"/>
    <w:basedOn w:val="74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basedOn w:val="74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4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4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4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4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4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清单表 21"/>
    <w:basedOn w:val="7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basedOn w:val="74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basedOn w:val="74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basedOn w:val="74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basedOn w:val="74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basedOn w:val="74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basedOn w:val="74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清单表 31"/>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basedOn w:val="74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basedOn w:val="7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basedOn w:val="74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basedOn w:val="7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basedOn w:val="74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basedOn w:val="74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清单表 41"/>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basedOn w:val="74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basedOn w:val="74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basedOn w:val="74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basedOn w:val="74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basedOn w:val="74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basedOn w:val="74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清单表 5 深色1"/>
    <w:basedOn w:val="7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basedOn w:val="74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basedOn w:val="74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basedOn w:val="74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basedOn w:val="74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basedOn w:val="74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basedOn w:val="74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清单表 6 彩色1"/>
    <w:basedOn w:val="74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basedOn w:val="74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7" w:customStyle="1">
    <w:name w:val="List Table 6 Colorful - Accent 2"/>
    <w:basedOn w:val="74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8" w:customStyle="1">
    <w:name w:val="List Table 6 Colorful - Accent 3"/>
    <w:basedOn w:val="74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9" w:customStyle="1">
    <w:name w:val="List Table 6 Colorful - Accent 4"/>
    <w:basedOn w:val="74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0" w:customStyle="1">
    <w:name w:val="List Table 6 Colorful - Accent 5"/>
    <w:basedOn w:val="74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1" w:customStyle="1">
    <w:name w:val="List Table 6 Colorful - Accent 6"/>
    <w:basedOn w:val="74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2" w:customStyle="1">
    <w:name w:val="清单表 7 彩色1"/>
    <w:basedOn w:val="74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basedOn w:val="74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74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74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74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74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74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Lined - Accent 2"/>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Lined - Accent 3"/>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Lined - Accent 4"/>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basedOn w:val="74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basedOn w:val="74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Bordered &amp; Lined - Accent 2"/>
    <w:basedOn w:val="74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Bordered &amp; Lined - Accent 3"/>
    <w:basedOn w:val="74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Bordered &amp; Lined - Accent 4"/>
    <w:basedOn w:val="74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basedOn w:val="74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basedOn w:val="74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basedOn w:val="74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basedOn w:val="7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basedOn w:val="7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6" w:customStyle="1">
    <w:name w:val="Bordered - Accent 3"/>
    <w:basedOn w:val="7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7" w:customStyle="1">
    <w:name w:val="Bordered - Accent 4"/>
    <w:basedOn w:val="7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basedOn w:val="7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basedOn w:val="7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脚注文本 字符"/>
    <w:link w:val="776"/>
    <w:uiPriority w:val="99"/>
    <w:qFormat/>
    <w:rPr>
      <w:sz w:val="18"/>
    </w:rPr>
  </w:style>
  <w:style w:type="character" w:styleId="941" w:customStyle="1">
    <w:name w:val="尾注文本 字符"/>
    <w:link w:val="768"/>
    <w:uiPriority w:val="99"/>
    <w:qFormat/>
    <w:rPr>
      <w:sz w:val="20"/>
    </w:rPr>
  </w:style>
  <w:style w:type="paragraph" w:styleId="942" w:customStyle="1">
    <w:name w:val="TOC 标题1"/>
    <w:uiPriority w:val="39"/>
    <w:unhideWhenUsed/>
    <w:qFormat/>
    <w:rPr>
      <w:rFonts w:ascii="Times New Roman" w:hAnsi="Times New Roman" w:eastAsia="宋体" w:cs="Times New Roman"/>
      <w:lang w:val="en-US" w:eastAsia="zh-CN" w:bidi="ar-SA"/>
    </w:rPr>
  </w:style>
  <w:style w:type="character" w:styleId="943" w:customStyle="1">
    <w:name w:val="标题 1 字符"/>
    <w:link w:val="739"/>
    <w:uiPriority w:val="0"/>
    <w:qFormat/>
    <w:rPr>
      <w:rFonts w:ascii="楷体_GB2312" w:hAnsi="Times New Roman" w:eastAsia="楷体_GB2312" w:cs="Times New Roman"/>
      <w:sz w:val="28"/>
      <w:szCs w:val="28"/>
    </w:rPr>
  </w:style>
  <w:style w:type="character" w:styleId="944" w:customStyle="1">
    <w:name w:val="标题 2 字符"/>
    <w:link w:val="740"/>
    <w:uiPriority w:val="0"/>
    <w:qFormat/>
    <w:rPr>
      <w:rFonts w:ascii="Arial" w:hAnsi="Arial" w:eastAsia="幼圆" w:cs="Arial"/>
      <w:b/>
      <w:bCs/>
      <w:sz w:val="44"/>
      <w:szCs w:val="44"/>
    </w:rPr>
  </w:style>
  <w:style w:type="character" w:styleId="945" w:customStyle="1">
    <w:name w:val="正文缩进 字符"/>
    <w:link w:val="752"/>
    <w:uiPriority w:val="0"/>
    <w:qFormat/>
    <w:rPr>
      <w:rFonts w:ascii="Times New Roman" w:hAnsi="Times New Roman" w:eastAsia="宋体" w:cs="Times New Roman"/>
      <w:szCs w:val="21"/>
    </w:rPr>
  </w:style>
  <w:style w:type="character" w:styleId="946" w:customStyle="1">
    <w:name w:val="标题 3 字符"/>
    <w:link w:val="741"/>
    <w:uiPriority w:val="0"/>
    <w:qFormat/>
    <w:rPr>
      <w:rFonts w:ascii="Times New Roman" w:hAnsi="Times New Roman" w:eastAsia="宋体" w:cs="Times New Roman"/>
      <w:b/>
      <w:bCs/>
      <w:sz w:val="32"/>
      <w:szCs w:val="32"/>
    </w:rPr>
  </w:style>
  <w:style w:type="character" w:styleId="947" w:customStyle="1">
    <w:name w:val="标题 4 字符"/>
    <w:link w:val="742"/>
    <w:uiPriority w:val="0"/>
    <w:qFormat/>
    <w:rPr>
      <w:rFonts w:ascii="Arial" w:hAnsi="Arial" w:eastAsia="黑体" w:cs="Arial"/>
      <w:b/>
      <w:bCs/>
      <w:sz w:val="28"/>
      <w:szCs w:val="28"/>
    </w:rPr>
  </w:style>
  <w:style w:type="character" w:styleId="948" w:customStyle="1">
    <w:name w:val="标题 5 字符"/>
    <w:link w:val="743"/>
    <w:uiPriority w:val="0"/>
    <w:qFormat/>
    <w:rPr>
      <w:rFonts w:ascii="宋体" w:hAnsi="Times New Roman" w:eastAsia="宋体" w:cs="Times New Roman"/>
      <w:color w:val="000000"/>
      <w:sz w:val="28"/>
      <w:szCs w:val="28"/>
    </w:rPr>
  </w:style>
  <w:style w:type="character" w:styleId="949" w:customStyle="1">
    <w:name w:val="标题 6 字符"/>
    <w:link w:val="744"/>
    <w:uiPriority w:val="0"/>
    <w:qFormat/>
    <w:rPr>
      <w:rFonts w:ascii="Arial" w:hAnsi="Arial" w:eastAsia="黑体" w:cs="Times New Roman"/>
      <w:b/>
      <w:bCs/>
      <w:sz w:val="24"/>
      <w:szCs w:val="24"/>
    </w:rPr>
  </w:style>
  <w:style w:type="character" w:styleId="950" w:customStyle="1">
    <w:name w:val="标题 7 字符"/>
    <w:link w:val="745"/>
    <w:uiPriority w:val="0"/>
    <w:qFormat/>
    <w:rPr>
      <w:rFonts w:ascii="Times New Roman" w:hAnsi="Times New Roman" w:eastAsia="宋体" w:cs="Times New Roman"/>
      <w:b/>
      <w:bCs/>
      <w:sz w:val="24"/>
      <w:szCs w:val="24"/>
    </w:rPr>
  </w:style>
  <w:style w:type="character" w:styleId="951" w:customStyle="1">
    <w:name w:val="标题 8 字符"/>
    <w:link w:val="746"/>
    <w:uiPriority w:val="0"/>
    <w:qFormat/>
    <w:rPr>
      <w:rFonts w:ascii="Arial" w:hAnsi="Arial" w:eastAsia="黑体" w:cs="Times New Roman"/>
      <w:sz w:val="24"/>
      <w:szCs w:val="24"/>
    </w:rPr>
  </w:style>
  <w:style w:type="character" w:styleId="952" w:customStyle="1">
    <w:name w:val="标题 9 字符"/>
    <w:link w:val="747"/>
    <w:uiPriority w:val="0"/>
    <w:qFormat/>
    <w:rPr>
      <w:rFonts w:ascii="Arial" w:hAnsi="Arial" w:eastAsia="黑体" w:cs="Times New Roman"/>
      <w:szCs w:val="21"/>
    </w:rPr>
  </w:style>
  <w:style w:type="character" w:styleId="953" w:customStyle="1">
    <w:name w:val="文档结构图 字符"/>
    <w:link w:val="756"/>
    <w:uiPriority w:val="0"/>
    <w:semiHidden/>
    <w:qFormat/>
    <w:rPr>
      <w:rFonts w:ascii="Times New Roman" w:hAnsi="Times New Roman" w:eastAsia="宋体" w:cs="Times New Roman"/>
      <w:szCs w:val="21"/>
      <w:shd w:val="clear" w:color="auto" w:fill="000080"/>
    </w:rPr>
  </w:style>
  <w:style w:type="character" w:styleId="954" w:customStyle="1">
    <w:name w:val="批注文字 字符"/>
    <w:link w:val="757"/>
    <w:uiPriority w:val="0"/>
    <w:semiHidden/>
    <w:qFormat/>
    <w:rPr>
      <w:rFonts w:ascii="Times New Roman" w:hAnsi="Times New Roman" w:eastAsia="宋体" w:cs="Times New Roman"/>
      <w:szCs w:val="21"/>
    </w:rPr>
  </w:style>
  <w:style w:type="character" w:styleId="955" w:customStyle="1">
    <w:name w:val="正文文本 3 字符"/>
    <w:link w:val="758"/>
    <w:uiPriority w:val="0"/>
    <w:qFormat/>
    <w:rPr>
      <w:rFonts w:ascii="仿宋_GB2312" w:hAnsi="Arial" w:eastAsia="仿宋_GB2312" w:cs="Times New Roman"/>
      <w:sz w:val="32"/>
      <w:szCs w:val="32"/>
    </w:rPr>
  </w:style>
  <w:style w:type="character" w:styleId="956" w:customStyle="1">
    <w:name w:val="正文文本 字符"/>
    <w:link w:val="759"/>
    <w:uiPriority w:val="0"/>
    <w:qFormat/>
    <w:rPr>
      <w:rFonts w:ascii="楷体_GB2312" w:hAnsi="Arial" w:eastAsia="楷体_GB2312" w:cs="Times New Roman"/>
      <w:sz w:val="28"/>
      <w:szCs w:val="28"/>
    </w:rPr>
  </w:style>
  <w:style w:type="character" w:styleId="957" w:customStyle="1">
    <w:name w:val="正文文本缩进 字符"/>
    <w:link w:val="760"/>
    <w:uiPriority w:val="0"/>
    <w:qFormat/>
    <w:rPr>
      <w:rFonts w:ascii="楷体_GB2312" w:hAnsi="Times New Roman" w:eastAsia="楷体_GB2312" w:cs="Times New Roman"/>
      <w:sz w:val="32"/>
      <w:szCs w:val="32"/>
    </w:rPr>
  </w:style>
  <w:style w:type="character" w:styleId="958" w:customStyle="1">
    <w:name w:val="纯文本 字符"/>
    <w:link w:val="764"/>
    <w:uiPriority w:val="0"/>
    <w:qFormat/>
    <w:rPr>
      <w:rFonts w:ascii="宋体" w:hAnsi="Courier New" w:eastAsia="宋体" w:cs="Courier New"/>
      <w:szCs w:val="21"/>
    </w:rPr>
  </w:style>
  <w:style w:type="character" w:styleId="959" w:customStyle="1">
    <w:name w:val="日期 字符"/>
    <w:link w:val="766"/>
    <w:uiPriority w:val="0"/>
    <w:qFormat/>
    <w:rPr>
      <w:rFonts w:ascii="Times New Roman" w:hAnsi="Times New Roman" w:eastAsia="宋体" w:cs="Times New Roman"/>
      <w:sz w:val="24"/>
      <w:szCs w:val="24"/>
    </w:rPr>
  </w:style>
  <w:style w:type="character" w:styleId="960" w:customStyle="1">
    <w:name w:val="正文文本缩进 2 字符"/>
    <w:link w:val="767"/>
    <w:uiPriority w:val="0"/>
    <w:qFormat/>
    <w:rPr>
      <w:rFonts w:ascii="Arial" w:hAnsi="Arial" w:eastAsia="仿宋_GB2312" w:cs="Arial"/>
      <w:sz w:val="32"/>
      <w:szCs w:val="32"/>
    </w:rPr>
  </w:style>
  <w:style w:type="character" w:styleId="961" w:customStyle="1">
    <w:name w:val="批注框文本 字符"/>
    <w:link w:val="769"/>
    <w:uiPriority w:val="0"/>
    <w:semiHidden/>
    <w:qFormat/>
    <w:rPr>
      <w:rFonts w:ascii="Times New Roman" w:hAnsi="Times New Roman" w:eastAsia="宋体" w:cs="Times New Roman"/>
      <w:sz w:val="18"/>
      <w:szCs w:val="18"/>
    </w:rPr>
  </w:style>
  <w:style w:type="character" w:styleId="962" w:customStyle="1">
    <w:name w:val="页脚 字符"/>
    <w:link w:val="770"/>
    <w:uiPriority w:val="99"/>
    <w:qFormat/>
    <w:rPr>
      <w:rFonts w:ascii="Times New Roman" w:hAnsi="Times New Roman" w:eastAsia="宋体" w:cs="Times New Roman"/>
      <w:sz w:val="18"/>
      <w:szCs w:val="18"/>
    </w:rPr>
  </w:style>
  <w:style w:type="character" w:styleId="963" w:customStyle="1">
    <w:name w:val="页眉 字符"/>
    <w:link w:val="771"/>
    <w:uiPriority w:val="0"/>
    <w:qFormat/>
    <w:rPr>
      <w:rFonts w:ascii="Times New Roman" w:hAnsi="Times New Roman" w:eastAsia="宋体" w:cs="Times New Roman"/>
      <w:sz w:val="18"/>
      <w:szCs w:val="18"/>
    </w:rPr>
  </w:style>
  <w:style w:type="character" w:styleId="964" w:customStyle="1">
    <w:name w:val="正文文本缩进 3 字符"/>
    <w:link w:val="778"/>
    <w:uiPriority w:val="0"/>
    <w:qFormat/>
    <w:rPr>
      <w:rFonts w:ascii="Arial" w:hAnsi="Arial" w:eastAsia="仿宋_GB2312" w:cs="Arial"/>
      <w:color w:val="ffff00"/>
      <w:sz w:val="32"/>
      <w:szCs w:val="32"/>
    </w:rPr>
  </w:style>
  <w:style w:type="character" w:styleId="965" w:customStyle="1">
    <w:name w:val="正文文本 2 字符"/>
    <w:link w:val="782"/>
    <w:uiPriority w:val="0"/>
    <w:qFormat/>
    <w:rPr>
      <w:rFonts w:ascii="楷体_GB2312" w:hAnsi="Times New Roman" w:eastAsia="楷体_GB2312" w:cs="Times New Roman"/>
      <w:sz w:val="28"/>
      <w:szCs w:val="28"/>
    </w:rPr>
  </w:style>
  <w:style w:type="character" w:styleId="966" w:customStyle="1">
    <w:name w:val="批注主题 字符"/>
    <w:link w:val="786"/>
    <w:uiPriority w:val="0"/>
    <w:semiHidden/>
    <w:qFormat/>
    <w:rPr>
      <w:rFonts w:ascii="Times New Roman" w:hAnsi="Times New Roman" w:eastAsia="宋体" w:cs="Times New Roman"/>
      <w:b/>
      <w:bCs/>
      <w:szCs w:val="21"/>
    </w:rPr>
  </w:style>
  <w:style w:type="character" w:styleId="967" w:customStyle="1">
    <w:name w:val="正文首行缩进 字符"/>
    <w:link w:val="787"/>
    <w:uiPriority w:val="0"/>
    <w:qFormat/>
    <w:rPr>
      <w:rFonts w:ascii="仿宋_GB2312" w:hAnsi="Times New Roman" w:eastAsia="仿宋_GB2312" w:cs="Times New Roman"/>
      <w:sz w:val="30"/>
      <w:szCs w:val="30"/>
    </w:rPr>
  </w:style>
  <w:style w:type="character" w:styleId="968" w:customStyle="1">
    <w:name w:val="正文首行缩进 2 字符"/>
    <w:link w:val="788"/>
    <w:uiPriority w:val="0"/>
    <w:qFormat/>
    <w:rPr>
      <w:rFonts w:ascii="宋体" w:hAnsi="宋体" w:eastAsia="宋体" w:cs="Times New Roman"/>
      <w:sz w:val="32"/>
      <w:szCs w:val="20"/>
    </w:rPr>
  </w:style>
  <w:style w:type="character" w:styleId="969" w:customStyle="1">
    <w:name w:val="font5 Char"/>
    <w:uiPriority w:val="0"/>
    <w:qFormat/>
    <w:rPr>
      <w:rFonts w:ascii="宋体" w:hAnsi="宋体" w:eastAsia="宋体"/>
      <w:sz w:val="28"/>
      <w:szCs w:val="28"/>
      <w:lang w:val="en-US" w:eastAsia="zh-CN" w:bidi="ar-SA"/>
    </w:rPr>
  </w:style>
  <w:style w:type="character" w:styleId="970" w:customStyle="1">
    <w:name w:val="二级目录 Char"/>
    <w:link w:val="971"/>
    <w:uiPriority w:val="0"/>
    <w:qFormat/>
    <w:rPr>
      <w:b/>
      <w:sz w:val="30"/>
      <w:szCs w:val="28"/>
    </w:rPr>
  </w:style>
  <w:style w:type="paragraph" w:styleId="971" w:customStyle="1">
    <w:name w:val="二级目录"/>
    <w:next w:val="738"/>
    <w:link w:val="970"/>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72" w:customStyle="1">
    <w:name w:val="列出段落 Char"/>
    <w:link w:val="973"/>
    <w:uiPriority w:val="0"/>
    <w:qFormat/>
    <w:rPr>
      <w:rFonts w:ascii="Calibri" w:hAnsi="Calibri"/>
      <w:sz w:val="24"/>
      <w:szCs w:val="24"/>
      <w:lang w:eastAsia="en-US" w:bidi="en-US"/>
    </w:rPr>
  </w:style>
  <w:style w:type="paragraph" w:styleId="973" w:customStyle="1">
    <w:name w:val="列出段落1"/>
    <w:basedOn w:val="738"/>
    <w:link w:val="972"/>
    <w:uiPriority w:val="0"/>
    <w:qFormat/>
    <w:pPr>
      <w:contextualSpacing/>
      <w:ind w:left="720"/>
      <w:jc w:val="left"/>
      <w:widowControl/>
    </w:pPr>
    <w:rPr>
      <w:rFonts w:ascii="Calibri" w:hAnsi="Calibri"/>
      <w:sz w:val="24"/>
      <w:szCs w:val="24"/>
      <w:lang w:eastAsia="en-US" w:bidi="en-US"/>
    </w:rPr>
  </w:style>
  <w:style w:type="paragraph" w:styleId="974" w:customStyle="1">
    <w:name w:val="Body Text(ch)"/>
    <w:basedOn w:val="738"/>
    <w:next w:val="759"/>
    <w:uiPriority w:val="0"/>
    <w:qFormat/>
    <w:pPr>
      <w:spacing w:after="120"/>
    </w:pPr>
    <w:rPr>
      <w:rFonts w:ascii="宋体" w:hAnsi="Arial"/>
      <w:bCs/>
      <w:iCs/>
      <w:szCs w:val="24"/>
    </w:rPr>
  </w:style>
  <w:style w:type="paragraph" w:styleId="975" w:customStyle="1">
    <w:name w:val="xl27"/>
    <w:basedOn w:val="7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6" w:customStyle="1">
    <w:name w:val="xl26"/>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77" w:customStyle="1">
    <w:name w:val="Char"/>
    <w:basedOn w:val="738"/>
    <w:uiPriority w:val="0"/>
    <w:qFormat/>
    <w:pPr>
      <w:ind w:firstLine="200"/>
      <w:tabs>
        <w:tab w:val="left" w:pos="360" w:leader="none"/>
      </w:tabs>
    </w:pPr>
    <w:rPr>
      <w:sz w:val="28"/>
      <w:szCs w:val="30"/>
    </w:rPr>
  </w:style>
  <w:style w:type="paragraph" w:styleId="978" w:customStyle="1">
    <w:name w:val="Char1"/>
    <w:basedOn w:val="756"/>
    <w:uiPriority w:val="0"/>
    <w:qFormat/>
    <w:rPr>
      <w:rFonts w:ascii="Tahoma" w:hAnsi="Tahoma"/>
      <w:sz w:val="24"/>
      <w:szCs w:val="24"/>
    </w:rPr>
  </w:style>
  <w:style w:type="paragraph" w:styleId="979" w:customStyle="1">
    <w:name w:val="普通正文"/>
    <w:basedOn w:val="738"/>
    <w:uiPriority w:val="0"/>
    <w:qFormat/>
    <w:pPr>
      <w:ind w:firstLine="480"/>
      <w:jc w:val="left"/>
      <w:spacing w:before="120" w:after="120" w:line="360" w:lineRule="auto"/>
    </w:pPr>
    <w:rPr>
      <w:rFonts w:ascii="Arial" w:hAnsi="Arial"/>
      <w:sz w:val="24"/>
      <w:szCs w:val="24"/>
    </w:rPr>
  </w:style>
  <w:style w:type="paragraph" w:styleId="980" w:customStyle="1">
    <w:name w:val="table_lines"/>
    <w:basedOn w:val="738"/>
    <w:uiPriority w:val="0"/>
    <w:qFormat/>
    <w:pPr>
      <w:jc w:val="left"/>
      <w:widowControl/>
    </w:pPr>
    <w:rPr>
      <w:sz w:val="20"/>
      <w:szCs w:val="20"/>
      <w:lang w:val="de-DE" w:eastAsia="de-DE"/>
    </w:rPr>
  </w:style>
  <w:style w:type="paragraph" w:styleId="98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82" w:customStyle="1">
    <w:name w:val="font7"/>
    <w:basedOn w:val="738"/>
    <w:uiPriority w:val="0"/>
    <w:qFormat/>
    <w:pPr>
      <w:jc w:val="left"/>
      <w:spacing w:before="100" w:beforeAutospacing="1" w:after="100" w:afterAutospacing="1"/>
      <w:widowControl/>
    </w:pPr>
    <w:rPr>
      <w:rFonts w:hint="eastAsia" w:ascii="宋体" w:hAnsi="宋体"/>
      <w:sz w:val="18"/>
      <w:szCs w:val="18"/>
    </w:rPr>
  </w:style>
  <w:style w:type="paragraph" w:styleId="983" w:customStyle="1">
    <w:name w:val="Char Char Char Char"/>
    <w:basedOn w:val="756"/>
    <w:uiPriority w:val="0"/>
    <w:qFormat/>
    <w:pPr>
      <w:spacing w:line="360" w:lineRule="auto"/>
    </w:pPr>
    <w:rPr>
      <w:rFonts w:ascii="Tahoma" w:hAnsi="Tahoma"/>
      <w:sz w:val="24"/>
      <w:szCs w:val="24"/>
    </w:rPr>
  </w:style>
  <w:style w:type="paragraph" w:styleId="984">
    <w:name w:val="List Paragraph"/>
    <w:basedOn w:val="738"/>
    <w:uiPriority w:val="0"/>
    <w:qFormat/>
    <w:pPr>
      <w:contextualSpacing/>
      <w:ind w:left="720"/>
      <w:jc w:val="left"/>
      <w:widowControl/>
    </w:pPr>
    <w:rPr>
      <w:rFonts w:ascii="Calibri" w:hAnsi="Calibri"/>
      <w:sz w:val="24"/>
      <w:szCs w:val="24"/>
      <w:lang w:eastAsia="en-US" w:bidi="en-US"/>
    </w:rPr>
  </w:style>
  <w:style w:type="paragraph" w:styleId="985" w:customStyle="1">
    <w:name w:val="4"/>
    <w:basedOn w:val="738"/>
    <w:next w:val="778"/>
    <w:uiPriority w:val="0"/>
    <w:qFormat/>
    <w:pPr>
      <w:ind w:firstLine="420"/>
      <w:spacing w:line="360" w:lineRule="auto"/>
    </w:pPr>
    <w:rPr>
      <w:color w:val="ff0000"/>
      <w:sz w:val="24"/>
      <w:szCs w:val="24"/>
    </w:rPr>
  </w:style>
  <w:style w:type="paragraph" w:styleId="986" w:customStyle="1">
    <w:name w:val="普通 (Web)"/>
    <w:basedOn w:val="738"/>
    <w:uiPriority w:val="0"/>
    <w:qFormat/>
    <w:pPr>
      <w:jc w:val="left"/>
      <w:spacing w:before="100" w:beforeAutospacing="1" w:after="100" w:afterAutospacing="1"/>
      <w:widowControl/>
    </w:pPr>
    <w:rPr>
      <w:rFonts w:ascii="宋体" w:hAnsi="宋体"/>
      <w:sz w:val="24"/>
      <w:szCs w:val="24"/>
    </w:rPr>
  </w:style>
  <w:style w:type="paragraph" w:styleId="987" w:customStyle="1">
    <w:name w:val="Char Char Char Char Char Char Char Char Char Char"/>
    <w:basedOn w:val="738"/>
    <w:uiPriority w:val="0"/>
    <w:qFormat/>
    <w:pPr>
      <w:spacing w:line="360" w:lineRule="auto"/>
    </w:pPr>
    <w:rPr>
      <w:sz w:val="24"/>
      <w:szCs w:val="20"/>
    </w:rPr>
  </w:style>
  <w:style w:type="paragraph" w:styleId="988" w:customStyle="1">
    <w:name w:val="样式1"/>
    <w:basedOn w:val="738"/>
    <w:uiPriority w:val="0"/>
    <w:qFormat/>
    <w:pPr>
      <w:numPr>
        <w:ilvl w:val="0"/>
        <w:numId w:val="3"/>
      </w:numPr>
    </w:pPr>
    <w:rPr>
      <w:rFonts w:ascii="宋体" w:hAnsi="宋体"/>
    </w:rPr>
  </w:style>
  <w:style w:type="paragraph" w:styleId="989" w:customStyle="1">
    <w:name w:val="font6"/>
    <w:basedOn w:val="738"/>
    <w:uiPriority w:val="0"/>
    <w:qFormat/>
    <w:pPr>
      <w:jc w:val="left"/>
      <w:spacing w:before="100" w:beforeAutospacing="1" w:after="100" w:afterAutospacing="1"/>
      <w:widowControl/>
    </w:pPr>
    <w:rPr>
      <w:rFonts w:hint="eastAsia" w:ascii="宋体" w:hAnsi="宋体"/>
      <w:sz w:val="28"/>
      <w:szCs w:val="28"/>
      <w:u w:val="single"/>
    </w:rPr>
  </w:style>
  <w:style w:type="paragraph" w:styleId="990" w:customStyle="1">
    <w:name w:val="xl25"/>
    <w:basedOn w:val="73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customStyle="1">
    <w:name w:val="图标"/>
    <w:basedOn w:val="738"/>
    <w:next w:val="73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2" w:customStyle="1">
    <w:name w:val="标题3"/>
    <w:basedOn w:val="738"/>
    <w:next w:val="738"/>
    <w:uiPriority w:val="0"/>
    <w:qFormat/>
    <w:pPr>
      <w:ind w:firstLine="624"/>
      <w:spacing w:line="590" w:lineRule="atLeast"/>
    </w:pPr>
    <w:rPr>
      <w:rFonts w:ascii="方正黑体_GBK" w:eastAsia="方正黑体_GBK"/>
      <w:sz w:val="32"/>
      <w:szCs w:val="32"/>
    </w:rPr>
  </w:style>
  <w:style w:type="paragraph" w:styleId="993" w:customStyle="1">
    <w:name w:val="xl24"/>
    <w:basedOn w:val="7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94" w:customStyle="1">
    <w:name w:val="xl29"/>
    <w:basedOn w:val="73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95" w:customStyle="1">
    <w:name w:val="Char Char Char Char Char Char Char Char"/>
    <w:basedOn w:val="738"/>
    <w:uiPriority w:val="0"/>
    <w:qFormat/>
    <w:pPr>
      <w:jc w:val="left"/>
      <w:spacing w:after="160" w:line="240" w:lineRule="exact"/>
      <w:widowControl/>
    </w:pPr>
    <w:rPr>
      <w:rFonts w:ascii="Verdana" w:hAnsi="Verdana"/>
      <w:sz w:val="20"/>
      <w:szCs w:val="20"/>
      <w:lang w:eastAsia="en-US"/>
    </w:rPr>
  </w:style>
  <w:style w:type="paragraph" w:styleId="996" w:customStyle="1">
    <w:name w:val="xl28"/>
    <w:basedOn w:val="73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97" w:customStyle="1">
    <w:name w:val="Char Char Char Char Char Char Char Char1"/>
    <w:basedOn w:val="738"/>
    <w:uiPriority w:val="0"/>
    <w:qFormat/>
    <w:pPr>
      <w:jc w:val="left"/>
      <w:spacing w:after="160" w:line="240" w:lineRule="exact"/>
      <w:widowControl/>
    </w:pPr>
    <w:rPr>
      <w:rFonts w:ascii="Verdana" w:hAnsi="Verdana"/>
      <w:sz w:val="20"/>
      <w:szCs w:val="20"/>
      <w:lang w:eastAsia="en-US"/>
    </w:rPr>
  </w:style>
  <w:style w:type="paragraph" w:styleId="998" w:customStyle="1">
    <w:name w:val="xl30"/>
    <w:basedOn w:val="738"/>
    <w:uiPriority w:val="0"/>
    <w:qFormat/>
    <w:pPr>
      <w:jc w:val="center"/>
      <w:spacing w:before="100" w:beforeAutospacing="1" w:after="100" w:afterAutospacing="1"/>
      <w:widowControl/>
    </w:pPr>
    <w:rPr>
      <w:rFonts w:ascii="宋体" w:hAnsi="宋体"/>
      <w:b/>
      <w:bCs/>
      <w:sz w:val="36"/>
      <w:szCs w:val="36"/>
    </w:rPr>
  </w:style>
  <w:style w:type="paragraph" w:styleId="999" w:customStyle="1">
    <w:name w:val="Char Char Char Char1"/>
    <w:basedOn w:val="756"/>
    <w:uiPriority w:val="0"/>
    <w:qFormat/>
    <w:pPr>
      <w:spacing w:line="360" w:lineRule="auto"/>
    </w:pPr>
    <w:rPr>
      <w:rFonts w:ascii="Tahoma" w:hAnsi="Tahoma"/>
      <w:sz w:val="24"/>
      <w:szCs w:val="24"/>
    </w:rPr>
  </w:style>
  <w:style w:type="paragraph" w:styleId="1000" w:customStyle="1">
    <w:name w:val="table_1stline"/>
    <w:basedOn w:val="738"/>
    <w:uiPriority w:val="0"/>
    <w:qFormat/>
    <w:pPr>
      <w:jc w:val="left"/>
      <w:spacing w:before="120"/>
      <w:widowControl/>
    </w:pPr>
    <w:rPr>
      <w:bCs/>
      <w:sz w:val="20"/>
      <w:szCs w:val="20"/>
      <w:lang w:val="de-DE" w:eastAsia="de-DE"/>
    </w:rPr>
  </w:style>
  <w:style w:type="paragraph" w:styleId="1001" w:customStyle="1">
    <w:name w:val="font5"/>
    <w:basedOn w:val="738"/>
    <w:uiPriority w:val="0"/>
    <w:qFormat/>
    <w:pPr>
      <w:jc w:val="left"/>
      <w:spacing w:before="100" w:beforeAutospacing="1" w:after="100" w:afterAutospacing="1"/>
      <w:widowControl/>
    </w:pPr>
    <w:rPr>
      <w:rFonts w:hint="eastAsia" w:ascii="宋体" w:hAnsi="宋体"/>
      <w:sz w:val="28"/>
      <w:szCs w:val="28"/>
    </w:rPr>
  </w:style>
  <w:style w:type="paragraph" w:styleId="1002" w:customStyle="1">
    <w:name w:val="标题1"/>
    <w:basedOn w:val="738"/>
    <w:next w:val="73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3" w:customStyle="1">
    <w:name w:val="_Style 112"/>
    <w:uiPriority w:val="99"/>
    <w:semiHidden/>
    <w:qFormat/>
    <w:rPr>
      <w:rFonts w:ascii="Times New Roman" w:hAnsi="Times New Roman" w:eastAsia="宋体" w:cs="Times New Roman"/>
      <w:sz w:val="21"/>
      <w:szCs w:val="21"/>
      <w:lang w:val="en-US" w:eastAsia="zh-CN" w:bidi="ar-SA"/>
    </w:rPr>
  </w:style>
  <w:style w:type="paragraph" w:styleId="100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05" w:customStyle="1">
    <w:name w:val="标题 4（xuhuan）"/>
    <w:basedOn w:val="742"/>
    <w:next w:val="738"/>
    <w:uiPriority w:val="0"/>
    <w:qFormat/>
    <w:pPr>
      <w:ind w:left="1447" w:hanging="1021"/>
      <w:jc w:val="left"/>
      <w:spacing w:after="156"/>
      <w:widowControl/>
    </w:pPr>
    <w:rPr>
      <w:bCs w:val="0"/>
    </w:rPr>
  </w:style>
  <w:style w:type="paragraph" w:styleId="1006" w:customStyle="1">
    <w:name w:val="标题 31"/>
    <w:basedOn w:val="738"/>
    <w:next w:val="1007"/>
    <w:uiPriority w:val="0"/>
    <w:qFormat/>
    <w:pPr>
      <w:keepLines/>
      <w:keepNext/>
      <w:spacing w:before="260" w:after="260" w:line="415" w:lineRule="auto"/>
      <w:outlineLvl w:val="2"/>
    </w:pPr>
    <w:rPr>
      <w:rFonts w:ascii="宋体" w:hAnsi="宋体"/>
      <w:b/>
      <w:bCs/>
      <w:sz w:val="24"/>
      <w:szCs w:val="24"/>
    </w:rPr>
  </w:style>
  <w:style w:type="paragraph" w:styleId="1007" w:customStyle="1">
    <w:name w:val="正文缩进1"/>
    <w:basedOn w:val="738"/>
    <w:uiPriority w:val="0"/>
    <w:qFormat/>
    <w:pPr>
      <w:ind w:firstLine="420"/>
      <w:spacing w:line="360" w:lineRule="auto"/>
    </w:pPr>
    <w:rPr>
      <w:rFonts w:ascii="仿宋_GB2312" w:eastAsia="仿宋_GB2312"/>
      <w:sz w:val="32"/>
      <w:szCs w:val="20"/>
    </w:rPr>
  </w:style>
  <w:style w:type="character" w:styleId="1008" w:customStyle="1">
    <w:name w:val="正文文本 Char"/>
    <w:link w:val="751"/>
    <w:uiPriority w:val="0"/>
    <w:qFormat/>
    <w:rPr>
      <w:rFonts w:ascii="楷体_GB2312" w:hAnsi="Arial" w:eastAsia="楷体_GB2312"/>
      <w:sz w:val="28"/>
      <w:szCs w:val="28"/>
    </w:rPr>
  </w:style>
  <w:style w:type="paragraph" w:styleId="1009" w:customStyle="1">
    <w:name w:val="Table Text"/>
    <w:basedOn w:val="738"/>
    <w:uiPriority w:val="0"/>
    <w:semiHidden/>
    <w:qFormat/>
    <w:rPr>
      <w:rFonts w:ascii="宋体" w:hAnsi="宋体" w:cs="宋体"/>
      <w:sz w:val="20"/>
      <w:szCs w:val="20"/>
      <w:lang w:eastAsia="en-US"/>
    </w:rPr>
  </w:style>
  <w:style w:type="table" w:styleId="1010" w:customStyle="1">
    <w:name w:val="Table Normal"/>
    <w:uiPriority w:val="0"/>
    <w:unhideWhenUsed/>
    <w:qFormat/>
    <w:tblPr>
      <w:tblCellMar>
        <w:left w:w="0" w:type="dxa"/>
        <w:top w:w="0" w:type="dxa"/>
        <w:right w:w="0" w:type="dxa"/>
        <w:bottom w:w="0" w:type="dxa"/>
      </w:tblCellMar>
    </w:tblPr>
  </w:style>
  <w:style w:type="paragraph" w:styleId="1011" w:customStyle="1">
    <w:name w:val="标题 41"/>
    <w:basedOn w:val="738"/>
    <w:next w:val="738"/>
    <w:uiPriority w:val="0"/>
    <w:qFormat/>
    <w:pPr>
      <w:keepLines/>
      <w:keepNext/>
      <w:spacing w:before="280" w:after="290" w:line="374" w:lineRule="auto"/>
      <w:outlineLvl w:val="3"/>
    </w:pPr>
    <w:rPr>
      <w:rFonts w:ascii="Arial" w:hAnsi="Arial" w:eastAsia="黑体" w:cs="Arial"/>
      <w:b/>
      <w:bCs/>
      <w:sz w:val="28"/>
      <w:szCs w:val="28"/>
    </w:r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王建浩</cp:lastModifiedBy>
  <cp:revision>18</cp:revision>
  <dcterms:created xsi:type="dcterms:W3CDTF">2026-04-24T07:19:00Z</dcterms:created>
  <dcterms:modified xsi:type="dcterms:W3CDTF">2026-04-27T08:17:35Z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eyJoZGlkIjoiY2Y2MWE0NTVhYmZiMjFiYmU3NWU4ZGYwNTQwYzYzMTgiLCJ1c2VySWQiOiIxNzY1MzIxNzY4In0=</vt:lpwstr>
  </property>
  <property fmtid="{D5CDD505-2E9C-101B-9397-08002B2CF9AE}" pid="3" name="KSOProductBuildVer">
    <vt:lpwstr>2052-12.1.0.15712</vt:lpwstr>
  </property>
  <property fmtid="{D5CDD505-2E9C-101B-9397-08002B2CF9AE}" pid="4" name="ICV">
    <vt:lpwstr>A15C5FA31DBC4F2AB8A1AFAADBC71D7E_13</vt:lpwstr>
  </property>
</Properties>
</file>