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rPr>
        <w:outlineLvl w:val="0"/>
      </w:pPr>
      <w:r/>
      <w:bookmarkStart w:id="0" w:name="_Toc31346"/>
      <w:r>
        <w:rPr>
          <w:rFonts w:hint="eastAsia" w:ascii="宋体" w:hAnsi="宋体" w:eastAsia="宋体" w:cs="宋体"/>
          <w:b/>
          <w:spacing w:val="76"/>
          <w:sz w:val="96"/>
          <w:szCs w:val="96"/>
          <w:highlight w:val="none"/>
          <w:lang w:eastAsia="zh-CN"/>
        </w:rPr>
        <w:t xml:space="preserve">竞争性磋商文件</w:t>
      </w:r>
      <w:bookmarkEnd w:id="0"/>
      <w:r/>
      <w:r/>
    </w:p>
    <w:p>
      <w:pPr>
        <w:jc w:val="center"/>
        <w:pageBreakBefore w:val="0"/>
        <w:spacing w:line="360" w:lineRule="auto"/>
        <w:rPr>
          <w:rFonts w:hint="eastAsia" w:ascii="宋体" w:hAnsi="宋体" w:eastAsia="宋体" w:cs="宋体"/>
          <w:sz w:val="24"/>
          <w:highlight w:val="none"/>
        </w:rPr>
      </w:pPr>
      <w:r>
        <w:rPr>
          <w:highlight w:val="none"/>
        </w:rPr>
        <mc:AlternateContent>
          <mc:Choice Requires="wpg">
            <w:drawing>
              <wp:inline xmlns:wp="http://schemas.openxmlformats.org/drawingml/2006/wordprocessingDrawing" distT="0" distB="0" distL="0" distR="0">
                <wp:extent cx="2938780" cy="3155950"/>
                <wp:effectExtent l="0" t="0" r="13970" b="635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22"/>
                        <a:stretch/>
                      </pic:blipFill>
                      <pic:spPr bwMode="auto">
                        <a:xfrm>
                          <a:off x="0" y="0"/>
                          <a:ext cx="2938780" cy="315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1.4pt;height:248.5pt;mso-wrap-distance-left:0.0pt;mso-wrap-distance-top:0.0pt;mso-wrap-distance-right:0.0pt;mso-wrap-distance-bottom:0.0pt;" stroked="f">
                <v:path textboxrect="0,0,0,0"/>
                <v:imagedata r:id="rId22" o:title=""/>
              </v:shape>
            </w:pict>
          </mc:Fallback>
        </mc:AlternateContent>
      </w:r>
      <w:r/>
    </w:p>
    <w:p>
      <w:pPr>
        <w:pStyle w:val="99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1016"/>
        <w:rPr>
          <w:rFonts w:hint="eastAsia" w:eastAsia="楷体_GB2312"/>
          <w:highlight w:val="none"/>
          <w:lang w:eastAsia="zh-CN"/>
        </w:rPr>
      </w:pPr>
      <w:r>
        <w:rPr>
          <w:rFonts w:hint="eastAsia" w:eastAsia="楷体_GB2312"/>
          <w:highlight w:val="none"/>
          <w:lang w:eastAsia="zh-CN"/>
        </w:rPr>
      </w:r>
      <w:r/>
    </w:p>
    <w:p>
      <w:pPr>
        <w:pStyle w:val="101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16"/>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1919" w:hanging="160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沛县张寨镇2026年度一事一议道路建设财政奖补项目</w:t>
      </w:r>
      <w:r/>
    </w:p>
    <w:p>
      <w:pPr>
        <w:pStyle w:val="1002"/>
        <w:ind w:left="0" w:firstLine="32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JSZC-320322039-TYZB-C2026-0003</w:t>
      </w:r>
      <w:r/>
    </w:p>
    <w:p>
      <w:pPr>
        <w:ind w:firstLine="320"/>
        <w:jc w:val="both"/>
        <w:pageBreakBefore w:val="0"/>
        <w:spacing w:line="48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沛县张寨镇人民政府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徐州天一招标代理有限公司</w:t>
      </w:r>
      <w:bookmarkStart w:id="643" w:name="_GoBack"/>
      <w:r/>
      <w:bookmarkEnd w:id="643"/>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val="en-US" w:eastAsia="zh-CN"/>
        </w:rPr>
        <w:t xml:space="preserve">沛县张寨镇2026年度一事一议道路建设财政奖补项目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购</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人：</w:t>
      </w:r>
      <w:r>
        <w:rPr>
          <w:rFonts w:hint="eastAsia" w:ascii="宋体" w:hAnsi="宋体" w:cs="宋体"/>
          <w:b w:val="0"/>
          <w:bCs w:val="0"/>
          <w:color w:val="auto"/>
          <w:sz w:val="24"/>
          <w:szCs w:val="24"/>
          <w:highlight w:val="none"/>
          <w:lang w:val="en-US" w:eastAsia="zh-CN"/>
        </w:rPr>
        <w:t xml:space="preserve">沛县张寨镇人民政府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二、项目名称：</w:t>
      </w:r>
      <w:r>
        <w:rPr>
          <w:rFonts w:hint="eastAsia" w:ascii="宋体" w:hAnsi="宋体" w:cs="宋体"/>
          <w:color w:val="auto"/>
          <w:sz w:val="24"/>
          <w:szCs w:val="24"/>
          <w:highlight w:val="none"/>
          <w:lang w:val="en-US" w:eastAsia="zh-CN"/>
        </w:rPr>
        <w:t xml:space="preserve">沛县张寨镇2026年度一事一议道路建设财政奖补项目</w:t>
      </w:r>
      <w:r/>
    </w:p>
    <w:p>
      <w:pP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JSZC-320322039-TYZB-C2026-0003</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四、采购邀请：</w:t>
      </w:r>
      <w:r>
        <w:rPr>
          <w:rFonts w:hint="eastAsia" w:ascii="宋体" w:hAnsi="宋体" w:eastAsia="宋体" w:cs="宋体"/>
          <w:color w:val="000000"/>
          <w:sz w:val="24"/>
          <w:szCs w:val="24"/>
          <w:highlight w:val="none"/>
        </w:rPr>
        <w:t xml:space="preserve">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五、采购方式：</w:t>
      </w:r>
      <w:r>
        <w:rPr>
          <w:rFonts w:hint="eastAsia" w:ascii="宋体" w:hAnsi="宋体" w:eastAsia="宋体" w:cs="宋体"/>
          <w:color w:val="000000"/>
          <w:sz w:val="24"/>
          <w:szCs w:val="24"/>
          <w:highlight w:val="none"/>
        </w:rPr>
        <w:t xml:space="preserve">本项目采用竞争性磋商采购方式。</w:t>
      </w:r>
      <w:r/>
    </w:p>
    <w:p>
      <w:pPr>
        <w:ind w:right="0"/>
        <w:jc w:val="both"/>
        <w:keepLines w:val="0"/>
        <w:keepNext w:val="0"/>
        <w:pageBreakBefore w:val="0"/>
        <w:spacing w:before="0" w:after="0" w:line="360" w:lineRule="auto"/>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六、项目预算：105万元</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七、工期：</w:t>
      </w:r>
      <w:r>
        <w:rPr>
          <w:rFonts w:hint="eastAsia" w:ascii="宋体" w:hAnsi="宋体" w:cs="宋体"/>
          <w:b/>
          <w:bCs/>
          <w:color w:val="000000"/>
          <w:sz w:val="24"/>
          <w:szCs w:val="24"/>
          <w:highlight w:val="none"/>
          <w:u w:val="single"/>
          <w:lang w:val="en-US" w:eastAsia="zh-CN"/>
        </w:rPr>
        <w:t xml:space="preserve"> 30 </w:t>
      </w:r>
      <w:r>
        <w:rPr>
          <w:rFonts w:hint="eastAsia" w:ascii="宋体" w:hAnsi="宋体" w:cs="宋体"/>
          <w:color w:val="000000"/>
          <w:sz w:val="24"/>
          <w:szCs w:val="24"/>
          <w:highlight w:val="none"/>
          <w:lang w:val="en-US" w:eastAsia="zh-CN"/>
        </w:rPr>
        <w:t xml:space="preserve">日历天</w:t>
      </w:r>
      <w:r/>
    </w:p>
    <w:p>
      <w:pPr>
        <w:ind w:right="0"/>
        <w:jc w:val="both"/>
        <w:keepLines w:val="0"/>
        <w:keepNext w:val="0"/>
        <w:pageBreakBefore w:val="0"/>
        <w:spacing w:before="0" w:after="0" w:line="360" w:lineRule="auto"/>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八、建设地点：</w:t>
      </w:r>
      <w:r>
        <w:rPr>
          <w:rFonts w:hint="eastAsia" w:ascii="宋体" w:hAnsi="宋体" w:cs="宋体"/>
          <w:color w:val="000000"/>
          <w:sz w:val="24"/>
          <w:szCs w:val="24"/>
          <w:highlight w:val="none"/>
          <w:lang w:val="en-US" w:eastAsia="zh-CN"/>
        </w:rPr>
        <w:t xml:space="preserve">沛县张寨镇李楼村、张寨社区、吴阁村、李庙村、丁辛庄村、吴集村</w:t>
      </w:r>
      <w:r>
        <w:rPr>
          <w:rFonts w:hint="eastAsia" w:ascii="宋体" w:hAnsi="宋体" w:cs="宋体"/>
          <w:b w:val="0"/>
          <w:bCs w:val="0"/>
          <w:color w:val="000000"/>
          <w:sz w:val="24"/>
          <w:szCs w:val="24"/>
          <w:highlight w:val="none"/>
          <w:lang w:val="en-US" w:eastAsia="zh-CN"/>
        </w:rPr>
        <w:t xml:space="preserve">。</w:t>
      </w:r>
      <w:r/>
    </w:p>
    <w:p>
      <w:pPr>
        <w:ind w:right="0"/>
        <w:jc w:val="both"/>
        <w:keepLines w:val="0"/>
        <w:keepNext w:val="0"/>
        <w:pageBreakBefore w:val="0"/>
        <w:spacing w:before="0" w:after="0" w:line="360" w:lineRule="auto"/>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九、采购内容：</w:t>
      </w:r>
      <w:r>
        <w:rPr>
          <w:rFonts w:hint="eastAsia" w:ascii="宋体" w:hAnsi="宋体" w:cs="宋体"/>
          <w:color w:val="000000"/>
          <w:sz w:val="24"/>
          <w:szCs w:val="24"/>
          <w:highlight w:val="none"/>
          <w:lang w:val="en-US" w:eastAsia="zh-CN"/>
        </w:rPr>
        <w:t xml:space="preserve">村内道路硬化、黑化施工，含路基处理、垫层、路面、路肩、竣工验收、垃圾清运、扬尘治理等全部内容。（注：报价含工费、材料费、机械费、工具设备费、税费、代理服务费、审计费、监理费、路牌安装、</w:t>
      </w:r>
      <w:r>
        <w:rPr>
          <w:rFonts w:hint="eastAsia" w:ascii="宋体" w:hAnsi="宋体" w:cs="宋体"/>
          <w:color w:val="auto"/>
          <w:sz w:val="24"/>
          <w:szCs w:val="24"/>
          <w:highlight w:val="none"/>
          <w:lang w:val="en-US" w:eastAsia="zh-CN"/>
        </w:rPr>
        <w:t xml:space="preserve">养护责任牌费用、</w:t>
      </w:r>
      <w:r>
        <w:rPr>
          <w:rFonts w:hint="eastAsia" w:ascii="宋体" w:hAnsi="宋体" w:cs="宋体"/>
          <w:color w:val="000000"/>
          <w:sz w:val="24"/>
          <w:szCs w:val="24"/>
          <w:highlight w:val="none"/>
          <w:lang w:val="en-US" w:eastAsia="zh-CN"/>
        </w:rPr>
        <w:t xml:space="preserve">检测费、培训、售后服务、保险、垃圾清运、扬尘治理、验收、利润等全部费用，采购人不另行支付。）</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(承诺书格式自拟，其余提供扫描件并加盖电子签章）</w:t>
      </w:r>
      <w:r>
        <w:rPr>
          <w:rFonts w:hint="eastAsia" w:ascii="宋体" w:hAnsi="宋体" w:eastAsia="宋体" w:cs="宋体"/>
          <w:b/>
          <w:bCs w:val="0"/>
          <w:color w:val="000000"/>
          <w:sz w:val="24"/>
          <w:highlight w:val="none"/>
          <w:u w:val="single"/>
        </w:rPr>
        <w:t xml:space="preserve">。</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1、本项目不接受联合体参与采购活动，本项目成交后不得转让或分包。</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2、单位负责人为同一人或者存在直接控股、管理关系的不同供应商，不得参加同一合同项下的采购活动。</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3、查询及使用供应商信用记录：</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⑴由采购人查询信用信息。</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⑵查询渠道包括：</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①“信用中国”网（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②中国政府采购网（</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③“信用江苏”网（http://credit.jiangsu.gov.cn/）；</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⑷信用信息查询记录和证据留存的具体方式：</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网页截屏打印，与其他采购文件一并保存。</w:t>
      </w:r>
      <w:r/>
    </w:p>
    <w:p>
      <w:pPr>
        <w:pStyle w:val="1028"/>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⑸信用信息的使用规则：</w:t>
      </w:r>
      <w:r/>
    </w:p>
    <w:p>
      <w:pPr>
        <w:pStyle w:val="102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徐州天一招标代理有限公司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徐州天一招标代理有限公司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w:t>
      </w: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、供应商提交磋商保证金</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、提交响应文件要求</w:t>
      </w:r>
      <w:r/>
    </w:p>
    <w:p>
      <w:pPr>
        <w:pStyle w:val="1028"/>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1028"/>
        <w:ind w:firstLine="482"/>
        <w:keepLines w:val="0"/>
        <w:keepNext w:val="0"/>
        <w:pageBreakBefore w:val="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“苏采云”系统使用要求：</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1.使用谷歌浏览器参与不见面开标及磋商环节。</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2.电脑需提前准备好麦克风、音响，摄像头，提前检查保证能够正常使用。</w:t>
      </w:r>
      <w:r/>
    </w:p>
    <w:p>
      <w:pPr>
        <w:pStyle w:val="1028"/>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日上午09:</w:t>
      </w:r>
      <w:r>
        <w:rPr>
          <w:rFonts w:hint="eastAsia" w:ascii="宋体" w:hAnsi="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102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lang w:val="en-US" w:eastAsia="zh-CN"/>
        </w:rPr>
        <w:t xml:space="preserve">前。</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1028"/>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27</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30</w:t>
      </w:r>
      <w:r>
        <w:rPr>
          <w:rFonts w:hint="eastAsia" w:ascii="宋体" w:hAnsi="宋体" w:eastAsia="宋体" w:cs="宋体"/>
          <w:b/>
          <w:bCs/>
          <w:sz w:val="24"/>
          <w:szCs w:val="24"/>
          <w:highlight w:val="none"/>
        </w:rPr>
        <w:t xml:space="preserve">。</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w:t>
      </w:r>
      <w:r/>
    </w:p>
    <w:p>
      <w:pPr>
        <w:pStyle w:val="1028"/>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“苏采云”系统（网址：http://jszfcg.jsczt.cn/）“开标大厅”或进入徐州政府采购网（网址：http://czj.xz.gov.cn/Home/HomeIndex）-业务工作-用户登录，点击“苏采云”进入系统“开标大厅”。</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1.供应商资格条件不符合国家有关规定或磋商文件要求的；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2.响应报价低于成本或者高于磋商文件设定的最高限价的；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3.与磋商文件规定的暂估价、暂列金额及甲供材料价格不一致的；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4.与磋商文件提供的工程量清单中的项目编码、项目名称、项目特征、计量单位、工程量不一致的；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5.响应文件载明的招标项目完成期限超过磋商文件规定的期限的；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6.明显不符合技术规范、技术标准的要求的；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7.响应文件载明的货物包装方式、检验标准和方法等不符合磋商文件的要求的；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8.响应文件提出了不能满足磋商文件要求或采购人不能接受的工程验收、计量、价款结算和支付办法的；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9.不同供应商的响应文件以及响应文件制作过程出现了评标委员会认为不应当雷同的情况的； </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10.以他人的名义投标、串通投标、以行贿手段谋取成交或者以其他弄虚作假方式投标的；</w:t>
      </w:r>
      <w:r/>
    </w:p>
    <w:p>
      <w:pPr>
        <w:pStyle w:val="1028"/>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提供的所有格式均不得更改，否则响应无效</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1028"/>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cs="宋体"/>
          <w:b/>
          <w:color w:val="000000"/>
          <w:sz w:val="24"/>
          <w:szCs w:val="24"/>
          <w:highlight w:val="none"/>
          <w:lang w:val="en-US" w:eastAsia="zh-CN"/>
        </w:rPr>
        <w:t xml:space="preserve">资格条件</w:t>
      </w:r>
      <w:r>
        <w:rPr>
          <w:rStyle w:val="1207"/>
          <w:rFonts w:hint="eastAsia" w:ascii="宋体" w:hAnsi="宋体" w:eastAsia="宋体" w:cs="宋体"/>
          <w:b/>
          <w:bCs/>
          <w:sz w:val="24"/>
          <w:szCs w:val="24"/>
          <w:highlight w:val="none"/>
        </w:rPr>
        <w:t xml:space="preserve">（1～</w:t>
      </w:r>
      <w:r>
        <w:rPr>
          <w:rStyle w:val="1207"/>
          <w:rFonts w:hint="eastAsia" w:ascii="宋体" w:hAnsi="宋体" w:cs="宋体"/>
          <w:b/>
          <w:bCs/>
          <w:sz w:val="24"/>
          <w:szCs w:val="24"/>
          <w:highlight w:val="none"/>
          <w:lang w:val="en-US"/>
        </w:rPr>
        <w:t xml:space="preserve">7</w:t>
      </w:r>
      <w:r>
        <w:rPr>
          <w:rStyle w:val="1207"/>
          <w:rFonts w:hint="eastAsia" w:ascii="宋体" w:hAnsi="宋体" w:eastAsia="宋体" w:cs="宋体"/>
          <w:b/>
          <w:bCs/>
          <w:sz w:val="24"/>
          <w:szCs w:val="24"/>
          <w:highlight w:val="none"/>
        </w:rPr>
        <w:t xml:space="preserve">项必须提供，否则响应无效）</w:t>
      </w:r>
      <w:r>
        <w:rPr>
          <w:rFonts w:hint="eastAsia" w:ascii="宋体" w:hAnsi="宋体" w:eastAsia="宋体" w:cs="宋体"/>
          <w:sz w:val="24"/>
          <w:szCs w:val="24"/>
          <w:highlight w:val="none"/>
        </w:rPr>
        <w:t xml:space="preserve">：</w:t>
      </w:r>
      <w:r/>
    </w:p>
    <w:p>
      <w:pPr>
        <w:pStyle w:val="1028"/>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1028"/>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1028"/>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1028"/>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、具备履行合同所必需的设备和专业技术能力的证明</w:t>
      </w:r>
      <w:r>
        <w:rPr>
          <w:rFonts w:hint="eastAsia" w:ascii="宋体" w:hAnsi="宋体" w:eastAsia="宋体" w:cs="宋体"/>
          <w:b w:val="0"/>
          <w:bCs w:val="0"/>
          <w:color w:val="000000"/>
          <w:sz w:val="24"/>
          <w:szCs w:val="24"/>
          <w:highlight w:val="none"/>
          <w:lang w:val="en-US" w:eastAsia="zh-CN"/>
        </w:rPr>
        <w:t xml:space="preserve">（响应文件中提供《具备履行合同所必需的设备和专业技术能力的书面声明（附证明材料扫描件）》，加盖电子签章，</w:t>
      </w:r>
      <w:r>
        <w:rPr>
          <w:rFonts w:hint="eastAsia" w:ascii="宋体" w:hAnsi="宋体" w:eastAsia="宋体" w:cs="宋体"/>
          <w:b w:val="0"/>
          <w:bCs/>
          <w:color w:val="000000"/>
          <w:sz w:val="24"/>
          <w:szCs w:val="24"/>
          <w:highlight w:val="none"/>
          <w:lang w:val="en-US" w:eastAsia="zh-CN"/>
        </w:rPr>
        <w:t xml:space="preserve">格式见《磋商文件》附件</w:t>
      </w:r>
      <w:r>
        <w:rPr>
          <w:rFonts w:hint="eastAsia" w:ascii="宋体" w:hAnsi="宋体" w:eastAsia="宋体" w:cs="宋体"/>
          <w:b w:val="0"/>
          <w:bCs w:val="0"/>
          <w:color w:val="000000"/>
          <w:sz w:val="24"/>
          <w:szCs w:val="24"/>
          <w:highlight w:val="none"/>
          <w:lang w:val="en-US" w:eastAsia="zh-CN"/>
        </w:rPr>
        <w:t xml:space="preserve">,所附证明材料扫描件可不加盖电子签章）</w:t>
      </w:r>
      <w:r>
        <w:rPr>
          <w:rFonts w:hint="eastAsia" w:ascii="宋体" w:hAnsi="宋体" w:eastAsia="宋体" w:cs="宋体"/>
          <w:b/>
          <w:bCs w:val="0"/>
          <w:color w:val="000000"/>
          <w:sz w:val="24"/>
          <w:highlight w:val="none"/>
        </w:rPr>
        <w:t xml:space="preserve">。</w:t>
      </w:r>
      <w:r/>
    </w:p>
    <w:p>
      <w:pPr>
        <w:pStyle w:val="1028"/>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w:t>
      </w:r>
      <w:r>
        <w:rPr>
          <w:rFonts w:hint="eastAsia" w:ascii="宋体" w:hAnsi="宋体" w:eastAsia="宋体" w:cs="宋体"/>
          <w:b w:val="0"/>
          <w:bCs/>
          <w:color w:val="000000"/>
          <w:sz w:val="24"/>
          <w:szCs w:val="24"/>
          <w:highlight w:val="none"/>
          <w:lang w:val="en-US" w:eastAsia="zh-CN"/>
        </w:rPr>
        <w:t xml:space="preserve">格式见《磋商文件》附件</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bCs w:val="0"/>
          <w:sz w:val="24"/>
          <w:szCs w:val="24"/>
          <w:highlight w:val="none"/>
          <w:lang w:val="en-US" w:eastAsia="zh-CN"/>
        </w:rPr>
        <w:t xml:space="preserve">本项目特定资格要求</w:t>
      </w:r>
      <w:r>
        <w:rPr>
          <w:rFonts w:hint="eastAsia" w:ascii="宋体" w:hAnsi="宋体" w:eastAsia="宋体" w:cs="宋体"/>
          <w:b w:val="0"/>
          <w:bCs/>
          <w:sz w:val="24"/>
          <w:szCs w:val="24"/>
          <w:highlight w:val="none"/>
          <w:lang w:val="en-US" w:eastAsia="zh-CN"/>
        </w:rPr>
        <w:t xml:space="preserve">（提供以下资料的扫描件，加盖电子签章）：</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（1）供应商资质类别和等级：</w:t>
      </w:r>
      <w:r>
        <w:rPr>
          <w:rFonts w:hint="eastAsia" w:ascii="宋体" w:hAnsi="宋体" w:eastAsia="宋体" w:cs="宋体"/>
          <w:b/>
          <w:bCs w:val="0"/>
          <w:sz w:val="24"/>
          <w:szCs w:val="24"/>
          <w:highlight w:val="none"/>
          <w:lang w:val="en-US" w:eastAsia="zh-CN"/>
        </w:rPr>
        <w:t xml:space="preserve">具备市政公用工程施工总承包叁级及以上资质；且具有有效的安全生产许可证并在人员、设备、资金等方面具有相应的施工能力</w:t>
      </w:r>
      <w:r>
        <w:rPr>
          <w:rFonts w:hint="eastAsia" w:ascii="宋体" w:hAnsi="宋体" w:eastAsia="宋体" w:cs="宋体"/>
          <w:b w:val="0"/>
          <w:bCs/>
          <w:sz w:val="24"/>
          <w:szCs w:val="24"/>
          <w:highlight w:val="none"/>
          <w:lang w:val="en-US" w:eastAsia="zh-CN"/>
        </w:rPr>
        <w:t xml:space="preserve">；</w:t>
      </w:r>
      <w:r/>
    </w:p>
    <w:p>
      <w:pPr>
        <w:pStyle w:val="1028"/>
        <w:ind w:firstLine="482"/>
        <w:pageBreakBefore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（2）供应商拟选派项目负责人（注册建造师）资质等级：</w:t>
      </w:r>
      <w:r>
        <w:rPr>
          <w:rFonts w:hint="eastAsia" w:ascii="宋体" w:hAnsi="宋体" w:eastAsia="宋体" w:cs="宋体"/>
          <w:b/>
          <w:bCs w:val="0"/>
          <w:sz w:val="24"/>
          <w:szCs w:val="24"/>
          <w:highlight w:val="none"/>
          <w:lang w:val="en-US" w:eastAsia="zh-CN"/>
        </w:rPr>
        <w:t xml:space="preserve">市政公用工程专业贰级（含）及以上注册建造师；具有有效《建筑施工企业安全生产考核合格证书》（B证）且提供无在建工程的承诺书(承诺书格式自拟，其余提供扫描件并加盖电子签章）</w:t>
      </w:r>
      <w:r>
        <w:rPr>
          <w:rFonts w:hint="eastAsia" w:ascii="宋体" w:hAnsi="宋体" w:eastAsia="宋体" w:cs="宋体"/>
          <w:b w:val="0"/>
          <w:bCs/>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、此项目属于专门面向中小微企业采购的项目，投标人应为中小微企业、监狱企业、残疾人福利性单位。</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中小企业（含中型、小型、微型企业，下同）的，提供《中小企业声明函》（电子签章，填写完整。格式见《磋商文件》附件）。《中小企业声明函》查询渠道用微信搜索“中小企业规模类型自测小程序”。</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注：中小微企业，应当符合以下条件：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投标人为残疾人福利性单位的，视同小微企业，提供《残疾人福利性单位声明函》（加盖电子签章，格式见磋商文件第九章 《响应文件相关格式》）。具体以《三部门联合发布关于促进残疾人就业政府采购政策的通知》（财库〔2017〕141号）规定为准。</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lang w:val="en-US" w:eastAsia="zh-CN"/>
        </w:rPr>
        <w:t xml:space="preserve">本</w:t>
      </w:r>
      <w:r>
        <w:rPr>
          <w:rFonts w:hint="eastAsia" w:ascii="宋体" w:hAnsi="宋体" w:eastAsia="宋体" w:cs="宋体"/>
          <w:b w:val="0"/>
          <w:bCs/>
          <w:color w:val="000000"/>
          <w:sz w:val="24"/>
          <w:szCs w:val="24"/>
          <w:highlight w:val="none"/>
        </w:rPr>
        <w:t xml:space="preserve">项目不接受联合体参与采购活动。</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pStyle w:val="997"/>
        <w:ind w:firstLine="482"/>
        <w:keepLines w:val="0"/>
        <w:keepNext w:val="0"/>
        <w:pageBreakBefore w:val="0"/>
        <w:spacing w:after="0" w:line="360" w:lineRule="auto"/>
        <w:widowControl w:val="off"/>
        <w:rPr>
          <w:rFonts w:hint="eastAsia" w:ascii="宋体" w:hAnsi="宋体" w:eastAsia="宋体" w:cs="宋体"/>
          <w:highlight w:val="none"/>
          <w:lang w:val="en-US" w:eastAsia="zh-CN"/>
        </w:rPr>
      </w:pPr>
      <w:r>
        <w:rPr>
          <w:rFonts w:hint="eastAsia" w:ascii="宋体" w:hAnsi="宋体" w:eastAsia="宋体" w:cs="宋体"/>
          <w:b/>
          <w:color w:val="000000"/>
          <w:sz w:val="24"/>
          <w:szCs w:val="24"/>
          <w:highlight w:val="none"/>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highlight w:val="none"/>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highlight w:val="none"/>
          <w:lang w:val="en-US" w:eastAsia="zh-CN"/>
        </w:rPr>
        <w:t xml:space="preserve">采</w:t>
      </w:r>
      <w:r>
        <w:rPr>
          <w:rFonts w:hint="eastAsia" w:ascii="宋体" w:hAnsi="宋体" w:eastAsia="宋体" w:cs="宋体"/>
          <w:b/>
          <w:color w:val="000000"/>
          <w:sz w:val="24"/>
          <w:szCs w:val="24"/>
          <w:highlight w:val="none"/>
        </w:rPr>
        <w:t xml:space="preserve">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10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1028"/>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1028"/>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1045"/>
        <w:ind w:left="0" w:firstLine="42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注：各供应商在未进行第二次报价前，请不要离开开标系统，随时接受</w:t>
      </w:r>
      <w:r>
        <w:rPr>
          <w:rFonts w:hint="eastAsia" w:ascii="宋体" w:hAnsi="宋体" w:eastAsia="宋体" w:cs="宋体"/>
          <w:b/>
          <w:bCs/>
          <w:sz w:val="24"/>
          <w:szCs w:val="24"/>
          <w:highlight w:val="none"/>
          <w:lang w:val="en-US" w:eastAsia="zh-CN"/>
        </w:rPr>
        <w:t xml:space="preserve">磋商小组</w:t>
      </w:r>
      <w:r>
        <w:rPr>
          <w:rFonts w:hint="eastAsia" w:ascii="宋体" w:hAnsi="宋体" w:eastAsia="宋体" w:cs="宋体"/>
          <w:b/>
          <w:bCs/>
          <w:sz w:val="24"/>
          <w:szCs w:val="24"/>
          <w:highlight w:val="none"/>
          <w:lang w:val="en-US" w:eastAsia="zh-CN" w:bidi="ar-SA"/>
        </w:rPr>
        <w:t xml:space="preserve">发起的二次报价，因供应商未能及时二次报价而引起的废标及损失，由供应商自行承担。</w:t>
      </w:r>
      <w:r/>
    </w:p>
    <w:p>
      <w:pPr>
        <w:pStyle w:val="1028"/>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10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8"/>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highlight w:val="none"/>
        </w:rPr>
        <w:t xml:space="preserve">（www.xuzhoucredit.gov.cn/）。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二十一</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highlight w:val="none"/>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highlight w:val="none"/>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二十二</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、成交供应商在收到成交通知书时，须向</w:t>
      </w:r>
      <w:r>
        <w:rPr>
          <w:rFonts w:hint="eastAsia" w:ascii="宋体" w:hAnsi="宋体" w:cs="宋体"/>
          <w:color w:val="000000"/>
          <w:sz w:val="24"/>
          <w:szCs w:val="24"/>
          <w:highlight w:val="none"/>
          <w:lang w:eastAsia="zh-CN"/>
        </w:rPr>
        <w:t xml:space="preserve">徐州天一招标代理有限公司</w:t>
      </w:r>
      <w:r>
        <w:rPr>
          <w:rFonts w:hint="eastAsia" w:ascii="宋体" w:hAnsi="宋体" w:eastAsia="宋体" w:cs="宋体"/>
          <w:color w:val="000000"/>
          <w:sz w:val="24"/>
          <w:szCs w:val="24"/>
          <w:highlight w:val="none"/>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应对响应文件的合法性、真实性负责。签订合同前，成交供应商必须向采购人提交其响应文件中所有复印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徐玉玉</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18751539991</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沛县格林春天孟桥社区三楼</w:t>
      </w:r>
      <w:r>
        <w:rPr>
          <w:rFonts w:hint="eastAsia" w:ascii="宋体" w:hAnsi="宋体" w:eastAsia="宋体" w:cs="宋体"/>
          <w:bCs/>
          <w:color w:val="auto"/>
          <w:sz w:val="24"/>
          <w:szCs w:val="24"/>
          <w:highlight w:val="none"/>
        </w:rPr>
        <w:t xml:space="preserve">。</w:t>
      </w:r>
      <w:r/>
    </w:p>
    <w:p>
      <w:pPr>
        <w:ind w:left="0" w:right="0" w:firstLine="0"/>
        <w:jc w:val="both"/>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ind w:left="0" w:right="0" w:firstLine="0"/>
        <w:jc w:val="center"/>
        <w:pageBreakBefore w:val="0"/>
        <w:spacing w:before="0" w:after="0" w:line="360" w:lineRule="auto"/>
        <w:rPr>
          <w:rFonts w:hint="eastAsia"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w:t>
      </w:r>
      <w:r>
        <w:rPr>
          <w:rFonts w:hint="eastAsia" w:ascii="宋体" w:hAnsi="宋体" w:cs="宋体"/>
          <w:b/>
          <w:bCs/>
          <w:color w:val="000000"/>
          <w:sz w:val="32"/>
          <w:szCs w:val="32"/>
          <w:highlight w:val="none"/>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沛县张寨镇人民政府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址：江苏省徐州市沛县张寨镇府前路1号</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韩方举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18921792266</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名称：徐州天一招标代理有限公司</w:t>
      </w:r>
      <w:r/>
    </w:p>
    <w:p>
      <w:pPr>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sz w:val="24"/>
          <w:highlight w:val="none"/>
          <w:lang w:eastAsia="zh-CN"/>
        </w:rPr>
        <w:t xml:space="preserve">沛县格林春天孟桥社区三楼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徐玉玉</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18751539991</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lang w:val="en-US" w:eastAsia="zh-CN"/>
        </w:rPr>
        <w:t xml:space="preserve">其他要求及</w:t>
      </w:r>
      <w:r>
        <w:rPr>
          <w:rFonts w:hint="eastAsia" w:ascii="宋体" w:hAnsi="宋体" w:eastAsia="宋体" w:cs="宋体"/>
          <w:b/>
          <w:bCs/>
          <w:color w:val="000000"/>
          <w:sz w:val="32"/>
          <w:szCs w:val="32"/>
          <w:highlight w:val="none"/>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Times New Roman"/>
          <w:b w:val="0"/>
          <w:bCs w:val="0"/>
          <w:color w:val="auto"/>
          <w:sz w:val="24"/>
          <w:szCs w:val="24"/>
          <w:highlight w:val="none"/>
          <w:lang w:val="en-US" w:eastAsia="zh-CN" w:bidi="ar-SA"/>
        </w:rPr>
        <w:t xml:space="preserve">本项目所有预算均已包含在内，</w:t>
      </w:r>
      <w:r>
        <w:rPr>
          <w:rFonts w:hint="default" w:ascii="宋体" w:hAnsi="宋体" w:eastAsia="宋体" w:cs="Times New Roman"/>
          <w:b w:val="0"/>
          <w:bCs w:val="0"/>
          <w:color w:val="auto"/>
          <w:sz w:val="24"/>
          <w:szCs w:val="24"/>
          <w:highlight w:val="none"/>
          <w:lang w:val="en-US" w:eastAsia="zh-CN" w:bidi="ar-SA"/>
        </w:rPr>
        <w:t xml:space="preserve">成交供应商在</w:t>
      </w:r>
      <w:r>
        <w:rPr>
          <w:rFonts w:hint="eastAsia" w:ascii="宋体" w:hAnsi="宋体" w:cs="Times New Roman"/>
          <w:b w:val="0"/>
          <w:bCs w:val="0"/>
          <w:color w:val="auto"/>
          <w:sz w:val="24"/>
          <w:szCs w:val="24"/>
          <w:highlight w:val="none"/>
          <w:lang w:val="en-US" w:eastAsia="zh-CN" w:bidi="ar-SA"/>
        </w:rPr>
        <w:t xml:space="preserve">报价时需包含代理费，并在</w:t>
      </w:r>
      <w:r>
        <w:rPr>
          <w:rFonts w:hint="default" w:ascii="宋体" w:hAnsi="宋体" w:eastAsia="宋体" w:cs="Times New Roman"/>
          <w:b w:val="0"/>
          <w:bCs w:val="0"/>
          <w:color w:val="auto"/>
          <w:sz w:val="24"/>
          <w:szCs w:val="24"/>
          <w:highlight w:val="none"/>
          <w:lang w:val="en-US" w:eastAsia="zh-CN" w:bidi="ar-SA"/>
        </w:rPr>
        <w:t xml:space="preserve">领取成交通知书前，向采购代理机构缴纳代理服务费，收费标准见</w:t>
      </w:r>
      <w:r>
        <w:rPr>
          <w:rFonts w:hint="eastAsia" w:ascii="宋体" w:hAnsi="宋体" w:cs="Times New Roman"/>
          <w:b w:val="0"/>
          <w:bCs w:val="0"/>
          <w:color w:val="auto"/>
          <w:sz w:val="24"/>
          <w:szCs w:val="24"/>
          <w:highlight w:val="none"/>
          <w:lang w:val="en-US" w:eastAsia="zh-CN" w:bidi="ar-SA"/>
        </w:rPr>
        <w:t xml:space="preserve">中介超市招标代理服务中标金额</w:t>
      </w:r>
      <w:r>
        <w:rPr>
          <w:rFonts w:hint="default" w:ascii="宋体" w:hAnsi="宋体" w:eastAsia="宋体" w:cs="Times New Roman"/>
          <w:b w:val="0"/>
          <w:bCs w:val="0"/>
          <w:color w:val="auto"/>
          <w:sz w:val="24"/>
          <w:szCs w:val="24"/>
          <w:highlight w:val="none"/>
          <w:lang w:val="en-US" w:eastAsia="zh-CN" w:bidi="ar-SA"/>
        </w:rPr>
        <w:t xml:space="preserve">。</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、本项目应执行的政府采购政策</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①本项目属于专门面向中小微企业采购的项目，供应商应为中小微企业、监狱企业、残疾人福利性单位。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②本项目应当履行促进绿色低碳循环发展，执行国家相关绿色标准，推动环保、节能、节水、循环、低碳、再生、有机等绿色产品和相关绿色服务、绿色基础设施应用的要求。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③若项目要求提供履约担保的，中标供应商可以以履约保函(保险)形式代替提供履约保证金。供应商可登录江苏政府采购网“资料下载”栏目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15、《招标代理服务收费标准》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994"/>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总体施工</w:t>
            </w:r>
            <w:r/>
          </w:p>
          <w:p>
            <w:pPr>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依据响应文件中的总体施工方案，对工程总体及重点部分施工方案及工艺方法进行综合评分。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1036"/>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施工进度计划及保证措施</w:t>
            </w:r>
            <w:r/>
          </w:p>
          <w:p>
            <w:pPr>
              <w:jc w:val="center"/>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highlight w:val="none"/>
                <w:lang w:val="en-US" w:eastAsia="zh-CN" w:bidi="ar-SA"/>
              </w:rPr>
            </w:pPr>
            <w:r>
              <w:rPr>
                <w:rFonts w:hint="eastAsia" w:ascii="宋体" w:hAnsi="宋体" w:cs="宋体"/>
                <w:sz w:val="24"/>
                <w:highlight w:val="none"/>
              </w:rPr>
              <w:t xml:space="preserve">依据</w:t>
            </w:r>
            <w:r>
              <w:rPr>
                <w:rFonts w:hint="eastAsia" w:ascii="宋体" w:hAnsi="宋体" w:eastAsia="宋体" w:cs="宋体"/>
                <w:sz w:val="24"/>
                <w:szCs w:val="20"/>
                <w:highlight w:val="none"/>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sz w:val="24"/>
                <w:szCs w:val="24"/>
                <w:highlight w:val="none"/>
                <w:lang w:val="en-US" w:eastAsia="zh-CN"/>
              </w:rPr>
            </w:pPr>
            <w:r>
              <w:rPr>
                <w:rFonts w:hint="eastAsia" w:ascii="宋体" w:hAnsi="宋体" w:cs="宋体"/>
                <w:sz w:val="24"/>
                <w:highlight w:val="none"/>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施工资源需求计划，劳动力、机械设备和材料投入情况</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依据施工资源需求计划，劳动力、机械设备配置和材料投入情况及保障措施等方面进行综合评分。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1034"/>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highlight w:val="none"/>
              </w:rPr>
            </w:pPr>
            <w:r>
              <w:rPr>
                <w:rFonts w:hint="eastAsia" w:ascii="宋体" w:hAnsi="宋体" w:cs="宋体"/>
                <w:sz w:val="24"/>
                <w:highlight w:val="none"/>
              </w:rPr>
              <w:t xml:space="preserve">合理性(3分)：合理得3分；较合理得2分；不太合理的得1分。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针对性（4分)：针对性强得4分；针对性较强得3分；针对性一般的得2分，欠缺针对性的得1分。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可行性（3分)：符合实际切实可行得3分；较切实可行得2分；可行性欠缺得1分；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highlight w:val="none"/>
              </w:rPr>
            </w:pPr>
            <w:r>
              <w:rPr>
                <w:rFonts w:hint="eastAsia" w:ascii="宋体" w:hAnsi="宋体" w:cs="宋体"/>
                <w:sz w:val="24"/>
                <w:highlight w:val="none"/>
              </w:rPr>
              <w:t xml:space="preserve">合理性(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分)：合理得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分；较合理得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分；不太合理的得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分，欠缺针对性的得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分；较切实可行得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分；可行性欠缺得0.</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pStyle w:val="1034"/>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highlight w:val="none"/>
              </w:rPr>
              <w:t xml:space="preserve">以上未提供的不得分。最高得</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分，最低不得分。</w:t>
            </w:r>
            <w:r/>
          </w:p>
        </w:tc>
      </w:tr>
      <w:tr>
        <w:trPr>
          <w:cantSplit/>
          <w:jc w:val="center"/>
          <w:trHeight w:val="2229"/>
        </w:trPr>
        <w:tc>
          <w:tcPr>
            <w:tcW w:w="1263"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1034"/>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1036"/>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1036"/>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422"/>
        <w:spacing w:before="0" w:after="0"/>
        <w:rPr>
          <w:rFonts w:ascii="Calibri" w:hAnsi="Calibri"/>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本项目为专门面向中小微的项目，小微、小型企业不再享受价格给与</w:t>
      </w:r>
      <w:r>
        <w:rPr>
          <w:rFonts w:hint="eastAsia" w:ascii="宋体" w:hAnsi="宋体" w:cs="宋体"/>
          <w:b/>
          <w:color w:val="000000"/>
          <w:sz w:val="22"/>
          <w:highlight w:val="none"/>
          <w:lang w:eastAsia="zh-CN"/>
        </w:rPr>
        <w:t xml:space="preserve">10%—20%</w:t>
      </w:r>
      <w:r>
        <w:rPr>
          <w:rFonts w:ascii="宋体" w:hAnsi="宋体" w:eastAsia="宋体" w:cs="宋体"/>
          <w:b/>
          <w:color w:val="000000"/>
          <w:sz w:val="24"/>
          <w:highlight w:val="none"/>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pStyle w:val="1215"/>
        <w:rPr>
          <w:rFonts w:hint="eastAsia" w:ascii="宋体" w:hAnsi="宋体" w:eastAsia="宋体" w:cs="宋体"/>
          <w:color w:val="000000"/>
          <w:sz w:val="24"/>
          <w:highlight w:val="none"/>
        </w:rP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lang w:val="en-US" w:eastAsia="zh-CN"/>
        </w:rPr>
        <w:t xml:space="preserve"> 1</w:t>
      </w:r>
      <w:r>
        <w:rPr>
          <w:rFonts w:hint="eastAsia" w:ascii="宋体" w:hAnsi="宋体" w:eastAsia="宋体" w:cs="宋体"/>
          <w:b/>
          <w:color w:val="000000"/>
          <w:sz w:val="24"/>
          <w:highlight w:val="none"/>
          <w:u w:val="single"/>
        </w:rPr>
        <w:t xml:space="preserve">05</w:t>
      </w:r>
      <w:r>
        <w:rPr>
          <w:rFonts w:hint="eastAsia" w:ascii="宋体" w:hAnsi="宋体" w:eastAsia="宋体" w:cs="宋体"/>
          <w:b/>
          <w:color w:val="000000"/>
          <w:sz w:val="24"/>
          <w:highlight w:val="none"/>
          <w:u w:val="single"/>
          <w:lang w:val="en-US" w:eastAsia="zh-CN"/>
        </w:rPr>
        <w:t xml:space="preserve"> </w:t>
      </w:r>
      <w:r>
        <w:rPr>
          <w:rFonts w:hint="eastAsia" w:ascii="宋体" w:hAnsi="宋体" w:cs="宋体"/>
          <w:b/>
          <w:color w:val="000000"/>
          <w:sz w:val="24"/>
          <w:highlight w:val="none"/>
          <w:u w:val="none"/>
          <w:lang w:val="en-US" w:eastAsia="zh-CN"/>
        </w:rPr>
        <w:t xml:space="preserve">万</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税费、代理服务费、审计费、监理费、</w:t>
      </w:r>
      <w:r>
        <w:rPr>
          <w:rFonts w:hint="eastAsia" w:ascii="宋体" w:hAnsi="宋体" w:eastAsia="宋体" w:cs="宋体"/>
          <w:color w:val="000000"/>
          <w:sz w:val="24"/>
          <w:highlight w:val="none"/>
          <w:lang w:val="en-US" w:eastAsia="zh-CN"/>
        </w:rPr>
        <w:t xml:space="preserve">路牌安装、</w:t>
      </w:r>
      <w:r>
        <w:rPr>
          <w:rFonts w:hint="eastAsia" w:ascii="宋体" w:hAnsi="宋体" w:cs="宋体"/>
          <w:color w:val="auto"/>
          <w:sz w:val="24"/>
          <w:szCs w:val="24"/>
          <w:highlight w:val="none"/>
          <w:lang w:val="en-US" w:eastAsia="zh-CN"/>
        </w:rPr>
        <w:t xml:space="preserve">养护责任牌费用、</w:t>
      </w:r>
      <w:r>
        <w:rPr>
          <w:rFonts w:hint="eastAsia" w:ascii="宋体" w:hAnsi="宋体" w:eastAsia="宋体" w:cs="宋体"/>
          <w:color w:val="000000"/>
          <w:sz w:val="24"/>
          <w:highlight w:val="none"/>
        </w:rPr>
        <w:t xml:space="preserve">检测费、</w:t>
      </w:r>
      <w:r>
        <w:rPr>
          <w:rFonts w:hint="eastAsia" w:ascii="宋体" w:hAnsi="宋体" w:eastAsia="宋体" w:cs="宋体"/>
          <w:color w:val="000000"/>
          <w:sz w:val="24"/>
          <w:highlight w:val="none"/>
          <w:lang w:val="en-US" w:eastAsia="zh-CN"/>
        </w:rPr>
        <w:t xml:space="preserve">培训、售后服务、</w:t>
      </w:r>
      <w:r>
        <w:rPr>
          <w:rFonts w:hint="eastAsia" w:ascii="宋体" w:hAnsi="宋体" w:eastAsia="宋体" w:cs="宋体"/>
          <w:color w:val="000000"/>
          <w:sz w:val="24"/>
          <w:highlight w:val="none"/>
        </w:rPr>
        <w:t xml:space="preserve">保险、垃圾清运、扬尘治理、验收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沛县张寨镇2026年度一事一议道路建设财政奖补项目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2、项目地点：沛县张寨镇</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3、本项目主要内容：本项目为张寨镇2026年第一批村级公益事业建设一事一议财政奖补项目，主要实施李楼村、张寨社区、吴阁村、李庙村、丁辛庄村、吴集村共6个行政村的村内道路黑化及硬化工程。</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项目合计建设道路总长3974.8米，路面总面积13072.9平方米，总预算金额</w:t>
      </w:r>
      <w:r>
        <w:rPr>
          <w:rFonts w:hint="eastAsia" w:ascii="宋体" w:hAnsi="宋体" w:cs="宋体"/>
          <w:color w:val="000000"/>
          <w:sz w:val="24"/>
          <w:highlight w:val="none"/>
          <w:lang w:val="en-US" w:eastAsia="zh-CN"/>
        </w:rPr>
        <w:t xml:space="preserve">105万</w:t>
      </w:r>
      <w:r>
        <w:rPr>
          <w:rFonts w:hint="eastAsia" w:ascii="宋体" w:hAnsi="宋体" w:eastAsia="宋体" w:cs="宋体"/>
          <w:color w:val="000000"/>
          <w:sz w:val="24"/>
          <w:highlight w:val="none"/>
        </w:rPr>
        <w:t xml:space="preserve">元，具体建设内容如下：</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李楼村：道路黑化工程，长度</w:t>
      </w:r>
      <w:r>
        <w:rPr>
          <w:rFonts w:hint="eastAsia" w:ascii="宋体" w:hAnsi="宋体" w:cs="宋体"/>
          <w:color w:val="000000"/>
          <w:sz w:val="24"/>
          <w:highlight w:val="none"/>
          <w:lang w:val="en-US" w:eastAsia="zh-CN"/>
        </w:rPr>
        <w:t xml:space="preserve">750</w:t>
      </w:r>
      <w:r>
        <w:rPr>
          <w:rFonts w:hint="eastAsia" w:ascii="宋体" w:hAnsi="宋体" w:eastAsia="宋体" w:cs="宋体"/>
          <w:color w:val="000000"/>
          <w:sz w:val="24"/>
          <w:highlight w:val="none"/>
        </w:rPr>
        <w:t xml:space="preserve">米，宽度3.5</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米，厚度0.05米，面积</w:t>
      </w:r>
      <w:r>
        <w:rPr>
          <w:rFonts w:hint="eastAsia" w:ascii="宋体" w:hAnsi="宋体" w:cs="宋体"/>
          <w:color w:val="000000"/>
          <w:sz w:val="24"/>
          <w:highlight w:val="none"/>
          <w:lang w:val="en-US" w:eastAsia="zh-CN"/>
        </w:rPr>
        <w:t xml:space="preserve">2754.5</w:t>
      </w:r>
      <w:r>
        <w:rPr>
          <w:rFonts w:hint="eastAsia" w:ascii="宋体" w:hAnsi="宋体" w:eastAsia="宋体" w:cs="宋体"/>
          <w:color w:val="000000"/>
          <w:sz w:val="24"/>
          <w:highlight w:val="none"/>
        </w:rPr>
        <w:t xml:space="preserve">㎡；</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张寨社区：道路黑化工程，长度859米，宽度3-3.5米，厚度0.05米，面积2783㎡；</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吴阁村：道路黑化工程，长度519.40米，宽度3-4米，厚度0.05米，面积1996.20㎡；</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李庙村：水泥混凝土硬化道路工程，长度150.60米，宽度3米，路面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，面积451.80㎡，道路下设5公分碎石垫层，道路两侧路肩铺垫宽度不小于50公分；</w:t>
      </w:r>
      <w:r/>
    </w:p>
    <w:p>
      <w:pPr>
        <w:numPr>
          <w:ilvl w:val="0"/>
          <w:numId w:val="6"/>
        </w:num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丁辛庄村：水泥混凝土硬化道路工程，长度</w:t>
      </w:r>
      <w:r>
        <w:rPr>
          <w:rFonts w:hint="eastAsia" w:ascii="宋体" w:hAnsi="宋体" w:cs="宋体"/>
          <w:color w:val="000000"/>
          <w:sz w:val="24"/>
          <w:highlight w:val="none"/>
          <w:lang w:val="en-US" w:eastAsia="zh-CN"/>
        </w:rPr>
        <w:t xml:space="preserve">856.8</w:t>
      </w:r>
      <w:r>
        <w:rPr>
          <w:rFonts w:hint="eastAsia" w:ascii="宋体" w:hAnsi="宋体" w:eastAsia="宋体" w:cs="宋体"/>
          <w:color w:val="000000"/>
          <w:sz w:val="24"/>
          <w:highlight w:val="none"/>
        </w:rPr>
        <w:t xml:space="preserve">米，宽度3.00米，路面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w:t>
      </w:r>
      <w:r>
        <w:rPr>
          <w:rFonts w:hint="eastAsia" w:ascii="宋体" w:hAnsi="宋体" w:cs="宋体"/>
          <w:color w:val="000000"/>
          <w:sz w:val="24"/>
          <w:highlight w:val="none"/>
          <w:lang w:val="en-US" w:eastAsia="zh-CN"/>
        </w:rPr>
        <w:t xml:space="preserve">2570.40</w:t>
      </w:r>
      <w:r>
        <w:rPr>
          <w:rFonts w:hint="eastAsia" w:ascii="宋体" w:hAnsi="宋体" w:eastAsia="宋体" w:cs="宋体"/>
          <w:color w:val="000000"/>
          <w:sz w:val="24"/>
          <w:highlight w:val="none"/>
        </w:rPr>
        <w:t xml:space="preserve">㎡，道路下设5公分碎石垫层，道路两侧路肩铺垫宽度不小于50公分；</w:t>
      </w:r>
      <w:r/>
    </w:p>
    <w:p>
      <w:pPr>
        <w:numPr>
          <w:ilvl w:val="0"/>
          <w:numId w:val="6"/>
        </w:numPr>
        <w:ind w:left="0" w:right="0" w:firstLine="40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吴集村：水泥混凝土硬化道路工程，长度</w:t>
      </w:r>
      <w:r>
        <w:rPr>
          <w:rFonts w:hint="eastAsia" w:ascii="宋体" w:hAnsi="宋体" w:cs="宋体"/>
          <w:color w:val="000000"/>
          <w:sz w:val="24"/>
          <w:highlight w:val="none"/>
          <w:lang w:val="en-US" w:eastAsia="zh-CN"/>
        </w:rPr>
        <w:t xml:space="preserve">839</w:t>
      </w:r>
      <w:r>
        <w:rPr>
          <w:rFonts w:hint="eastAsia" w:ascii="宋体" w:hAnsi="宋体" w:eastAsia="宋体" w:cs="宋体"/>
          <w:color w:val="000000"/>
          <w:sz w:val="24"/>
          <w:highlight w:val="none"/>
        </w:rPr>
        <w:t xml:space="preserve">.00米，宽度</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米，路面</w:t>
      </w:r>
      <w:r>
        <w:rPr>
          <w:rFonts w:hint="default" w:ascii="宋体" w:hAnsi="宋体" w:eastAsia="宋体" w:cs="宋体"/>
          <w:color w:val="000000"/>
          <w:sz w:val="24"/>
          <w:highlight w:val="none"/>
        </w:rPr>
        <w:t xml:space="preserve">C30混凝土厚15cm</w:t>
      </w:r>
      <w:r>
        <w:rPr>
          <w:rFonts w:hint="eastAsia" w:ascii="宋体" w:hAnsi="宋体" w:eastAsia="宋体" w:cs="宋体"/>
          <w:color w:val="000000"/>
          <w:sz w:val="24"/>
          <w:highlight w:val="none"/>
        </w:rPr>
        <w:t xml:space="preserve">，面积</w:t>
      </w:r>
      <w:r>
        <w:rPr>
          <w:rFonts w:hint="eastAsia" w:ascii="宋体" w:hAnsi="宋体" w:cs="宋体"/>
          <w:color w:val="000000"/>
          <w:sz w:val="24"/>
          <w:highlight w:val="none"/>
          <w:lang w:val="en-US" w:eastAsia="zh-CN"/>
        </w:rPr>
        <w:t xml:space="preserve">2517</w:t>
      </w:r>
      <w:r>
        <w:rPr>
          <w:rFonts w:hint="eastAsia" w:ascii="宋体" w:hAnsi="宋体" w:eastAsia="宋体" w:cs="宋体"/>
          <w:color w:val="000000"/>
          <w:sz w:val="24"/>
          <w:highlight w:val="none"/>
        </w:rPr>
        <w:t xml:space="preserve">㎡，道路下设5公分碎石垫层，道路两侧路肩铺垫宽度不小于50公分。</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本项目水泥混凝土路面均采用C30商品混凝土施工。工程内容包含但不限于：路基处理、路面施工、碎石垫层铺设、路肩填筑夯实、相关附属工程、场地清理及竣工验收等全部工作内容</w:t>
      </w:r>
      <w:r>
        <w:rPr>
          <w:rFonts w:hint="eastAsia" w:ascii="宋体" w:hAnsi="宋体" w:cs="宋体"/>
          <w:b/>
          <w:bCs/>
          <w:color w:val="000000"/>
          <w:sz w:val="24"/>
          <w:highlight w:val="none"/>
          <w:lang w:val="en-US" w:eastAsia="zh-CN"/>
        </w:rPr>
        <w:t xml:space="preserve">详见工程量清单</w:t>
      </w:r>
      <w:r>
        <w:rPr>
          <w:rFonts w:hint="eastAsia" w:ascii="宋体" w:hAnsi="宋体" w:eastAsia="宋体" w:cs="宋体"/>
          <w:color w:val="000000"/>
          <w:sz w:val="24"/>
          <w:highlight w:val="none"/>
        </w:rPr>
        <w:t xml:space="preserve">。</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u w:val="singl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eastAsia" w:ascii="宋体" w:hAnsi="宋体" w:cs="宋体"/>
          <w:color w:val="auto"/>
          <w:sz w:val="24"/>
          <w:szCs w:val="24"/>
          <w:highlight w:val="none"/>
          <w:lang w:val="en-US" w:eastAsia="zh-CN"/>
        </w:rPr>
        <w:t xml:space="preserve">85</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磋商小组启动异常低价审查</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9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99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1026"/>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七、履约保证金：</w:t>
      </w:r>
      <w:r/>
    </w:p>
    <w:p>
      <w:pPr>
        <w:pStyle w:val="99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成交供应商在签订合同前须向采购人交纳履约保证金，履约保证金的金额为政府采购合同金额的</w:t>
      </w:r>
      <w:r>
        <w:rPr>
          <w:rFonts w:hint="eastAsia" w:ascii="宋体" w:hAnsi="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w:t>
      </w:r>
      <w:r/>
    </w:p>
    <w:p>
      <w:pPr>
        <w:pStyle w:val="997"/>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履约保证金的形式：履约保函。</w:t>
      </w:r>
      <w:r/>
    </w:p>
    <w:p>
      <w:pPr>
        <w:pStyle w:val="997"/>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JSZC-320322039-TYZB-C2026-0003</w:t>
      </w:r>
      <w:r>
        <w:rPr>
          <w:rFonts w:hint="eastAsia" w:ascii="宋体" w:hAnsi="宋体" w:cs="宋体"/>
          <w:color w:val="auto"/>
          <w:sz w:val="24"/>
          <w:szCs w:val="24"/>
          <w:highlight w:val="none"/>
          <w:lang w:eastAsia="zh-CN"/>
        </w:rPr>
        <w:t xml:space="preserve">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997"/>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994"/>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沛县张寨镇2026年度一事一议道路建设财政奖补项目</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auto" w:sz="4" w:space="0"/>
              <w:left w:val="single" w:color="auto" w:sz="4" w:space="0"/>
              <w:bottom w:val="single" w:color="auto" w:sz="4" w:space="0"/>
              <w:right w:val="single" w:color="auto" w:sz="4"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auto" w:sz="4"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auto" w:sz="4"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2" w:space="0"/>
              <w:bottom w:val="single" w:color="000000" w:sz="2" w:space="0"/>
              <w:right w:val="single" w:color="auto" w:sz="4"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72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pStyle w:val="1215"/>
        <w:rPr>
          <w:rFonts w:hint="eastAsia" w:ascii="宋体" w:hAnsi="宋体" w:eastAsia="宋体" w:cs="宋体"/>
          <w:highlight w:val="none"/>
        </w:rPr>
      </w:pPr>
      <w:r>
        <w:rPr>
          <w:rFonts w:hint="eastAsia" w:ascii="宋体" w:hAnsi="宋体" w:eastAsia="宋体" w:cs="宋体"/>
          <w:highlight w:val="none"/>
        </w:rPr>
        <w:t xml:space="preserve">项目编号：JSZC-320322039-TYZB-C2026-0003</w:t>
      </w:r>
      <w:r/>
    </w:p>
    <w:p>
      <w:pPr>
        <w:pStyle w:val="1215"/>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项目名称：沛县张寨镇2026年度一事一议道路建设财政奖补项目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pStyle w:val="1034"/>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1034"/>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1034"/>
        <w:numPr>
          <w:ilvl w:val="0"/>
          <w:numId w:val="7"/>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1034"/>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cs="宋体"/>
          <w:color w:val="000000"/>
          <w:sz w:val="24"/>
          <w:highlight w:val="none"/>
          <w:lang w:eastAsia="zh-CN"/>
        </w:rPr>
        <w:t xml:space="preserve">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沛县张寨镇2026年度一事一议道路建设财政奖补项目</w:t>
      </w:r>
      <w:r/>
    </w:p>
    <w:tbl>
      <w:tblPr>
        <w:tblStyle w:val="10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10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10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10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8"/>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cs="宋体"/>
          <w:color w:val="000000"/>
          <w:sz w:val="24"/>
          <w:highlight w:val="none"/>
          <w:lang w:eastAsia="zh-CN"/>
        </w:rPr>
        <w:t xml:space="preserve">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沛县张寨镇2026年度一事一议道路建设财政奖补项目</w:t>
      </w:r>
      <w:r/>
    </w:p>
    <w:tbl>
      <w:tblPr>
        <w:tblStyle w:val="99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cs="宋体"/>
          <w:color w:val="000000"/>
          <w:sz w:val="24"/>
          <w:highlight w:val="none"/>
          <w:lang w:val="en-US" w:eastAsia="zh-CN"/>
        </w:rPr>
        <w:t xml:space="preserve">  年  月  日</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pStyle w:val="985"/>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合同主要内容和条款</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项目名称：</w:t>
      </w:r>
      <w:r/>
    </w:p>
    <w:p>
      <w:pPr>
        <w:pStyle w:val="1212"/>
        <w:jc w:val="left"/>
        <w:rPr>
          <w:rStyle w:val="1207"/>
          <w:rFonts w:asciiTheme="minorEastAsia" w:hAnsiTheme="minorEastAsia" w:eastAsiaTheme="minorEastAsia" w:cstheme="minorBidi"/>
          <w:b/>
          <w:bCs/>
          <w:sz w:val="28"/>
          <w:szCs w:val="28"/>
          <w:highlight w:val="none"/>
        </w:rPr>
      </w:pPr>
      <w:r>
        <w:rPr>
          <w:rStyle w:val="1207"/>
          <w:rFonts w:asciiTheme="minorEastAsia" w:hAnsiTheme="minorEastAsia" w:eastAsiaTheme="minorEastAsia" w:cstheme="minorBidi"/>
          <w:b/>
          <w:bCs/>
          <w:sz w:val="28"/>
          <w:szCs w:val="28"/>
          <w:highlight w:val="none"/>
        </w:rPr>
        <w:t xml:space="preserve">项目编号：</w:t>
      </w:r>
      <w:r/>
    </w:p>
    <w:p>
      <w:pPr>
        <w:pStyle w:val="1212"/>
        <w:jc w:val="center"/>
        <w:rPr>
          <w:rStyle w:val="1207"/>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政</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府</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采</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购</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合</w:t>
      </w:r>
      <w:r/>
    </w:p>
    <w:p>
      <w:pPr>
        <w:pStyle w:val="1212"/>
        <w:jc w:val="center"/>
        <w:rPr>
          <w:rStyle w:val="1207"/>
          <w:rFonts w:ascii="仿宋" w:hAnsi="仿宋" w:eastAsia="仿宋"/>
          <w:b/>
          <w:bCs/>
          <w:sz w:val="40"/>
          <w:szCs w:val="40"/>
          <w:highlight w:val="none"/>
        </w:rPr>
      </w:pPr>
      <w:r>
        <w:rPr>
          <w:rStyle w:val="1207"/>
          <w:rFonts w:asciiTheme="minorEastAsia" w:hAnsiTheme="minorEastAsia" w:eastAsiaTheme="minorEastAsia" w:cstheme="minorBidi"/>
          <w:b/>
          <w:bCs/>
          <w:sz w:val="40"/>
          <w:szCs w:val="40"/>
          <w:highlight w:val="none"/>
        </w:rPr>
        <w:t xml:space="preserve">同</w:t>
      </w:r>
      <w:r/>
    </w:p>
    <w:p>
      <w:pPr>
        <w:pStyle w:val="1212"/>
        <w:jc w:val="left"/>
        <w:rPr>
          <w:rStyle w:val="1207"/>
          <w:rFonts w:ascii="仿宋" w:hAnsi="仿宋" w:eastAsia="仿宋"/>
          <w:b/>
          <w:bCs/>
          <w:highlight w:val="none"/>
        </w:rPr>
      </w:pPr>
      <w:r>
        <w:rPr>
          <w:rFonts w:ascii="仿宋" w:hAnsi="仿宋" w:eastAsia="仿宋"/>
          <w:b/>
          <w:bCs/>
          <w:highlight w:val="none"/>
        </w:rPr>
      </w:r>
      <w:r/>
    </w:p>
    <w:p>
      <w:pPr>
        <w:pStyle w:val="997"/>
        <w:rPr>
          <w:highlight w:val="none"/>
        </w:rPr>
      </w:pPr>
      <w:r>
        <w:rPr>
          <w:highlight w:val="none"/>
        </w:rPr>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采  购  人：</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成交供应商：</w:t>
      </w:r>
      <w:r/>
    </w:p>
    <w:p>
      <w:pPr>
        <w:pStyle w:val="1212"/>
        <w:jc w:val="left"/>
        <w:rPr>
          <w:rStyle w:val="1207"/>
          <w:rFonts w:ascii="仿宋" w:hAnsi="仿宋" w:eastAsia="仿宋"/>
          <w:b/>
          <w:bCs/>
          <w:sz w:val="28"/>
          <w:szCs w:val="28"/>
          <w:highlight w:val="none"/>
        </w:rPr>
      </w:pPr>
      <w:r>
        <w:rPr>
          <w:rStyle w:val="1207"/>
          <w:rFonts w:asciiTheme="minorEastAsia" w:hAnsiTheme="minorEastAsia" w:eastAsiaTheme="minorEastAsia" w:cstheme="minorBidi"/>
          <w:b/>
          <w:bCs/>
          <w:sz w:val="28"/>
          <w:szCs w:val="28"/>
          <w:highlight w:val="none"/>
        </w:rPr>
        <w:t xml:space="preserve">合同签订日期： 年 月 日</w:t>
      </w:r>
      <w:r/>
    </w:p>
    <w:p>
      <w:pPr>
        <w:pStyle w:val="1212"/>
        <w:jc w:val="left"/>
        <w:rPr>
          <w:rStyle w:val="1207"/>
          <w:rFonts w:asciiTheme="minorEastAsia" w:hAnsiTheme="minorEastAsia" w:eastAsiaTheme="minorEastAsia" w:cstheme="minorBidi"/>
          <w:sz w:val="28"/>
          <w:szCs w:val="28"/>
          <w:highlight w:val="none"/>
        </w:rPr>
      </w:pPr>
      <w:r>
        <w:rPr>
          <w:rStyle w:val="1207"/>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12"/>
        <w:jc w:val="left"/>
        <w:rPr>
          <w:rStyle w:val="1207"/>
          <w:rFonts w:asciiTheme="minorEastAsia" w:hAnsiTheme="minorEastAsia" w:eastAsiaTheme="minorEastAsia" w:cstheme="minorBidi"/>
          <w:b/>
          <w:sz w:val="28"/>
          <w:szCs w:val="28"/>
          <w:highlight w:val="none"/>
        </w:rPr>
      </w:pPr>
      <w:r>
        <w:rPr>
          <w:rStyle w:val="1207"/>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09"/>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7"/>
        <w:jc w:val="center"/>
        <w:rPr>
          <w:sz w:val="28"/>
          <w:szCs w:val="28"/>
          <w:highlight w:val="none"/>
        </w:rPr>
      </w:pPr>
      <w:r>
        <w:rPr>
          <w:sz w:val="28"/>
          <w:szCs w:val="28"/>
          <w:highlight w:val="none"/>
        </w:rPr>
        <w:t xml:space="preserve">第一部分 合同协议书</w:t>
      </w:r>
      <w:r/>
    </w:p>
    <w:p>
      <w:pPr>
        <w:pStyle w:val="1039"/>
        <w:spacing w:line="360" w:lineRule="auto"/>
        <w:rPr>
          <w:rFonts w:hint="default" w:ascii="宋体" w:hAnsi="宋体" w:eastAsia="宋体"/>
          <w:b/>
          <w:sz w:val="24"/>
          <w:highlight w:val="none"/>
          <w:u w:val="single"/>
          <w:lang w:val="en-US"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沛县张寨镇人民政府</w:t>
      </w:r>
      <w:r>
        <w:rPr>
          <w:rFonts w:hint="eastAsia" w:ascii="宋体" w:hAnsi="宋体"/>
          <w:sz w:val="24"/>
          <w:highlight w:val="none"/>
          <w:u w:val="single"/>
          <w:lang w:val="en-US" w:eastAsia="zh-CN"/>
        </w:rPr>
        <w:t xml:space="preserve">            </w:t>
      </w:r>
      <w:r/>
    </w:p>
    <w:p>
      <w:pPr>
        <w:pStyle w:val="1039"/>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沛县张寨镇2026年度一事一议道路建设财政奖补项目</w:t>
      </w:r>
      <w:r>
        <w:rPr>
          <w:rFonts w:ascii="宋体" w:hAnsi="宋体"/>
          <w:sz w:val="24"/>
          <w:highlight w:val="none"/>
        </w:rPr>
        <w:t xml:space="preserve">施工及有关事项协商一致，共同达成如下协议：</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4"/>
      <w:r/>
      <w:r/>
    </w:p>
    <w:p>
      <w:pPr>
        <w:pStyle w:val="1039"/>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沛县张寨镇2026年度一事一议道路建设财政奖补项目</w:t>
      </w:r>
      <w:r>
        <w:rPr>
          <w:rFonts w:ascii="宋体" w:hAnsi="宋体"/>
          <w:sz w:val="24"/>
          <w:highlight w:val="none"/>
        </w:rPr>
        <w:t xml:space="preserve">。</w:t>
      </w:r>
      <w:r/>
    </w:p>
    <w:p>
      <w:pPr>
        <w:pStyle w:val="1040"/>
        <w:ind w:left="0" w:firstLine="0"/>
        <w:rPr>
          <w:rFonts w:hint="default" w:eastAsia="宋体"/>
          <w:highlight w:val="none"/>
          <w:lang w:val="en-US" w:eastAsia="zh-CN"/>
        </w:rPr>
      </w:pPr>
      <w:r>
        <w:rPr>
          <w:rFonts w:hint="eastAsia" w:ascii="宋体" w:hAnsi="宋体"/>
          <w:sz w:val="24"/>
          <w:highlight w:val="none"/>
          <w:lang w:val="en-US" w:eastAsia="zh-CN"/>
        </w:rPr>
        <w:t xml:space="preserve">      </w:t>
      </w:r>
      <w:r>
        <w:rPr>
          <w:rFonts w:hint="eastAsia" w:ascii="宋体" w:hAnsi="宋体" w:eastAsia="宋体" w:cs="Times New Roman"/>
          <w:bCs/>
          <w:sz w:val="24"/>
          <w:highlight w:val="none"/>
          <w:lang w:val="en-US" w:eastAsia="zh-CN" w:bidi="ar-SA"/>
        </w:rPr>
        <w:t xml:space="preserve">采购包名称： </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39"/>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沛县张寨镇</w:t>
      </w:r>
      <w:r>
        <w:rPr>
          <w:rFonts w:hint="eastAsia" w:ascii="宋体" w:hAnsi="宋体"/>
          <w:sz w:val="24"/>
          <w:highlight w:val="none"/>
          <w:u w:val="single"/>
          <w:lang w:val="en-US" w:eastAsia="zh-CN"/>
        </w:rPr>
        <w:t xml:space="preserve">辖区，具体村庄见工程量清单   </w:t>
      </w:r>
      <w:r>
        <w:rPr>
          <w:rFonts w:ascii="宋体" w:hAnsi="宋体"/>
          <w:sz w:val="24"/>
          <w:highlight w:val="none"/>
        </w:rPr>
        <w:t xml:space="preserve">。</w:t>
      </w:r>
      <w:r/>
    </w:p>
    <w:p>
      <w:pPr>
        <w:pStyle w:val="1039"/>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39"/>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39"/>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5"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5"/>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6"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6"/>
      <w:r/>
      <w:r/>
    </w:p>
    <w:p>
      <w:pPr>
        <w:pStyle w:val="1039"/>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7"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7"/>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8" w:name="_Toc351203485"/>
      <w:r>
        <w:rPr>
          <w:rFonts w:ascii="宋体" w:hAnsi="宋体" w:eastAsia="宋体"/>
          <w:b/>
          <w:bCs w:val="0"/>
          <w:sz w:val="24"/>
          <w:szCs w:val="24"/>
          <w:highlight w:val="none"/>
        </w:rPr>
        <w:t xml:space="preserve">五</w:t>
      </w:r>
      <w:bookmarkEnd w:id="8"/>
      <w:r>
        <w:rPr>
          <w:rFonts w:hint="eastAsia" w:ascii="宋体" w:hAnsi="宋体" w:eastAsia="宋体"/>
          <w:b/>
          <w:bCs w:val="0"/>
          <w:sz w:val="24"/>
          <w:szCs w:val="24"/>
          <w:highlight w:val="none"/>
          <w:lang w:eastAsia="zh-CN"/>
        </w:rPr>
        <w:t xml:space="preserve">．项目负责人</w:t>
      </w:r>
      <w:r/>
    </w:p>
    <w:p>
      <w:pPr>
        <w:pStyle w:val="1039"/>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9"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9"/>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39"/>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0"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10"/>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1"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11"/>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2"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12"/>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3"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13"/>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4"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14"/>
      <w:r/>
      <w:r/>
    </w:p>
    <w:p>
      <w:pPr>
        <w:pStyle w:val="1039"/>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5"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15"/>
      <w:r/>
      <w:r/>
    </w:p>
    <w:p>
      <w:pPr>
        <w:pStyle w:val="1039"/>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0"/>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6"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16"/>
      <w:r/>
      <w:r/>
    </w:p>
    <w:p>
      <w:pPr>
        <w:pStyle w:val="1039"/>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39"/>
        <w:spacing w:line="360" w:lineRule="auto"/>
        <w:rPr>
          <w:rFonts w:ascii="宋体" w:hAnsi="宋体"/>
          <w:sz w:val="24"/>
          <w:highlight w:val="none"/>
        </w:rPr>
        <w:outlineLvl w:val="9"/>
      </w:pPr>
      <w:r>
        <w:rPr>
          <w:rFonts w:ascii="宋体" w:hAnsi="宋体"/>
          <w:sz w:val="24"/>
          <w:highlight w:val="none"/>
        </w:rPr>
      </w:r>
      <w:r/>
    </w:p>
    <w:p>
      <w:pPr>
        <w:pStyle w:val="1039"/>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39"/>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39"/>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39"/>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39"/>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17" w:name="_Toc504666123"/>
      <w:r/>
      <w:bookmarkStart w:id="18" w:name="_Toc7213"/>
      <w:r/>
      <w:bookmarkStart w:id="19" w:name="_Toc351203494"/>
      <w:r/>
      <w:bookmarkStart w:id="20" w:name="_Toc8532"/>
      <w:r/>
      <w:bookmarkStart w:id="21" w:name="_Toc504666124"/>
      <w:r/>
      <w:r/>
    </w:p>
    <w:p>
      <w:pPr>
        <w:pStyle w:val="1040"/>
        <w:ind w:left="0" w:firstLine="0"/>
        <w:rPr>
          <w:highlight w:val="none"/>
        </w:rPr>
      </w:pPr>
      <w:r/>
      <w:bookmarkStart w:id="22" w:name="_Toc14197"/>
      <w:r/>
      <w:r/>
    </w:p>
    <w:p>
      <w:pPr>
        <w:pStyle w:val="1040"/>
        <w:ind w:left="0" w:firstLine="0"/>
        <w:rPr>
          <w:highlight w:val="none"/>
        </w:rPr>
      </w:pPr>
      <w:r>
        <w:rPr>
          <w:highlight w:val="none"/>
        </w:rPr>
      </w:r>
      <w:r/>
    </w:p>
    <w:p>
      <w:pPr>
        <w:pStyle w:val="1040"/>
        <w:ind w:left="0" w:firstLine="0"/>
        <w:rPr>
          <w:highlight w:val="none"/>
        </w:rPr>
      </w:pPr>
      <w:r>
        <w:rPr>
          <w:highlight w:val="none"/>
        </w:rPr>
      </w:r>
      <w:bookmarkEnd w:id="17"/>
      <w:r/>
      <w:bookmarkEnd w:id="18"/>
      <w:r/>
      <w:bookmarkEnd w:id="19"/>
      <w:r/>
      <w:bookmarkEnd w:id="22"/>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40"/>
        <w:ind w:left="0" w:firstLine="0"/>
        <w:rPr>
          <w:highlight w:val="none"/>
        </w:rPr>
      </w:pPr>
      <w:r>
        <w:rPr>
          <w:highlight w:val="none"/>
        </w:rPr>
      </w:r>
      <w:r/>
    </w:p>
    <w:p>
      <w:pPr>
        <w:pStyle w:val="1039"/>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7"/>
        <w:numPr>
          <w:ilvl w:val="0"/>
          <w:numId w:val="9"/>
        </w:numPr>
        <w:jc w:val="center"/>
        <w:rPr>
          <w:sz w:val="28"/>
          <w:szCs w:val="28"/>
          <w:highlight w:val="none"/>
        </w:rPr>
      </w:pPr>
      <w:r/>
      <w:bookmarkStart w:id="23" w:name="_Toc296503027"/>
      <w:r/>
      <w:bookmarkStart w:id="24" w:name="_Toc296346528"/>
      <w:r/>
      <w:bookmarkStart w:id="25" w:name="_Toc6017"/>
      <w:r>
        <w:rPr>
          <w:sz w:val="28"/>
          <w:szCs w:val="28"/>
          <w:highlight w:val="none"/>
        </w:rPr>
        <w:t xml:space="preserve">通用合同条款</w:t>
      </w:r>
      <w:bookmarkEnd w:id="20"/>
      <w:r/>
      <w:bookmarkEnd w:id="21"/>
      <w:r/>
      <w:bookmarkEnd w:id="23"/>
      <w:r/>
      <w:bookmarkEnd w:id="24"/>
      <w:r/>
      <w:bookmarkEnd w:id="25"/>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39"/>
        <w:rPr>
          <w:rFonts w:hint="eastAsia"/>
          <w:highlight w:val="none"/>
          <w:lang w:val="en-US" w:eastAsia="zh-CN"/>
        </w:rPr>
      </w:pPr>
      <w:r>
        <w:rPr>
          <w:rFonts w:hint="eastAsia"/>
          <w:highlight w:val="none"/>
          <w:lang w:val="en-US" w:eastAsia="zh-CN"/>
        </w:rPr>
      </w:r>
      <w:r/>
    </w:p>
    <w:p>
      <w:pPr>
        <w:pStyle w:val="987"/>
        <w:numPr>
          <w:ilvl w:val="0"/>
          <w:numId w:val="9"/>
        </w:numPr>
        <w:jc w:val="center"/>
        <w:rPr>
          <w:rFonts w:hint="eastAsia"/>
          <w:highlight w:val="none"/>
          <w:lang w:val="en-US" w:eastAsia="zh-CN"/>
        </w:rPr>
      </w:pPr>
      <w:r/>
      <w:bookmarkStart w:id="26" w:name="_Toc22559"/>
      <w:r>
        <w:rPr>
          <w:sz w:val="28"/>
          <w:szCs w:val="28"/>
          <w:highlight w:val="none"/>
        </w:rPr>
        <w:t xml:space="preserve">专用合同条款</w:t>
      </w:r>
      <w:bookmarkEnd w:id="26"/>
      <w:r/>
      <w:r/>
    </w:p>
    <w:p>
      <w:pPr>
        <w:ind w:firstLine="480"/>
        <w:spacing w:line="312" w:lineRule="auto"/>
        <w:rPr>
          <w:rFonts w:ascii="Times New Roman" w:hAnsi="Times New Roman" w:eastAsia="宋体" w:cs="Times New Roman"/>
          <w:sz w:val="24"/>
          <w:highlight w:val="none"/>
        </w:rPr>
        <w:outlineLvl w:val="3"/>
      </w:pPr>
      <w:r/>
      <w:bookmarkStart w:id="27" w:name="_Toc351203633"/>
      <w:r/>
      <w:bookmarkStart w:id="28" w:name="_Toc32760"/>
      <w:r>
        <w:rPr>
          <w:rFonts w:ascii="Times New Roman" w:hAnsi="Times New Roman" w:eastAsia="宋体" w:cs="Times New Roman"/>
          <w:sz w:val="24"/>
          <w:highlight w:val="none"/>
        </w:rPr>
        <w:t xml:space="preserve">1</w:t>
      </w:r>
      <w:bookmarkStart w:id="29" w:name="_Toc296346657"/>
      <w:r/>
      <w:bookmarkStart w:id="30" w:name="_Toc296347155"/>
      <w:r/>
      <w:bookmarkStart w:id="31" w:name="_Toc292559361"/>
      <w:r/>
      <w:bookmarkStart w:id="32" w:name="_Toc292559866"/>
      <w:r/>
      <w:bookmarkStart w:id="33" w:name="_Toc296944495"/>
      <w:r/>
      <w:bookmarkStart w:id="34" w:name="_Toc297048342"/>
      <w:r/>
      <w:bookmarkStart w:id="35" w:name="_Toc297120456"/>
      <w:r/>
      <w:bookmarkStart w:id="36" w:name="_Toc296891196"/>
      <w:r/>
      <w:bookmarkStart w:id="37" w:name="_Toc296890984"/>
      <w:r/>
      <w:bookmarkStart w:id="38" w:name="_Toc296503156"/>
      <w:r>
        <w:rPr>
          <w:rFonts w:ascii="Times New Roman" w:hAnsi="Times New Roman" w:eastAsia="宋体" w:cs="Times New Roman"/>
          <w:sz w:val="24"/>
          <w:highlight w:val="none"/>
        </w:rPr>
        <w:t xml:space="preserve">. 一般约定</w:t>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ind w:firstLine="480"/>
        <w:spacing w:line="312" w:lineRule="auto"/>
        <w:rPr>
          <w:rFonts w:ascii="Times New Roman" w:hAnsi="Times New Roman" w:eastAsia="宋体" w:cs="Times New Roman"/>
          <w:sz w:val="24"/>
          <w:highlight w:val="none"/>
        </w:rPr>
        <w:outlineLvl w:val="4"/>
      </w:pPr>
      <w:r/>
      <w:bookmarkStart w:id="39" w:name="_Toc17018"/>
      <w:r>
        <w:rPr>
          <w:rFonts w:ascii="Times New Roman" w:hAnsi="Times New Roman" w:eastAsia="宋体" w:cs="Times New Roman"/>
          <w:sz w:val="24"/>
          <w:highlight w:val="none"/>
        </w:rPr>
        <w:t xml:space="preserve">1.1 词语定义</w:t>
      </w:r>
      <w:bookmarkEnd w:id="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1.1.1合同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1.1.1.10其他合同文件包括：</w:t>
      </w:r>
      <w:r>
        <w:rPr>
          <w:rFonts w:ascii="Times New Roman" w:hAnsi="Times New Roman" w:eastAsia="宋体" w:cs="Times New Roman"/>
          <w:sz w:val="24"/>
          <w:highlight w:val="none"/>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1.1.2 合同当事人及其他相关方</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1.1.2.4监理人：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1.1.2.5 设计人：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资质类别和等级：</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1.1.3 工程和设备</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1.1.3.7 作为施工现场组成部分的其他场所包括：</w:t>
      </w:r>
      <w:r>
        <w:rPr>
          <w:rFonts w:ascii="Times New Roman" w:hAnsi="Times New Roman" w:eastAsia="宋体" w:cs="Times New Roman"/>
          <w:sz w:val="24"/>
          <w:highlight w:val="none"/>
          <w:u w:val="single"/>
        </w:rPr>
        <w:t xml:space="preserve">永久占地和临时占地。</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1.1.3.9 永久占地包括：</w:t>
      </w:r>
      <w:r>
        <w:rPr>
          <w:rFonts w:ascii="Times New Roman" w:hAnsi="Times New Roman" w:eastAsia="宋体" w:cs="Times New Roman"/>
          <w:sz w:val="24"/>
          <w:highlight w:val="none"/>
          <w:u w:val="single"/>
        </w:rPr>
        <w:t xml:space="preserve">是指为实施工程需永久占用的土地。</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1.1.3.10 临时占地包括：</w:t>
      </w:r>
      <w:r>
        <w:rPr>
          <w:rFonts w:ascii="Times New Roman" w:hAnsi="Times New Roman" w:eastAsia="宋体" w:cs="Times New Roman"/>
          <w:sz w:val="24"/>
          <w:highlight w:val="none"/>
          <w:u w:val="single"/>
        </w:rPr>
        <w:t xml:space="preserve">是指为实施工程需要临时占用的土地。</w:t>
      </w:r>
      <w:r/>
    </w:p>
    <w:p>
      <w:pPr>
        <w:ind w:firstLine="480"/>
        <w:spacing w:line="312" w:lineRule="auto"/>
        <w:rPr>
          <w:rFonts w:ascii="Times New Roman" w:hAnsi="Times New Roman" w:eastAsia="宋体" w:cs="Times New Roman"/>
          <w:sz w:val="24"/>
          <w:highlight w:val="none"/>
          <w:u w:val="single"/>
        </w:rPr>
        <w:outlineLvl w:val="4"/>
      </w:pPr>
      <w:r/>
      <w:bookmarkStart w:id="40" w:name="_Toc25541"/>
      <w:r>
        <w:rPr>
          <w:rFonts w:ascii="Times New Roman" w:hAnsi="Times New Roman" w:eastAsia="宋体" w:cs="Times New Roman"/>
          <w:sz w:val="24"/>
          <w:highlight w:val="none"/>
          <w:u w:val="single"/>
        </w:rPr>
        <w:t xml:space="preserve">1.3法律</w:t>
      </w:r>
      <w:bookmarkEnd w:id="40"/>
      <w:r>
        <w:rPr>
          <w:rFonts w:ascii="Times New Roman" w:hAnsi="Times New Roman" w:eastAsia="宋体" w:cs="Times New Roman"/>
          <w:sz w:val="24"/>
          <w:highlight w:val="none"/>
          <w:u w:val="singl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适用于合同的其他规范性文件：</w:t>
      </w:r>
      <w:r>
        <w:rPr>
          <w:rFonts w:ascii="Times New Roman" w:hAnsi="Times New Roman" w:eastAsia="宋体" w:cs="Times New Roman"/>
          <w:sz w:val="24"/>
          <w:highlight w:val="none"/>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highlight w:val="none"/>
        </w:rPr>
        <w:outlineLvl w:val="4"/>
      </w:pPr>
      <w:r/>
      <w:bookmarkStart w:id="41" w:name="_Toc8798"/>
      <w:r>
        <w:rPr>
          <w:rFonts w:ascii="Times New Roman" w:hAnsi="Times New Roman" w:eastAsia="宋体" w:cs="Times New Roman"/>
          <w:sz w:val="24"/>
          <w:highlight w:val="none"/>
        </w:rPr>
        <w:t xml:space="preserve">1.4 标准和规范</w:t>
      </w:r>
      <w:bookmarkEnd w:id="4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1.4.1适用于工程的标准规范包括：</w:t>
      </w:r>
      <w:r>
        <w:rPr>
          <w:rFonts w:ascii="Times New Roman" w:hAnsi="Times New Roman" w:eastAsia="宋体" w:cs="Times New Roman"/>
          <w:sz w:val="24"/>
          <w:highlight w:val="none"/>
          <w:u w:val="single"/>
        </w:rPr>
        <w:t xml:space="preserve">适用于工程的国家标准、行业标准、工程所在地的地方性标准，以及相应的规范、规程、验收标准和文件等</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1.4.2 发包人提供国外标准、规范的名称：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发包人提供国外标准、规范的份数：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发包人提供国外标准、规范的名称：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1.4.3发包人对工程的技术标准和功能要求的特殊要求：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 w:name="_Toc10328"/>
      <w:r>
        <w:rPr>
          <w:rFonts w:ascii="Times New Roman" w:hAnsi="Times New Roman" w:eastAsia="宋体" w:cs="Times New Roman"/>
          <w:sz w:val="24"/>
          <w:highlight w:val="none"/>
        </w:rPr>
        <w:t xml:space="preserve">1.5 合同文件的优先顺序</w:t>
      </w:r>
      <w:bookmarkEnd w:id="4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合同文件组成及优先顺序为：</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3" w:name="_Toc5512"/>
      <w:r>
        <w:rPr>
          <w:rFonts w:ascii="Times New Roman" w:hAnsi="Times New Roman" w:eastAsia="宋体" w:cs="Times New Roman"/>
          <w:sz w:val="24"/>
          <w:highlight w:val="none"/>
        </w:rPr>
        <w:t xml:space="preserve">1.6 图纸和承包人文件</w:t>
      </w:r>
      <w:bookmarkEnd w:id="4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 图纸的提供</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发包人向承包人提供图纸的期限：</w:t>
      </w:r>
      <w:r>
        <w:rPr>
          <w:rFonts w:ascii="Times New Roman" w:hAnsi="Times New Roman" w:eastAsia="宋体" w:cs="Times New Roman"/>
          <w:sz w:val="24"/>
          <w:highlight w:val="none"/>
          <w:u w:val="single"/>
        </w:rPr>
        <w:t xml:space="preserve">合同签订后3日内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发包人向承包人提供图纸的数量：</w:t>
      </w:r>
      <w:r>
        <w:rPr>
          <w:rFonts w:ascii="Times New Roman" w:hAnsi="Times New Roman" w:eastAsia="宋体" w:cs="Times New Roman"/>
          <w:sz w:val="24"/>
          <w:highlight w:val="none"/>
          <w:u w:val="single"/>
        </w:rPr>
        <w:t xml:space="preserve">2套</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发包人向承包人提供图纸的内容：</w:t>
      </w:r>
      <w:r>
        <w:rPr>
          <w:rFonts w:ascii="Times New Roman" w:hAnsi="Times New Roman" w:eastAsia="宋体" w:cs="Times New Roman"/>
          <w:sz w:val="24"/>
          <w:highlight w:val="none"/>
          <w:u w:val="single"/>
        </w:rPr>
        <w:t xml:space="preserve">承包范围内的所有施工图纸</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1.6.4 承包人文件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需要由承包人提供的文件，包括：</w:t>
      </w:r>
      <w:r>
        <w:rPr>
          <w:rFonts w:ascii="Times New Roman" w:hAnsi="Times New Roman" w:eastAsia="宋体" w:cs="Times New Roman"/>
          <w:sz w:val="24"/>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承包人提供的文件的期限为：</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承包人提供的文件的数量为：</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承包人提供的文件的形式为：</w:t>
      </w:r>
      <w:r>
        <w:rPr>
          <w:rFonts w:ascii="Times New Roman" w:hAnsi="Times New Roman" w:eastAsia="宋体" w:cs="Times New Roman"/>
          <w:sz w:val="24"/>
          <w:highlight w:val="none"/>
          <w:u w:val="single"/>
        </w:rPr>
        <w:t xml:space="preserve">书面形式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1.6.5 现场图纸准备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关于现场图纸准备的约定：</w:t>
      </w:r>
      <w:r>
        <w:rPr>
          <w:rFonts w:ascii="Times New Roman" w:hAnsi="Times New Roman" w:eastAsia="宋体" w:cs="Times New Roman"/>
          <w:sz w:val="24"/>
          <w:highlight w:val="none"/>
          <w:u w:val="single"/>
        </w:rPr>
        <w:t xml:space="preserve">执行通用条款约定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4" w:name="_Toc17232"/>
      <w:r>
        <w:rPr>
          <w:rFonts w:ascii="Times New Roman" w:hAnsi="Times New Roman" w:eastAsia="宋体" w:cs="Times New Roman"/>
          <w:sz w:val="24"/>
          <w:highlight w:val="none"/>
        </w:rPr>
        <w:t xml:space="preserve">1.7 联络</w:t>
      </w:r>
      <w:bookmarkEnd w:id="4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1.7.2 发包人接收文件的地点：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监理人接收文件的地点：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监理人指定的接收人为：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5" w:name="_Toc16862"/>
      <w:r>
        <w:rPr>
          <w:rFonts w:ascii="Times New Roman" w:hAnsi="Times New Roman" w:eastAsia="宋体" w:cs="Times New Roman"/>
          <w:sz w:val="24"/>
          <w:highlight w:val="none"/>
        </w:rPr>
        <w:t xml:space="preserve">1.10 交通运输</w:t>
      </w:r>
      <w:bookmarkEnd w:id="45"/>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1.10.1 出入现场的权利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关于出入现场的权利的约定：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6" w:name="_Toc304295522"/>
      <w:r/>
      <w:bookmarkStart w:id="47" w:name="_Toc318581156"/>
      <w:r/>
      <w:bookmarkStart w:id="48" w:name="_Toc303539101"/>
      <w:r/>
      <w:bookmarkStart w:id="49" w:name="_Toc312677987"/>
      <w:r/>
      <w:bookmarkStart w:id="50" w:name="_Toc300934944"/>
      <w:r>
        <w:rPr>
          <w:rFonts w:ascii="Times New Roman" w:hAnsi="Times New Roman" w:eastAsia="宋体" w:cs="Times New Roman"/>
          <w:sz w:val="24"/>
          <w:highlight w:val="none"/>
        </w:rPr>
        <w:t xml:space="preserve">.10.3 场内交通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关于场外交通和场内交通的边界的约定：</w:t>
      </w:r>
      <w:r>
        <w:rPr>
          <w:rFonts w:ascii="Times New Roman" w:hAnsi="Times New Roman" w:eastAsia="宋体" w:cs="Times New Roman"/>
          <w:sz w:val="24"/>
          <w:highlight w:val="none"/>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46"/>
      <w:r/>
      <w:bookmarkEnd w:id="47"/>
      <w:r/>
      <w:bookmarkEnd w:id="48"/>
      <w:r/>
      <w:bookmarkEnd w:id="49"/>
      <w:r/>
      <w:bookmarkEnd w:id="50"/>
      <w:r/>
      <w:r/>
    </w:p>
    <w:p>
      <w:pPr>
        <w:ind w:firstLine="480"/>
        <w:spacing w:line="312" w:lineRule="auto"/>
        <w:rPr>
          <w:rFonts w:ascii="Times New Roman" w:hAnsi="Times New Roman" w:eastAsia="宋体" w:cs="Times New Roman"/>
          <w:sz w:val="24"/>
          <w:highlight w:val="none"/>
        </w:rPr>
        <w:outlineLvl w:val="5"/>
      </w:pPr>
      <w:r/>
      <w:bookmarkStart w:id="51" w:name="_Toc318581157"/>
      <w:r>
        <w:rPr>
          <w:rFonts w:ascii="Times New Roman" w:hAnsi="Times New Roman" w:eastAsia="宋体" w:cs="Times New Roman"/>
          <w:sz w:val="24"/>
          <w:highlight w:val="none"/>
        </w:rPr>
        <w:t xml:space="preserve">1.10.4超大件和超重件的运输</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运输超大件或超重件所需的道路和桥梁临时加固改造费用和其他有关费用由</w:t>
      </w:r>
      <w:r>
        <w:rPr>
          <w:rFonts w:ascii="Times New Roman" w:hAnsi="Times New Roman" w:eastAsia="宋体" w:cs="Times New Roman"/>
          <w:sz w:val="24"/>
          <w:highlight w:val="none"/>
          <w:u w:val="single"/>
        </w:rPr>
        <w:t xml:space="preserve"> 承包人承担。</w:t>
      </w:r>
      <w:bookmarkEnd w:id="51"/>
      <w:r/>
      <w:r/>
    </w:p>
    <w:p>
      <w:pPr>
        <w:ind w:firstLine="480"/>
        <w:spacing w:line="312" w:lineRule="auto"/>
        <w:rPr>
          <w:rFonts w:ascii="Times New Roman" w:hAnsi="Times New Roman" w:eastAsia="宋体" w:cs="Times New Roman"/>
          <w:sz w:val="24"/>
          <w:highlight w:val="none"/>
        </w:rPr>
        <w:outlineLvl w:val="4"/>
      </w:pPr>
      <w:r/>
      <w:bookmarkStart w:id="52" w:name="_Toc14005"/>
      <w:r>
        <w:rPr>
          <w:rFonts w:ascii="Times New Roman" w:hAnsi="Times New Roman" w:eastAsia="宋体" w:cs="Times New Roman"/>
          <w:sz w:val="24"/>
          <w:highlight w:val="none"/>
        </w:rPr>
        <w:t xml:space="preserve">1.11 知识产权</w:t>
      </w:r>
      <w:bookmarkEnd w:id="5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highlight w:val="none"/>
          <w:u w:val="single"/>
        </w:rPr>
        <w:t xml:space="preserve">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1.11.2 关于承包人为实施工程所编制文件的著作权的归属：</w:t>
      </w:r>
      <w:r>
        <w:rPr>
          <w:rFonts w:ascii="Times New Roman" w:hAnsi="Times New Roman" w:eastAsia="宋体" w:cs="Times New Roman"/>
          <w:sz w:val="24"/>
          <w:highlight w:val="none"/>
          <w:u w:val="single"/>
        </w:rPr>
        <w:t xml:space="preserve">发包人</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关于承包人提供的上述文件的使用限制的要求：</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1.11.4 承包人在施工过程中所采用的专利、专有技术、技术秘密的使用费的承担方式：</w:t>
      </w:r>
      <w:r>
        <w:rPr>
          <w:rFonts w:ascii="Times New Roman" w:hAnsi="Times New Roman" w:eastAsia="宋体" w:cs="Times New Roman"/>
          <w:sz w:val="24"/>
          <w:highlight w:val="none"/>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highlight w:val="none"/>
        </w:rPr>
        <w:outlineLvl w:val="4"/>
      </w:pPr>
      <w:r/>
      <w:bookmarkStart w:id="53" w:name="_Toc11799"/>
      <w:r>
        <w:rPr>
          <w:rFonts w:ascii="Times New Roman" w:hAnsi="Times New Roman" w:eastAsia="宋体" w:cs="Times New Roman"/>
          <w:sz w:val="24"/>
          <w:highlight w:val="none"/>
        </w:rPr>
        <w:t xml:space="preserve">1.13工程量清单错误的修正</w:t>
      </w:r>
      <w:bookmarkEnd w:id="5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出现工程量清单错误时，是否调整合同价格：</w:t>
      </w:r>
      <w:r>
        <w:rPr>
          <w:rFonts w:ascii="Times New Roman" w:hAnsi="Times New Roman" w:eastAsia="宋体" w:cs="Times New Roman"/>
          <w:sz w:val="24"/>
          <w:highlight w:val="none"/>
          <w:u w:val="single"/>
        </w:rPr>
        <w:t xml:space="preserve">工程量按照实际调整，单价不变</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允许调整合同价格的工程量偏差范围：</w:t>
      </w:r>
      <w:r>
        <w:rPr>
          <w:rFonts w:ascii="Times New Roman" w:hAnsi="Times New Roman" w:eastAsia="宋体" w:cs="Times New Roman"/>
          <w:sz w:val="24"/>
          <w:highlight w:val="none"/>
          <w:u w:val="single"/>
        </w:rPr>
        <w:t xml:space="preserve">如工程量出现偏差，执行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或专用合同条款的相关规定。</w:t>
      </w:r>
      <w:r/>
    </w:p>
    <w:p>
      <w:pPr>
        <w:ind w:firstLine="480"/>
        <w:spacing w:line="312" w:lineRule="auto"/>
        <w:rPr>
          <w:rFonts w:ascii="Times New Roman" w:hAnsi="Times New Roman" w:eastAsia="宋体" w:cs="Times New Roman"/>
          <w:sz w:val="24"/>
          <w:highlight w:val="none"/>
        </w:rPr>
        <w:outlineLvl w:val="3"/>
      </w:pPr>
      <w:r/>
      <w:bookmarkStart w:id="54" w:name="_Toc4078"/>
      <w:r/>
      <w:bookmarkStart w:id="55" w:name="_Toc351203634"/>
      <w:r>
        <w:rPr>
          <w:rFonts w:ascii="Times New Roman" w:hAnsi="Times New Roman" w:eastAsia="宋体" w:cs="Times New Roman"/>
          <w:sz w:val="24"/>
          <w:highlight w:val="none"/>
        </w:rPr>
        <w:t xml:space="preserve">2</w:t>
      </w:r>
      <w:bookmarkStart w:id="56" w:name="_Toc297048343"/>
      <w:r/>
      <w:bookmarkStart w:id="57" w:name="_Toc296503157"/>
      <w:r/>
      <w:bookmarkStart w:id="58" w:name="_Toc296890985"/>
      <w:r/>
      <w:bookmarkStart w:id="59" w:name="_Toc296346658"/>
      <w:r/>
      <w:bookmarkStart w:id="60" w:name="_Toc292559867"/>
      <w:r/>
      <w:bookmarkStart w:id="61" w:name="_Toc296944496"/>
      <w:r/>
      <w:bookmarkStart w:id="62" w:name="_Toc296891197"/>
      <w:r/>
      <w:bookmarkStart w:id="63" w:name="_Toc292559362"/>
      <w:r/>
      <w:bookmarkStart w:id="64" w:name="_Toc296347156"/>
      <w:r/>
      <w:bookmarkStart w:id="65" w:name="_Toc297120457"/>
      <w:r>
        <w:rPr>
          <w:rFonts w:ascii="Times New Roman" w:hAnsi="Times New Roman" w:eastAsia="宋体" w:cs="Times New Roman"/>
          <w:sz w:val="24"/>
          <w:highlight w:val="none"/>
        </w:rPr>
        <w:t xml:space="preserve">. 发包人</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ind w:firstLine="480"/>
        <w:spacing w:line="312" w:lineRule="auto"/>
        <w:rPr>
          <w:rFonts w:ascii="Times New Roman" w:hAnsi="Times New Roman" w:eastAsia="宋体" w:cs="Times New Roman"/>
          <w:sz w:val="24"/>
          <w:highlight w:val="none"/>
        </w:rPr>
        <w:outlineLvl w:val="4"/>
      </w:pPr>
      <w:r/>
      <w:bookmarkStart w:id="66" w:name="_Toc30052"/>
      <w:r>
        <w:rPr>
          <w:rFonts w:ascii="Times New Roman" w:hAnsi="Times New Roman" w:eastAsia="宋体" w:cs="Times New Roman"/>
          <w:sz w:val="24"/>
          <w:highlight w:val="none"/>
        </w:rPr>
        <w:t xml:space="preserve">2.2 发包人代表</w:t>
      </w:r>
      <w:bookmarkEnd w:id="6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发包人代表：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发包人对发包人代表的授权范围如下：</w:t>
      </w:r>
      <w:r>
        <w:rPr>
          <w:rFonts w:ascii="Times New Roman" w:hAnsi="Times New Roman" w:eastAsia="宋体" w:cs="Times New Roman"/>
          <w:sz w:val="24"/>
          <w:highlight w:val="none"/>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highlight w:val="none"/>
        </w:rPr>
        <w:outlineLvl w:val="4"/>
      </w:pPr>
      <w:r/>
      <w:bookmarkStart w:id="67" w:name="_Toc15168"/>
      <w:r>
        <w:rPr>
          <w:rFonts w:ascii="Times New Roman" w:hAnsi="Times New Roman" w:eastAsia="宋体" w:cs="Times New Roman"/>
          <w:sz w:val="24"/>
          <w:highlight w:val="none"/>
        </w:rPr>
        <w:t xml:space="preserve">2.4 施工现场、施工条件和基础资料的提供</w:t>
      </w:r>
      <w:bookmarkEnd w:id="6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2.4.1 提供施工现场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关于发包人移交施工现场的期限要求：</w:t>
      </w:r>
      <w:r>
        <w:rPr>
          <w:rFonts w:ascii="Times New Roman" w:hAnsi="Times New Roman" w:eastAsia="宋体" w:cs="Times New Roman"/>
          <w:sz w:val="24"/>
          <w:highlight w:val="none"/>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2.4.2 提供施工条件</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关于发包人应负责提供施工所需要的条件，包括：</w:t>
      </w:r>
      <w:r/>
    </w:p>
    <w:p>
      <w:pPr>
        <w:ind w:firstLine="480"/>
        <w:spacing w:line="312" w:lineRule="auto"/>
        <w:rPr>
          <w:rFonts w:ascii="Times New Roman" w:hAnsi="Times New Roman" w:eastAsia="宋体" w:cs="Times New Roman"/>
          <w:sz w:val="24"/>
          <w:highlight w:val="none"/>
          <w:u w:val="single"/>
        </w:rPr>
        <w:outlineLvl w:val="6"/>
      </w:pPr>
      <w:r>
        <w:rPr>
          <w:rFonts w:ascii="Times New Roman" w:hAnsi="Times New Roman" w:eastAsia="宋体" w:cs="Times New Roman"/>
          <w:sz w:val="24"/>
          <w:highlight w:val="none"/>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highlight w:val="none"/>
        </w:rPr>
        <w:outlineLvl w:val="4"/>
      </w:pPr>
      <w:r/>
      <w:bookmarkStart w:id="68" w:name="_Toc360"/>
      <w:r>
        <w:rPr>
          <w:rFonts w:ascii="Times New Roman" w:hAnsi="Times New Roman" w:eastAsia="宋体" w:cs="Times New Roman"/>
          <w:sz w:val="24"/>
          <w:highlight w:val="none"/>
        </w:rPr>
        <w:t xml:space="preserve">2.5 资金来源证明及支付担保</w:t>
      </w:r>
      <w:bookmarkEnd w:id="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发包人提供资金来源证明的期限要求：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发包人是否提供支付担保：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发包人提供支付担保的形式：                        。</w:t>
      </w:r>
      <w:r/>
    </w:p>
    <w:p>
      <w:pPr>
        <w:ind w:firstLine="480"/>
        <w:spacing w:line="312" w:lineRule="auto"/>
        <w:rPr>
          <w:rFonts w:ascii="Times New Roman" w:hAnsi="Times New Roman" w:eastAsia="宋体" w:cs="Times New Roman"/>
          <w:sz w:val="24"/>
          <w:highlight w:val="none"/>
        </w:rPr>
        <w:outlineLvl w:val="3"/>
      </w:pPr>
      <w:r/>
      <w:bookmarkStart w:id="69" w:name="_Toc14442"/>
      <w:r/>
      <w:bookmarkStart w:id="70" w:name="_Toc351203635"/>
      <w:r>
        <w:rPr>
          <w:rFonts w:ascii="Times New Roman" w:hAnsi="Times New Roman" w:eastAsia="宋体" w:cs="Times New Roman"/>
          <w:sz w:val="24"/>
          <w:highlight w:val="none"/>
        </w:rPr>
        <w:t xml:space="preserve">3</w:t>
      </w:r>
      <w:bookmarkStart w:id="71" w:name="_Toc296347157"/>
      <w:r/>
      <w:bookmarkStart w:id="72" w:name="_Toc292559363"/>
      <w:r/>
      <w:bookmarkStart w:id="73" w:name="_Toc296346659"/>
      <w:r/>
      <w:bookmarkStart w:id="74" w:name="_Toc296891198"/>
      <w:r/>
      <w:bookmarkStart w:id="75" w:name="_Toc296890986"/>
      <w:r/>
      <w:bookmarkStart w:id="76" w:name="_Toc297120458"/>
      <w:r/>
      <w:bookmarkStart w:id="77" w:name="_Toc292559868"/>
      <w:r/>
      <w:bookmarkStart w:id="78" w:name="_Toc297048344"/>
      <w:r/>
      <w:bookmarkStart w:id="79" w:name="_Toc296944497"/>
      <w:r/>
      <w:bookmarkStart w:id="80" w:name="_Toc296503158"/>
      <w:r>
        <w:rPr>
          <w:rFonts w:ascii="Times New Roman" w:hAnsi="Times New Roman" w:eastAsia="宋体" w:cs="Times New Roman"/>
          <w:sz w:val="24"/>
          <w:highlight w:val="none"/>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spacing w:line="312" w:lineRule="auto"/>
        <w:rPr>
          <w:rFonts w:ascii="Times New Roman" w:hAnsi="Times New Roman" w:eastAsia="宋体" w:cs="Times New Roman"/>
          <w:sz w:val="24"/>
          <w:highlight w:val="none"/>
        </w:rPr>
        <w:outlineLvl w:val="4"/>
      </w:pPr>
      <w:r/>
      <w:bookmarkStart w:id="81" w:name="_Toc17636"/>
      <w:r>
        <w:rPr>
          <w:rFonts w:ascii="Times New Roman" w:hAnsi="Times New Roman" w:eastAsia="宋体" w:cs="Times New Roman"/>
          <w:sz w:val="24"/>
          <w:highlight w:val="none"/>
        </w:rPr>
        <w:t xml:space="preserve">3.1 承包人的一般义务</w:t>
      </w:r>
      <w:bookmarkEnd w:id="8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（9）承包人提交的竣工资料的内容：</w:t>
      </w:r>
      <w:r>
        <w:rPr>
          <w:rFonts w:ascii="Times New Roman" w:hAnsi="Times New Roman" w:eastAsia="宋体" w:cs="Times New Roman"/>
          <w:sz w:val="24"/>
          <w:highlight w:val="none"/>
          <w:u w:val="single"/>
        </w:rPr>
        <w:t xml:space="preserve">按当地建设行政主管部门要求编制</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承包人需要提交的竣工资料套数： </w:t>
      </w:r>
      <w:r>
        <w:rPr>
          <w:rFonts w:ascii="Times New Roman" w:hAnsi="Times New Roman" w:eastAsia="宋体" w:cs="Times New Roman"/>
          <w:sz w:val="24"/>
          <w:highlight w:val="none"/>
          <w:u w:val="single"/>
        </w:rPr>
        <w:t xml:space="preserve">二套（含CAD格式及纸质竣工图）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承包人提交的竣工资料的费用承担：</w:t>
      </w:r>
      <w:r>
        <w:rPr>
          <w:rFonts w:ascii="Times New Roman" w:hAnsi="Times New Roman" w:eastAsia="宋体" w:cs="Times New Roman"/>
          <w:sz w:val="24"/>
          <w:highlight w:val="none"/>
          <w:u w:val="single"/>
        </w:rPr>
        <w:t xml:space="preserve">承包人自理</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承包人提交的竣工资料移交时间：</w:t>
      </w:r>
      <w:r>
        <w:rPr>
          <w:rFonts w:ascii="Times New Roman" w:hAnsi="Times New Roman" w:eastAsia="宋体" w:cs="Times New Roman"/>
          <w:sz w:val="24"/>
          <w:highlight w:val="none"/>
          <w:u w:val="single"/>
        </w:rPr>
        <w:t xml:space="preserve">竣工验收合格后，14日内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承包人提交的竣工资料形式要求：</w:t>
      </w:r>
      <w:r>
        <w:rPr>
          <w:rFonts w:ascii="Times New Roman" w:hAnsi="Times New Roman" w:eastAsia="宋体" w:cs="Times New Roman"/>
          <w:sz w:val="24"/>
          <w:highlight w:val="none"/>
          <w:u w:val="single"/>
        </w:rPr>
        <w:t xml:space="preserve">按当地建设行政主管部门要求内容，胶印成册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（10）承包人应履行的其他义务：</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highlight w:val="none"/>
        </w:rPr>
        <w:outlineLvl w:val="4"/>
      </w:pPr>
      <w:r/>
      <w:bookmarkStart w:id="82" w:name="_Toc24870"/>
      <w:r>
        <w:rPr>
          <w:rFonts w:ascii="Times New Roman" w:hAnsi="Times New Roman" w:eastAsia="宋体" w:cs="Times New Roman"/>
          <w:sz w:val="24"/>
          <w:highlight w:val="none"/>
        </w:rPr>
        <w:t xml:space="preserve">3.2 项目经理</w:t>
      </w:r>
      <w:bookmarkEnd w:id="8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3.2.1 项目经理：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身份证号：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建造师执业资格等级：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建造师注册证书号：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建造师执业印章号：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安全生产考核合格证书号：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承包人对项目经理的授权范围如下：</w:t>
      </w:r>
      <w:r>
        <w:rPr>
          <w:rFonts w:ascii="Times New Roman" w:hAnsi="Times New Roman" w:eastAsia="宋体" w:cs="Times New Roman"/>
          <w:sz w:val="24"/>
          <w:highlight w:val="none"/>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关于项目经理和项目经理部人员每月在施工现场的时间要求：  </w:t>
      </w:r>
      <w:r>
        <w:rPr>
          <w:rFonts w:ascii="Times New Roman" w:hAnsi="Times New Roman" w:eastAsia="宋体" w:cs="Times New Roman"/>
          <w:sz w:val="24"/>
          <w:highlight w:val="none"/>
          <w:u w:val="single"/>
        </w:rPr>
        <w:t xml:space="preserve">22</w:t>
      </w:r>
      <w:r>
        <w:rPr>
          <w:rFonts w:ascii="Times New Roman" w:hAnsi="Times New Roman" w:eastAsia="宋体" w:cs="Times New Roman"/>
          <w:sz w:val="24"/>
          <w:highlight w:val="none"/>
        </w:rPr>
        <w:t xml:space="preserve">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承包人未提交劳动合同，以及没有为项目经理缴纳社会保险证明的违约责任：</w:t>
      </w:r>
      <w:r>
        <w:rPr>
          <w:rFonts w:ascii="Times New Roman" w:hAnsi="Times New Roman" w:eastAsia="宋体" w:cs="Times New Roman"/>
          <w:sz w:val="24"/>
          <w:highlight w:val="none"/>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项目经理未经批准，擅自离开施工现场的违约责任：每出现一次承担违约金为</w:t>
      </w:r>
      <w:r>
        <w:rPr>
          <w:rFonts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000元</w:t>
      </w:r>
      <w:r>
        <w:rPr>
          <w:rFonts w:ascii="Times New Roman" w:hAnsi="Times New Roman" w:eastAsia="宋体" w:cs="Times New Roman"/>
          <w:sz w:val="24"/>
          <w:highlight w:val="none"/>
          <w:u w:val="single"/>
          <w:lang w:eastAsia="zh-CN"/>
        </w:rPr>
        <w:t xml:space="preserve">，</w:t>
      </w:r>
      <w:r>
        <w:rPr>
          <w:rFonts w:ascii="Times New Roman" w:hAnsi="Times New Roman" w:eastAsia="宋体" w:cs="Times New Roman"/>
          <w:sz w:val="24"/>
          <w:highlight w:val="none"/>
          <w:u w:val="single"/>
        </w:rPr>
        <w:t xml:space="preserve">由此增加的费用和（或）延误的工期均由承包人承担。</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3.2.3 承包人擅自更换项目经理的违约责任：</w:t>
      </w:r>
      <w:r>
        <w:rPr>
          <w:rFonts w:ascii="Times New Roman" w:hAnsi="Times New Roman" w:eastAsia="宋体" w:cs="Times New Roman"/>
          <w:sz w:val="24"/>
          <w:highlight w:val="none"/>
          <w:u w:val="single"/>
        </w:rPr>
        <w:t xml:space="preserve">发包人有权要求承包人改正，并承担违约金20000元外，发包人享有本合同单方解除权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3.2.4 承包人无正当理由拒绝更换项目经理的违约责任：</w:t>
      </w:r>
      <w:r>
        <w:rPr>
          <w:rFonts w:ascii="Times New Roman" w:hAnsi="Times New Roman" w:eastAsia="宋体" w:cs="Times New Roman"/>
          <w:sz w:val="24"/>
          <w:highlight w:val="none"/>
          <w:u w:val="single"/>
        </w:rPr>
        <w:t xml:space="preserve">承包人承担违约金</w:t>
      </w:r>
      <w:r>
        <w:rPr>
          <w:rFonts w:ascii="Times New Roman" w:hAnsi="Times New Roman" w:eastAsia="宋体" w:cs="Times New Roman"/>
          <w:sz w:val="24"/>
          <w:highlight w:val="none"/>
          <w:u w:val="single"/>
          <w:lang w:val="en-US" w:eastAsia="zh-CN"/>
        </w:rPr>
        <w:t xml:space="preserve">5000</w:t>
      </w:r>
      <w:r>
        <w:rPr>
          <w:rFonts w:ascii="Times New Roman" w:hAnsi="Times New Roman" w:eastAsia="宋体" w:cs="Times New Roman"/>
          <w:sz w:val="24"/>
          <w:highlight w:val="none"/>
          <w:u w:val="single"/>
        </w:rPr>
        <w:t xml:space="preserve">元外，发包人享有本合同单方解除权。</w:t>
      </w:r>
      <w:r/>
    </w:p>
    <w:p>
      <w:pPr>
        <w:ind w:firstLine="480"/>
        <w:spacing w:line="312" w:lineRule="auto"/>
        <w:rPr>
          <w:rFonts w:ascii="Times New Roman" w:hAnsi="Times New Roman" w:eastAsia="宋体" w:cs="Times New Roman"/>
          <w:sz w:val="24"/>
          <w:highlight w:val="none"/>
        </w:rPr>
        <w:outlineLvl w:val="4"/>
      </w:pPr>
      <w:r/>
      <w:bookmarkStart w:id="83" w:name="_Toc1214"/>
      <w:r>
        <w:rPr>
          <w:rFonts w:ascii="Times New Roman" w:hAnsi="Times New Roman" w:eastAsia="宋体" w:cs="Times New Roman"/>
          <w:sz w:val="24"/>
          <w:highlight w:val="none"/>
        </w:rPr>
        <w:t xml:space="preserve">3.3 承包人人员</w:t>
      </w:r>
      <w:bookmarkEnd w:id="8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3.3.1 承包人提交项目管理机构及施工现场管理人员安排报告的期限：</w:t>
      </w:r>
      <w:r>
        <w:rPr>
          <w:rFonts w:ascii="Times New Roman" w:hAnsi="Times New Roman" w:eastAsia="宋体" w:cs="Times New Roman"/>
          <w:sz w:val="24"/>
          <w:highlight w:val="none"/>
          <w:u w:val="single"/>
        </w:rPr>
        <w:t xml:space="preserve">合同签订后五日内。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3.3.3 承包人无正当理由拒绝撤换主要施工管理人员的违约责任：</w:t>
      </w:r>
      <w:r>
        <w:rPr>
          <w:rFonts w:ascii="Times New Roman" w:hAnsi="Times New Roman" w:eastAsia="宋体" w:cs="Times New Roman"/>
          <w:sz w:val="24"/>
          <w:highlight w:val="none"/>
          <w:u w:val="single"/>
        </w:rPr>
        <w:t xml:space="preserve">发包人有权要求承包人改正，并承担违约金2000元·人外，发包人享有本合同单方解除权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3.3.4 承包人主要施工管理人员离开施工现场的批准要求：</w:t>
      </w:r>
      <w:r>
        <w:rPr>
          <w:rFonts w:ascii="Times New Roman" w:hAnsi="Times New Roman" w:eastAsia="宋体" w:cs="Times New Roman"/>
          <w:sz w:val="24"/>
          <w:highlight w:val="none"/>
          <w:u w:val="single"/>
        </w:rPr>
        <w:t xml:space="preserve">由承包人提出书面报告，阐明理由，注明回施工现场时间，报监理人和发包人代表批准后实施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3.3.5承包人擅自更换主要施工管理人员的违约责任：</w:t>
      </w:r>
      <w:r>
        <w:rPr>
          <w:rFonts w:ascii="Times New Roman" w:hAnsi="Times New Roman" w:eastAsia="宋体" w:cs="Times New Roman"/>
          <w:sz w:val="24"/>
          <w:highlight w:val="none"/>
          <w:u w:val="single"/>
        </w:rPr>
        <w:t xml:space="preserve">发包人有权要求承包人改正，并承担违约金1000元·人外，发包人享有本合同单方解除权</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承包人主要施工管理人员擅自离开施工现场的违约责任：</w:t>
      </w:r>
      <w:r>
        <w:rPr>
          <w:rFonts w:ascii="Times New Roman" w:hAnsi="Times New Roman" w:eastAsia="宋体" w:cs="Times New Roman"/>
          <w:sz w:val="24"/>
          <w:highlight w:val="none"/>
          <w:u w:val="single"/>
        </w:rPr>
        <w:t xml:space="preserve">⑴承担违约金1000元·人·次，由此增加的费用和（或）延误的工期均由承包人承担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84" w:name="_Toc14477"/>
      <w:r>
        <w:rPr>
          <w:rFonts w:ascii="Times New Roman" w:hAnsi="Times New Roman" w:eastAsia="宋体" w:cs="Times New Roman"/>
          <w:sz w:val="24"/>
          <w:highlight w:val="none"/>
        </w:rPr>
        <w:t xml:space="preserve">3</w:t>
      </w:r>
      <w:bookmarkStart w:id="85" w:name="_Toc296890987"/>
      <w:r/>
      <w:bookmarkStart w:id="86" w:name="_Toc297048345"/>
      <w:r/>
      <w:bookmarkStart w:id="87" w:name="_Toc303539102"/>
      <w:r/>
      <w:bookmarkStart w:id="88" w:name="_Toc296944498"/>
      <w:r/>
      <w:bookmarkStart w:id="89" w:name="_Toc297123492"/>
      <w:r/>
      <w:bookmarkStart w:id="90" w:name="_Toc300934945"/>
      <w:r/>
      <w:bookmarkStart w:id="91" w:name="_Toc312677988"/>
      <w:r/>
      <w:bookmarkStart w:id="92" w:name="_Toc304295523"/>
      <w:r/>
      <w:bookmarkStart w:id="93" w:name="_Toc297120459"/>
      <w:r/>
      <w:bookmarkStart w:id="94" w:name="_Toc297216151"/>
      <w:r/>
      <w:bookmarkStart w:id="95" w:name="_Toc296503159"/>
      <w:r/>
      <w:bookmarkStart w:id="96" w:name="_Toc296891199"/>
      <w:r/>
      <w:bookmarkStart w:id="97" w:name="_Toc296346660"/>
      <w:r/>
      <w:bookmarkStart w:id="98" w:name="_Toc292559364"/>
      <w:r/>
      <w:bookmarkStart w:id="99" w:name="_Toc296347158"/>
      <w:r/>
      <w:bookmarkStart w:id="100" w:name="_Toc292559869"/>
      <w:r>
        <w:rPr>
          <w:rFonts w:ascii="Times New Roman" w:hAnsi="Times New Roman" w:eastAsia="宋体" w:cs="Times New Roman"/>
          <w:sz w:val="24"/>
          <w:highlight w:val="none"/>
        </w:rPr>
        <w:t xml:space="preserve">.5 分包</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01" w:name="_Toc296944499"/>
      <w:r/>
      <w:bookmarkStart w:id="102" w:name="_Toc312677989"/>
      <w:r/>
      <w:bookmarkStart w:id="103" w:name="_Toc292559870"/>
      <w:r/>
      <w:bookmarkStart w:id="104" w:name="_Toc292559365"/>
      <w:r/>
      <w:bookmarkStart w:id="105" w:name="_Toc296890988"/>
      <w:r/>
      <w:bookmarkStart w:id="106" w:name="_Toc297216152"/>
      <w:r/>
      <w:bookmarkStart w:id="107" w:name="_Toc304295524"/>
      <w:r/>
      <w:bookmarkStart w:id="108" w:name="_Toc297120460"/>
      <w:r/>
      <w:bookmarkStart w:id="109" w:name="_Toc303539103"/>
      <w:r/>
      <w:bookmarkStart w:id="110" w:name="_Toc300934946"/>
      <w:r/>
      <w:bookmarkStart w:id="111" w:name="_Toc297123493"/>
      <w:r/>
      <w:bookmarkStart w:id="112" w:name="_Toc296347159"/>
      <w:r/>
      <w:bookmarkStart w:id="113" w:name="_Toc296503160"/>
      <w:r/>
      <w:bookmarkStart w:id="114" w:name="_Toc296891200"/>
      <w:r/>
      <w:bookmarkStart w:id="115" w:name="_Toc296346661"/>
      <w:r/>
      <w:bookmarkStart w:id="116" w:name="_Toc318581158"/>
      <w:r/>
      <w:bookmarkStart w:id="117" w:name="_Toc297048346"/>
      <w:r>
        <w:rPr>
          <w:rFonts w:ascii="Times New Roman" w:hAnsi="Times New Roman" w:eastAsia="宋体" w:cs="Times New Roman"/>
          <w:sz w:val="24"/>
          <w:highlight w:val="none"/>
        </w:rPr>
        <w:t xml:space="preserve">.5.1 分包的一般约定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禁止分包的工程包括：</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主体结构、关键性工作的范围：</w:t>
      </w:r>
      <w:r>
        <w:rPr>
          <w:rFonts w:ascii="Times New Roman" w:hAnsi="Times New Roman" w:eastAsia="宋体" w:cs="Times New Roman"/>
          <w:sz w:val="24"/>
          <w:highlight w:val="none"/>
          <w:u w:val="single"/>
        </w:rPr>
        <w:t xml:space="preserve">所有工程</w:t>
      </w:r>
      <w:r>
        <w:rPr>
          <w:rFonts w:ascii="Times New Roman" w:hAnsi="Times New Roman" w:eastAsia="宋体" w:cs="Times New Roman"/>
          <w:sz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w:t>
      </w:r>
      <w:bookmarkStart w:id="118" w:name="_Toc312677990"/>
      <w:r/>
      <w:bookmarkStart w:id="119" w:name="_Toc318581159"/>
      <w:r>
        <w:rPr>
          <w:rFonts w:ascii="Times New Roman" w:hAnsi="Times New Roman" w:eastAsia="宋体" w:cs="Times New Roman"/>
          <w:sz w:val="24"/>
          <w:highlight w:val="none"/>
        </w:rPr>
        <w:t xml:space="preserve">.5.2分包的确定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允许分包的专业工程包括：</w:t>
      </w:r>
      <w:r>
        <w:rPr>
          <w:rFonts w:ascii="Times New Roman" w:hAnsi="Times New Roman" w:eastAsia="宋体" w:cs="Times New Roman"/>
          <w:sz w:val="24"/>
          <w:highlight w:val="none"/>
          <w:u w:val="single"/>
        </w:rPr>
        <w:t xml:space="preserve">本工程禁止分包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其他关于分包的约定：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3.5.4 分包合同价款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关于分包合同价款支付的约定：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bookmarkEnd w:id="118"/>
      <w:r/>
      <w:bookmarkEnd w:id="119"/>
      <w:r/>
      <w:r/>
    </w:p>
    <w:p>
      <w:pPr>
        <w:ind w:firstLine="480"/>
        <w:spacing w:line="312" w:lineRule="auto"/>
        <w:rPr>
          <w:rFonts w:ascii="Times New Roman" w:hAnsi="Times New Roman" w:eastAsia="宋体" w:cs="Times New Roman"/>
          <w:sz w:val="24"/>
          <w:highlight w:val="none"/>
        </w:rPr>
        <w:outlineLvl w:val="4"/>
      </w:pPr>
      <w:r/>
      <w:bookmarkStart w:id="120" w:name="_Toc27214"/>
      <w:r>
        <w:rPr>
          <w:rFonts w:ascii="Times New Roman" w:hAnsi="Times New Roman" w:eastAsia="宋体" w:cs="Times New Roman"/>
          <w:sz w:val="24"/>
          <w:highlight w:val="none"/>
        </w:rPr>
        <w:t xml:space="preserve">3.6 工程照管与成品、半成品保护</w:t>
      </w:r>
      <w:bookmarkEnd w:id="1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承包人负责照管工程及工程相关的材料、工程设备的起始时间：</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21" w:name="_Toc12973"/>
      <w:r>
        <w:rPr>
          <w:rFonts w:ascii="Times New Roman" w:hAnsi="Times New Roman" w:eastAsia="宋体" w:cs="Times New Roman"/>
          <w:sz w:val="24"/>
          <w:highlight w:val="none"/>
        </w:rPr>
        <w:t xml:space="preserve">3.7 履约担保</w:t>
      </w:r>
      <w:bookmarkEnd w:id="12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承包人是否提供履约担保：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承包人提供履约担保的形式、金额及期限：</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承包人提供履约担保的形式：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承包人提供履约担保的金额：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承包人提供履约担保的期限：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履约保证金的返还：                                。</w:t>
      </w:r>
      <w:r/>
    </w:p>
    <w:p>
      <w:pPr>
        <w:ind w:firstLine="480"/>
        <w:spacing w:line="312" w:lineRule="auto"/>
        <w:rPr>
          <w:rFonts w:ascii="Times New Roman" w:hAnsi="Times New Roman" w:eastAsia="宋体" w:cs="Times New Roman"/>
          <w:sz w:val="24"/>
          <w:highlight w:val="none"/>
        </w:rPr>
        <w:outlineLvl w:val="3"/>
      </w:pPr>
      <w:r/>
      <w:bookmarkStart w:id="122" w:name="_Toc351203636"/>
      <w:r/>
      <w:bookmarkStart w:id="123" w:name="_Toc12572"/>
      <w:r>
        <w:rPr>
          <w:rFonts w:ascii="Times New Roman" w:hAnsi="Times New Roman" w:eastAsia="宋体" w:cs="Times New Roman"/>
          <w:sz w:val="24"/>
          <w:highlight w:val="none"/>
        </w:rPr>
        <w:t xml:space="preserve">4</w:t>
      </w:r>
      <w:bookmarkStart w:id="124" w:name="_Toc296891202"/>
      <w:r/>
      <w:bookmarkStart w:id="125" w:name="_Toc296347161"/>
      <w:r/>
      <w:bookmarkStart w:id="126" w:name="_Toc296890990"/>
      <w:r/>
      <w:bookmarkStart w:id="127" w:name="_Toc292559366"/>
      <w:r/>
      <w:bookmarkStart w:id="128" w:name="_Toc292559871"/>
      <w:r/>
      <w:bookmarkStart w:id="129" w:name="_Toc296503162"/>
      <w:r/>
      <w:bookmarkStart w:id="130" w:name="_Toc297120462"/>
      <w:r/>
      <w:bookmarkStart w:id="131" w:name="_Toc297048348"/>
      <w:r/>
      <w:bookmarkStart w:id="132" w:name="_Toc296944501"/>
      <w:r/>
      <w:bookmarkStart w:id="133" w:name="_Toc296346663"/>
      <w:r/>
      <w:bookmarkStart w:id="134" w:name="_Toc267251413"/>
      <w:r>
        <w:rPr>
          <w:rFonts w:ascii="Times New Roman" w:hAnsi="Times New Roman" w:eastAsia="宋体" w:cs="Times New Roman"/>
          <w:sz w:val="24"/>
          <w:highlight w:val="none"/>
        </w:rPr>
        <w:t xml:space="preserve">. 监</w:t>
      </w:r>
      <w:bookmarkEnd w:id="124"/>
      <w:r/>
      <w:bookmarkEnd w:id="125"/>
      <w:r/>
      <w:bookmarkEnd w:id="126"/>
      <w:r/>
      <w:bookmarkEnd w:id="127"/>
      <w:r/>
      <w:bookmarkEnd w:id="128"/>
      <w:r/>
      <w:bookmarkEnd w:id="129"/>
      <w:r/>
      <w:bookmarkEnd w:id="130"/>
      <w:r/>
      <w:bookmarkEnd w:id="131"/>
      <w:r/>
      <w:bookmarkEnd w:id="132"/>
      <w:r/>
      <w:bookmarkEnd w:id="133"/>
      <w:r/>
      <w:bookmarkEnd w:id="134"/>
      <w:r>
        <w:rPr>
          <w:rFonts w:ascii="Times New Roman" w:hAnsi="Times New Roman" w:eastAsia="宋体" w:cs="Times New Roman"/>
          <w:sz w:val="24"/>
          <w:highlight w:val="none"/>
        </w:rPr>
        <w:t xml:space="preserve">理人</w:t>
      </w:r>
      <w:bookmarkEnd w:id="122"/>
      <w:r/>
      <w:bookmarkEnd w:id="123"/>
      <w:r/>
      <w:r/>
    </w:p>
    <w:p>
      <w:pPr>
        <w:ind w:firstLine="480"/>
        <w:spacing w:line="312" w:lineRule="auto"/>
        <w:rPr>
          <w:rFonts w:ascii="Times New Roman" w:hAnsi="Times New Roman" w:eastAsia="宋体" w:cs="Times New Roman"/>
          <w:sz w:val="24"/>
          <w:highlight w:val="none"/>
        </w:rPr>
        <w:outlineLvl w:val="4"/>
      </w:pPr>
      <w:r/>
      <w:bookmarkStart w:id="135" w:name="_Toc7642"/>
      <w:r>
        <w:rPr>
          <w:rFonts w:ascii="Times New Roman" w:hAnsi="Times New Roman" w:eastAsia="宋体" w:cs="Times New Roman"/>
          <w:sz w:val="24"/>
          <w:highlight w:val="none"/>
        </w:rPr>
        <w:t xml:space="preserve">4.1监理人的一般规定</w:t>
      </w:r>
      <w:bookmarkEnd w:id="135"/>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关于监理人的监理内容：</w:t>
      </w:r>
      <w:r>
        <w:rPr>
          <w:rFonts w:ascii="Times New Roman" w:hAnsi="Times New Roman" w:eastAsia="宋体" w:cs="Times New Roman"/>
          <w:sz w:val="24"/>
          <w:highlight w:val="none"/>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关于监理人的监理权限：</w:t>
      </w:r>
      <w:r>
        <w:rPr>
          <w:rFonts w:ascii="Times New Roman" w:hAnsi="Times New Roman" w:eastAsia="宋体" w:cs="Times New Roman"/>
          <w:sz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关于监理人在施工现场的办公场所、生活场所的提供和费用承担的约定：</w:t>
      </w:r>
      <w:r>
        <w:rPr>
          <w:rFonts w:ascii="Times New Roman" w:hAnsi="Times New Roman" w:eastAsia="宋体" w:cs="Times New Roman"/>
          <w:sz w:val="24"/>
          <w:highlight w:val="none"/>
          <w:u w:val="single"/>
        </w:rPr>
        <w:t xml:space="preserve">监理人自理。</w:t>
      </w:r>
      <w:r/>
    </w:p>
    <w:p>
      <w:pPr>
        <w:ind w:firstLine="480"/>
        <w:spacing w:line="312" w:lineRule="auto"/>
        <w:rPr>
          <w:rFonts w:ascii="Times New Roman" w:hAnsi="Times New Roman" w:eastAsia="宋体" w:cs="Times New Roman"/>
          <w:sz w:val="24"/>
          <w:highlight w:val="none"/>
        </w:rPr>
        <w:outlineLvl w:val="4"/>
      </w:pPr>
      <w:r/>
      <w:bookmarkStart w:id="136" w:name="_Toc4974"/>
      <w:r>
        <w:rPr>
          <w:rFonts w:ascii="Times New Roman" w:hAnsi="Times New Roman" w:eastAsia="宋体" w:cs="Times New Roman"/>
          <w:sz w:val="24"/>
          <w:highlight w:val="none"/>
        </w:rPr>
        <w:t xml:space="preserve">4.2 监理人员</w:t>
      </w:r>
      <w:bookmarkEnd w:id="13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总监理工程师：</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姓    名：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职    务：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监理工程师执业资格证书号：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电子信箱：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通信地址：      </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关于监理人的其他约定：</w:t>
      </w:r>
      <w:r>
        <w:rPr>
          <w:rFonts w:ascii="Times New Roman" w:hAnsi="Times New Roman" w:eastAsia="宋体" w:cs="Times New Roman"/>
          <w:sz w:val="24"/>
          <w:highlight w:val="none"/>
          <w:u w:val="single"/>
        </w:rPr>
        <w:t xml:space="preserve">详通用合同条款和监理合同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137" w:name="_Toc25471"/>
      <w:r>
        <w:rPr>
          <w:rFonts w:ascii="Times New Roman" w:hAnsi="Times New Roman" w:eastAsia="宋体" w:cs="Times New Roman"/>
          <w:sz w:val="24"/>
          <w:highlight w:val="none"/>
        </w:rPr>
        <w:t xml:space="preserve">4.4 商定或确定</w:t>
      </w:r>
      <w:bookmarkEnd w:id="137"/>
      <w:r/>
      <w:r/>
    </w:p>
    <w:p>
      <w:pPr>
        <w:ind w:firstLine="480"/>
        <w:spacing w:line="312" w:lineRule="auto"/>
        <w:rPr>
          <w:rFonts w:ascii="Times New Roman" w:hAnsi="Times New Roman" w:eastAsia="宋体" w:cs="Times New Roman"/>
          <w:sz w:val="24"/>
          <w:highlight w:val="none"/>
        </w:rPr>
      </w:pPr>
      <w:r/>
      <w:bookmarkStart w:id="138" w:name="_Toc267251418"/>
      <w:r>
        <w:rPr>
          <w:rFonts w:ascii="Times New Roman" w:hAnsi="Times New Roman" w:eastAsia="宋体" w:cs="Times New Roman"/>
          <w:sz w:val="24"/>
          <w:highlight w:val="none"/>
        </w:rPr>
        <w:t xml:space="preserve">在发包人和承包人不能通过协商达成一致意见时，发包人授权监理人对以下事项进行确定：</w:t>
      </w:r>
      <w:r>
        <w:rPr>
          <w:rFonts w:ascii="Times New Roman" w:hAnsi="Times New Roman" w:eastAsia="宋体" w:cs="Times New Roman"/>
          <w:sz w:val="24"/>
          <w:highlight w:val="none"/>
          <w:u w:val="single"/>
        </w:rPr>
        <w:t xml:space="preserve">详监理合同</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139" w:name="_Toc29777"/>
      <w:r/>
      <w:bookmarkStart w:id="140" w:name="_Toc351203637"/>
      <w:r>
        <w:rPr>
          <w:rFonts w:ascii="Times New Roman" w:hAnsi="Times New Roman" w:eastAsia="宋体" w:cs="Times New Roman"/>
          <w:sz w:val="24"/>
          <w:highlight w:val="none"/>
        </w:rPr>
        <w:t xml:space="preserve">5</w:t>
      </w:r>
      <w:bookmarkEnd w:id="138"/>
      <w:r/>
      <w:bookmarkStart w:id="141" w:name="_Toc296891203"/>
      <w:r/>
      <w:bookmarkStart w:id="142" w:name="_Toc292559872"/>
      <w:r/>
      <w:bookmarkStart w:id="143" w:name="_Toc292559367"/>
      <w:r/>
      <w:bookmarkStart w:id="144" w:name="_Toc297120463"/>
      <w:r/>
      <w:bookmarkStart w:id="145" w:name="_Toc296944502"/>
      <w:r/>
      <w:bookmarkStart w:id="146" w:name="_Toc296890991"/>
      <w:r/>
      <w:bookmarkStart w:id="147" w:name="_Toc296346664"/>
      <w:r/>
      <w:bookmarkStart w:id="148" w:name="_Toc296347162"/>
      <w:r/>
      <w:bookmarkStart w:id="149" w:name="_Toc296503163"/>
      <w:r/>
      <w:bookmarkStart w:id="150" w:name="_Toc297048349"/>
      <w:r>
        <w:rPr>
          <w:rFonts w:ascii="Times New Roman" w:hAnsi="Times New Roman" w:eastAsia="宋体" w:cs="Times New Roman"/>
          <w:sz w:val="24"/>
          <w:highlight w:val="none"/>
        </w:rPr>
        <w:t xml:space="preserve">. 工程质量</w:t>
      </w:r>
      <w:bookmarkEnd w:id="139"/>
      <w:r/>
      <w:bookmarkEnd w:id="140"/>
      <w:r/>
      <w:r/>
    </w:p>
    <w:p>
      <w:pPr>
        <w:ind w:firstLine="480"/>
        <w:spacing w:line="312" w:lineRule="auto"/>
        <w:rPr>
          <w:rFonts w:ascii="Times New Roman" w:hAnsi="Times New Roman" w:eastAsia="宋体" w:cs="Times New Roman"/>
          <w:sz w:val="24"/>
          <w:highlight w:val="none"/>
        </w:rPr>
        <w:outlineLvl w:val="4"/>
      </w:pPr>
      <w:r/>
      <w:bookmarkStart w:id="151" w:name="_Toc17531"/>
      <w:r>
        <w:rPr>
          <w:rFonts w:ascii="Times New Roman" w:hAnsi="Times New Roman" w:eastAsia="宋体" w:cs="Times New Roman"/>
          <w:sz w:val="24"/>
          <w:highlight w:val="none"/>
        </w:rPr>
        <w:t xml:space="preserve">5.1 质量要求</w:t>
      </w:r>
      <w:bookmarkEnd w:id="15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5</w:t>
      </w:r>
      <w:bookmarkStart w:id="152" w:name="_Toc300934949"/>
      <w:r/>
      <w:bookmarkStart w:id="153" w:name="_Toc304295527"/>
      <w:r/>
      <w:bookmarkStart w:id="154" w:name="_Toc303539106"/>
      <w:r/>
      <w:bookmarkStart w:id="155" w:name="_Toc297216155"/>
      <w:r/>
      <w:bookmarkStart w:id="156" w:name="_Toc318581164"/>
      <w:r/>
      <w:bookmarkStart w:id="157" w:name="_Toc297123496"/>
      <w:r/>
      <w:bookmarkStart w:id="158" w:name="_Toc312677997"/>
      <w:r>
        <w:rPr>
          <w:rFonts w:ascii="Times New Roman" w:hAnsi="Times New Roman" w:eastAsia="宋体" w:cs="Times New Roman"/>
          <w:sz w:val="24"/>
          <w:highlight w:val="none"/>
        </w:rPr>
        <w:t xml:space="preserve">.1.1 特殊质量标准和要求：</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highlight w:val="none"/>
        </w:rPr>
        <w:outlineLvl w:val="4"/>
      </w:pPr>
      <w:r/>
      <w:bookmarkStart w:id="159" w:name="_Toc31505"/>
      <w:r>
        <w:rPr>
          <w:rFonts w:ascii="Times New Roman" w:hAnsi="Times New Roman" w:eastAsia="宋体" w:cs="Times New Roman"/>
          <w:sz w:val="24"/>
          <w:highlight w:val="none"/>
        </w:rPr>
        <w:t xml:space="preserve">5.3 隐蔽工程检查</w:t>
      </w:r>
      <w:bookmarkEnd w:id="1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监理人不能按时进行检查时，应提前 </w:t>
      </w:r>
      <w:r>
        <w:rPr>
          <w:rFonts w:ascii="Times New Roman" w:hAnsi="Times New Roman" w:eastAsia="宋体" w:cs="Times New Roman"/>
          <w:sz w:val="24"/>
          <w:highlight w:val="none"/>
          <w:u w:val="single"/>
        </w:rPr>
        <w:t xml:space="preserve">12 </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 小时。</w:t>
      </w:r>
      <w:r/>
    </w:p>
    <w:p>
      <w:pPr>
        <w:ind w:firstLine="480"/>
        <w:spacing w:line="312" w:lineRule="auto"/>
        <w:rPr>
          <w:rFonts w:ascii="Times New Roman" w:hAnsi="Times New Roman" w:eastAsia="宋体" w:cs="Times New Roman"/>
          <w:sz w:val="24"/>
          <w:highlight w:val="none"/>
        </w:rPr>
        <w:outlineLvl w:val="3"/>
      </w:pPr>
      <w:r/>
      <w:bookmarkStart w:id="160" w:name="_Toc351203638"/>
      <w:r/>
      <w:bookmarkStart w:id="161" w:name="_Toc5445"/>
      <w:r>
        <w:rPr>
          <w:rFonts w:ascii="Times New Roman" w:hAnsi="Times New Roman" w:eastAsia="宋体" w:cs="Times New Roman"/>
          <w:sz w:val="24"/>
          <w:highlight w:val="none"/>
        </w:rPr>
        <w:t xml:space="preserve">6. 安全文明施工与环境保护</w:t>
      </w:r>
      <w:bookmarkEnd w:id="160"/>
      <w:r/>
      <w:bookmarkEnd w:id="161"/>
      <w:r/>
      <w:r/>
    </w:p>
    <w:p>
      <w:pPr>
        <w:ind w:firstLine="480"/>
        <w:spacing w:line="312" w:lineRule="auto"/>
        <w:rPr>
          <w:rFonts w:ascii="Times New Roman" w:hAnsi="Times New Roman" w:eastAsia="宋体" w:cs="Times New Roman"/>
          <w:sz w:val="24"/>
          <w:highlight w:val="none"/>
        </w:rPr>
        <w:outlineLvl w:val="4"/>
      </w:pPr>
      <w:r/>
      <w:bookmarkStart w:id="162" w:name="_Toc13106"/>
      <w:r>
        <w:rPr>
          <w:rFonts w:ascii="Times New Roman" w:hAnsi="Times New Roman" w:eastAsia="宋体" w:cs="Times New Roman"/>
          <w:sz w:val="24"/>
          <w:highlight w:val="none"/>
        </w:rPr>
        <w:t xml:space="preserve">6.1安全文明施工</w:t>
      </w:r>
      <w:bookmarkEnd w:id="162"/>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6.1.1 项目安全生产的达标目标及相应事项的约定：</w:t>
      </w:r>
      <w:r>
        <w:rPr>
          <w:rFonts w:ascii="Times New Roman" w:hAnsi="Times New Roman" w:eastAsia="宋体" w:cs="Times New Roman"/>
          <w:sz w:val="24"/>
          <w:highlight w:val="none"/>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6.1.4 关于治安保卫的特别约定：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关于编制施工场地治安管理计划的约定：</w:t>
      </w:r>
      <w:r>
        <w:rPr>
          <w:rFonts w:ascii="Times New Roman" w:hAnsi="Times New Roman" w:eastAsia="宋体" w:cs="Times New Roman"/>
          <w:sz w:val="24"/>
          <w:highlight w:val="none"/>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6.1.5 文明施工</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合同当事人对文明施工的要求：</w:t>
      </w:r>
      <w:r>
        <w:rPr>
          <w:rFonts w:ascii="Times New Roman" w:hAnsi="Times New Roman" w:eastAsia="宋体" w:cs="Times New Roman"/>
          <w:sz w:val="24"/>
          <w:highlight w:val="none"/>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6.1.6 关于安全文明施工费支付比例和支付期限的约定：</w:t>
      </w:r>
      <w:r>
        <w:rPr>
          <w:rFonts w:ascii="Times New Roman" w:hAnsi="Times New Roman" w:eastAsia="宋体" w:cs="Times New Roman"/>
          <w:sz w:val="24"/>
          <w:highlight w:val="none"/>
          <w:u w:val="single"/>
        </w:rPr>
        <w:t xml:space="preserve">已包含在合同价款中</w:t>
      </w:r>
      <w:r>
        <w:rPr>
          <w:rFonts w:ascii="Times New Roman" w:hAnsi="Times New Roman" w:eastAsia="宋体" w:cs="Times New Roman"/>
          <w:sz w:val="24"/>
          <w:highlight w:val="none"/>
        </w:rPr>
        <w:t xml:space="preserve">。</w:t>
      </w:r>
      <w:bookmarkEnd w:id="152"/>
      <w:r/>
      <w:bookmarkEnd w:id="153"/>
      <w:r/>
      <w:bookmarkEnd w:id="154"/>
      <w:r/>
      <w:bookmarkEnd w:id="155"/>
      <w:r/>
      <w:bookmarkEnd w:id="156"/>
      <w:r/>
      <w:bookmarkEnd w:id="157"/>
      <w:r/>
      <w:bookmarkEnd w:id="158"/>
      <w:r/>
      <w:r/>
    </w:p>
    <w:p>
      <w:pPr>
        <w:ind w:firstLine="480"/>
        <w:spacing w:line="312" w:lineRule="auto"/>
        <w:rPr>
          <w:rFonts w:ascii="Times New Roman" w:hAnsi="Times New Roman" w:eastAsia="宋体" w:cs="Times New Roman"/>
          <w:sz w:val="24"/>
          <w:highlight w:val="none"/>
        </w:rPr>
        <w:outlineLvl w:val="3"/>
      </w:pPr>
      <w:r/>
      <w:bookmarkStart w:id="163" w:name="_Toc24698"/>
      <w:r/>
      <w:bookmarkStart w:id="164" w:name="_Toc351203639"/>
      <w:r>
        <w:rPr>
          <w:rFonts w:ascii="Times New Roman" w:hAnsi="Times New Roman" w:eastAsia="宋体" w:cs="Times New Roman"/>
          <w:sz w:val="24"/>
          <w:highlight w:val="none"/>
        </w:rPr>
        <w:t xml:space="preserve">7. 工期和进度</w:t>
      </w:r>
      <w:bookmarkEnd w:id="163"/>
      <w:r/>
      <w:bookmarkEnd w:id="164"/>
      <w:r/>
      <w:r/>
    </w:p>
    <w:p>
      <w:pPr>
        <w:ind w:firstLine="480"/>
        <w:spacing w:line="312" w:lineRule="auto"/>
        <w:rPr>
          <w:rFonts w:ascii="Times New Roman" w:hAnsi="Times New Roman" w:eastAsia="宋体" w:cs="Times New Roman"/>
          <w:sz w:val="24"/>
          <w:highlight w:val="none"/>
        </w:rPr>
        <w:outlineLvl w:val="4"/>
      </w:pPr>
      <w:r/>
      <w:bookmarkStart w:id="165" w:name="_Toc7529"/>
      <w:r>
        <w:rPr>
          <w:rFonts w:ascii="Times New Roman" w:hAnsi="Times New Roman" w:eastAsia="宋体" w:cs="Times New Roman"/>
          <w:sz w:val="24"/>
          <w:highlight w:val="none"/>
        </w:rPr>
        <w:t xml:space="preserve">7.1 施工组织设计</w:t>
      </w:r>
      <w:bookmarkEnd w:id="16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7.1.1 合同当事人约定的施工组织设计应包括的其他内容：</w:t>
      </w:r>
      <w:r>
        <w:rPr>
          <w:rFonts w:ascii="Times New Roman" w:hAnsi="Times New Roman" w:eastAsia="宋体" w:cs="Times New Roman"/>
          <w:sz w:val="24"/>
          <w:highlight w:val="none"/>
          <w:u w:val="single"/>
        </w:rPr>
        <w:t xml:space="preserve">重点部位上的施工组织措施、技术方案、工地扬尘污染防治及本工程</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要求的内容</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7.1.2 施工组织设计的提交和修改</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承包人提交详细施工组织设计的期限的约定：</w:t>
      </w:r>
      <w:r>
        <w:rPr>
          <w:rFonts w:ascii="Times New Roman" w:hAnsi="Times New Roman" w:eastAsia="宋体" w:cs="Times New Roman"/>
          <w:sz w:val="24"/>
          <w:highlight w:val="none"/>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发包人和监理人在收到详细的施工组织设计后确认或提出修改意见的期限：</w:t>
      </w:r>
      <w:r>
        <w:rPr>
          <w:rFonts w:ascii="Times New Roman" w:hAnsi="Times New Roman" w:eastAsia="宋体" w:cs="Times New Roman"/>
          <w:sz w:val="24"/>
          <w:highlight w:val="none"/>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66" w:name="_Toc19064"/>
      <w:r>
        <w:rPr>
          <w:rFonts w:ascii="Times New Roman" w:hAnsi="Times New Roman" w:eastAsia="宋体" w:cs="Times New Roman"/>
          <w:sz w:val="24"/>
          <w:highlight w:val="none"/>
        </w:rPr>
        <w:t xml:space="preserve">7</w:t>
      </w:r>
      <w:bookmarkStart w:id="167" w:name="_Toc303539123"/>
      <w:r/>
      <w:bookmarkStart w:id="168" w:name="_Toc297123514"/>
      <w:r/>
      <w:bookmarkStart w:id="169" w:name="_Toc300934966"/>
      <w:r/>
      <w:bookmarkStart w:id="170" w:name="_Toc312677479"/>
      <w:r/>
      <w:bookmarkStart w:id="171" w:name="_Toc312678005"/>
      <w:r/>
      <w:bookmarkStart w:id="172" w:name="_Toc304295541"/>
      <w:r/>
      <w:bookmarkStart w:id="173" w:name="_Toc297216173"/>
      <w:r>
        <w:rPr>
          <w:rFonts w:ascii="Times New Roman" w:hAnsi="Times New Roman" w:eastAsia="宋体" w:cs="Times New Roman"/>
          <w:sz w:val="24"/>
          <w:highlight w:val="none"/>
        </w:rPr>
        <w:t xml:space="preserve">.2 施工进度计划</w:t>
      </w:r>
      <w:bookmarkEnd w:id="16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7.2.2 施工进度计划的修订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highlight w:val="none"/>
        </w:rPr>
        <w:outlineLvl w:val="4"/>
      </w:pPr>
      <w:r/>
      <w:bookmarkStart w:id="174" w:name="_Toc16679"/>
      <w:r>
        <w:rPr>
          <w:rFonts w:ascii="Times New Roman" w:hAnsi="Times New Roman" w:eastAsia="宋体" w:cs="Times New Roman"/>
          <w:sz w:val="24"/>
          <w:highlight w:val="none"/>
        </w:rPr>
        <w:t xml:space="preserve">7.3 开工</w:t>
      </w:r>
      <w:bookmarkEnd w:id="17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7.3.1 开工准备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关于承包人提交工程开工报审表的期限：</w:t>
      </w:r>
      <w:r>
        <w:rPr>
          <w:rFonts w:ascii="Times New Roman" w:hAnsi="Times New Roman" w:eastAsia="宋体" w:cs="Times New Roman"/>
          <w:sz w:val="24"/>
          <w:highlight w:val="none"/>
          <w:u w:val="single"/>
        </w:rPr>
        <w:t xml:space="preserve">同第7.1款约定的期限</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关于发包人应完成的其他开工准备工作及期限：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关于承包人应完成的其他开工准备工作及期限：</w:t>
      </w:r>
      <w:r>
        <w:rPr>
          <w:rFonts w:ascii="Times New Roman" w:hAnsi="Times New Roman" w:eastAsia="宋体" w:cs="Times New Roman"/>
          <w:sz w:val="24"/>
          <w:highlight w:val="none"/>
          <w:u w:val="single"/>
        </w:rPr>
        <w:t xml:space="preserve">合同签定后5日内，最迟于开工日期5天前。</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7.3.2开工通知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因发包人原因造成监理人未能在计划开工日期之日起 90 天内发出开工通知的，承包人有权提出价格调整要求，或者解除合同。</w:t>
      </w:r>
      <w:bookmarkEnd w:id="167"/>
      <w:r/>
      <w:bookmarkEnd w:id="168"/>
      <w:r/>
      <w:bookmarkEnd w:id="169"/>
      <w:r/>
      <w:bookmarkEnd w:id="170"/>
      <w:r/>
      <w:bookmarkEnd w:id="171"/>
      <w:r/>
      <w:bookmarkEnd w:id="172"/>
      <w:r/>
      <w:bookmarkEnd w:id="173"/>
      <w:r/>
      <w:r/>
    </w:p>
    <w:p>
      <w:pPr>
        <w:ind w:firstLine="480"/>
        <w:spacing w:line="312" w:lineRule="auto"/>
        <w:rPr>
          <w:rFonts w:ascii="Times New Roman" w:hAnsi="Times New Roman" w:eastAsia="宋体" w:cs="Times New Roman"/>
          <w:sz w:val="24"/>
          <w:highlight w:val="none"/>
        </w:rPr>
        <w:outlineLvl w:val="4"/>
      </w:pPr>
      <w:r/>
      <w:bookmarkStart w:id="175" w:name="_Toc10036"/>
      <w:r>
        <w:rPr>
          <w:rFonts w:ascii="Times New Roman" w:hAnsi="Times New Roman" w:eastAsia="宋体" w:cs="Times New Roman"/>
          <w:sz w:val="24"/>
          <w:highlight w:val="none"/>
        </w:rPr>
        <w:t xml:space="preserve">7.4 测量放线</w:t>
      </w:r>
      <w:bookmarkEnd w:id="17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highlight w:val="none"/>
        </w:rPr>
        <w:outlineLvl w:val="4"/>
      </w:pPr>
      <w:r/>
      <w:bookmarkStart w:id="176" w:name="_Toc2994"/>
      <w:r>
        <w:rPr>
          <w:rFonts w:ascii="Times New Roman" w:hAnsi="Times New Roman" w:eastAsia="宋体" w:cs="Times New Roman"/>
          <w:sz w:val="24"/>
          <w:highlight w:val="none"/>
        </w:rPr>
        <w:t xml:space="preserve">7</w:t>
      </w:r>
      <w:bookmarkStart w:id="177" w:name="_Toc303539125"/>
      <w:r/>
      <w:bookmarkStart w:id="178" w:name="_Toc297123516"/>
      <w:r/>
      <w:bookmarkStart w:id="179" w:name="_Toc312677484"/>
      <w:r/>
      <w:bookmarkStart w:id="180" w:name="_Toc297216175"/>
      <w:r/>
      <w:bookmarkStart w:id="181" w:name="_Toc304295546"/>
      <w:r/>
      <w:bookmarkStart w:id="182" w:name="_Toc300934968"/>
      <w:r/>
      <w:bookmarkStart w:id="183" w:name="_Toc312678010"/>
      <w:r>
        <w:rPr>
          <w:rFonts w:ascii="Times New Roman" w:hAnsi="Times New Roman" w:eastAsia="宋体" w:cs="Times New Roman"/>
          <w:sz w:val="24"/>
          <w:highlight w:val="none"/>
        </w:rPr>
        <w:t xml:space="preserve">.5 工期延误</w:t>
      </w:r>
      <w:bookmarkEnd w:id="176"/>
      <w:r/>
      <w:bookmarkEnd w:id="177"/>
      <w:r/>
      <w:bookmarkEnd w:id="178"/>
      <w:r/>
      <w:bookmarkEnd w:id="179"/>
      <w:r/>
      <w:bookmarkEnd w:id="180"/>
      <w:r/>
      <w:bookmarkEnd w:id="181"/>
      <w:r/>
      <w:bookmarkEnd w:id="182"/>
      <w:r/>
      <w:bookmarkEnd w:id="18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7.5.1 因发包人原因导致工期延误</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（7）因发包人原因导致工期延误的其他情形：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7</w:t>
      </w:r>
      <w:bookmarkStart w:id="184" w:name="_Toc312677486"/>
      <w:r/>
      <w:bookmarkStart w:id="185" w:name="_Toc312678012"/>
      <w:r/>
      <w:bookmarkStart w:id="186" w:name="_Toc318581169"/>
      <w:r/>
      <w:bookmarkStart w:id="187" w:name="_Toc297216177"/>
      <w:r/>
      <w:bookmarkStart w:id="188" w:name="_Toc297123518"/>
      <w:r/>
      <w:bookmarkStart w:id="189" w:name="_Toc303539127"/>
      <w:r/>
      <w:bookmarkStart w:id="190" w:name="_Toc304295548"/>
      <w:r/>
      <w:bookmarkStart w:id="191" w:name="_Toc300934970"/>
      <w:r>
        <w:rPr>
          <w:rFonts w:ascii="Times New Roman" w:hAnsi="Times New Roman" w:eastAsia="宋体" w:cs="Times New Roman"/>
          <w:sz w:val="24"/>
          <w:highlight w:val="none"/>
        </w:rPr>
        <w:t xml:space="preserve">.5.2 因承包人原因导致工期延误</w:t>
      </w:r>
      <w:bookmarkEnd w:id="184"/>
      <w:r/>
      <w:bookmarkEnd w:id="185"/>
      <w:r/>
      <w:bookmarkEnd w:id="18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w:t>
      </w:r>
      <w:bookmarkStart w:id="192" w:name="_Toc312677487"/>
      <w:r/>
      <w:bookmarkStart w:id="193" w:name="_Toc318581170"/>
      <w:r/>
      <w:bookmarkStart w:id="194" w:name="_Toc312678013"/>
      <w:r>
        <w:rPr>
          <w:rFonts w:ascii="Times New Roman" w:hAnsi="Times New Roman" w:eastAsia="宋体" w:cs="Times New Roman"/>
          <w:sz w:val="24"/>
          <w:highlight w:val="none"/>
        </w:rPr>
        <w:t xml:space="preserve">承包人原因造成工期延误，逾期竣工违约金的计算方法为：</w:t>
      </w:r>
      <w:r>
        <w:rPr>
          <w:rFonts w:ascii="Times New Roman" w:hAnsi="Times New Roman" w:eastAsia="宋体" w:cs="Times New Roman"/>
          <w:sz w:val="24"/>
          <w:highlight w:val="none"/>
          <w:u w:val="single"/>
        </w:rPr>
        <w:t xml:space="preserve">5000元/天</w:t>
      </w:r>
      <w:r>
        <w:rPr>
          <w:rFonts w:ascii="Times New Roman" w:hAnsi="Times New Roman" w:eastAsia="宋体" w:cs="Times New Roman"/>
          <w:sz w:val="24"/>
          <w:highlight w:val="none"/>
        </w:rPr>
        <w:t xml:space="preserve">。</w:t>
      </w:r>
      <w:bookmarkEnd w:id="187"/>
      <w:r/>
      <w:bookmarkEnd w:id="188"/>
      <w:r/>
      <w:bookmarkEnd w:id="189"/>
      <w:r/>
      <w:bookmarkEnd w:id="190"/>
      <w:r/>
      <w:bookmarkEnd w:id="191"/>
      <w:r/>
      <w:bookmarkEnd w:id="192"/>
      <w:r/>
      <w:bookmarkEnd w:id="193"/>
      <w:r/>
      <w:bookmarkEnd w:id="194"/>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因承包人原因造成工期延误，逾</w:t>
      </w:r>
      <w:bookmarkStart w:id="195" w:name="_Toc318581171"/>
      <w:r/>
      <w:bookmarkStart w:id="196" w:name="_Toc312678014"/>
      <w:r>
        <w:rPr>
          <w:rFonts w:ascii="Times New Roman" w:hAnsi="Times New Roman" w:eastAsia="宋体" w:cs="Times New Roman"/>
          <w:sz w:val="24"/>
          <w:highlight w:val="none"/>
        </w:rPr>
        <w:t xml:space="preserve">期竣工违约金的上限：</w:t>
      </w:r>
      <w:r>
        <w:rPr>
          <w:rFonts w:ascii="Times New Roman" w:hAnsi="Times New Roman" w:eastAsia="宋体" w:cs="Times New Roman"/>
          <w:sz w:val="24"/>
          <w:highlight w:val="none"/>
          <w:u w:val="single"/>
        </w:rPr>
        <w:t xml:space="preserve">按上述计算方法计算，无上限。</w:t>
      </w:r>
      <w:bookmarkEnd w:id="195"/>
      <w:r/>
      <w:bookmarkEnd w:id="196"/>
      <w:r/>
      <w:r/>
    </w:p>
    <w:p>
      <w:pPr>
        <w:ind w:firstLine="480"/>
        <w:spacing w:line="312" w:lineRule="auto"/>
        <w:rPr>
          <w:rFonts w:ascii="Times New Roman" w:hAnsi="Times New Roman" w:eastAsia="宋体" w:cs="Times New Roman"/>
          <w:sz w:val="24"/>
          <w:highlight w:val="none"/>
        </w:rPr>
        <w:outlineLvl w:val="4"/>
      </w:pPr>
      <w:r/>
      <w:bookmarkStart w:id="197" w:name="_Toc31604"/>
      <w:r>
        <w:rPr>
          <w:rFonts w:ascii="Times New Roman" w:hAnsi="Times New Roman" w:eastAsia="宋体" w:cs="Times New Roman"/>
          <w:sz w:val="24"/>
          <w:highlight w:val="none"/>
        </w:rPr>
        <w:t xml:space="preserve">7</w:t>
      </w:r>
      <w:bookmarkStart w:id="198" w:name="_Toc304295549"/>
      <w:r/>
      <w:bookmarkStart w:id="199" w:name="_Toc297216178"/>
      <w:r/>
      <w:bookmarkStart w:id="200" w:name="_Toc312678015"/>
      <w:r/>
      <w:bookmarkStart w:id="201" w:name="_Toc303539128"/>
      <w:r/>
      <w:bookmarkStart w:id="202" w:name="_Toc300934971"/>
      <w:r/>
      <w:bookmarkStart w:id="203" w:name="_Toc297123519"/>
      <w:r>
        <w:rPr>
          <w:rFonts w:ascii="Times New Roman" w:hAnsi="Times New Roman" w:eastAsia="宋体" w:cs="Times New Roman"/>
          <w:sz w:val="24"/>
          <w:highlight w:val="none"/>
        </w:rPr>
        <w:t xml:space="preserve">.6 不</w:t>
      </w:r>
      <w:bookmarkEnd w:id="198"/>
      <w:r/>
      <w:bookmarkEnd w:id="199"/>
      <w:r/>
      <w:bookmarkEnd w:id="200"/>
      <w:r/>
      <w:bookmarkEnd w:id="201"/>
      <w:r/>
      <w:bookmarkEnd w:id="202"/>
      <w:r/>
      <w:bookmarkEnd w:id="203"/>
      <w:r>
        <w:rPr>
          <w:rFonts w:ascii="Times New Roman" w:hAnsi="Times New Roman" w:eastAsia="宋体" w:cs="Times New Roman"/>
          <w:sz w:val="24"/>
          <w:highlight w:val="none"/>
        </w:rPr>
        <w:t xml:space="preserve">利物质条件</w:t>
      </w:r>
      <w:bookmarkEnd w:id="197"/>
      <w:r/>
      <w:r/>
    </w:p>
    <w:p>
      <w:pPr>
        <w:ind w:firstLine="480"/>
        <w:spacing w:line="312" w:lineRule="auto"/>
        <w:rPr>
          <w:rFonts w:ascii="Times New Roman" w:hAnsi="Times New Roman" w:eastAsia="宋体" w:cs="Times New Roman"/>
          <w:sz w:val="24"/>
          <w:highlight w:val="none"/>
        </w:rPr>
      </w:pPr>
      <w:r/>
      <w:bookmarkStart w:id="204" w:name="_Toc297216179"/>
      <w:r/>
      <w:bookmarkStart w:id="205" w:name="_Toc312678016"/>
      <w:r/>
      <w:bookmarkStart w:id="206" w:name="_Toc318581172"/>
      <w:r/>
      <w:bookmarkStart w:id="207" w:name="_Toc300934972"/>
      <w:r/>
      <w:bookmarkStart w:id="208" w:name="_Toc303539129"/>
      <w:r/>
      <w:bookmarkStart w:id="209" w:name="_Toc297123520"/>
      <w:r/>
      <w:bookmarkStart w:id="210" w:name="_Toc304295550"/>
      <w:r>
        <w:rPr>
          <w:rFonts w:ascii="Times New Roman" w:hAnsi="Times New Roman" w:eastAsia="宋体" w:cs="Times New Roman"/>
          <w:sz w:val="24"/>
          <w:highlight w:val="none"/>
        </w:rPr>
        <w:t xml:space="preserve">不利物质条件的其他情形和有关约定：当地建设行政主管部门相关规定以及不可抗力。</w:t>
      </w:r>
      <w:bookmarkEnd w:id="204"/>
      <w:r/>
      <w:bookmarkEnd w:id="205"/>
      <w:r/>
      <w:bookmarkEnd w:id="206"/>
      <w:r/>
      <w:bookmarkEnd w:id="207"/>
      <w:r/>
      <w:bookmarkEnd w:id="208"/>
      <w:r/>
      <w:bookmarkEnd w:id="209"/>
      <w:r/>
      <w:bookmarkEnd w:id="210"/>
      <w:r/>
      <w:r/>
    </w:p>
    <w:p>
      <w:pPr>
        <w:ind w:firstLine="480"/>
        <w:spacing w:line="312" w:lineRule="auto"/>
        <w:rPr>
          <w:rFonts w:ascii="Times New Roman" w:hAnsi="Times New Roman" w:eastAsia="宋体" w:cs="Times New Roman"/>
          <w:sz w:val="24"/>
          <w:highlight w:val="none"/>
        </w:rPr>
        <w:outlineLvl w:val="4"/>
      </w:pPr>
      <w:r/>
      <w:bookmarkStart w:id="211" w:name="_Toc28905"/>
      <w:r>
        <w:rPr>
          <w:rFonts w:ascii="Times New Roman" w:hAnsi="Times New Roman" w:eastAsia="宋体" w:cs="Times New Roman"/>
          <w:sz w:val="24"/>
          <w:highlight w:val="none"/>
        </w:rPr>
        <w:t xml:space="preserve">7</w:t>
      </w:r>
      <w:bookmarkStart w:id="212" w:name="_Toc297123521"/>
      <w:r/>
      <w:bookmarkStart w:id="213" w:name="_Toc297216180"/>
      <w:r/>
      <w:bookmarkStart w:id="214" w:name="_Toc304295551"/>
      <w:r/>
      <w:bookmarkStart w:id="215" w:name="_Toc312678017"/>
      <w:r/>
      <w:bookmarkStart w:id="216" w:name="_Toc300934973"/>
      <w:r/>
      <w:bookmarkStart w:id="217" w:name="_Toc303539130"/>
      <w:r>
        <w:rPr>
          <w:rFonts w:ascii="Times New Roman" w:hAnsi="Times New Roman" w:eastAsia="宋体" w:cs="Times New Roman"/>
          <w:sz w:val="24"/>
          <w:highlight w:val="none"/>
        </w:rPr>
        <w:t xml:space="preserve">.7异常恶劣的气候条件</w:t>
      </w:r>
      <w:bookmarkEnd w:id="211"/>
      <w:r/>
      <w:bookmarkEnd w:id="212"/>
      <w:r/>
      <w:bookmarkEnd w:id="213"/>
      <w:r/>
      <w:bookmarkEnd w:id="214"/>
      <w:r/>
      <w:bookmarkEnd w:id="215"/>
      <w:r/>
      <w:bookmarkEnd w:id="216"/>
      <w:r/>
      <w:bookmarkEnd w:id="217"/>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发包人和承包人同意以下情形视为异常恶劣的气候条件：</w:t>
      </w:r>
      <w:r>
        <w:rPr>
          <w:rFonts w:ascii="Times New Roman" w:hAnsi="Times New Roman" w:eastAsia="宋体" w:cs="Times New Roman"/>
          <w:sz w:val="24"/>
          <w:highlight w:val="none"/>
          <w:u w:val="single"/>
        </w:rPr>
        <w:t xml:space="preserve">（1）日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"http://www.so.com/s?q=%E9%99%8D%E9%9B%A8%E9%87%8F&amp;ie=utf-8&amp;src=internal_wenda_recommend_textn"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降雨量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大于50mm、</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"http://www.so.com/s?q=%E9%9B%A8%E6%97%A5&amp;ie=utf-8&amp;src=internal_wenda_recommend_textn"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雨日</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超过1天； (2)日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"http://www.so.com/s?q=%E6%B0%94%E6%B8%A9&amp;ie=utf-8&amp;src=internal_wenda_recommend_textn"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气温</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超过38oC 的高温大于3天；(3)日气温低于-20 oC 的严寒大于3天；(4)造成工程损坏的</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"http://www.so.com/s?q=%E5%86%B0%E9%9B%B9&amp;ie=utf-8&amp;src=internal_wenda_recommend_textn"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冰雹</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和</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"http://www.so.com/s?q=%E5%A4%A7%E9%9B%AA&amp;ie=utf-8&amp;src=internal_wenda_recommend_textn"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大雪</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灾害:日</w:t>
      </w:r>
      <w:r>
        <w:rPr>
          <w:rFonts w:ascii="Times New Roman" w:hAnsi="Times New Roman" w:eastAsia="宋体" w:cs="Times New Roman"/>
          <w:sz w:val="24"/>
          <w:highlight w:val="none"/>
          <w:u w:val="single"/>
        </w:rPr>
        <w:fldChar w:fldCharType="begin"/>
      </w:r>
      <w:r>
        <w:rPr>
          <w:rFonts w:ascii="Times New Roman" w:hAnsi="Times New Roman" w:eastAsia="宋体" w:cs="Times New Roman"/>
          <w:sz w:val="24"/>
          <w:highlight w:val="none"/>
          <w:u w:val="single"/>
        </w:rPr>
        <w:instrText xml:space="preserve"> HYPERLINK "http://www.so.com/s?q=%E9%99%8D%E9%9B%AA%E9%87%8F&amp;ie=utf-8&amp;src=internal_wenda_recommend_textn" \t "_blank" </w:instrText>
      </w:r>
      <w:r>
        <w:rPr>
          <w:rFonts w:ascii="Times New Roman" w:hAnsi="Times New Roman" w:eastAsia="宋体" w:cs="Times New Roman"/>
          <w:sz w:val="24"/>
          <w:highlight w:val="none"/>
          <w:u w:val="single"/>
        </w:rPr>
        <w:fldChar w:fldCharType="separate"/>
      </w:r>
      <w:r>
        <w:rPr>
          <w:rFonts w:ascii="Times New Roman" w:hAnsi="Times New Roman" w:eastAsia="宋体" w:cs="Times New Roman"/>
          <w:sz w:val="24"/>
          <w:highlight w:val="none"/>
          <w:u w:val="single"/>
        </w:rPr>
        <w:t xml:space="preserve">降雪量</w:t>
      </w:r>
      <w:r>
        <w:rPr>
          <w:rFonts w:ascii="Times New Roman" w:hAnsi="Times New Roman" w:eastAsia="宋体" w:cs="Times New Roman"/>
          <w:sz w:val="24"/>
          <w:highlight w:val="none"/>
          <w:u w:val="single"/>
        </w:rPr>
        <w:fldChar w:fldCharType="end"/>
      </w:r>
      <w:r>
        <w:rPr>
          <w:rFonts w:ascii="Times New Roman" w:hAnsi="Times New Roman" w:eastAsia="宋体" w:cs="Times New Roman"/>
          <w:sz w:val="24"/>
          <w:highlight w:val="none"/>
          <w:u w:val="single"/>
        </w:rPr>
        <w:t xml:space="preserve">10mm及以上；(5)其它异常恶劣气候灾害。</w:t>
      </w:r>
      <w:r/>
    </w:p>
    <w:p>
      <w:pPr>
        <w:ind w:firstLine="480"/>
        <w:spacing w:line="312" w:lineRule="auto"/>
        <w:rPr>
          <w:rFonts w:ascii="Times New Roman" w:hAnsi="Times New Roman" w:eastAsia="宋体" w:cs="Times New Roman"/>
          <w:sz w:val="24"/>
          <w:highlight w:val="none"/>
        </w:rPr>
        <w:outlineLvl w:val="4"/>
      </w:pPr>
      <w:r/>
      <w:bookmarkStart w:id="218" w:name="_Toc11531"/>
      <w:r>
        <w:rPr>
          <w:rFonts w:ascii="Times New Roman" w:hAnsi="Times New Roman" w:eastAsia="宋体" w:cs="Times New Roman"/>
          <w:sz w:val="24"/>
          <w:highlight w:val="none"/>
        </w:rPr>
        <w:t xml:space="preserve">7.9 提前竣工的奖励</w:t>
      </w:r>
      <w:bookmarkEnd w:id="21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highlight w:val="none"/>
        </w:rPr>
        <w:outlineLvl w:val="3"/>
      </w:pPr>
      <w:r/>
      <w:bookmarkStart w:id="219" w:name="_Toc351203640"/>
      <w:r/>
      <w:bookmarkStart w:id="220" w:name="_Toc8982"/>
      <w:r>
        <w:rPr>
          <w:rFonts w:ascii="Times New Roman" w:hAnsi="Times New Roman" w:eastAsia="宋体" w:cs="Times New Roman"/>
          <w:sz w:val="24"/>
          <w:highlight w:val="none"/>
        </w:rPr>
        <w:t xml:space="preserve">8. 材料与设备</w:t>
      </w:r>
      <w:bookmarkEnd w:id="141"/>
      <w:r/>
      <w:bookmarkEnd w:id="142"/>
      <w:r/>
      <w:bookmarkEnd w:id="143"/>
      <w:r/>
      <w:bookmarkEnd w:id="144"/>
      <w:r/>
      <w:bookmarkEnd w:id="145"/>
      <w:r/>
      <w:bookmarkEnd w:id="146"/>
      <w:r/>
      <w:bookmarkEnd w:id="147"/>
      <w:r/>
      <w:bookmarkEnd w:id="148"/>
      <w:r/>
      <w:bookmarkEnd w:id="149"/>
      <w:r/>
      <w:bookmarkEnd w:id="150"/>
      <w:r/>
      <w:bookmarkEnd w:id="219"/>
      <w:r/>
      <w:bookmarkEnd w:id="220"/>
      <w:r/>
      <w:r/>
    </w:p>
    <w:p>
      <w:pPr>
        <w:ind w:firstLine="480"/>
        <w:spacing w:line="312" w:lineRule="auto"/>
        <w:rPr>
          <w:rFonts w:ascii="Times New Roman" w:hAnsi="Times New Roman" w:eastAsia="宋体" w:cs="Times New Roman"/>
          <w:sz w:val="24"/>
          <w:highlight w:val="none"/>
        </w:rPr>
        <w:outlineLvl w:val="4"/>
      </w:pPr>
      <w:r/>
      <w:bookmarkStart w:id="221" w:name="_Toc463"/>
      <w:r>
        <w:rPr>
          <w:rFonts w:ascii="Times New Roman" w:hAnsi="Times New Roman" w:eastAsia="宋体" w:cs="Times New Roman"/>
          <w:sz w:val="24"/>
          <w:highlight w:val="none"/>
        </w:rPr>
        <w:t xml:space="preserve">8</w:t>
      </w:r>
      <w:bookmarkStart w:id="222" w:name="_Toc304295556"/>
      <w:r/>
      <w:bookmarkStart w:id="223" w:name="_Toc296890995"/>
      <w:r/>
      <w:bookmarkStart w:id="224" w:name="_Toc312678019"/>
      <w:r/>
      <w:bookmarkStart w:id="225" w:name="_Toc297120467"/>
      <w:r/>
      <w:bookmarkStart w:id="226" w:name="_Toc312677493"/>
      <w:r/>
      <w:bookmarkStart w:id="227" w:name="_Toc296891207"/>
      <w:r/>
      <w:bookmarkStart w:id="228" w:name="_Toc303539136"/>
      <w:r/>
      <w:bookmarkStart w:id="229" w:name="_Toc297216186"/>
      <w:r/>
      <w:bookmarkStart w:id="230" w:name="_Toc296347166"/>
      <w:r/>
      <w:bookmarkStart w:id="231" w:name="_Toc300934979"/>
      <w:r/>
      <w:bookmarkStart w:id="232" w:name="_Toc280868654"/>
      <w:r/>
      <w:bookmarkStart w:id="233" w:name="_Toc296944506"/>
      <w:r/>
      <w:bookmarkStart w:id="234" w:name="_Toc292559372"/>
      <w:r/>
      <w:bookmarkStart w:id="235" w:name="_Toc296346668"/>
      <w:r/>
      <w:bookmarkStart w:id="236" w:name="_Toc297048353"/>
      <w:r/>
      <w:bookmarkStart w:id="237" w:name="_Toc297123527"/>
      <w:r/>
      <w:bookmarkStart w:id="238" w:name="_Toc296503167"/>
      <w:r/>
      <w:bookmarkStart w:id="239" w:name="_Toc292559877"/>
      <w:r/>
      <w:bookmarkStart w:id="240" w:name="_Toc280868655"/>
      <w:r/>
      <w:bookmarkStart w:id="241" w:name="_Toc267251424"/>
      <w:r/>
      <w:bookmarkStart w:id="242" w:name="_Toc280868656"/>
      <w:r>
        <w:rPr>
          <w:rFonts w:ascii="Times New Roman" w:hAnsi="Times New Roman" w:eastAsia="宋体" w:cs="Times New Roman"/>
          <w:sz w:val="24"/>
          <w:highlight w:val="none"/>
        </w:rPr>
        <w:t xml:space="preserve">.4材料与工程设备的保管与使用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w:t>
      </w:r>
      <w:bookmarkStart w:id="243" w:name="_Toc292559878"/>
      <w:r/>
      <w:bookmarkStart w:id="244" w:name="_Toc292559373"/>
      <w:r/>
      <w:bookmarkStart w:id="245" w:name="_Toc297120468"/>
      <w:r/>
      <w:bookmarkStart w:id="246" w:name="_Toc296891208"/>
      <w:r/>
      <w:bookmarkStart w:id="247" w:name="_Toc318581173"/>
      <w:r/>
      <w:bookmarkStart w:id="248" w:name="_Toc296346669"/>
      <w:r/>
      <w:bookmarkStart w:id="249" w:name="_Toc303539137"/>
      <w:r/>
      <w:bookmarkStart w:id="250" w:name="_Toc296944507"/>
      <w:r/>
      <w:bookmarkStart w:id="251" w:name="_Toc296347167"/>
      <w:r/>
      <w:bookmarkStart w:id="252" w:name="_Toc297216187"/>
      <w:r/>
      <w:bookmarkStart w:id="253" w:name="_Toc296503168"/>
      <w:r/>
      <w:bookmarkStart w:id="254" w:name="_Toc312678020"/>
      <w:r/>
      <w:bookmarkStart w:id="255" w:name="_Toc296890996"/>
      <w:r/>
      <w:bookmarkStart w:id="256" w:name="_Toc312677494"/>
      <w:r/>
      <w:bookmarkStart w:id="257" w:name="_Toc300934980"/>
      <w:r/>
      <w:bookmarkStart w:id="258" w:name="_Toc297123528"/>
      <w:r/>
      <w:bookmarkStart w:id="259" w:name="_Toc304295557"/>
      <w:r/>
      <w:bookmarkStart w:id="260" w:name="_Toc297048354"/>
      <w:r>
        <w:rPr>
          <w:rFonts w:ascii="Times New Roman" w:hAnsi="Times New Roman" w:eastAsia="宋体" w:cs="Times New Roman"/>
          <w:sz w:val="24"/>
          <w:highlight w:val="none"/>
        </w:rPr>
        <w:t xml:space="preserve">.4.1发包人供应的材料设备的保管费用的承担：</w:t>
      </w:r>
      <w:bookmarkEnd w:id="243"/>
      <w:r/>
      <w:bookmarkEnd w:id="244"/>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261" w:name="_Toc8841"/>
      <w:r>
        <w:rPr>
          <w:rFonts w:ascii="Times New Roman" w:hAnsi="Times New Roman" w:eastAsia="宋体" w:cs="Times New Roman"/>
          <w:sz w:val="24"/>
          <w:highlight w:val="none"/>
        </w:rPr>
        <w:t xml:space="preserve">8.6 样品</w:t>
      </w:r>
      <w:bookmarkEnd w:id="26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8.6.1样品的报送与封存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需要承包人报送样品的材料或工程设备，样品的种类、名称、规格、数量要求：</w:t>
      </w:r>
      <w:r>
        <w:rPr>
          <w:rFonts w:ascii="Times New Roman" w:hAnsi="Times New Roman" w:eastAsia="宋体" w:cs="Times New Roman"/>
          <w:sz w:val="24"/>
          <w:highlight w:val="none"/>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highlight w:val="none"/>
        </w:rPr>
        <w:outlineLvl w:val="4"/>
      </w:pPr>
      <w:r/>
      <w:bookmarkStart w:id="262" w:name="_Toc19292"/>
      <w:r>
        <w:rPr>
          <w:rFonts w:ascii="Times New Roman" w:hAnsi="Times New Roman" w:eastAsia="宋体" w:cs="Times New Roman"/>
          <w:sz w:val="24"/>
          <w:highlight w:val="none"/>
        </w:rPr>
        <w:t xml:space="preserve">8.8 施工设备和临时设施</w:t>
      </w:r>
      <w:bookmarkEnd w:id="26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8.8.1 承包人提供的施工设备和临时设施</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关于修建临时设施费用承担的约定：</w:t>
      </w:r>
      <w:r>
        <w:rPr>
          <w:rFonts w:ascii="Times New Roman" w:hAnsi="Times New Roman" w:eastAsia="宋体" w:cs="Times New Roman"/>
          <w:sz w:val="24"/>
          <w:highlight w:val="none"/>
          <w:u w:val="single"/>
        </w:rPr>
        <w:t xml:space="preserve">由承包人承担</w:t>
      </w:r>
      <w:r>
        <w:rPr>
          <w:rFonts w:ascii="Times New Roman" w:hAnsi="Times New Roman" w:eastAsia="宋体" w:cs="Times New Roman"/>
          <w:sz w:val="24"/>
          <w:highlight w:val="none"/>
        </w:rPr>
        <w:t xml:space="preserve">。</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spacing w:line="312" w:lineRule="auto"/>
        <w:rPr>
          <w:rFonts w:ascii="Times New Roman" w:hAnsi="Times New Roman" w:eastAsia="宋体" w:cs="Times New Roman"/>
          <w:sz w:val="24"/>
          <w:highlight w:val="none"/>
        </w:rPr>
        <w:outlineLvl w:val="3"/>
      </w:pPr>
      <w:r/>
      <w:bookmarkStart w:id="263" w:name="_Toc10958"/>
      <w:r/>
      <w:bookmarkStart w:id="264" w:name="_Toc351203641"/>
      <w:r>
        <w:rPr>
          <w:rFonts w:ascii="Times New Roman" w:hAnsi="Times New Roman" w:eastAsia="宋体" w:cs="Times New Roman"/>
          <w:sz w:val="24"/>
          <w:highlight w:val="none"/>
        </w:rPr>
        <w:t xml:space="preserve">9</w:t>
      </w:r>
      <w:bookmarkEnd w:id="240"/>
      <w:r/>
      <w:bookmarkEnd w:id="241"/>
      <w:r/>
      <w:bookmarkEnd w:id="242"/>
      <w:r/>
      <w:bookmarkStart w:id="265" w:name="_Toc304295559"/>
      <w:r/>
      <w:bookmarkStart w:id="266" w:name="_Toc297123533"/>
      <w:r/>
      <w:bookmarkStart w:id="267" w:name="_Toc312677495"/>
      <w:r/>
      <w:bookmarkStart w:id="268" w:name="_Toc300934982"/>
      <w:r/>
      <w:bookmarkStart w:id="269" w:name="_Toc297216192"/>
      <w:r/>
      <w:bookmarkStart w:id="270" w:name="_Toc312678021"/>
      <w:r/>
      <w:bookmarkStart w:id="271" w:name="_Toc303539139"/>
      <w:r/>
      <w:bookmarkStart w:id="272" w:name="_Toc292559883"/>
      <w:r/>
      <w:bookmarkStart w:id="273" w:name="_Toc296346674"/>
      <w:r/>
      <w:bookmarkStart w:id="274" w:name="_Toc297120473"/>
      <w:r/>
      <w:bookmarkStart w:id="275" w:name="_Toc296891001"/>
      <w:r/>
      <w:bookmarkStart w:id="276" w:name="_Toc267251427"/>
      <w:r/>
      <w:bookmarkStart w:id="277" w:name="_Toc292559378"/>
      <w:r/>
      <w:bookmarkStart w:id="278" w:name="_Toc267251428"/>
      <w:r/>
      <w:bookmarkStart w:id="279" w:name="_Toc296944512"/>
      <w:r/>
      <w:bookmarkStart w:id="280" w:name="_Toc296891213"/>
      <w:r/>
      <w:bookmarkStart w:id="281" w:name="_Toc296503173"/>
      <w:r/>
      <w:bookmarkStart w:id="282" w:name="_Toc296347172"/>
      <w:r/>
      <w:bookmarkStart w:id="283" w:name="_Toc297048359"/>
      <w:r>
        <w:rPr>
          <w:rFonts w:ascii="Times New Roman" w:hAnsi="Times New Roman" w:eastAsia="宋体" w:cs="Times New Roman"/>
          <w:sz w:val="24"/>
          <w:highlight w:val="none"/>
        </w:rPr>
        <w:t xml:space="preserve">. 试验与检验</w:t>
      </w:r>
      <w:bookmarkEnd w:id="263"/>
      <w:r/>
      <w:bookmarkEnd w:id="264"/>
      <w:r/>
      <w:bookmarkEnd w:id="265"/>
      <w:r/>
      <w:bookmarkEnd w:id="266"/>
      <w:r/>
      <w:bookmarkEnd w:id="267"/>
      <w:r/>
      <w:bookmarkEnd w:id="268"/>
      <w:r/>
      <w:bookmarkEnd w:id="269"/>
      <w:r/>
      <w:bookmarkEnd w:id="270"/>
      <w:r/>
      <w:bookmarkEnd w:id="271"/>
      <w:r/>
      <w:r/>
    </w:p>
    <w:p>
      <w:pPr>
        <w:ind w:firstLine="480"/>
        <w:spacing w:line="312" w:lineRule="auto"/>
        <w:rPr>
          <w:rFonts w:ascii="Times New Roman" w:hAnsi="Times New Roman" w:eastAsia="宋体" w:cs="Times New Roman"/>
          <w:sz w:val="24"/>
          <w:highlight w:val="none"/>
        </w:rPr>
        <w:outlineLvl w:val="4"/>
      </w:pPr>
      <w:r/>
      <w:bookmarkStart w:id="284" w:name="_Toc19944"/>
      <w:r>
        <w:rPr>
          <w:rFonts w:ascii="Times New Roman" w:hAnsi="Times New Roman" w:eastAsia="宋体" w:cs="Times New Roman"/>
          <w:sz w:val="24"/>
          <w:highlight w:val="none"/>
        </w:rPr>
        <w:t xml:space="preserve">9</w:t>
      </w:r>
      <w:bookmarkStart w:id="285" w:name="_Toc300934983"/>
      <w:r/>
      <w:bookmarkStart w:id="286" w:name="_Toc303539140"/>
      <w:r/>
      <w:bookmarkStart w:id="287" w:name="_Toc312678022"/>
      <w:r/>
      <w:bookmarkStart w:id="288" w:name="_Toc297216193"/>
      <w:r/>
      <w:bookmarkStart w:id="289" w:name="_Toc312677496"/>
      <w:r/>
      <w:bookmarkStart w:id="290" w:name="_Toc304295560"/>
      <w:r/>
      <w:bookmarkStart w:id="291" w:name="_Toc297123534"/>
      <w:r>
        <w:rPr>
          <w:rFonts w:ascii="Times New Roman" w:hAnsi="Times New Roman" w:eastAsia="宋体" w:cs="Times New Roman"/>
          <w:sz w:val="24"/>
          <w:highlight w:val="none"/>
        </w:rPr>
        <w:t xml:space="preserve">.1试验设备与试验人员</w:t>
      </w:r>
      <w:bookmarkEnd w:id="284"/>
      <w:r/>
      <w:bookmarkEnd w:id="285"/>
      <w:r/>
      <w:bookmarkEnd w:id="286"/>
      <w:r/>
      <w:bookmarkEnd w:id="287"/>
      <w:r/>
      <w:bookmarkEnd w:id="288"/>
      <w:r/>
      <w:bookmarkEnd w:id="289"/>
      <w:r/>
      <w:bookmarkEnd w:id="290"/>
      <w:r/>
      <w:bookmarkEnd w:id="2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9</w:t>
      </w:r>
      <w:bookmarkStart w:id="292" w:name="_Toc312677497"/>
      <w:r/>
      <w:bookmarkStart w:id="293" w:name="_Toc300934984"/>
      <w:r/>
      <w:bookmarkStart w:id="294" w:name="_Toc304295561"/>
      <w:r/>
      <w:bookmarkStart w:id="295" w:name="_Toc297123535"/>
      <w:r/>
      <w:bookmarkStart w:id="296" w:name="_Toc297216194"/>
      <w:r/>
      <w:bookmarkStart w:id="297" w:name="_Toc303539141"/>
      <w:r/>
      <w:bookmarkStart w:id="298" w:name="_Toc312678023"/>
      <w:r/>
      <w:bookmarkStart w:id="299" w:name="_Toc318581174"/>
      <w:r>
        <w:rPr>
          <w:rFonts w:ascii="Times New Roman" w:hAnsi="Times New Roman" w:eastAsia="宋体" w:cs="Times New Roman"/>
          <w:sz w:val="24"/>
          <w:highlight w:val="none"/>
        </w:rPr>
        <w:t xml:space="preserve">.1.2 试验设备</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施工现场需要配置的试验场所：</w:t>
      </w:r>
      <w:bookmarkEnd w:id="292"/>
      <w:r/>
      <w:bookmarkEnd w:id="293"/>
      <w:r/>
      <w:bookmarkEnd w:id="294"/>
      <w:r/>
      <w:bookmarkEnd w:id="295"/>
      <w:r/>
      <w:bookmarkEnd w:id="296"/>
      <w:r/>
      <w:bookmarkEnd w:id="297"/>
      <w:r/>
      <w:bookmarkEnd w:id="298"/>
      <w:r/>
      <w:bookmarkStart w:id="300" w:name="_Toc312677498"/>
      <w:r/>
      <w:bookmarkStart w:id="301" w:name="_Toc300934985"/>
      <w:r/>
      <w:bookmarkStart w:id="302" w:name="_Toc297216195"/>
      <w:r/>
      <w:bookmarkStart w:id="303" w:name="_Toc312678024"/>
      <w:r/>
      <w:bookmarkStart w:id="304" w:name="_Toc304295562"/>
      <w:r/>
      <w:bookmarkStart w:id="305" w:name="_Toc297123536"/>
      <w:r/>
      <w:bookmarkStart w:id="306" w:name="_Toc303539142"/>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施工现场需要配备的试验设备：</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施工现场需要具备的其他试验条件：</w:t>
      </w:r>
      <w:r>
        <w:rPr>
          <w:rFonts w:ascii="Times New Roman" w:hAnsi="Times New Roman" w:eastAsia="宋体" w:cs="Times New Roman"/>
          <w:sz w:val="24"/>
          <w:highlight w:val="none"/>
          <w:u w:val="single"/>
        </w:rPr>
        <w:t xml:space="preserve">满足自检、复检及通用条款要求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07" w:name="_Toc29365"/>
      <w:r>
        <w:rPr>
          <w:rFonts w:ascii="Times New Roman" w:hAnsi="Times New Roman" w:eastAsia="宋体" w:cs="Times New Roman"/>
          <w:sz w:val="24"/>
          <w:highlight w:val="none"/>
        </w:rPr>
        <w:t xml:space="preserve">9.4 现场工艺试验</w:t>
      </w:r>
      <w:bookmarkEnd w:id="307"/>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现场工艺试验的有关约定：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299"/>
      <w:r/>
      <w:bookmarkEnd w:id="300"/>
      <w:r/>
      <w:bookmarkEnd w:id="301"/>
      <w:r/>
      <w:bookmarkEnd w:id="302"/>
      <w:r/>
      <w:bookmarkEnd w:id="303"/>
      <w:r/>
      <w:bookmarkEnd w:id="304"/>
      <w:r/>
      <w:bookmarkEnd w:id="305"/>
      <w:r/>
      <w:bookmarkEnd w:id="306"/>
      <w:r/>
      <w:r/>
    </w:p>
    <w:p>
      <w:pPr>
        <w:ind w:firstLine="480"/>
        <w:spacing w:line="312" w:lineRule="auto"/>
        <w:rPr>
          <w:rFonts w:ascii="Times New Roman" w:hAnsi="Times New Roman" w:eastAsia="宋体" w:cs="Times New Roman"/>
          <w:sz w:val="24"/>
          <w:highlight w:val="none"/>
        </w:rPr>
        <w:outlineLvl w:val="3"/>
      </w:pPr>
      <w:r/>
      <w:bookmarkStart w:id="308" w:name="_Toc8881"/>
      <w:r/>
      <w:bookmarkStart w:id="309" w:name="_Toc351203642"/>
      <w:r>
        <w:rPr>
          <w:rFonts w:ascii="Times New Roman" w:hAnsi="Times New Roman" w:eastAsia="宋体" w:cs="Times New Roman"/>
          <w:sz w:val="24"/>
          <w:highlight w:val="none"/>
        </w:rPr>
        <w:t xml:space="preserve">1</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Start w:id="310" w:name="_Toc297216199"/>
      <w:r/>
      <w:bookmarkStart w:id="311" w:name="_Toc292559398"/>
      <w:r/>
      <w:bookmarkStart w:id="312" w:name="_Toc296891233"/>
      <w:r/>
      <w:bookmarkStart w:id="313" w:name="_Toc292559903"/>
      <w:r/>
      <w:bookmarkStart w:id="314" w:name="_Toc297048379"/>
      <w:r/>
      <w:bookmarkStart w:id="315" w:name="_Toc304295566"/>
      <w:r/>
      <w:bookmarkStart w:id="316" w:name="_Toc303539146"/>
      <w:r/>
      <w:bookmarkStart w:id="317" w:name="_Toc296891021"/>
      <w:r/>
      <w:bookmarkStart w:id="318" w:name="_Toc297120493"/>
      <w:r/>
      <w:bookmarkStart w:id="319" w:name="_Toc296346694"/>
      <w:r/>
      <w:bookmarkStart w:id="320" w:name="_Toc296503193"/>
      <w:r/>
      <w:bookmarkStart w:id="321" w:name="_Toc300934989"/>
      <w:r/>
      <w:bookmarkStart w:id="322" w:name="_Toc296944532"/>
      <w:r/>
      <w:bookmarkStart w:id="323" w:name="_Toc297123540"/>
      <w:r/>
      <w:bookmarkStart w:id="324" w:name="_Toc312678025"/>
      <w:r/>
      <w:bookmarkStart w:id="325" w:name="_Toc296347192"/>
      <w:r/>
      <w:bookmarkStart w:id="326" w:name="_Toc312677499"/>
      <w:r/>
      <w:bookmarkStart w:id="327" w:name="_Toc267251437"/>
      <w:r/>
      <w:bookmarkStart w:id="328" w:name="_Toc267251440"/>
      <w:r/>
      <w:bookmarkStart w:id="329" w:name="_Toc267251439"/>
      <w:r/>
      <w:bookmarkStart w:id="330" w:name="_Toc267251433"/>
      <w:r/>
      <w:bookmarkStart w:id="331" w:name="_Toc267251441"/>
      <w:r/>
      <w:bookmarkStart w:id="332" w:name="_Toc267251435"/>
      <w:r/>
      <w:bookmarkStart w:id="333" w:name="_Toc267251442"/>
      <w:r>
        <w:rPr>
          <w:rFonts w:ascii="Times New Roman" w:hAnsi="Times New Roman" w:eastAsia="宋体" w:cs="Times New Roman"/>
          <w:sz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ind w:firstLine="480"/>
        <w:spacing w:line="312" w:lineRule="auto"/>
        <w:rPr>
          <w:rFonts w:ascii="Times New Roman" w:hAnsi="Times New Roman" w:eastAsia="宋体" w:cs="Times New Roman"/>
          <w:sz w:val="24"/>
          <w:highlight w:val="none"/>
        </w:rPr>
        <w:outlineLvl w:val="4"/>
      </w:pPr>
      <w:r/>
      <w:bookmarkStart w:id="334" w:name="_Toc7563"/>
      <w:r>
        <w:rPr>
          <w:rFonts w:ascii="Times New Roman" w:hAnsi="Times New Roman" w:eastAsia="宋体" w:cs="Times New Roman"/>
          <w:sz w:val="24"/>
          <w:highlight w:val="none"/>
        </w:rPr>
        <w:t xml:space="preserve">1</w:t>
      </w:r>
      <w:bookmarkStart w:id="335" w:name="_Toc296891234"/>
      <w:r/>
      <w:bookmarkStart w:id="336" w:name="_Toc312678026"/>
      <w:r/>
      <w:bookmarkStart w:id="337" w:name="_Toc296944533"/>
      <w:r/>
      <w:bookmarkStart w:id="338" w:name="_Toc296891022"/>
      <w:r/>
      <w:bookmarkStart w:id="339" w:name="_Toc303539147"/>
      <w:r/>
      <w:bookmarkStart w:id="340" w:name="_Toc296347193"/>
      <w:r/>
      <w:bookmarkStart w:id="341" w:name="_Toc304295567"/>
      <w:r/>
      <w:bookmarkStart w:id="342" w:name="_Toc292559399"/>
      <w:r/>
      <w:bookmarkStart w:id="343" w:name="_Toc297120494"/>
      <w:r/>
      <w:bookmarkStart w:id="344" w:name="_Toc297048380"/>
      <w:r/>
      <w:bookmarkStart w:id="345" w:name="_Toc312677500"/>
      <w:r/>
      <w:bookmarkStart w:id="346" w:name="_Toc297216200"/>
      <w:r/>
      <w:bookmarkStart w:id="347" w:name="_Toc297123541"/>
      <w:r/>
      <w:bookmarkStart w:id="348" w:name="_Toc292559904"/>
      <w:r/>
      <w:bookmarkStart w:id="349" w:name="_Toc300934990"/>
      <w:r/>
      <w:bookmarkStart w:id="350" w:name="_Toc296346695"/>
      <w:r/>
      <w:bookmarkStart w:id="351" w:name="_Toc296503194"/>
      <w:r>
        <w:rPr>
          <w:rFonts w:ascii="Times New Roman" w:hAnsi="Times New Roman" w:eastAsia="宋体" w:cs="Times New Roman"/>
          <w:sz w:val="24"/>
          <w:highlight w:val="none"/>
        </w:rPr>
        <w:t xml:space="preserve">0.1变更的范围</w:t>
      </w:r>
      <w:bookmarkEnd w:id="33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关于变更的范围的约定：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352" w:name="_Toc6851"/>
      <w:r>
        <w:rPr>
          <w:rFonts w:ascii="Times New Roman" w:hAnsi="Times New Roman" w:eastAsia="宋体" w:cs="Times New Roman"/>
          <w:sz w:val="24"/>
          <w:highlight w:val="none"/>
        </w:rPr>
        <w:t xml:space="preserve">10.4 变更估价</w:t>
      </w:r>
      <w:bookmarkEnd w:id="352"/>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10.4.1 变更估价原则</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关于变更估价的约定: </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规定编制。</w:t>
      </w:r>
      <w:r/>
    </w:p>
    <w:p>
      <w:pPr>
        <w:ind w:firstLine="480"/>
        <w:spacing w:line="312" w:lineRule="auto"/>
        <w:rPr>
          <w:rFonts w:ascii="Times New Roman" w:hAnsi="Times New Roman" w:eastAsia="宋体" w:cs="Times New Roman"/>
          <w:sz w:val="24"/>
          <w:highlight w:val="none"/>
        </w:rPr>
        <w:outlineLvl w:val="4"/>
      </w:pPr>
      <w:r/>
      <w:bookmarkStart w:id="353" w:name="_Toc28471"/>
      <w:r>
        <w:rPr>
          <w:rFonts w:ascii="Times New Roman" w:hAnsi="Times New Roman" w:eastAsia="宋体" w:cs="Times New Roman"/>
          <w:sz w:val="24"/>
          <w:highlight w:val="none"/>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4" w:name="_Toc296347196"/>
      <w:r/>
      <w:bookmarkStart w:id="355" w:name="_Toc292559402"/>
      <w:r/>
      <w:bookmarkStart w:id="356" w:name="_Toc303539150"/>
      <w:r/>
      <w:bookmarkStart w:id="357" w:name="_Toc297216203"/>
      <w:r/>
      <w:bookmarkStart w:id="358" w:name="_Toc292559907"/>
      <w:r/>
      <w:bookmarkStart w:id="359" w:name="_Toc297123544"/>
      <w:r/>
      <w:bookmarkStart w:id="360" w:name="_Toc296944536"/>
      <w:r/>
      <w:bookmarkStart w:id="361" w:name="_Toc300934993"/>
      <w:r/>
      <w:bookmarkStart w:id="362" w:name="_Toc296346698"/>
      <w:r/>
      <w:bookmarkStart w:id="363" w:name="_Toc297120497"/>
      <w:r/>
      <w:bookmarkStart w:id="364" w:name="_Toc296891025"/>
      <w:r/>
      <w:bookmarkStart w:id="365" w:name="_Toc296891237"/>
      <w:r/>
      <w:bookmarkStart w:id="366" w:name="_Toc296503197"/>
      <w:r/>
      <w:bookmarkStart w:id="367" w:name="_Toc297048383"/>
      <w:r/>
      <w:bookmarkStart w:id="368" w:name="_Toc304295570"/>
      <w:r/>
      <w:bookmarkStart w:id="369" w:name="_Toc312678029"/>
      <w:r/>
      <w:bookmarkStart w:id="370" w:name="_Toc312677503"/>
      <w:r>
        <w:rPr>
          <w:rFonts w:ascii="Times New Roman" w:hAnsi="Times New Roman" w:eastAsia="宋体" w:cs="Times New Roman"/>
          <w:sz w:val="24"/>
          <w:highlight w:val="none"/>
        </w:rPr>
        <w:t xml:space="preserve">0.5承</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71" w:name="_Toc297120503"/>
      <w:r/>
      <w:bookmarkStart w:id="372" w:name="_Toc292559913"/>
      <w:r/>
      <w:bookmarkStart w:id="373" w:name="_Toc292559408"/>
      <w:r/>
      <w:bookmarkStart w:id="374" w:name="_Toc296891031"/>
      <w:r/>
      <w:bookmarkStart w:id="375" w:name="_Toc296891243"/>
      <w:r/>
      <w:bookmarkStart w:id="376" w:name="_Toc303539151"/>
      <w:r/>
      <w:bookmarkStart w:id="377" w:name="_Toc297123545"/>
      <w:r/>
      <w:bookmarkStart w:id="378" w:name="_Toc297048389"/>
      <w:r/>
      <w:bookmarkStart w:id="379" w:name="_Toc296347202"/>
      <w:r/>
      <w:bookmarkStart w:id="380" w:name="_Toc296503203"/>
      <w:r/>
      <w:bookmarkStart w:id="381" w:name="_Toc296944542"/>
      <w:r/>
      <w:bookmarkStart w:id="382" w:name="_Toc297216204"/>
      <w:r/>
      <w:bookmarkStart w:id="383" w:name="_Toc296346704"/>
      <w:r/>
      <w:bookmarkStart w:id="384" w:name="_Toc300934994"/>
      <w:r>
        <w:rPr>
          <w:rFonts w:ascii="Times New Roman" w:hAnsi="Times New Roman" w:eastAsia="宋体" w:cs="Times New Roman"/>
          <w:sz w:val="24"/>
          <w:highlight w:val="none"/>
        </w:rPr>
        <w:t xml:space="preserve">包人的合理化建议</w:t>
      </w:r>
      <w:bookmarkEnd w:id="353"/>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监理人审查承包人合理化建议的期限：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发包人审批承包人合理化建议的期限：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w:t>
      </w:r>
      <w:bookmarkStart w:id="385" w:name="_Toc300934995"/>
      <w:r/>
      <w:bookmarkStart w:id="386" w:name="_Toc297216205"/>
      <w:r/>
      <w:bookmarkStart w:id="387" w:name="_Toc296503204"/>
      <w:r/>
      <w:bookmarkStart w:id="388" w:name="_Toc296346705"/>
      <w:r/>
      <w:bookmarkStart w:id="389" w:name="_Toc296891244"/>
      <w:r/>
      <w:bookmarkStart w:id="390" w:name="_Toc296347203"/>
      <w:r/>
      <w:bookmarkStart w:id="391" w:name="_Toc318581175"/>
      <w:r/>
      <w:bookmarkStart w:id="392" w:name="_Toc312678030"/>
      <w:r/>
      <w:bookmarkStart w:id="393" w:name="_Toc296944543"/>
      <w:r/>
      <w:bookmarkStart w:id="394" w:name="_Toc297123546"/>
      <w:r/>
      <w:bookmarkStart w:id="395" w:name="_Toc297048390"/>
      <w:r/>
      <w:bookmarkStart w:id="396" w:name="_Toc312677504"/>
      <w:r/>
      <w:bookmarkStart w:id="397" w:name="_Toc292559409"/>
      <w:r/>
      <w:bookmarkStart w:id="398" w:name="_Toc297120504"/>
      <w:r/>
      <w:bookmarkStart w:id="399" w:name="_Toc292559914"/>
      <w:r/>
      <w:bookmarkStart w:id="400" w:name="_Toc296891032"/>
      <w:r/>
      <w:bookmarkStart w:id="401" w:name="_Toc304295571"/>
      <w:r/>
      <w:bookmarkStart w:id="402" w:name="_Toc303539152"/>
      <w:r>
        <w:rPr>
          <w:rFonts w:ascii="Times New Roman" w:hAnsi="Times New Roman" w:eastAsia="宋体" w:cs="Times New Roman"/>
          <w:sz w:val="24"/>
          <w:highlight w:val="none"/>
        </w:rPr>
        <w:t xml:space="preserve">包人提出的合理化建议降低了合同价格或者提高了工程经济效益的奖励的方法和金额为：</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firstLine="480"/>
        <w:spacing w:line="312" w:lineRule="auto"/>
        <w:rPr>
          <w:rFonts w:ascii="Times New Roman" w:hAnsi="Times New Roman" w:eastAsia="宋体" w:cs="Times New Roman"/>
          <w:sz w:val="24"/>
          <w:highlight w:val="none"/>
        </w:rPr>
        <w:outlineLvl w:val="4"/>
      </w:pPr>
      <w:r/>
      <w:bookmarkStart w:id="403" w:name="_Toc3383"/>
      <w:r>
        <w:rPr>
          <w:rFonts w:ascii="Times New Roman" w:hAnsi="Times New Roman" w:eastAsia="宋体" w:cs="Times New Roman"/>
          <w:sz w:val="24"/>
          <w:highlight w:val="none"/>
        </w:rPr>
        <w:t xml:space="preserve">1</w:t>
      </w:r>
      <w:bookmarkStart w:id="404" w:name="_Toc297120499"/>
      <w:r/>
      <w:bookmarkStart w:id="405" w:name="_Toc296503199"/>
      <w:r/>
      <w:bookmarkStart w:id="406" w:name="_Toc297216207"/>
      <w:r/>
      <w:bookmarkStart w:id="407" w:name="_Toc304295574"/>
      <w:r/>
      <w:bookmarkStart w:id="408" w:name="_Toc296891027"/>
      <w:r/>
      <w:bookmarkStart w:id="409" w:name="_Toc296347198"/>
      <w:r/>
      <w:bookmarkStart w:id="410" w:name="_Toc296891239"/>
      <w:r/>
      <w:bookmarkStart w:id="411" w:name="_Toc297123548"/>
      <w:r/>
      <w:bookmarkStart w:id="412" w:name="_Toc312678033"/>
      <w:r/>
      <w:bookmarkStart w:id="413" w:name="_Toc296944538"/>
      <w:r/>
      <w:bookmarkStart w:id="414" w:name="_Toc312677507"/>
      <w:r/>
      <w:bookmarkStart w:id="415" w:name="_Toc296346700"/>
      <w:r/>
      <w:bookmarkStart w:id="416" w:name="_Toc292559909"/>
      <w:r/>
      <w:bookmarkStart w:id="417" w:name="_Toc303539154"/>
      <w:r/>
      <w:bookmarkStart w:id="418" w:name="_Toc300934997"/>
      <w:r/>
      <w:bookmarkStart w:id="419" w:name="_Toc297048385"/>
      <w:r/>
      <w:bookmarkStart w:id="420" w:name="_Toc292559404"/>
      <w:r>
        <w:rPr>
          <w:rFonts w:ascii="Times New Roman" w:hAnsi="Times New Roman" w:eastAsia="宋体" w:cs="Times New Roman"/>
          <w:sz w:val="24"/>
          <w:highlight w:val="none"/>
        </w:rPr>
        <w:t xml:space="preserve">0.7 暂估价</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暂</w:t>
      </w:r>
      <w:bookmarkStart w:id="421" w:name="_Toc312678034"/>
      <w:r/>
      <w:bookmarkStart w:id="422" w:name="_Toc318581176"/>
      <w:r/>
      <w:bookmarkStart w:id="423" w:name="_Toc312677508"/>
      <w:r>
        <w:rPr>
          <w:rFonts w:ascii="Times New Roman" w:hAnsi="Times New Roman" w:eastAsia="宋体" w:cs="Times New Roman"/>
          <w:sz w:val="24"/>
          <w:highlight w:val="none"/>
        </w:rPr>
        <w:t xml:space="preserve">估价材料和工程设备的明细详见附件11：</w:t>
      </w:r>
      <w:r>
        <w:rPr>
          <w:rFonts w:ascii="Times New Roman" w:hAnsi="Times New Roman" w:eastAsia="宋体" w:cs="Times New Roman"/>
          <w:sz w:val="24"/>
          <w:highlight w:val="none"/>
          <w:u w:val="single"/>
        </w:rPr>
        <w:t xml:space="preserve">《暂估价一览表》</w:t>
      </w:r>
      <w:r>
        <w:rPr>
          <w:rFonts w:ascii="Times New Roman" w:hAnsi="Times New Roman" w:eastAsia="宋体" w:cs="Times New Roman"/>
          <w:sz w:val="24"/>
          <w:highlight w:val="none"/>
        </w:rPr>
        <w:t xml:space="preserve">。</w:t>
      </w:r>
      <w:bookmarkEnd w:id="421"/>
      <w:r/>
      <w:bookmarkEnd w:id="422"/>
      <w:r/>
      <w:bookmarkEnd w:id="42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Start w:id="424" w:name="_Toc318581177"/>
      <w:r/>
      <w:bookmarkStart w:id="425" w:name="_Toc312678035"/>
      <w:r/>
      <w:bookmarkStart w:id="426" w:name="_Toc312677509"/>
      <w:r>
        <w:rPr>
          <w:rFonts w:ascii="Times New Roman" w:hAnsi="Times New Roman" w:eastAsia="宋体" w:cs="Times New Roman"/>
          <w:sz w:val="24"/>
          <w:highlight w:val="none"/>
        </w:rPr>
        <w:t xml:space="preserve">0.7.1 依法必须招标的暂估价项目</w:t>
      </w:r>
      <w:bookmarkEnd w:id="424"/>
      <w:r/>
      <w:bookmarkEnd w:id="425"/>
      <w:r/>
      <w:bookmarkEnd w:id="4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种方式确定。</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10.7.2 不属于依法必须招标的暂估价项目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对于不属于依法必须招标的暂估价项目的确认和批准采取第</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种方式确定。</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第3种方式：承包人直接实施的暂估价项目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承包人直接实施的暂估价项目的约定：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427" w:name="_Toc8724"/>
      <w:r>
        <w:rPr>
          <w:rFonts w:ascii="Times New Roman" w:hAnsi="Times New Roman" w:eastAsia="宋体" w:cs="Times New Roman"/>
          <w:sz w:val="24"/>
          <w:highlight w:val="none"/>
        </w:rPr>
        <w:t xml:space="preserve">10.8 暂列金额</w:t>
      </w:r>
      <w:bookmarkEnd w:id="42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合同当事人关于暂列金额使用的约定：</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28" w:name="_Toc5140"/>
      <w:r>
        <w:rPr>
          <w:rFonts w:ascii="Times New Roman" w:hAnsi="Times New Roman" w:eastAsia="宋体" w:cs="Times New Roman"/>
          <w:sz w:val="24"/>
          <w:highlight w:val="none"/>
        </w:rPr>
        <w:t xml:space="preserve">11. 价格调整</w:t>
      </w:r>
      <w:bookmarkEnd w:id="428"/>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429" w:name="_Toc29886"/>
      <w:r>
        <w:rPr>
          <w:rFonts w:ascii="Times New Roman" w:hAnsi="Times New Roman" w:eastAsia="宋体" w:cs="Times New Roman"/>
          <w:sz w:val="24"/>
          <w:highlight w:val="none"/>
        </w:rPr>
        <w:t xml:space="preserve">11.1 市场价格波动引起的调整</w:t>
      </w:r>
      <w:bookmarkEnd w:id="429"/>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市场价格波动是否调整合同价格的约定：</w:t>
      </w:r>
      <w:r>
        <w:rPr>
          <w:rFonts w:ascii="Times New Roman" w:hAnsi="Times New Roman" w:eastAsia="宋体" w:cs="Times New Roman"/>
          <w:sz w:val="24"/>
          <w:highlight w:val="none"/>
          <w:u w:val="single"/>
        </w:rPr>
        <w:t xml:space="preserve">不调整</w:t>
      </w:r>
      <w:r>
        <w:rPr>
          <w:rFonts w:ascii="Times New Roman" w:hAnsi="Times New Roman" w:eastAsia="宋体" w:cs="Times New Roman"/>
          <w:sz w:val="24"/>
          <w:highlight w:val="none"/>
        </w:rPr>
        <w:t xml:space="preserve"> 。 </w:t>
      </w:r>
      <w:bookmarkEnd w:id="327"/>
      <w:r/>
      <w:bookmarkEnd w:id="328"/>
      <w:r/>
      <w:bookmarkEnd w:id="329"/>
      <w:r/>
      <w:bookmarkEnd w:id="330"/>
      <w:r/>
      <w:bookmarkEnd w:id="331"/>
      <w:r/>
      <w:bookmarkEnd w:id="332"/>
      <w:r/>
      <w:r/>
    </w:p>
    <w:p>
      <w:pPr>
        <w:ind w:firstLine="480"/>
        <w:spacing w:line="312" w:lineRule="auto"/>
        <w:rPr>
          <w:rFonts w:ascii="Times New Roman" w:hAnsi="Times New Roman" w:eastAsia="宋体" w:cs="Times New Roman"/>
          <w:sz w:val="24"/>
          <w:highlight w:val="none"/>
        </w:rPr>
        <w:outlineLvl w:val="3"/>
      </w:pPr>
      <w:r/>
      <w:bookmarkStart w:id="430" w:name="_Toc296346706"/>
      <w:r/>
      <w:bookmarkStart w:id="431" w:name="_Toc296503205"/>
      <w:r/>
      <w:bookmarkStart w:id="432" w:name="_Toc296891033"/>
      <w:r/>
      <w:bookmarkStart w:id="433" w:name="_Toc296347204"/>
      <w:r/>
      <w:bookmarkStart w:id="434" w:name="_Toc296891245"/>
      <w:r/>
      <w:bookmarkStart w:id="435" w:name="_Toc292559915"/>
      <w:r/>
      <w:bookmarkStart w:id="436" w:name="_Toc292559410"/>
      <w:r/>
      <w:bookmarkStart w:id="437" w:name="_Toc297048391"/>
      <w:r/>
      <w:bookmarkStart w:id="438" w:name="_Toc296944544"/>
      <w:r/>
      <w:bookmarkStart w:id="439" w:name="_Toc297120505"/>
      <w:r/>
      <w:bookmarkStart w:id="440" w:name="_Toc312678040"/>
      <w:r/>
      <w:bookmarkStart w:id="441" w:name="_Toc297123552"/>
      <w:r/>
      <w:bookmarkStart w:id="442" w:name="_Toc300935002"/>
      <w:r/>
      <w:bookmarkStart w:id="443" w:name="_Toc303539159"/>
      <w:r/>
      <w:bookmarkStart w:id="444" w:name="_Toc5490"/>
      <w:r/>
      <w:bookmarkStart w:id="445" w:name="_Toc304295579"/>
      <w:r/>
      <w:bookmarkStart w:id="446" w:name="_Toc297216211"/>
      <w:r/>
      <w:bookmarkStart w:id="447" w:name="_Toc351203644"/>
      <w:r>
        <w:rPr>
          <w:rFonts w:ascii="Times New Roman" w:hAnsi="Times New Roman" w:eastAsia="宋体" w:cs="Times New Roman"/>
          <w:sz w:val="24"/>
          <w:highlight w:val="none"/>
        </w:rPr>
        <w:t xml:space="preserve">12. </w:t>
      </w:r>
      <w:bookmarkEnd w:id="430"/>
      <w:r/>
      <w:bookmarkEnd w:id="431"/>
      <w:r/>
      <w:bookmarkEnd w:id="432"/>
      <w:r/>
      <w:bookmarkEnd w:id="433"/>
      <w:r/>
      <w:bookmarkEnd w:id="434"/>
      <w:r/>
      <w:bookmarkEnd w:id="435"/>
      <w:r/>
      <w:bookmarkEnd w:id="436"/>
      <w:r/>
      <w:bookmarkEnd w:id="437"/>
      <w:r/>
      <w:bookmarkEnd w:id="438"/>
      <w:r/>
      <w:bookmarkEnd w:id="439"/>
      <w:r>
        <w:rPr>
          <w:rFonts w:ascii="Times New Roman" w:hAnsi="Times New Roman" w:eastAsia="宋体" w:cs="Times New Roman"/>
          <w:sz w:val="24"/>
          <w:highlight w:val="none"/>
        </w:rPr>
        <w:t xml:space="preserve">合同价格、计量与支付</w:t>
      </w:r>
      <w:bookmarkEnd w:id="440"/>
      <w:r/>
      <w:bookmarkEnd w:id="441"/>
      <w:r/>
      <w:bookmarkEnd w:id="442"/>
      <w:r/>
      <w:bookmarkEnd w:id="443"/>
      <w:r/>
      <w:bookmarkEnd w:id="444"/>
      <w:r/>
      <w:bookmarkEnd w:id="445"/>
      <w:r/>
      <w:bookmarkEnd w:id="446"/>
      <w:r/>
      <w:bookmarkEnd w:id="447"/>
      <w:r/>
      <w:r/>
    </w:p>
    <w:p>
      <w:pPr>
        <w:ind w:firstLine="480"/>
        <w:spacing w:line="312" w:lineRule="auto"/>
        <w:rPr>
          <w:rFonts w:ascii="Times New Roman" w:hAnsi="Times New Roman" w:eastAsia="宋体" w:cs="Times New Roman"/>
          <w:sz w:val="24"/>
          <w:highlight w:val="none"/>
        </w:rPr>
        <w:outlineLvl w:val="4"/>
      </w:pPr>
      <w:r/>
      <w:bookmarkStart w:id="448" w:name="_Toc267251461"/>
      <w:r/>
      <w:bookmarkStart w:id="449" w:name="_Toc292559411"/>
      <w:r/>
      <w:bookmarkStart w:id="450" w:name="_Toc292559916"/>
      <w:r/>
      <w:bookmarkStart w:id="451" w:name="_Toc296503206"/>
      <w:r/>
      <w:bookmarkStart w:id="452" w:name="_Toc297048392"/>
      <w:r/>
      <w:bookmarkStart w:id="453" w:name="_Toc296944545"/>
      <w:r/>
      <w:bookmarkStart w:id="454" w:name="_Toc296347205"/>
      <w:r/>
      <w:bookmarkStart w:id="455" w:name="_Toc297120506"/>
      <w:r/>
      <w:bookmarkStart w:id="456" w:name="_Toc296891246"/>
      <w:r/>
      <w:bookmarkStart w:id="457" w:name="_Toc296346707"/>
      <w:r/>
      <w:bookmarkStart w:id="458" w:name="_Toc296891034"/>
      <w:r/>
      <w:bookmarkStart w:id="459" w:name="_Toc30512"/>
      <w:r/>
      <w:bookmarkStart w:id="460" w:name="_Toc297123553"/>
      <w:r/>
      <w:bookmarkStart w:id="461" w:name="_Toc300935003"/>
      <w:r/>
      <w:bookmarkStart w:id="462" w:name="_Toc304295580"/>
      <w:r/>
      <w:bookmarkStart w:id="463" w:name="_Toc297216212"/>
      <w:r/>
      <w:bookmarkStart w:id="464" w:name="_Toc303539160"/>
      <w:r/>
      <w:bookmarkStart w:id="465" w:name="_Toc312678041"/>
      <w:r>
        <w:rPr>
          <w:rFonts w:ascii="Times New Roman" w:hAnsi="Times New Roman" w:eastAsia="宋体" w:cs="Times New Roman"/>
          <w:sz w:val="24"/>
          <w:highlight w:val="none"/>
        </w:rPr>
        <w:t xml:space="preserve">12.1 合</w:t>
      </w:r>
      <w:bookmarkEnd w:id="448"/>
      <w:r/>
      <w:bookmarkEnd w:id="449"/>
      <w:r/>
      <w:bookmarkEnd w:id="450"/>
      <w:r>
        <w:rPr>
          <w:rFonts w:ascii="Times New Roman" w:hAnsi="Times New Roman" w:eastAsia="宋体" w:cs="Times New Roman"/>
          <w:sz w:val="24"/>
          <w:highlight w:val="none"/>
        </w:rPr>
        <w:t xml:space="preserve">同价</w:t>
      </w:r>
      <w:bookmarkEnd w:id="451"/>
      <w:r/>
      <w:bookmarkEnd w:id="452"/>
      <w:r/>
      <w:bookmarkEnd w:id="453"/>
      <w:r/>
      <w:bookmarkEnd w:id="454"/>
      <w:r/>
      <w:bookmarkEnd w:id="455"/>
      <w:r/>
      <w:bookmarkEnd w:id="456"/>
      <w:r/>
      <w:bookmarkEnd w:id="457"/>
      <w:r/>
      <w:bookmarkEnd w:id="458"/>
      <w:r>
        <w:rPr>
          <w:rFonts w:ascii="Times New Roman" w:hAnsi="Times New Roman" w:eastAsia="宋体" w:cs="Times New Roman"/>
          <w:sz w:val="24"/>
          <w:highlight w:val="none"/>
        </w:rPr>
        <w:t xml:space="preserve">格形式</w:t>
      </w:r>
      <w:bookmarkEnd w:id="459"/>
      <w:r>
        <w:rPr>
          <w:rFonts w:ascii="Times New Roman" w:hAnsi="Times New Roman" w:eastAsia="宋体" w:cs="Times New Roman"/>
          <w:sz w:val="24"/>
          <w:highlight w:val="none"/>
        </w:rPr>
        <w:t xml:space="preserve"> </w:t>
      </w:r>
      <w:bookmarkEnd w:id="460"/>
      <w:r/>
      <w:bookmarkEnd w:id="461"/>
      <w:r/>
      <w:bookmarkEnd w:id="462"/>
      <w:r/>
      <w:bookmarkEnd w:id="463"/>
      <w:r/>
      <w:bookmarkEnd w:id="464"/>
      <w:r/>
      <w:bookmarkEnd w:id="465"/>
      <w:r/>
      <w:r/>
    </w:p>
    <w:p>
      <w:pPr>
        <w:ind w:firstLine="480"/>
        <w:spacing w:line="312" w:lineRule="auto"/>
        <w:rPr>
          <w:rFonts w:ascii="Times New Roman" w:hAnsi="Times New Roman" w:eastAsia="宋体" w:cs="Times New Roman"/>
          <w:sz w:val="24"/>
          <w:highlight w:val="none"/>
        </w:rPr>
        <w:outlineLvl w:val="3"/>
      </w:pPr>
      <w:r/>
      <w:bookmarkStart w:id="466" w:name="_Toc8857"/>
      <w:r>
        <w:rPr>
          <w:rFonts w:ascii="Times New Roman" w:hAnsi="Times New Roman" w:eastAsia="宋体" w:cs="Times New Roman"/>
          <w:sz w:val="24"/>
          <w:highlight w:val="none"/>
        </w:rPr>
        <w:t xml:space="preserve">1、单价合同。</w:t>
      </w:r>
      <w:bookmarkEnd w:id="466"/>
      <w:r/>
      <w:r/>
    </w:p>
    <w:p>
      <w:pPr>
        <w:ind w:firstLine="480"/>
        <w:spacing w:line="312" w:lineRule="auto"/>
        <w:rPr>
          <w:rFonts w:ascii="Times New Roman" w:hAnsi="Times New Roman" w:eastAsia="宋体" w:cs="Times New Roman"/>
          <w:sz w:val="24"/>
          <w:highlight w:val="none"/>
        </w:rPr>
        <w:outlineLvl w:val="4"/>
      </w:pPr>
      <w:r/>
      <w:bookmarkStart w:id="467" w:name="_Toc6625"/>
      <w:r>
        <w:rPr>
          <w:rFonts w:ascii="Times New Roman" w:hAnsi="Times New Roman" w:eastAsia="宋体" w:cs="Times New Roman"/>
          <w:sz w:val="24"/>
          <w:highlight w:val="none"/>
        </w:rPr>
        <w:t xml:space="preserve">综合单价包含的风险范围：</w:t>
      </w:r>
      <w:r>
        <w:rPr>
          <w:rFonts w:ascii="Times New Roman" w:hAnsi="Times New Roman" w:eastAsia="宋体" w:cs="Times New Roman"/>
          <w:sz w:val="24"/>
          <w:highlight w:val="none"/>
          <w:u w:val="single"/>
        </w:rPr>
        <w:t xml:space="preserve">详</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及合同约定</w:t>
      </w:r>
      <w:bookmarkEnd w:id="46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③承包人已对工程现场进行了实地踏勘，</w:t>
      </w:r>
      <w:r>
        <w:rPr>
          <w:rFonts w:ascii="Times New Roman" w:hAnsi="Times New Roman" w:eastAsia="宋体" w:cs="Times New Roman"/>
          <w:sz w:val="24"/>
          <w:highlight w:val="none"/>
          <w:u w:val="single"/>
          <w:lang w:eastAsia="zh-CN"/>
        </w:rPr>
        <w:t xml:space="preserve">工程现场内的表面清表</w:t>
      </w:r>
      <w:r>
        <w:rPr>
          <w:rFonts w:ascii="Times New Roman" w:hAnsi="Times New Roman" w:eastAsia="宋体" w:cs="Times New Roman"/>
          <w:sz w:val="24"/>
          <w:highlight w:val="none"/>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均由承包人承担</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8" w:name="_Toc17711"/>
      <w:r>
        <w:rPr>
          <w:rFonts w:ascii="Times New Roman" w:hAnsi="Times New Roman" w:eastAsia="宋体" w:cs="Times New Roman"/>
          <w:sz w:val="24"/>
          <w:highlight w:val="none"/>
        </w:rPr>
        <w:t xml:space="preserve">2、总价合同。</w:t>
      </w:r>
      <w:bookmarkEnd w:id="46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总价包含的风险范围：</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风险费用的计算方法：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风险范围以外合同价格的调整方法：</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3"/>
      </w:pPr>
      <w:r/>
      <w:bookmarkStart w:id="469" w:name="_Toc22214"/>
      <w:r>
        <w:rPr>
          <w:rFonts w:ascii="Times New Roman" w:hAnsi="Times New Roman" w:eastAsia="宋体" w:cs="Times New Roman"/>
          <w:sz w:val="24"/>
          <w:highlight w:val="none"/>
        </w:rPr>
        <w:t xml:space="preserve">3、其他价格方式：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bookmarkEnd w:id="469"/>
      <w:r/>
      <w:r/>
    </w:p>
    <w:p>
      <w:pPr>
        <w:ind w:firstLine="480"/>
        <w:spacing w:line="312" w:lineRule="auto"/>
        <w:rPr>
          <w:rFonts w:ascii="Times New Roman" w:hAnsi="Times New Roman" w:eastAsia="宋体" w:cs="Times New Roman"/>
          <w:sz w:val="24"/>
          <w:highlight w:val="none"/>
        </w:rPr>
        <w:outlineLvl w:val="4"/>
      </w:pPr>
      <w:r/>
      <w:bookmarkStart w:id="470" w:name="_Toc297216213"/>
      <w:r/>
      <w:bookmarkStart w:id="471" w:name="_Toc300935004"/>
      <w:r/>
      <w:bookmarkStart w:id="472" w:name="_Toc303539161"/>
      <w:r/>
      <w:bookmarkStart w:id="473" w:name="_Toc297123554"/>
      <w:r/>
      <w:bookmarkStart w:id="474" w:name="_Toc304295581"/>
      <w:r/>
      <w:bookmarkStart w:id="475" w:name="_Toc312678042"/>
      <w:r/>
      <w:bookmarkStart w:id="476" w:name="_Toc21165"/>
      <w:r/>
      <w:bookmarkStart w:id="477" w:name="_Toc297120507"/>
      <w:r/>
      <w:bookmarkStart w:id="478" w:name="_Toc296503207"/>
      <w:r/>
      <w:bookmarkStart w:id="479" w:name="_Toc296891035"/>
      <w:r/>
      <w:bookmarkStart w:id="480" w:name="_Toc292559917"/>
      <w:r/>
      <w:bookmarkStart w:id="481" w:name="_Toc296891247"/>
      <w:r/>
      <w:bookmarkStart w:id="482" w:name="_Toc292559412"/>
      <w:r/>
      <w:bookmarkStart w:id="483" w:name="_Toc296347206"/>
      <w:r/>
      <w:bookmarkStart w:id="484" w:name="_Toc297048393"/>
      <w:r/>
      <w:bookmarkStart w:id="485" w:name="_Toc296944546"/>
      <w:r/>
      <w:bookmarkStart w:id="486" w:name="_Toc296346708"/>
      <w:r>
        <w:rPr>
          <w:rFonts w:ascii="Times New Roman" w:hAnsi="Times New Roman" w:eastAsia="宋体" w:cs="Times New Roman"/>
          <w:sz w:val="24"/>
          <w:highlight w:val="none"/>
        </w:rPr>
        <w:t xml:space="preserve">12.2 预付款</w:t>
      </w:r>
      <w:bookmarkEnd w:id="470"/>
      <w:r/>
      <w:bookmarkEnd w:id="471"/>
      <w:r/>
      <w:bookmarkEnd w:id="472"/>
      <w:r/>
      <w:bookmarkEnd w:id="473"/>
      <w:r/>
      <w:bookmarkEnd w:id="474"/>
      <w:r/>
      <w:bookmarkEnd w:id="475"/>
      <w:r/>
      <w:bookmarkEnd w:id="47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12.2.1 预付款的支付</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预付款支付比例或金额：  </w:t>
      </w:r>
      <w:r>
        <w:rPr>
          <w:rFonts w:ascii="Times New Roman" w:hAnsi="Times New Roman" w:eastAsia="宋体" w:cs="Times New Roman"/>
          <w:sz w:val="24"/>
          <w:highlight w:val="none"/>
          <w:u w:val="single"/>
        </w:rPr>
        <w:t xml:space="preserve">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预付款支付期限：  </w:t>
      </w:r>
      <w:r>
        <w:rPr>
          <w:rFonts w:ascii="Times New Roman" w:hAnsi="Times New Roman" w:eastAsia="宋体" w:cs="Times New Roman"/>
          <w:sz w:val="24"/>
          <w:highlight w:val="none"/>
          <w:u w:val="single"/>
        </w:rPr>
        <w:t xml:space="preserve">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预付款扣回的方式：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12.2.2 预付款担保</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承包人提交预付款担保的期限：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预付款担保的形式为：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  。</w:t>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12" w:lineRule="auto"/>
        <w:rPr>
          <w:rFonts w:ascii="Times New Roman" w:hAnsi="Times New Roman" w:eastAsia="宋体" w:cs="Times New Roman"/>
          <w:sz w:val="24"/>
          <w:highlight w:val="none"/>
        </w:rPr>
        <w:outlineLvl w:val="4"/>
      </w:pPr>
      <w:r/>
      <w:bookmarkStart w:id="487" w:name="_Toc19297"/>
      <w:r>
        <w:rPr>
          <w:rFonts w:ascii="Times New Roman" w:hAnsi="Times New Roman" w:eastAsia="宋体" w:cs="Times New Roman"/>
          <w:sz w:val="24"/>
          <w:highlight w:val="none"/>
        </w:rPr>
        <w:t xml:space="preserve">12.3 计量</w:t>
      </w:r>
      <w:bookmarkEnd w:id="48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12.3.1 计量原则</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工程量计算规则：</w:t>
      </w:r>
      <w:r>
        <w:rPr>
          <w:rFonts w:ascii="Times New Roman" w:hAnsi="Times New Roman" w:eastAsia="宋体" w:cs="Times New Roman"/>
          <w:sz w:val="24"/>
          <w:highlight w:val="none"/>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12.3.2 计量周期</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关于计量周期的约定：</w:t>
      </w:r>
      <w:r>
        <w:rPr>
          <w:rFonts w:ascii="Times New Roman" w:hAnsi="Times New Roman" w:eastAsia="宋体" w:cs="Times New Roman"/>
          <w:sz w:val="24"/>
          <w:highlight w:val="none"/>
          <w:u w:val="single"/>
        </w:rPr>
        <w:t xml:space="preserve">竣工结算时，统一计量</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12.3.3 单价合同的计量</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关于单价合同计量的约定：</w:t>
      </w:r>
      <w:r>
        <w:rPr>
          <w:rFonts w:ascii="Times New Roman" w:hAnsi="Times New Roman" w:eastAsia="宋体" w:cs="Times New Roman"/>
          <w:sz w:val="24"/>
          <w:highlight w:val="none"/>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、投标文件、施工合同等资料进行审计。</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12.3.4 总价合同的计量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关于总价合同计量的约定：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12.3.5总价合同采用支付分解表计量支付的，是否适用第12.3.4 项〔总价合同的计量〕约定进行计量：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12.3.6 其他价格形式合同的计量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其他价格形式的计量方式和程序：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hint="default" w:ascii="Times New Roman" w:hAnsi="Times New Roman" w:eastAsia="宋体" w:cs="Times New Roman"/>
          <w:sz w:val="24"/>
          <w:highlight w:val="none"/>
          <w:lang w:val="en-US" w:eastAsia="zh-CN"/>
        </w:rPr>
        <w:outlineLvl w:val="5"/>
      </w:pPr>
      <w:r/>
      <w:bookmarkStart w:id="488" w:name="_Toc24762"/>
      <w:r>
        <w:rPr>
          <w:rFonts w:hint="default" w:ascii="Times New Roman" w:hAnsi="Times New Roman" w:eastAsia="宋体" w:cs="Times New Roman"/>
          <w:sz w:val="24"/>
          <w:highlight w:val="none"/>
          <w:lang w:val="en-US" w:eastAsia="zh-CN"/>
        </w:rPr>
        <w:t xml:space="preserve">12.4 工程进度款支付</w:t>
      </w:r>
      <w:bookmarkEnd w:id="488"/>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在乙方主要施工机械进场路基处理后，可预拨该项目的村民一事一议筹资款；工程验收合格后，中标人凭合规有效工程发票及正式工程审计报告，待上级财政奖补资金拨付到位后，发包人支付至合同价款的97%，剩余3%作为质量保证金，质保期满且无质量问题后无息一次性结清。</w:t>
      </w:r>
      <w:r>
        <w:rPr>
          <w:rFonts w:hint="eastAsia" w:ascii="Times New Roman" w:hAnsi="Times New Roman" w:eastAsia="宋体" w:cs="Times New Roman"/>
          <w:sz w:val="24"/>
          <w:szCs w:val="24"/>
          <w:highlight w:val="none"/>
          <w:lang w:val="en-US" w:eastAsia="zh-CN" w:bidi="ar-SA"/>
        </w:rPr>
        <w:t xml:space="preserve"> </w:t>
      </w:r>
      <w:r/>
    </w:p>
    <w:p>
      <w:pPr>
        <w:ind w:firstLine="480"/>
        <w:spacing w:line="312" w:lineRule="auto"/>
        <w:rPr>
          <w:rFonts w:ascii="Times New Roman" w:hAnsi="Times New Roman" w:eastAsia="宋体" w:cs="Times New Roman"/>
          <w:sz w:val="24"/>
          <w:highlight w:val="none"/>
        </w:rPr>
        <w:outlineLvl w:val="5"/>
      </w:pPr>
      <w:r/>
      <w:bookmarkStart w:id="489" w:name="_Toc297216215"/>
      <w:r/>
      <w:bookmarkStart w:id="490" w:name="_Toc296346712"/>
      <w:r/>
      <w:bookmarkStart w:id="491" w:name="_Toc292559416"/>
      <w:r/>
      <w:bookmarkStart w:id="492" w:name="_Toc296891039"/>
      <w:r/>
      <w:bookmarkStart w:id="493" w:name="_Toc297123556"/>
      <w:r/>
      <w:bookmarkStart w:id="494" w:name="_Toc300935006"/>
      <w:r/>
      <w:bookmarkStart w:id="495" w:name="_Toc292559921"/>
      <w:r/>
      <w:bookmarkStart w:id="496" w:name="_Toc296891251"/>
      <w:r/>
      <w:bookmarkStart w:id="497" w:name="_Toc296347210"/>
      <w:r/>
      <w:bookmarkStart w:id="498" w:name="_Toc297048397"/>
      <w:r/>
      <w:bookmarkStart w:id="499" w:name="_Toc296503211"/>
      <w:r/>
      <w:bookmarkStart w:id="500" w:name="_Toc297120511"/>
      <w:r/>
      <w:bookmarkStart w:id="501" w:name="_Toc303539163"/>
      <w:r/>
      <w:bookmarkStart w:id="502" w:name="_Toc296944550"/>
      <w:r>
        <w:rPr>
          <w:rFonts w:ascii="Times New Roman" w:hAnsi="Times New Roman" w:eastAsia="宋体" w:cs="Times New Roman"/>
          <w:sz w:val="24"/>
          <w:highlight w:val="none"/>
        </w:rPr>
        <w:t xml:space="preserve">12.4.2 进度付款申请单的编制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关于进度付款申请单编制的约定：</w:t>
      </w:r>
      <w:r>
        <w:rPr>
          <w:rFonts w:ascii="Times New Roman" w:hAnsi="Times New Roman" w:eastAsia="宋体" w:cs="Times New Roman"/>
          <w:sz w:val="24"/>
          <w:highlight w:val="none"/>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ascii="Times New Roman" w:hAnsi="Times New Roman" w:eastAsia="宋体" w:cs="Times New Roman"/>
          <w:sz w:val="24"/>
          <w:highlight w:val="none"/>
        </w:rPr>
        <w:t xml:space="preserve">2.4.3 进度付款申请单的提交</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（1）单价合同进度付款申请单提交的约定：</w:t>
      </w:r>
      <w:r>
        <w:rPr>
          <w:rFonts w:ascii="Times New Roman" w:hAnsi="Times New Roman" w:eastAsia="宋体" w:cs="Times New Roman"/>
          <w:sz w:val="24"/>
          <w:highlight w:val="none"/>
          <w:u w:val="single"/>
        </w:rPr>
        <w:t xml:space="preserve">工程达到支付节点5日前，交至监理人及发包人。</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（2）总价合同进度付款申请单提交的约定：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（3）其他价格形式合同进度付款申请单提交的约定：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12.4.4 进度款审核和支付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（1）监理人审查并报送发包人的期限：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发包人完成审批并签发进度款支付证书的期限：</w:t>
      </w:r>
      <w:r>
        <w:rPr>
          <w:rFonts w:ascii="Times New Roman" w:hAnsi="Times New Roman" w:eastAsia="宋体" w:cs="Times New Roman"/>
          <w:sz w:val="24"/>
          <w:highlight w:val="none"/>
          <w:u w:val="single"/>
        </w:rPr>
        <w:t xml:space="preserve">收到后5天内完成审批并签发进度款支付证书。</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（2）发包人支付进度款的期限：</w:t>
      </w:r>
      <w:r>
        <w:rPr>
          <w:rFonts w:ascii="Times New Roman" w:hAnsi="Times New Roman" w:eastAsia="宋体" w:cs="Times New Roman"/>
          <w:sz w:val="24"/>
          <w:highlight w:val="none"/>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发包人逾期支付进度款的违约金的计算方式：</w:t>
      </w:r>
      <w:r>
        <w:rPr>
          <w:rFonts w:ascii="Times New Roman" w:hAnsi="Times New Roman" w:eastAsia="宋体" w:cs="Times New Roman"/>
          <w:sz w:val="24"/>
          <w:highlight w:val="none"/>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12.4.6 支付分解表的编制</w:t>
      </w:r>
      <w:r/>
    </w:p>
    <w:p>
      <w:pPr>
        <w:ind w:firstLine="480"/>
        <w:spacing w:line="312" w:lineRule="auto"/>
        <w:rPr>
          <w:rFonts w:ascii="Times New Roman" w:hAnsi="Times New Roman" w:eastAsia="宋体" w:cs="Times New Roman"/>
          <w:sz w:val="24"/>
          <w:highlight w:val="none"/>
        </w:rPr>
        <w:outlineLvl w:val="3"/>
      </w:pPr>
      <w:r/>
      <w:bookmarkStart w:id="503" w:name="_Toc5187"/>
      <w:r>
        <w:rPr>
          <w:rFonts w:ascii="Times New Roman" w:hAnsi="Times New Roman" w:eastAsia="宋体" w:cs="Times New Roman"/>
          <w:sz w:val="24"/>
          <w:highlight w:val="none"/>
        </w:rPr>
        <w:t xml:space="preserve">2、总价合同支付分解表的编制与审批：</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bookmarkEnd w:id="503"/>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3、单价合同的总价项目支付分解表的编制与审批：</w:t>
      </w:r>
      <w:r>
        <w:rPr>
          <w:rFonts w:ascii="Times New Roman" w:hAnsi="Times New Roman" w:eastAsia="宋体" w:cs="Times New Roman"/>
          <w:sz w:val="24"/>
          <w:highlight w:val="none"/>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33"/>
      <w:r/>
      <w:bookmarkStart w:id="504" w:name="_Toc297120519"/>
      <w:r/>
      <w:bookmarkStart w:id="505" w:name="_Toc351203645"/>
      <w:r/>
      <w:bookmarkStart w:id="506" w:name="_Toc296503219"/>
      <w:r/>
      <w:bookmarkStart w:id="507" w:name="_Toc297123564"/>
      <w:r/>
      <w:bookmarkStart w:id="508" w:name="_Toc300935015"/>
      <w:r/>
      <w:bookmarkStart w:id="509" w:name="_Toc296891259"/>
      <w:r/>
      <w:bookmarkStart w:id="510" w:name="_Toc297216223"/>
      <w:r/>
      <w:bookmarkStart w:id="511" w:name="_Toc296944558"/>
      <w:r/>
      <w:bookmarkStart w:id="512" w:name="_Toc296346720"/>
      <w:r/>
      <w:bookmarkStart w:id="513" w:name="_Toc304295593"/>
      <w:r/>
      <w:bookmarkStart w:id="514" w:name="_Toc296891047"/>
      <w:r/>
      <w:bookmarkStart w:id="515" w:name="_Toc292559424"/>
      <w:r/>
      <w:bookmarkStart w:id="516" w:name="_Toc296347218"/>
      <w:r/>
      <w:bookmarkStart w:id="517" w:name="_Toc303539172"/>
      <w:r/>
      <w:bookmarkStart w:id="518" w:name="_Toc312678053"/>
      <w:r/>
      <w:bookmarkStart w:id="519" w:name="_Toc297048405"/>
      <w:r/>
      <w:bookmarkStart w:id="520" w:name="_Toc292559929"/>
      <w:r/>
      <w:r/>
    </w:p>
    <w:p>
      <w:pPr>
        <w:ind w:firstLine="480"/>
        <w:spacing w:line="312" w:lineRule="auto"/>
        <w:rPr>
          <w:rFonts w:ascii="Times New Roman" w:hAnsi="Times New Roman" w:eastAsia="宋体" w:cs="Times New Roman"/>
          <w:sz w:val="24"/>
          <w:highlight w:val="none"/>
        </w:rPr>
        <w:outlineLvl w:val="3"/>
      </w:pPr>
      <w:r/>
      <w:bookmarkStart w:id="521" w:name="_Toc2331"/>
      <w:r>
        <w:rPr>
          <w:rFonts w:ascii="Times New Roman" w:hAnsi="Times New Roman" w:eastAsia="宋体" w:cs="Times New Roman"/>
          <w:sz w:val="24"/>
          <w:highlight w:val="none"/>
        </w:rPr>
        <w:t xml:space="preserve">13. 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spacing w:line="312" w:lineRule="auto"/>
        <w:rPr>
          <w:rFonts w:ascii="Times New Roman" w:hAnsi="Times New Roman" w:eastAsia="宋体" w:cs="Times New Roman"/>
          <w:sz w:val="24"/>
          <w:highlight w:val="none"/>
        </w:rPr>
        <w:outlineLvl w:val="4"/>
      </w:pPr>
      <w:r/>
      <w:bookmarkStart w:id="522" w:name="_Toc32174"/>
      <w:r>
        <w:rPr>
          <w:rFonts w:ascii="Times New Roman" w:hAnsi="Times New Roman" w:eastAsia="宋体" w:cs="Times New Roman"/>
          <w:sz w:val="24"/>
          <w:highlight w:val="none"/>
        </w:rPr>
        <w:t xml:space="preserve">13.1 分部分项工程验收</w:t>
      </w:r>
      <w:bookmarkEnd w:id="5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13.1.2监理人不能按时进行验收时，应提前</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小时提交书面延期要求。</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关于延期最长不得超过： </w:t>
      </w:r>
      <w:r>
        <w:rPr>
          <w:rFonts w:ascii="Times New Roman" w:hAnsi="Times New Roman" w:eastAsia="宋体" w:cs="Times New Roman"/>
          <w:sz w:val="24"/>
          <w:highlight w:val="none"/>
          <w:u w:val="single"/>
        </w:rPr>
        <w:t xml:space="preserve"> 48  </w:t>
      </w:r>
      <w:r>
        <w:rPr>
          <w:rFonts w:ascii="Times New Roman" w:hAnsi="Times New Roman" w:eastAsia="宋体" w:cs="Times New Roman"/>
          <w:sz w:val="24"/>
          <w:highlight w:val="none"/>
        </w:rPr>
        <w:t xml:space="preserve">小时。</w:t>
      </w:r>
      <w:r/>
    </w:p>
    <w:p>
      <w:pPr>
        <w:ind w:firstLine="480"/>
        <w:spacing w:line="312" w:lineRule="auto"/>
        <w:rPr>
          <w:rFonts w:ascii="Times New Roman" w:hAnsi="Times New Roman" w:eastAsia="宋体" w:cs="Times New Roman"/>
          <w:sz w:val="24"/>
          <w:highlight w:val="none"/>
        </w:rPr>
        <w:outlineLvl w:val="4"/>
      </w:pPr>
      <w:r/>
      <w:bookmarkStart w:id="523" w:name="_Toc25170"/>
      <w:r/>
      <w:bookmarkStart w:id="524" w:name="_Toc296347222"/>
      <w:r/>
      <w:bookmarkStart w:id="525" w:name="_Toc297120523"/>
      <w:r/>
      <w:bookmarkStart w:id="526" w:name="_Toc292559428"/>
      <w:r/>
      <w:bookmarkStart w:id="527" w:name="_Toc297123565"/>
      <w:r/>
      <w:bookmarkStart w:id="528" w:name="_Toc297216224"/>
      <w:r/>
      <w:bookmarkStart w:id="529" w:name="_Toc296503223"/>
      <w:r/>
      <w:bookmarkStart w:id="530" w:name="_Toc304295596"/>
      <w:r/>
      <w:bookmarkStart w:id="531" w:name="_Toc312678056"/>
      <w:r/>
      <w:bookmarkStart w:id="532" w:name="_Toc303539173"/>
      <w:r/>
      <w:bookmarkStart w:id="533" w:name="_Toc296346724"/>
      <w:r/>
      <w:bookmarkStart w:id="534" w:name="_Toc292559933"/>
      <w:r/>
      <w:bookmarkStart w:id="535" w:name="_Toc296891263"/>
      <w:r/>
      <w:bookmarkStart w:id="536" w:name="_Toc296944562"/>
      <w:r/>
      <w:bookmarkStart w:id="537" w:name="_Toc300935016"/>
      <w:r/>
      <w:bookmarkStart w:id="538" w:name="_Toc297048409"/>
      <w:r/>
      <w:bookmarkStart w:id="539" w:name="_Toc296891051"/>
      <w:r/>
      <w:bookmarkStart w:id="540" w:name="_Toc267251470"/>
      <w:r/>
      <w:bookmarkStart w:id="541" w:name="_Toc267251476"/>
      <w:r/>
      <w:bookmarkStart w:id="542" w:name="_Toc267251475"/>
      <w:r/>
      <w:bookmarkStart w:id="543" w:name="_Toc267251472"/>
      <w:r/>
      <w:bookmarkStart w:id="544" w:name="_Toc267251474"/>
      <w:r/>
      <w:bookmarkStart w:id="545" w:name="_Toc267251471"/>
      <w:r/>
      <w:bookmarkStart w:id="546" w:name="_Toc267251473"/>
      <w:r>
        <w:rPr>
          <w:rFonts w:ascii="Times New Roman" w:hAnsi="Times New Roman" w:eastAsia="宋体" w:cs="Times New Roman"/>
          <w:sz w:val="24"/>
          <w:highlight w:val="none"/>
        </w:rPr>
        <w:t xml:space="preserve">13.2 竣工验收</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ind w:firstLine="480"/>
        <w:spacing w:line="312" w:lineRule="auto"/>
        <w:rPr>
          <w:rFonts w:ascii="Times New Roman" w:hAnsi="Times New Roman" w:eastAsia="宋体" w:cs="Times New Roman"/>
          <w:sz w:val="24"/>
          <w:highlight w:val="none"/>
        </w:rPr>
        <w:outlineLvl w:val="5"/>
      </w:pPr>
      <w:r/>
      <w:bookmarkStart w:id="547" w:name="_Toc280868704"/>
      <w:r/>
      <w:bookmarkStart w:id="548" w:name="_Toc280868705"/>
      <w:r/>
      <w:bookmarkStart w:id="549" w:name="_Toc280868706"/>
      <w:r/>
      <w:bookmarkStart w:id="550" w:name="_Toc280868707"/>
      <w:r/>
      <w:bookmarkStart w:id="551" w:name="_Toc280868708"/>
      <w:r/>
      <w:bookmarkStart w:id="552" w:name="_Toc280868709"/>
      <w:r>
        <w:rPr>
          <w:rFonts w:ascii="Times New Roman" w:hAnsi="Times New Roman" w:eastAsia="宋体" w:cs="Times New Roman"/>
          <w:sz w:val="24"/>
          <w:highlight w:val="none"/>
        </w:rPr>
        <w:t xml:space="preserve">13.2.2竣工验收程序</w:t>
      </w:r>
      <w:bookmarkEnd w:id="54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关于竣工验收程序的约定：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发包人不按照本项约定组织竣工验收、颁发工程接收证书的违约金的计算方法：</w:t>
      </w:r>
      <w:r>
        <w:rPr>
          <w:rFonts w:ascii="Times New Roman" w:hAnsi="Times New Roman" w:eastAsia="宋体" w:cs="Times New Roman"/>
          <w:sz w:val="24"/>
          <w:highlight w:val="none"/>
          <w:u w:val="single"/>
        </w:rPr>
        <w:t xml:space="preserve">执行通用条款。</w:t>
      </w:r>
      <w:bookmarkEnd w:id="548"/>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13.2.5移交、接收全部与部分工程</w:t>
      </w:r>
      <w:bookmarkEnd w:id="54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承包人向发包人移交工程的期限：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发包人未按本合同约定接收全部或部分工程的，违约金的计算方法为：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bookmarkEnd w:id="55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承包人未按时移交工程的，违约金的计算方法为：</w:t>
      </w:r>
      <w:r>
        <w:rPr>
          <w:rFonts w:ascii="Times New Roman" w:hAnsi="Times New Roman" w:eastAsia="宋体" w:cs="Times New Roman"/>
          <w:sz w:val="24"/>
          <w:highlight w:val="none"/>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highlight w:val="none"/>
        </w:rPr>
        <w:outlineLvl w:val="4"/>
      </w:pPr>
      <w:r/>
      <w:bookmarkStart w:id="553" w:name="_Toc31292"/>
      <w:r>
        <w:rPr>
          <w:rFonts w:ascii="Times New Roman" w:hAnsi="Times New Roman" w:eastAsia="宋体" w:cs="Times New Roman"/>
          <w:sz w:val="24"/>
          <w:highlight w:val="none"/>
        </w:rPr>
        <w:t xml:space="preserve">13.3 工程试车</w:t>
      </w:r>
      <w:bookmarkEnd w:id="551"/>
      <w:r/>
      <w:bookmarkEnd w:id="553"/>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13.3.1 试车程序</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工程试车内容：</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（1）单机无负荷试车费用由 </w:t>
      </w:r>
      <w:r>
        <w:rPr>
          <w:rFonts w:ascii="Times New Roman" w:hAnsi="Times New Roman" w:eastAsia="宋体" w:cs="Times New Roman"/>
          <w:sz w:val="24"/>
          <w:highlight w:val="none"/>
          <w:u w:val="single"/>
        </w:rPr>
        <w:t xml:space="preserve">承包人 </w:t>
      </w:r>
      <w:r>
        <w:rPr>
          <w:rFonts w:ascii="Times New Roman" w:hAnsi="Times New Roman" w:eastAsia="宋体" w:cs="Times New Roman"/>
          <w:sz w:val="24"/>
          <w:highlight w:val="none"/>
        </w:rPr>
        <w:t xml:space="preserve">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（2）无负荷联动试车费用由</w:t>
      </w:r>
      <w:r>
        <w:rPr>
          <w:rFonts w:ascii="Times New Roman" w:hAnsi="Times New Roman" w:eastAsia="宋体" w:cs="Times New Roman"/>
          <w:sz w:val="24"/>
          <w:highlight w:val="none"/>
          <w:u w:val="single"/>
        </w:rPr>
        <w:t xml:space="preserve"> 承包人</w:t>
      </w:r>
      <w:r>
        <w:rPr>
          <w:rFonts w:ascii="Times New Roman" w:hAnsi="Times New Roman" w:eastAsia="宋体" w:cs="Times New Roman"/>
          <w:sz w:val="24"/>
          <w:highlight w:val="none"/>
        </w:rPr>
        <w:t xml:space="preserve"> 承担。</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13.3.3 投料试车</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关于投料试车相关事项的约定： </w:t>
      </w:r>
      <w:r>
        <w:rPr>
          <w:rFonts w:ascii="Times New Roman" w:hAnsi="Times New Roman" w:eastAsia="宋体" w:cs="Times New Roman"/>
          <w:sz w:val="24"/>
          <w:highlight w:val="none"/>
          <w:u w:val="single"/>
        </w:rPr>
        <w:t xml:space="preserve">双方另行约定</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4" w:name="_Toc31280"/>
      <w:r>
        <w:rPr>
          <w:rFonts w:ascii="Times New Roman" w:hAnsi="Times New Roman" w:eastAsia="宋体" w:cs="Times New Roman"/>
          <w:sz w:val="24"/>
          <w:highlight w:val="none"/>
        </w:rPr>
        <w:t xml:space="preserve">13.6 竣工退场</w:t>
      </w:r>
      <w:bookmarkEnd w:id="554"/>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13.6.1 竣工退场</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承包人完成竣工退场的期限：</w:t>
      </w:r>
      <w:r>
        <w:rPr>
          <w:rFonts w:ascii="Times New Roman" w:hAnsi="Times New Roman" w:eastAsia="宋体" w:cs="Times New Roman"/>
          <w:sz w:val="24"/>
          <w:highlight w:val="none"/>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highlight w:val="none"/>
        </w:rPr>
        <w:outlineLvl w:val="3"/>
      </w:pPr>
      <w:r/>
      <w:bookmarkStart w:id="555" w:name="_Toc351203646"/>
      <w:r/>
      <w:bookmarkStart w:id="556" w:name="_Toc6061"/>
      <w:r>
        <w:rPr>
          <w:rFonts w:ascii="Times New Roman" w:hAnsi="Times New Roman" w:eastAsia="宋体" w:cs="Times New Roman"/>
          <w:sz w:val="24"/>
          <w:highlight w:val="none"/>
        </w:rPr>
        <w:t xml:space="preserve">14. 竣工结算</w:t>
      </w:r>
      <w:bookmarkEnd w:id="555"/>
      <w:r/>
      <w:bookmarkEnd w:id="556"/>
      <w:r/>
      <w:r/>
    </w:p>
    <w:p>
      <w:pPr>
        <w:ind w:firstLine="480"/>
        <w:spacing w:line="312" w:lineRule="auto"/>
        <w:rPr>
          <w:rFonts w:ascii="Times New Roman" w:hAnsi="Times New Roman" w:eastAsia="宋体" w:cs="Times New Roman"/>
          <w:sz w:val="24"/>
          <w:highlight w:val="none"/>
        </w:rPr>
        <w:outlineLvl w:val="4"/>
      </w:pPr>
      <w:r/>
      <w:bookmarkStart w:id="557" w:name="_Toc18906"/>
      <w:r>
        <w:rPr>
          <w:rFonts w:ascii="Times New Roman" w:hAnsi="Times New Roman" w:eastAsia="宋体" w:cs="Times New Roman"/>
          <w:sz w:val="24"/>
          <w:highlight w:val="none"/>
        </w:rPr>
        <w:t xml:space="preserve">14.1 竣工结算申请</w:t>
      </w:r>
      <w:bookmarkEnd w:id="55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承包人提交竣工结算申请单的期限：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；竣工结算申请单的资料清单：</w:t>
      </w:r>
      <w:r>
        <w:rPr>
          <w:rFonts w:ascii="Times New Roman" w:hAnsi="Times New Roman" w:eastAsia="宋体" w:cs="Times New Roman"/>
          <w:sz w:val="24"/>
          <w:highlight w:val="none"/>
          <w:u w:val="single"/>
        </w:rPr>
        <w:t xml:space="preserve">按发包人要求办理</w:t>
      </w:r>
      <w:r>
        <w:rPr>
          <w:rFonts w:ascii="Times New Roman" w:hAnsi="Times New Roman" w:eastAsia="宋体" w:cs="Times New Roman"/>
          <w:sz w:val="24"/>
          <w:highlight w:val="none"/>
        </w:rPr>
        <w:t xml:space="preserve">；竣工结算申请单的资料份数：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竣工结算申请单应包括的内容：</w:t>
      </w:r>
      <w:r>
        <w:rPr>
          <w:rFonts w:ascii="Times New Roman" w:hAnsi="Times New Roman" w:eastAsia="宋体" w:cs="Times New Roman"/>
          <w:sz w:val="24"/>
          <w:highlight w:val="none"/>
          <w:u w:val="single"/>
        </w:rPr>
        <w:t xml:space="preserve">执行通用条款和发包人要求</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8" w:name="_Toc11093"/>
      <w:r>
        <w:rPr>
          <w:rFonts w:ascii="Times New Roman" w:hAnsi="Times New Roman" w:eastAsia="宋体" w:cs="Times New Roman"/>
          <w:sz w:val="24"/>
          <w:highlight w:val="none"/>
        </w:rPr>
        <w:t xml:space="preserve">14.2 竣工结算审核</w:t>
      </w:r>
      <w:bookmarkEnd w:id="55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发包人审批竣工付款申请单的期限：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发包人完成竣工付款的期限：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关于竣工付款证书异议部分复核的方式和程序：</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559" w:name="_Toc5908"/>
      <w:r>
        <w:rPr>
          <w:rFonts w:ascii="Times New Roman" w:hAnsi="Times New Roman" w:eastAsia="宋体" w:cs="Times New Roman"/>
          <w:sz w:val="24"/>
          <w:highlight w:val="none"/>
        </w:rPr>
        <w:t xml:space="preserve">14.4 最终结清</w:t>
      </w:r>
      <w:bookmarkEnd w:id="559"/>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14.4.1 最终结清申请单</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承包人提交最终结清申请单的份数：</w:t>
      </w:r>
      <w:r>
        <w:rPr>
          <w:rFonts w:ascii="Times New Roman" w:hAnsi="Times New Roman" w:eastAsia="宋体" w:cs="Times New Roman"/>
          <w:sz w:val="24"/>
          <w:highlight w:val="none"/>
          <w:u w:val="single"/>
        </w:rPr>
        <w:t xml:space="preserve">一式二份</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承包人提交最终结算申请单的期限：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14.4.2 最终结清证书和支付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（1）发包人完成最终结清申请单的审批并颁发最终结清证书的期限：</w:t>
      </w:r>
      <w:r>
        <w:rPr>
          <w:rFonts w:ascii="Times New Roman" w:hAnsi="Times New Roman" w:eastAsia="宋体" w:cs="Times New Roman"/>
          <w:sz w:val="24"/>
          <w:highlight w:val="none"/>
          <w:u w:val="single"/>
        </w:rPr>
        <w:t xml:space="preserve">执行通用条款。</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（2）发包人完成支付的期限：</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40"/>
      <w:r/>
      <w:bookmarkEnd w:id="541"/>
      <w:r/>
      <w:bookmarkEnd w:id="542"/>
      <w:r/>
      <w:bookmarkEnd w:id="543"/>
      <w:r/>
      <w:bookmarkEnd w:id="544"/>
      <w:r/>
      <w:bookmarkEnd w:id="545"/>
      <w:r/>
      <w:bookmarkEnd w:id="546"/>
      <w:r/>
      <w:bookmarkEnd w:id="552"/>
      <w:r/>
      <w:r/>
    </w:p>
    <w:p>
      <w:pPr>
        <w:ind w:firstLine="480"/>
        <w:spacing w:line="312" w:lineRule="auto"/>
        <w:rPr>
          <w:rFonts w:ascii="Times New Roman" w:hAnsi="Times New Roman" w:eastAsia="宋体" w:cs="Times New Roman"/>
          <w:sz w:val="24"/>
          <w:highlight w:val="none"/>
        </w:rPr>
        <w:outlineLvl w:val="3"/>
      </w:pPr>
      <w:r/>
      <w:bookmarkStart w:id="560" w:name="_Toc31417"/>
      <w:r/>
      <w:bookmarkStart w:id="561" w:name="_Toc351203647"/>
      <w:r/>
      <w:bookmarkStart w:id="562" w:name="_Toc267251483"/>
      <w:r/>
      <w:bookmarkStart w:id="563" w:name="_Toc267251485"/>
      <w:r/>
      <w:bookmarkStart w:id="564" w:name="_Toc267251489"/>
      <w:r/>
      <w:bookmarkStart w:id="565" w:name="_Toc267251488"/>
      <w:r/>
      <w:bookmarkStart w:id="566" w:name="_Toc267251486"/>
      <w:r/>
      <w:bookmarkStart w:id="567" w:name="_Toc267251490"/>
      <w:r/>
      <w:bookmarkStart w:id="568" w:name="_Toc267251502"/>
      <w:r/>
      <w:bookmarkStart w:id="569" w:name="_Toc267251497"/>
      <w:r/>
      <w:bookmarkStart w:id="570" w:name="_Toc267251491"/>
      <w:r/>
      <w:bookmarkStart w:id="571" w:name="_Toc267251493"/>
      <w:r/>
      <w:bookmarkStart w:id="572" w:name="_Toc267251492"/>
      <w:r/>
      <w:bookmarkStart w:id="573" w:name="_Toc267251495"/>
      <w:r/>
      <w:bookmarkStart w:id="574" w:name="_Toc267251503"/>
      <w:r/>
      <w:bookmarkStart w:id="575" w:name="_Toc267251496"/>
      <w:r/>
      <w:bookmarkStart w:id="576" w:name="_Toc267251494"/>
      <w:r/>
      <w:bookmarkStart w:id="577" w:name="_Toc267251499"/>
      <w:r/>
      <w:bookmarkStart w:id="578" w:name="_Toc267251501"/>
      <w:r/>
      <w:bookmarkStart w:id="579" w:name="_Toc267251498"/>
      <w:r/>
      <w:bookmarkStart w:id="580" w:name="_Toc267251506"/>
      <w:r/>
      <w:bookmarkStart w:id="581" w:name="_Toc267251504"/>
      <w:r/>
      <w:bookmarkStart w:id="582" w:name="_Toc267251507"/>
      <w:r/>
      <w:bookmarkStart w:id="583" w:name="_Toc267251508"/>
      <w:r/>
      <w:bookmarkStart w:id="584" w:name="_Toc267251510"/>
      <w:r/>
      <w:bookmarkStart w:id="585" w:name="_Toc267251509"/>
      <w:r/>
      <w:bookmarkStart w:id="586" w:name="_Toc267251514"/>
      <w:r/>
      <w:bookmarkStart w:id="587" w:name="_Toc267251515"/>
      <w:r/>
      <w:bookmarkStart w:id="588" w:name="_Toc267251513"/>
      <w:r/>
      <w:bookmarkStart w:id="589" w:name="_Toc267251511"/>
      <w:r>
        <w:rPr>
          <w:rFonts w:ascii="Times New Roman" w:hAnsi="Times New Roman" w:eastAsia="宋体" w:cs="Times New Roman"/>
          <w:sz w:val="24"/>
          <w:highlight w:val="none"/>
        </w:rPr>
        <w:t xml:space="preserve">15. 缺陷责任期与保修</w:t>
      </w:r>
      <w:bookmarkEnd w:id="560"/>
      <w:r/>
      <w:bookmarkEnd w:id="561"/>
      <w:r/>
      <w:r/>
    </w:p>
    <w:p>
      <w:pPr>
        <w:ind w:firstLine="480"/>
        <w:spacing w:line="312" w:lineRule="auto"/>
        <w:rPr>
          <w:rFonts w:ascii="Times New Roman" w:hAnsi="Times New Roman" w:eastAsia="宋体" w:cs="Times New Roman"/>
          <w:sz w:val="24"/>
          <w:highlight w:val="none"/>
        </w:rPr>
        <w:outlineLvl w:val="4"/>
      </w:pPr>
      <w:r/>
      <w:bookmarkStart w:id="590" w:name="_Toc5329"/>
      <w:r>
        <w:rPr>
          <w:rFonts w:ascii="Times New Roman" w:hAnsi="Times New Roman" w:eastAsia="宋体" w:cs="Times New Roman"/>
          <w:sz w:val="24"/>
          <w:highlight w:val="none"/>
        </w:rPr>
        <w:t xml:space="preserve">15.2缺陷责任期</w:t>
      </w:r>
      <w:bookmarkEnd w:id="562"/>
      <w:r/>
      <w:bookmarkEnd w:id="59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缺陷责任期的具体期限：</w:t>
      </w:r>
      <w:r>
        <w:rPr>
          <w:rFonts w:hint="eastAsia" w:eastAsia="宋体" w:cs="Times New Roman"/>
          <w:sz w:val="24"/>
          <w:highlight w:val="none"/>
          <w:u w:val="single"/>
          <w:lang w:val="en-US" w:eastAsia="zh-CN"/>
        </w:rPr>
        <w:t xml:space="preserve">24</w:t>
      </w:r>
      <w:r>
        <w:rPr>
          <w:rFonts w:ascii="Times New Roman" w:hAnsi="Times New Roman" w:eastAsia="宋体" w:cs="Times New Roman"/>
          <w:sz w:val="24"/>
          <w:highlight w:val="none"/>
        </w:rPr>
        <w:t xml:space="preserve">个月。</w:t>
      </w:r>
      <w:r/>
    </w:p>
    <w:p>
      <w:pPr>
        <w:ind w:firstLine="480"/>
        <w:spacing w:line="312" w:lineRule="auto"/>
        <w:rPr>
          <w:rFonts w:ascii="Times New Roman" w:hAnsi="Times New Roman" w:eastAsia="宋体" w:cs="Times New Roman"/>
          <w:sz w:val="24"/>
          <w:highlight w:val="none"/>
        </w:rPr>
        <w:outlineLvl w:val="4"/>
      </w:pPr>
      <w:r/>
      <w:bookmarkStart w:id="591" w:name="_Toc25946"/>
      <w:r>
        <w:rPr>
          <w:rFonts w:ascii="Times New Roman" w:hAnsi="Times New Roman" w:eastAsia="宋体" w:cs="Times New Roman"/>
          <w:sz w:val="24"/>
          <w:highlight w:val="none"/>
        </w:rPr>
        <w:t xml:space="preserve">15.4保修</w:t>
      </w:r>
      <w:bookmarkEnd w:id="563"/>
      <w:r/>
      <w:bookmarkEnd w:id="591"/>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15.4.1 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工程保修期为：详工程质量保修书。</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15.4.3 修复通知</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承包人收到保修通知并到达工程现场的合理时间：</w:t>
      </w:r>
      <w:r>
        <w:rPr>
          <w:rFonts w:ascii="Times New Roman" w:hAnsi="Times New Roman" w:eastAsia="宋体" w:cs="Times New Roman"/>
          <w:sz w:val="24"/>
          <w:highlight w:val="none"/>
          <w:u w:val="single"/>
        </w:rPr>
        <w:t xml:space="preserve">24</w:t>
      </w:r>
      <w:r>
        <w:rPr>
          <w:rFonts w:ascii="Times New Roman" w:hAnsi="Times New Roman" w:eastAsia="宋体" w:cs="Times New Roman"/>
          <w:sz w:val="24"/>
          <w:highlight w:val="none"/>
        </w:rPr>
        <w:t xml:space="preserve">小时。</w:t>
      </w:r>
      <w:bookmarkEnd w:id="564"/>
      <w:r/>
      <w:bookmarkEnd w:id="565"/>
      <w:r/>
      <w:bookmarkEnd w:id="566"/>
      <w:r/>
      <w:bookmarkEnd w:id="567"/>
      <w:r/>
      <w:r/>
    </w:p>
    <w:p>
      <w:pPr>
        <w:ind w:firstLine="480"/>
        <w:spacing w:line="312" w:lineRule="auto"/>
        <w:rPr>
          <w:rFonts w:ascii="Times New Roman" w:hAnsi="Times New Roman" w:eastAsia="宋体" w:cs="Times New Roman"/>
          <w:sz w:val="24"/>
          <w:highlight w:val="none"/>
        </w:rPr>
        <w:outlineLvl w:val="3"/>
      </w:pPr>
      <w:r/>
      <w:bookmarkStart w:id="592" w:name="_Toc351203648"/>
      <w:r/>
      <w:bookmarkStart w:id="593" w:name="_Toc19432"/>
      <w:r/>
      <w:bookmarkStart w:id="594" w:name="_Toc280868717"/>
      <w:r/>
      <w:bookmarkStart w:id="595" w:name="_Toc280868718"/>
      <w:r>
        <w:rPr>
          <w:rFonts w:ascii="Times New Roman" w:hAnsi="Times New Roman" w:eastAsia="宋体" w:cs="Times New Roman"/>
          <w:sz w:val="24"/>
          <w:highlight w:val="none"/>
        </w:rPr>
        <w:t xml:space="preserve">16. 违约</w:t>
      </w:r>
      <w:bookmarkEnd w:id="592"/>
      <w:r/>
      <w:bookmarkEnd w:id="593"/>
      <w:r/>
      <w:r/>
    </w:p>
    <w:p>
      <w:pPr>
        <w:ind w:firstLine="480"/>
        <w:spacing w:line="312" w:lineRule="auto"/>
        <w:rPr>
          <w:rFonts w:ascii="Times New Roman" w:hAnsi="Times New Roman" w:eastAsia="宋体" w:cs="Times New Roman"/>
          <w:sz w:val="24"/>
          <w:highlight w:val="none"/>
        </w:rPr>
        <w:outlineLvl w:val="4"/>
      </w:pPr>
      <w:r/>
      <w:bookmarkStart w:id="596" w:name="_Toc29316"/>
      <w:r>
        <w:rPr>
          <w:rFonts w:ascii="Times New Roman" w:hAnsi="Times New Roman" w:eastAsia="宋体" w:cs="Times New Roman"/>
          <w:sz w:val="24"/>
          <w:highlight w:val="none"/>
        </w:rPr>
        <w:t xml:space="preserve">16.1 发包人违约</w:t>
      </w:r>
      <w:bookmarkEnd w:id="596"/>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16.1.1发包人违约的情形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发包人违约的其他情形： </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16.1.2 发包人违约的责任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发包人违约责任的承担方式和计算方法：</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（7）其他： </w:t>
      </w:r>
      <w:r>
        <w:rPr>
          <w:rFonts w:ascii="Times New Roman" w:hAnsi="Times New Roman" w:eastAsia="宋体" w:cs="Times New Roman"/>
          <w:sz w:val="24"/>
          <w:highlight w:val="none"/>
          <w:u w:val="single"/>
        </w:rPr>
        <w:t xml:space="preserve"> 无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16.1.3 因发包人违约解除合同</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承包人按16.1.1项〔发包人违约的情形〕约定暂停施工满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highlight w:val="none"/>
        </w:rPr>
        <w:outlineLvl w:val="4"/>
      </w:pPr>
      <w:r/>
      <w:bookmarkStart w:id="597" w:name="_Toc28106"/>
      <w:r>
        <w:rPr>
          <w:rFonts w:ascii="Times New Roman" w:hAnsi="Times New Roman" w:eastAsia="宋体" w:cs="Times New Roman"/>
          <w:sz w:val="24"/>
          <w:highlight w:val="none"/>
        </w:rPr>
        <w:t xml:space="preserve">16.2 承包人违约</w:t>
      </w:r>
      <w:bookmarkEnd w:id="597"/>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16.2.1 承包人违约的情形</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承包人违约的其他情形：</w:t>
      </w:r>
      <w:r>
        <w:rPr>
          <w:rFonts w:hint="eastAsia" w:ascii="Times New Roman" w:hAnsi="Times New Roman" w:eastAsia="宋体" w:cs="Times New Roman"/>
          <w:sz w:val="24"/>
          <w:highlight w:val="none"/>
          <w:lang w:eastAsia="zh-CN"/>
        </w:rPr>
        <w:t xml:space="preserve">招标文件</w:t>
      </w:r>
      <w:r>
        <w:rPr>
          <w:rFonts w:ascii="Times New Roman" w:hAnsi="Times New Roman" w:eastAsia="宋体" w:cs="Times New Roman"/>
          <w:sz w:val="24"/>
          <w:highlight w:val="none"/>
        </w:rPr>
        <w:t xml:space="preserve">及施工合同、补充文件约定的其它情形。</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16.2.2承包人违约的责任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承包人违约责任的承担方式和计算方法：</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（1）承包人违反合同约定进行转包或违法分包的：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（2）承包人违反合同约定采购和使用不合格的材料和工程设备的：</w:t>
      </w:r>
      <w:r>
        <w:rPr>
          <w:rFonts w:ascii="Times New Roman" w:hAnsi="Times New Roman" w:eastAsia="宋体" w:cs="Times New Roman"/>
          <w:sz w:val="24"/>
          <w:highlight w:val="none"/>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highlight w:val="none"/>
        </w:rPr>
        <w:outlineLvl w:val="6"/>
      </w:pPr>
      <w:r>
        <w:rPr>
          <w:rFonts w:ascii="Times New Roman" w:hAnsi="Times New Roman" w:eastAsia="宋体" w:cs="Times New Roman"/>
          <w:sz w:val="24"/>
          <w:highlight w:val="none"/>
        </w:rPr>
        <w:t xml:space="preserve">（3）因承包人原因导致工程质量不符合合同要求的：</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highlight w:val="none"/>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（5）承包人未能按施工进度计划及时完成合同约定的工作，造成工期延误的：</w:t>
      </w:r>
      <w:r>
        <w:rPr>
          <w:rFonts w:ascii="Times New Roman" w:hAnsi="Times New Roman" w:eastAsia="宋体" w:cs="Times New Roman"/>
          <w:sz w:val="24"/>
          <w:highlight w:val="none"/>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（6）承包人在缺陷责任期及保修期内，未能在合理期限对工程缺陷进行修复，或拒绝按发包人要求进行修复的：</w:t>
      </w:r>
      <w:r>
        <w:rPr>
          <w:rFonts w:ascii="Times New Roman" w:hAnsi="Times New Roman" w:eastAsia="宋体" w:cs="Times New Roman"/>
          <w:sz w:val="24"/>
          <w:highlight w:val="none"/>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（7）承包人明确表示或者以其行为表明不履行合同主要义务的：</w:t>
      </w:r>
      <w:r>
        <w:rPr>
          <w:rFonts w:ascii="Times New Roman" w:hAnsi="Times New Roman" w:eastAsia="宋体" w:cs="Times New Roman"/>
          <w:sz w:val="24"/>
          <w:highlight w:val="none"/>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（8）承包人未能按照合同约定履行其他义务的：</w:t>
      </w:r>
      <w:r>
        <w:rPr>
          <w:rFonts w:ascii="Times New Roman" w:hAnsi="Times New Roman" w:eastAsia="宋体" w:cs="Times New Roman"/>
          <w:sz w:val="24"/>
          <w:highlight w:val="none"/>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（9）</w:t>
      </w:r>
      <w:r>
        <w:rPr>
          <w:rFonts w:ascii="Times New Roman" w:hAnsi="Times New Roman" w:eastAsia="宋体" w:cs="Times New Roman"/>
          <w:sz w:val="24"/>
          <w:highlight w:val="none"/>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16.2.3 因承包人违约解除合同</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关于承包人违约解除合同的特别约定：</w:t>
      </w:r>
      <w:r>
        <w:rPr>
          <w:rFonts w:ascii="Times New Roman" w:hAnsi="Times New Roman" w:eastAsia="宋体" w:cs="Times New Roman"/>
          <w:sz w:val="24"/>
          <w:highlight w:val="none"/>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highlight w:val="none"/>
          <w:u w:val="single"/>
        </w:rPr>
        <w:t xml:space="preserve">无偿使用</w:t>
      </w:r>
      <w:r>
        <w:rPr>
          <w:rFonts w:ascii="Times New Roman" w:hAnsi="Times New Roman" w:eastAsia="宋体" w:cs="Times New Roman"/>
          <w:sz w:val="24"/>
          <w:highlight w:val="none"/>
        </w:rPr>
        <w:t xml:space="preserve">。</w:t>
      </w:r>
      <w:bookmarkStart w:id="598" w:name="_Toc351203649"/>
      <w:r/>
      <w:r/>
    </w:p>
    <w:p>
      <w:pPr>
        <w:ind w:firstLine="480"/>
        <w:spacing w:line="312" w:lineRule="auto"/>
        <w:rPr>
          <w:rFonts w:ascii="Times New Roman" w:hAnsi="Times New Roman" w:eastAsia="宋体" w:cs="Times New Roman"/>
          <w:sz w:val="24"/>
          <w:highlight w:val="none"/>
        </w:rPr>
        <w:outlineLvl w:val="3"/>
      </w:pPr>
      <w:r/>
      <w:bookmarkStart w:id="599" w:name="_Toc29909"/>
      <w:r>
        <w:rPr>
          <w:rFonts w:ascii="Times New Roman" w:hAnsi="Times New Roman" w:eastAsia="宋体" w:cs="Times New Roman"/>
          <w:sz w:val="24"/>
          <w:highlight w:val="none"/>
        </w:rPr>
        <w:t xml:space="preserve">17. 不可抗力</w:t>
      </w:r>
      <w:bookmarkEnd w:id="598"/>
      <w:r/>
      <w:bookmarkEnd w:id="599"/>
      <w:r>
        <w:rPr>
          <w:rFonts w:ascii="Times New Roman" w:hAnsi="Times New Roman" w:eastAsia="宋体" w:cs="Times New Roman"/>
          <w:sz w:val="24"/>
          <w:highlight w:val="none"/>
        </w:rPr>
        <w:t xml:space="preserve"> </w:t>
      </w:r>
      <w:bookmarkEnd w:id="594"/>
      <w:r/>
      <w:r/>
    </w:p>
    <w:p>
      <w:pPr>
        <w:ind w:firstLine="480"/>
        <w:spacing w:line="312" w:lineRule="auto"/>
        <w:rPr>
          <w:rFonts w:ascii="Times New Roman" w:hAnsi="Times New Roman" w:eastAsia="宋体" w:cs="Times New Roman"/>
          <w:sz w:val="24"/>
          <w:highlight w:val="none"/>
        </w:rPr>
        <w:outlineLvl w:val="4"/>
      </w:pPr>
      <w:r/>
      <w:bookmarkStart w:id="600" w:name="_Toc25231"/>
      <w:r>
        <w:rPr>
          <w:rFonts w:ascii="Times New Roman" w:hAnsi="Times New Roman" w:eastAsia="宋体" w:cs="Times New Roman"/>
          <w:sz w:val="24"/>
          <w:highlight w:val="none"/>
        </w:rPr>
        <w:t xml:space="preserve">17.1 不可抗力的确认</w:t>
      </w:r>
      <w:bookmarkEnd w:id="60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除通用合同条款约定的不可抗力事件之外，视为不可抗力的其他情形：</w:t>
      </w:r>
      <w:r>
        <w:rPr>
          <w:rFonts w:ascii="Times New Roman" w:hAnsi="Times New Roman" w:eastAsia="宋体" w:cs="Times New Roman"/>
          <w:sz w:val="24"/>
          <w:highlight w:val="none"/>
          <w:u w:val="single"/>
        </w:rPr>
        <w:t xml:space="preserve"> 无</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1" w:name="_Toc2178"/>
      <w:r>
        <w:rPr>
          <w:rFonts w:ascii="Times New Roman" w:hAnsi="Times New Roman" w:eastAsia="宋体" w:cs="Times New Roman"/>
          <w:sz w:val="24"/>
          <w:highlight w:val="none"/>
        </w:rPr>
        <w:t xml:space="preserve">17.4 因不可抗力解除合同</w:t>
      </w:r>
      <w:bookmarkEnd w:id="60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合同解除后，发包人应在商定或确定发包人应支付款项后 </w:t>
      </w:r>
      <w:r>
        <w:rPr>
          <w:rFonts w:ascii="Times New Roman" w:hAnsi="Times New Roman" w:eastAsia="宋体" w:cs="Times New Roman"/>
          <w:sz w:val="24"/>
          <w:highlight w:val="none"/>
          <w:u w:val="single"/>
        </w:rPr>
        <w:t xml:space="preserve"> 60 </w:t>
      </w:r>
      <w:r>
        <w:rPr>
          <w:rFonts w:ascii="Times New Roman" w:hAnsi="Times New Roman" w:eastAsia="宋体" w:cs="Times New Roman"/>
          <w:sz w:val="24"/>
          <w:highlight w:val="none"/>
        </w:rPr>
        <w:t xml:space="preserve"> 天内完成款项的支付。</w:t>
      </w:r>
      <w:r/>
    </w:p>
    <w:p>
      <w:pPr>
        <w:ind w:firstLine="480"/>
        <w:spacing w:line="312" w:lineRule="auto"/>
        <w:rPr>
          <w:rFonts w:ascii="Times New Roman" w:hAnsi="Times New Roman" w:eastAsia="宋体" w:cs="Times New Roman"/>
          <w:sz w:val="24"/>
          <w:highlight w:val="none"/>
        </w:rPr>
        <w:outlineLvl w:val="3"/>
      </w:pPr>
      <w:r/>
      <w:bookmarkStart w:id="602" w:name="_Toc8755"/>
      <w:r/>
      <w:bookmarkStart w:id="603" w:name="_Toc351203650"/>
      <w:r>
        <w:rPr>
          <w:rFonts w:ascii="Times New Roman" w:hAnsi="Times New Roman" w:eastAsia="宋体" w:cs="Times New Roman"/>
          <w:sz w:val="24"/>
          <w:highlight w:val="none"/>
        </w:rPr>
        <w:t xml:space="preserve">18. 保险</w:t>
      </w:r>
      <w:bookmarkEnd w:id="595"/>
      <w:r/>
      <w:bookmarkEnd w:id="602"/>
      <w:r/>
      <w:bookmarkEnd w:id="603"/>
      <w:r/>
      <w:r/>
    </w:p>
    <w:p>
      <w:pPr>
        <w:ind w:firstLine="480"/>
        <w:spacing w:line="312" w:lineRule="auto"/>
        <w:rPr>
          <w:rFonts w:ascii="Times New Roman" w:hAnsi="Times New Roman" w:eastAsia="宋体" w:cs="Times New Roman"/>
          <w:sz w:val="24"/>
          <w:highlight w:val="none"/>
        </w:rPr>
        <w:outlineLvl w:val="4"/>
      </w:pPr>
      <w:r/>
      <w:bookmarkStart w:id="604" w:name="_Toc26541"/>
      <w:r>
        <w:rPr>
          <w:rFonts w:ascii="Times New Roman" w:hAnsi="Times New Roman" w:eastAsia="宋体" w:cs="Times New Roman"/>
          <w:sz w:val="24"/>
          <w:highlight w:val="none"/>
        </w:rPr>
        <w:t xml:space="preserve">18.1 工程保险</w:t>
      </w:r>
      <w:bookmarkEnd w:id="60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关于工程保险的特别约定：</w:t>
      </w:r>
      <w:r>
        <w:rPr>
          <w:rFonts w:ascii="Times New Roman" w:hAnsi="Times New Roman" w:eastAsia="宋体" w:cs="Times New Roman"/>
          <w:sz w:val="24"/>
          <w:highlight w:val="none"/>
          <w:u w:val="single"/>
        </w:rPr>
        <w:t xml:space="preserve">承包人应投保建筑工程一切险或安装工程一切险并承担因投保产生的保险费和其他相关费用</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outlineLvl w:val="4"/>
      </w:pPr>
      <w:r/>
      <w:bookmarkStart w:id="605" w:name="_Toc8"/>
      <w:r>
        <w:rPr>
          <w:rFonts w:ascii="Times New Roman" w:hAnsi="Times New Roman" w:eastAsia="宋体" w:cs="Times New Roman"/>
          <w:sz w:val="24"/>
          <w:highlight w:val="none"/>
        </w:rPr>
        <w:t xml:space="preserve">18.3 其他保险</w:t>
      </w:r>
      <w:bookmarkEnd w:id="605"/>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关于其他保险的约定：</w:t>
      </w:r>
      <w:r>
        <w:rPr>
          <w:rFonts w:ascii="Times New Roman" w:hAnsi="Times New Roman" w:eastAsia="宋体" w:cs="Times New Roman"/>
          <w:sz w:val="24"/>
          <w:highlight w:val="none"/>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承包人是否应为其施工设备等办理财产保险：</w:t>
      </w:r>
      <w:r>
        <w:rPr>
          <w:rFonts w:ascii="Times New Roman" w:hAnsi="Times New Roman" w:eastAsia="宋体" w:cs="Times New Roman"/>
          <w:sz w:val="24"/>
          <w:highlight w:val="none"/>
          <w:u w:val="single"/>
        </w:rPr>
        <w:t xml:space="preserve">承包人应为其施工设备等办理财产保险。</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18.7 通知义务：关于变更保险合同时的通知义务的约定：</w:t>
      </w:r>
      <w:r>
        <w:rPr>
          <w:rFonts w:ascii="Times New Roman" w:hAnsi="Times New Roman" w:eastAsia="宋体" w:cs="Times New Roman"/>
          <w:sz w:val="24"/>
          <w:highlight w:val="none"/>
          <w:u w:val="single"/>
        </w:rPr>
        <w:t xml:space="preserve">执行通用条款</w:t>
      </w:r>
      <w:r>
        <w:rPr>
          <w:rFonts w:ascii="Times New Roman" w:hAnsi="Times New Roman" w:eastAsia="宋体" w:cs="Times New Roman"/>
          <w:sz w:val="24"/>
          <w:highlight w:val="none"/>
        </w:rPr>
        <w:t xml:space="preserve">。</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12" w:lineRule="auto"/>
        <w:rPr>
          <w:rFonts w:ascii="Times New Roman" w:hAnsi="Times New Roman" w:eastAsia="宋体" w:cs="Times New Roman"/>
          <w:sz w:val="24"/>
          <w:highlight w:val="none"/>
        </w:rPr>
        <w:outlineLvl w:val="3"/>
      </w:pPr>
      <w:r/>
      <w:bookmarkStart w:id="606" w:name="_Toc351203651"/>
      <w:r/>
      <w:bookmarkStart w:id="607" w:name="_Toc23377"/>
      <w:r>
        <w:rPr>
          <w:rFonts w:ascii="Times New Roman" w:hAnsi="Times New Roman" w:eastAsia="宋体" w:cs="Times New Roman"/>
          <w:sz w:val="24"/>
          <w:highlight w:val="none"/>
        </w:rPr>
        <w:t xml:space="preserve">20. 争议解决</w:t>
      </w:r>
      <w:bookmarkEnd w:id="580"/>
      <w:r/>
      <w:bookmarkEnd w:id="581"/>
      <w:r/>
      <w:bookmarkEnd w:id="606"/>
      <w:r/>
      <w:bookmarkEnd w:id="607"/>
      <w:r/>
      <w:r/>
    </w:p>
    <w:p>
      <w:pPr>
        <w:ind w:firstLine="480"/>
        <w:spacing w:line="312" w:lineRule="auto"/>
        <w:rPr>
          <w:rFonts w:ascii="Times New Roman" w:hAnsi="Times New Roman" w:eastAsia="宋体" w:cs="Times New Roman"/>
          <w:sz w:val="24"/>
          <w:highlight w:val="none"/>
        </w:rPr>
        <w:outlineLvl w:val="4"/>
      </w:pPr>
      <w:r/>
      <w:bookmarkStart w:id="608" w:name="_Toc93"/>
      <w:r>
        <w:rPr>
          <w:rFonts w:ascii="Times New Roman" w:hAnsi="Times New Roman" w:eastAsia="宋体" w:cs="Times New Roman"/>
          <w:sz w:val="24"/>
          <w:highlight w:val="none"/>
        </w:rPr>
        <w:t xml:space="preserve">20.3 争</w:t>
      </w:r>
      <w:bookmarkEnd w:id="582"/>
      <w:r>
        <w:rPr>
          <w:rFonts w:ascii="Times New Roman" w:hAnsi="Times New Roman" w:eastAsia="宋体" w:cs="Times New Roman"/>
          <w:sz w:val="24"/>
          <w:highlight w:val="none"/>
        </w:rPr>
        <w:t xml:space="preserve">议评审</w:t>
      </w:r>
      <w:bookmarkEnd w:id="608"/>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合同当事人是否同意将工程争议提交争议评审小组决定：</w:t>
      </w:r>
      <w:r>
        <w:rPr>
          <w:rFonts w:ascii="Times New Roman" w:hAnsi="Times New Roman" w:eastAsia="宋体" w:cs="Times New Roman"/>
          <w:sz w:val="24"/>
          <w:highlight w:val="none"/>
          <w:u w:val="single"/>
        </w:rPr>
        <w:t xml:space="preserve"> 不同意</w:t>
      </w:r>
      <w:r>
        <w:rPr>
          <w:rFonts w:ascii="Times New Roman" w:hAnsi="Times New Roman" w:eastAsia="宋体" w:cs="Times New Roman"/>
          <w:sz w:val="24"/>
          <w:highlight w:val="none"/>
        </w:rPr>
        <w:t xml:space="preserve">  。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20.3.1 争议评审小组的确定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争议评审小组成员的确定：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选定争议评审员的期限：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争议评审小组成员的报酬承担方式：</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其他事项的约定：  </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5"/>
      </w:pPr>
      <w:r>
        <w:rPr>
          <w:rFonts w:ascii="Times New Roman" w:hAnsi="Times New Roman" w:eastAsia="宋体" w:cs="Times New Roman"/>
          <w:sz w:val="24"/>
          <w:highlight w:val="none"/>
        </w:rPr>
        <w:t xml:space="preserve">20.3.2 争议评审小组的决定</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合同当事人关于本项的约定：</w:t>
      </w:r>
      <w:r>
        <w:rPr>
          <w:rFonts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outlineLvl w:val="4"/>
      </w:pPr>
      <w:r/>
      <w:bookmarkStart w:id="609" w:name="_Toc16563"/>
      <w:r>
        <w:rPr>
          <w:rFonts w:ascii="Times New Roman" w:hAnsi="Times New Roman" w:eastAsia="宋体" w:cs="Times New Roman"/>
          <w:sz w:val="24"/>
          <w:highlight w:val="none"/>
        </w:rPr>
        <w:t xml:space="preserve">20.4仲裁或诉讼</w:t>
      </w:r>
      <w:bookmarkEnd w:id="583"/>
      <w:r/>
      <w:bookmarkEnd w:id="60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因合同及合同有关事项发生的争议，按下列第</w:t>
      </w:r>
      <w:r>
        <w:rPr>
          <w:rFonts w:ascii="Times New Roman" w:hAnsi="Times New Roman" w:eastAsia="宋体" w:cs="Times New Roman"/>
          <w:sz w:val="24"/>
          <w:highlight w:val="none"/>
          <w:u w:val="single"/>
        </w:rPr>
        <w:t xml:space="preserve">（2）</w:t>
      </w:r>
      <w:r>
        <w:rPr>
          <w:rFonts w:ascii="Times New Roman" w:hAnsi="Times New Roman" w:eastAsia="宋体" w:cs="Times New Roman"/>
          <w:sz w:val="24"/>
          <w:highlight w:val="none"/>
        </w:rPr>
        <w:t xml:space="preserve">种方式解决：</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（1）向仲裁委员会申请仲裁；（2）向工程所在地人民法院起诉。</w:t>
      </w:r>
      <w:bookmarkEnd w:id="584"/>
      <w:r/>
      <w:bookmarkEnd w:id="585"/>
      <w:r/>
      <w:bookmarkEnd w:id="586"/>
      <w:r/>
      <w:bookmarkEnd w:id="587"/>
      <w:r/>
      <w:bookmarkEnd w:id="588"/>
      <w:r/>
      <w:bookmarkEnd w:id="589"/>
      <w:r/>
      <w:r/>
    </w:p>
    <w:p>
      <w:pPr>
        <w:ind w:firstLine="480"/>
        <w:spacing w:line="312" w:lineRule="auto"/>
        <w:rPr>
          <w:rFonts w:ascii="Times New Roman" w:hAnsi="Times New Roman" w:eastAsia="宋体" w:cs="Times New Roman"/>
          <w:sz w:val="24"/>
          <w:highlight w:val="none"/>
        </w:rPr>
        <w:outlineLvl w:val="9"/>
      </w:pPr>
      <w:r/>
      <w:bookmarkStart w:id="610" w:name="_Toc13490"/>
      <w:r>
        <w:rPr>
          <w:rFonts w:ascii="Times New Roman" w:hAnsi="Times New Roman" w:eastAsia="宋体" w:cs="Times New Roman"/>
          <w:sz w:val="24"/>
          <w:highlight w:val="none"/>
        </w:rPr>
        <w:t xml:space="preserve">21.补充条款</w:t>
      </w:r>
      <w:bookmarkEnd w:id="610"/>
      <w:r/>
      <w:r/>
    </w:p>
    <w:p>
      <w:pPr>
        <w:ind w:firstLine="480"/>
        <w:spacing w:line="312" w:lineRule="auto"/>
        <w:rPr>
          <w:rFonts w:ascii="Times New Roman" w:hAnsi="Times New Roman" w:eastAsia="宋体" w:cs="Times New Roman"/>
          <w:sz w:val="24"/>
          <w:highlight w:val="none"/>
          <w:u w:val="single"/>
        </w:rPr>
      </w:pPr>
      <w:r>
        <w:rPr>
          <w:rFonts w:ascii="Times New Roman" w:hAnsi="Times New Roman" w:eastAsia="宋体" w:cs="Times New Roman"/>
          <w:sz w:val="24"/>
          <w:highlight w:val="none"/>
          <w:u w:val="single"/>
        </w:rPr>
        <w:t xml:space="preserve">21.1本合同未涉及之处或与</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实质性内容不一致之处，执行</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的规定；本合同及</w:t>
      </w:r>
      <w:r>
        <w:rPr>
          <w:rFonts w:hint="eastAsia" w:ascii="Times New Roman" w:hAnsi="Times New Roman" w:eastAsia="宋体" w:cs="Times New Roman"/>
          <w:sz w:val="24"/>
          <w:highlight w:val="none"/>
          <w:u w:val="single"/>
          <w:lang w:eastAsia="zh-CN"/>
        </w:rPr>
        <w:t xml:space="preserve">招标文件</w:t>
      </w:r>
      <w:r>
        <w:rPr>
          <w:rFonts w:ascii="Times New Roman" w:hAnsi="Times New Roman" w:eastAsia="宋体" w:cs="Times New Roman"/>
          <w:sz w:val="24"/>
          <w:highlight w:val="none"/>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highlight w:val="none"/>
          <w:u w:val="single"/>
          <w:lang w:val="en-US" w:eastAsia="zh-CN"/>
        </w:rPr>
      </w:pPr>
      <w:r>
        <w:rPr>
          <w:rFonts w:hint="eastAsia" w:ascii="Times New Roman" w:hAnsi="Times New Roman" w:eastAsia="宋体" w:cs="Times New Roman"/>
          <w:sz w:val="24"/>
          <w:highlight w:val="none"/>
          <w:u w:val="single"/>
          <w:lang w:val="en-US" w:eastAsia="zh-CN"/>
        </w:rPr>
        <w:t xml:space="preserve">21.2关于承包人选用的商品混凝土：严格按照C30混凝土标准选用在</w:t>
      </w:r>
      <w:r>
        <w:rPr>
          <w:rFonts w:hint="eastAsia" w:cs="Times New Roman"/>
          <w:sz w:val="24"/>
          <w:highlight w:val="none"/>
          <w:u w:val="single"/>
          <w:lang w:val="en-US" w:eastAsia="zh-CN"/>
        </w:rPr>
        <w:t xml:space="preserve">沛县</w:t>
      </w:r>
      <w:r>
        <w:rPr>
          <w:rFonts w:hint="eastAsia" w:ascii="Times New Roman" w:hAnsi="Times New Roman" w:eastAsia="宋体" w:cs="Times New Roman"/>
          <w:sz w:val="24"/>
          <w:highlight w:val="none"/>
          <w:u w:val="single"/>
          <w:lang w:val="en-US" w:eastAsia="zh-CN"/>
        </w:rPr>
        <w:t xml:space="preserve">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11"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61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：承包人用于本工程施工的机械设备表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：承包人主要施工管理人员表</w:t>
      </w:r>
      <w:r/>
    </w:p>
    <w:p>
      <w:pPr>
        <w:pStyle w:val="1038"/>
        <w:rPr>
          <w:highlight w:val="none"/>
        </w:rPr>
      </w:pPr>
      <w:r>
        <w:rPr>
          <w:highlight w:val="none"/>
        </w:rPr>
      </w:r>
      <w:r/>
    </w:p>
    <w:p>
      <w:pPr>
        <w:pStyle w:val="1034"/>
        <w:spacing w:line="312" w:lineRule="auto"/>
        <w:widowControl w:val="off"/>
        <w:rPr>
          <w:rFonts w:ascii="宋体" w:hAnsi="宋体"/>
          <w:color w:val="auto"/>
          <w:sz w:val="24"/>
          <w:szCs w:val="24"/>
          <w:highlight w:val="none"/>
        </w:rPr>
        <w:sectPr>
          <w:headerReference w:type="default" r:id="rId9"/>
          <w:footerReference w:type="default" r:id="rId15"/>
          <w:footerReference w:type="first" r:id="rId16"/>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12" w:name="_Toc296347225"/>
      <w:r/>
      <w:bookmarkStart w:id="613" w:name="_Toc296891266"/>
      <w:r/>
      <w:bookmarkStart w:id="614" w:name="_Toc296346727"/>
      <w:r/>
      <w:bookmarkStart w:id="615" w:name="_Toc296944565"/>
      <w:r/>
      <w:bookmarkStart w:id="616" w:name="_Toc296891054"/>
      <w:r/>
      <w:bookmarkStart w:id="617" w:name="_Toc296503226"/>
      <w:r/>
      <w:bookmarkStart w:id="618" w:name="_Toc267261693"/>
      <w:r>
        <w:rPr>
          <w:rFonts w:ascii="宋体" w:hAnsi="宋体"/>
          <w:b/>
          <w:bCs/>
          <w:color w:val="auto"/>
          <w:sz w:val="24"/>
          <w:szCs w:val="24"/>
          <w:highlight w:val="none"/>
        </w:rPr>
        <w:t xml:space="preserve">件1：</w:t>
      </w:r>
      <w:bookmarkEnd w:id="612"/>
      <w:r/>
      <w:bookmarkEnd w:id="613"/>
      <w:r/>
      <w:bookmarkEnd w:id="614"/>
      <w:r/>
      <w:bookmarkEnd w:id="615"/>
      <w:r/>
      <w:bookmarkEnd w:id="616"/>
      <w:r/>
      <w:bookmarkEnd w:id="617"/>
      <w:r/>
      <w:bookmarkEnd w:id="618"/>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619" w:name="_Toc184263479"/>
      <w:r/>
      <w:bookmarkStart w:id="620" w:name="_Toc2094516902"/>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沛县张寨镇人民政府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沛县张寨镇2026年度一事一议道路建设财政奖补项目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621" w:name="_Toc6727"/>
      <w:r>
        <w:rPr>
          <w:rFonts w:ascii="Times New Roman" w:hAnsi="Times New Roman" w:eastAsia="宋体" w:cs="Times New Roman"/>
          <w:sz w:val="24"/>
          <w:highlight w:val="none"/>
        </w:rPr>
        <w:t xml:space="preserve">一、工程质量保修范围和内容</w:t>
      </w:r>
      <w:bookmarkEnd w:id="621"/>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622" w:name="_Toc27634"/>
      <w:r>
        <w:rPr>
          <w:rFonts w:ascii="Times New Roman" w:hAnsi="Times New Roman" w:eastAsia="宋体" w:cs="Times New Roman"/>
          <w:sz w:val="24"/>
          <w:highlight w:val="none"/>
        </w:rPr>
        <w:t xml:space="preserve">二、质量保修期</w:t>
      </w:r>
      <w:bookmarkEnd w:id="622"/>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23" w:name="_Toc5690"/>
      <w:r>
        <w:rPr>
          <w:rFonts w:ascii="Times New Roman" w:hAnsi="Times New Roman" w:eastAsia="宋体" w:cs="Times New Roman"/>
          <w:sz w:val="24"/>
          <w:highlight w:val="none"/>
        </w:rPr>
        <w:t xml:space="preserve">三、缺陷责任期</w:t>
      </w:r>
      <w:bookmarkEnd w:id="62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缺陷责任期终止后，</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应退还剩余的履约保证金。</w:t>
      </w:r>
      <w:r/>
    </w:p>
    <w:p>
      <w:pPr>
        <w:ind w:firstLine="480"/>
        <w:spacing w:line="312" w:lineRule="auto"/>
        <w:rPr>
          <w:rFonts w:ascii="Times New Roman" w:hAnsi="Times New Roman" w:eastAsia="宋体" w:cs="Times New Roman"/>
          <w:sz w:val="24"/>
          <w:highlight w:val="none"/>
        </w:rPr>
        <w:outlineLvl w:val="9"/>
      </w:pPr>
      <w:r/>
      <w:bookmarkStart w:id="624" w:name="_Toc30267"/>
      <w:r>
        <w:rPr>
          <w:rFonts w:ascii="Times New Roman" w:hAnsi="Times New Roman" w:eastAsia="宋体" w:cs="Times New Roman"/>
          <w:sz w:val="24"/>
          <w:highlight w:val="none"/>
        </w:rPr>
        <w:t xml:space="preserve">四、质量保修责任</w:t>
      </w:r>
      <w:bookmarkEnd w:id="624"/>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5"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5"/>
      <w:r/>
      <w:r/>
    </w:p>
    <w:p>
      <w:pPr>
        <w:ind w:firstLine="480"/>
        <w:spacing w:line="312" w:lineRule="auto"/>
        <w:rPr>
          <w:rFonts w:ascii="Times New Roman" w:hAnsi="Times New Roman" w:eastAsia="宋体" w:cs="Times New Roman"/>
          <w:sz w:val="24"/>
          <w:highlight w:val="none"/>
        </w:rPr>
        <w:outlineLvl w:val="9"/>
      </w:pPr>
      <w:r/>
      <w:bookmarkStart w:id="626" w:name="_Toc13702"/>
      <w:r>
        <w:rPr>
          <w:rFonts w:ascii="Times New Roman" w:hAnsi="Times New Roman" w:eastAsia="宋体" w:cs="Times New Roman"/>
          <w:sz w:val="24"/>
          <w:highlight w:val="none"/>
        </w:rPr>
        <w:t xml:space="preserve">五、保修费用</w:t>
      </w:r>
      <w:bookmarkEnd w:id="626"/>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27" w:name="_Toc11033"/>
      <w:r>
        <w:rPr>
          <w:rFonts w:ascii="Times New Roman" w:hAnsi="Times New Roman" w:eastAsia="宋体" w:cs="Times New Roman"/>
          <w:sz w:val="24"/>
          <w:highlight w:val="none"/>
        </w:rPr>
        <w:t xml:space="preserve">六、双方约定的其他工程质量保修事项：  / 。</w:t>
      </w:r>
      <w:bookmarkEnd w:id="627"/>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28"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19"/>
      <w:r/>
      <w:bookmarkEnd w:id="620"/>
      <w:r/>
      <w:bookmarkEnd w:id="628"/>
      <w:r/>
      <w:r/>
    </w:p>
    <w:p>
      <w:pPr>
        <w:spacing w:line="440" w:lineRule="exact"/>
        <w:rPr>
          <w:rFonts w:ascii="宋体" w:hAnsi="宋体"/>
          <w:b/>
          <w:color w:val="auto"/>
          <w:sz w:val="24"/>
          <w:szCs w:val="24"/>
          <w:highlight w:val="none"/>
        </w:rPr>
        <w:sectPr>
          <w:headerReference w:type="default" r:id="rId10"/>
          <w:footerReference w:type="default" r:id="rId17"/>
          <w:footerReference w:type="first" r:id="rId18"/>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29" w:name="_Toc296891267"/>
      <w:r/>
      <w:bookmarkStart w:id="630" w:name="_Toc296503227"/>
      <w:r/>
      <w:bookmarkStart w:id="631" w:name="_Toc296891055"/>
      <w:r/>
      <w:bookmarkStart w:id="632" w:name="_Toc296346728"/>
      <w:r/>
      <w:bookmarkStart w:id="633" w:name="_Toc296347226"/>
      <w:r/>
      <w:bookmarkStart w:id="634" w:name="_Toc296944566"/>
      <w:r/>
      <w:bookmarkStart w:id="635" w:name="_Toc26726169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29"/>
      <w:r/>
      <w:bookmarkEnd w:id="630"/>
      <w:r/>
      <w:bookmarkEnd w:id="631"/>
      <w:r/>
      <w:bookmarkEnd w:id="632"/>
      <w:r/>
      <w:bookmarkEnd w:id="633"/>
      <w:r/>
      <w:bookmarkEnd w:id="634"/>
      <w:r/>
      <w:bookmarkEnd w:id="635"/>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78"/>
        <w:gridCol w:w="1175"/>
        <w:gridCol w:w="739"/>
        <w:gridCol w:w="898"/>
        <w:gridCol w:w="762"/>
        <w:gridCol w:w="869"/>
        <w:gridCol w:w="1278"/>
        <w:gridCol w:w="869"/>
        <w:gridCol w:w="794"/>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36" w:name="_Toc296347227"/>
      <w:r/>
      <w:bookmarkStart w:id="637" w:name="_Toc296891056"/>
      <w:r/>
      <w:bookmarkStart w:id="638" w:name="_Toc267261699"/>
      <w:r/>
      <w:bookmarkStart w:id="639" w:name="_Toc296346729"/>
      <w:r/>
      <w:bookmarkStart w:id="640" w:name="_Toc296944567"/>
      <w:r/>
      <w:bookmarkStart w:id="641" w:name="_Toc296503228"/>
      <w:r/>
      <w:bookmarkStart w:id="642" w:name="_Toc29689126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36"/>
      <w:r/>
      <w:bookmarkEnd w:id="637"/>
      <w:r/>
      <w:bookmarkEnd w:id="638"/>
      <w:r/>
      <w:bookmarkEnd w:id="639"/>
      <w:r/>
      <w:bookmarkEnd w:id="640"/>
      <w:r/>
      <w:bookmarkEnd w:id="641"/>
      <w:r/>
      <w:bookmarkEnd w:id="642"/>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4"/>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589"/>
        <w:gridCol w:w="1221"/>
        <w:gridCol w:w="991"/>
        <w:gridCol w:w="991"/>
        <w:gridCol w:w="3570"/>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05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沛县张寨镇人民政府、徐州天一招标代理有限公司</w:t>
      </w:r>
      <w:r>
        <w:rPr>
          <w:rFonts w:hint="eastAsia" w:ascii="宋体" w:hAnsi="宋体" w:eastAsia="宋体" w:cs="宋体"/>
          <w:color w:val="auto"/>
          <w:sz w:val="24"/>
          <w:szCs w:val="24"/>
          <w:highlight w:val="none"/>
        </w:rPr>
        <w:t xml:space="preserve">：</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val="en-US" w:eastAsia="zh-CN"/>
        </w:rPr>
        <w:t xml:space="preserve">JSZC-320322039-TYZB-C2026-0003</w:t>
      </w:r>
      <w:r>
        <w:rPr>
          <w:rFonts w:hint="eastAsia" w:ascii="宋体" w:hAnsi="宋体" w:eastAsia="宋体" w:cs="宋体"/>
          <w:color w:val="auto"/>
          <w:sz w:val="24"/>
          <w:szCs w:val="24"/>
          <w:highlight w:val="none"/>
        </w:rPr>
        <w:t xml:space="preserve">）要求，本供应商正式提交以下首次响应文件。</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1007"/>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100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rPr>
        <w:t xml:space="preserve"> </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441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（受托人身份证扫描件附后)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沛县张寨镇2026年度一事一议道路建设财政奖补项目</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val="en-US" w:eastAsia="zh-CN"/>
        </w:rPr>
        <w:t xml:space="preserve">JSZC-320322039-TYZB-C2026-0003</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（建筑业）</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eastAsia="宋体" w:cs="宋体"/>
          <w:color w:val="000000"/>
          <w:spacing w:val="6"/>
          <w:sz w:val="24"/>
          <w:highlight w:val="none"/>
          <w:u w:val="single"/>
        </w:rPr>
        <w:t xml:space="preserve">（</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w:t>
      </w:r>
      <w:r>
        <w:rPr>
          <w:rFonts w:hint="eastAsia" w:ascii="宋体" w:hAnsi="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right="33"/>
        <w:pageBreakBefore w:val="0"/>
        <w:spacing w:before="240" w:after="24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pStyle w:val="1054"/>
        <w:rPr>
          <w:rFonts w:hint="eastAsia" w:ascii="宋体" w:hAnsi="宋体" w:eastAsia="宋体" w:cs="宋体"/>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23"/>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4384;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23" o:title=""/>
              </v:shape>
            </w:pict>
          </mc:Fallback>
        </mc:AlternateContent>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480" w:firstLine="0"/>
        <w:jc w:val="center"/>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cs="宋体"/>
          <w:color w:val="000000"/>
          <w:sz w:val="24"/>
          <w:highlight w:val="none"/>
          <w:u w:val="single"/>
          <w:lang w:eastAsia="zh-CN"/>
        </w:rPr>
        <w:t xml:space="preserve">沛县张寨镇2026年度一事一议道路建设财政奖补项目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沛县张寨镇2026年度一事一议道路建设财政奖补项目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val="en-US" w:eastAsia="zh-CN"/>
        </w:rPr>
        <w:t xml:space="preserve">JSZC-320322039-TYZB-C2026-0003</w:t>
      </w:r>
      <w:r/>
    </w:p>
    <w:p>
      <w:pPr>
        <w:ind w:left="0" w:right="0" w:firstLine="504"/>
        <w:jc w:val="both"/>
        <w:keepLines w:val="0"/>
        <w:keepNext w:val="0"/>
        <w:pageBreakBefore w:val="0"/>
        <w:spacing w:before="0" w:after="0"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单位的</w:t>
      </w:r>
      <w:r>
        <w:rPr>
          <w:rFonts w:hint="eastAsia" w:ascii="宋体" w:hAnsi="宋体" w:cs="宋体"/>
          <w:color w:val="000000"/>
          <w:spacing w:val="6"/>
          <w:sz w:val="24"/>
          <w:highlight w:val="none"/>
          <w:u w:val="single"/>
          <w:lang w:val="en-US" w:eastAsia="zh-CN"/>
        </w:rPr>
        <w:t xml:space="preserve">    </w:t>
      </w:r>
      <w:r>
        <w:rPr>
          <w:rFonts w:hint="eastAsia" w:ascii="宋体" w:hAnsi="宋体" w:cs="宋体"/>
          <w:color w:val="000000"/>
          <w:spacing w:val="6"/>
          <w:sz w:val="24"/>
          <w:highlight w:val="none"/>
          <w:lang w:val="en-US" w:eastAsia="zh-CN"/>
        </w:rPr>
        <w:t xml:space="preserve"> </w:t>
      </w:r>
      <w:r>
        <w:rPr>
          <w:rFonts w:hint="eastAsia" w:ascii="宋体" w:hAnsi="宋体" w:eastAsia="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单位名称</w:t>
      </w:r>
      <w:r>
        <w:rPr>
          <w:rFonts w:hint="eastAsia" w:ascii="宋体" w:hAnsi="宋体" w:eastAsia="宋体" w:cs="宋体"/>
          <w:color w:val="000000"/>
          <w:sz w:val="24"/>
          <w:highlight w:val="none"/>
        </w:rPr>
        <w:t xml:space="preserve">（电子签章）：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99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1034"/>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1034"/>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1034"/>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1054"/>
        <w:rPr>
          <w:highlight w:val="none"/>
        </w:rPr>
      </w:pPr>
      <w:r>
        <w:rPr>
          <w:highlight w:val="none"/>
        </w:rPr>
      </w:r>
      <w:r/>
    </w:p>
    <w:p>
      <w:pPr>
        <w:pStyle w:val="1017"/>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1017"/>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100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00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cs="宋体"/>
          <w:color w:val="000000"/>
          <w:sz w:val="24"/>
          <w:highlight w:val="none"/>
          <w:lang w:val="en-US" w:eastAsia="zh-CN"/>
        </w:rPr>
        <w:t xml:space="preserve"> 年  月  日</w:t>
      </w:r>
      <w:r/>
    </w:p>
    <w:p>
      <w:pPr>
        <w:pStyle w:val="1001"/>
        <w:ind w:firstLine="560"/>
        <w:rPr>
          <w:rFonts w:hint="eastAsia" w:ascii="仿宋" w:hAnsi="仿宋" w:eastAsia="仿宋" w:cs="仿宋"/>
          <w:highlight w:val="none"/>
        </w:rPr>
      </w:pPr>
      <w:r>
        <w:rPr>
          <w:rFonts w:hint="eastAsia" w:ascii="仿宋" w:hAnsi="仿宋" w:eastAsia="仿宋" w:cs="仿宋"/>
          <w:highlight w:val="none"/>
        </w:rPr>
      </w:r>
      <w:r/>
    </w:p>
    <w:p>
      <w:pPr>
        <w:pStyle w:val="1001"/>
        <w:ind w:firstLine="560"/>
        <w:rPr>
          <w:rFonts w:hint="eastAsia" w:ascii="仿宋" w:hAnsi="仿宋" w:eastAsia="仿宋" w:cs="仿宋"/>
          <w:highlight w:val="none"/>
        </w:rPr>
      </w:pPr>
      <w:r>
        <w:rPr>
          <w:rFonts w:hint="eastAsia" w:ascii="仿宋" w:hAnsi="仿宋" w:eastAsia="仿宋" w:cs="仿宋"/>
          <w:highlight w:val="none"/>
        </w:rPr>
      </w:r>
      <w:r/>
    </w:p>
    <w:p>
      <w:pPr>
        <w:pStyle w:val="105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ind w:firstLine="600"/>
        <w:jc w:val="center"/>
        <w:spacing w:line="360" w:lineRule="auto"/>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zh-CN"/>
        </w:rPr>
        <w:t xml:space="preserve">15、</w:t>
      </w:r>
      <w:r>
        <w:rPr>
          <w:rFonts w:hint="eastAsia" w:ascii="宋体" w:hAnsi="宋体" w:eastAsia="宋体" w:cs="宋体"/>
          <w:b/>
          <w:bCs/>
          <w:color w:val="000000"/>
          <w:sz w:val="28"/>
          <w:szCs w:val="28"/>
          <w:highlight w:val="none"/>
        </w:rPr>
        <w:t xml:space="preserve">招标代理服务收费标准</w:t>
      </w:r>
      <w:r/>
    </w:p>
    <w:tbl>
      <w:tblPr>
        <w:tblStyle w:val="121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87"/>
        <w:gridCol w:w="3343"/>
      </w:tblGrid>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费率</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5000元</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1.6%</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50-400万元(含400万元)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400-1000万元(含1000万元)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1000-5000万元(含5000万元)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0.8%</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5000-1亿元(含1亿元)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0.25%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1-10亿元(含10亿元)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0.05%</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10-50亿元(含50亿元)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0.01%</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50亿元以上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w:t>
      </w:r>
      <w:r>
        <w:rPr>
          <w:rFonts w:hint="eastAsia" w:ascii="宋体" w:hAnsi="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8、关于进一步规范政府采购活动相关费用管理的通知(苏财规[2026]1号)评审活动相关费用</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rPr>
        <w:t xml:space="preserve">评审专家参加省内政府采购项目评审时应获得的专家评审费按以下规定进行管理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(二)远程异地评标项目专家评审费按评审专家属地规定的标准支付。</w:t>
      </w:r>
      <w:r/>
    </w:p>
    <w:p>
      <w:pPr>
        <w:keepLines w:val="0"/>
        <w:keepNext w:val="0"/>
        <w:pageBreakBefore w:val="0"/>
        <w:spacing w:line="440" w:lineRule="exact"/>
        <w:widowControl w:val="off"/>
        <w:rPr>
          <w:rFonts w:hint="eastAsia"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rPr>
        <w:t xml:space="preserve">(三)专家评审费应在项目评审完成后30个工作日内支付专家。因专家原因导致项目废标，则不需要向应当承担责任的专家支付费用。</w:t>
      </w:r>
      <w:r/>
    </w:p>
    <w:p>
      <w:pPr>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9、本项目经苏服采服务类网上商城中选，最终代理服务费金额为：13000元整。</w:t>
      </w:r>
      <w:r/>
    </w:p>
    <w:p>
      <w:pPr>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br w:type="page" w:clear="all"/>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w:t>
      </w:r>
      <w:r>
        <w:rPr>
          <w:rFonts w:hint="eastAsia" w:ascii="宋体" w:hAnsi="宋体" w:cs="宋体"/>
          <w:b/>
          <w:bCs/>
          <w:sz w:val="30"/>
          <w:szCs w:val="30"/>
          <w:highlight w:val="none"/>
          <w:lang w:val="en-US" w:eastAsia="zh-CN" w:bidi="ar-SA"/>
        </w:rPr>
        <w:t xml:space="preserve">6</w:t>
      </w:r>
      <w:r>
        <w:rPr>
          <w:rFonts w:hint="eastAsia" w:ascii="宋体" w:hAnsi="宋体" w:eastAsia="宋体" w:cs="宋体"/>
          <w:b/>
          <w:bCs/>
          <w:sz w:val="30"/>
          <w:szCs w:val="30"/>
          <w:highlight w:val="none"/>
          <w:lang w:val="en-US" w:eastAsia="zh-CN" w:bidi="ar-SA"/>
        </w:rPr>
        <w:t xml:space="preserve">、</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rPr>
          <w:rFonts w:hint="eastAsia" w:ascii="宋体" w:hAnsi="宋体" w:eastAsia="宋体" w:cs="宋体"/>
          <w:highlight w:val="none"/>
        </w:rPr>
      </w:pPr>
      <w:r>
        <w:rPr>
          <w:rFonts w:hint="eastAsia" w:ascii="宋体" w:hAnsi="宋体" w:eastAsia="宋体" w:cs="宋体"/>
          <w:highlight w:val="none"/>
        </w:rPr>
      </w:r>
      <w:r/>
    </w:p>
    <w:sectPr>
      <w:headerReference w:type="default" r:id="rId12"/>
      <w:footerReference w:type="defaul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等线">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23"/>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10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7"/>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tabs>
        <w:tab w:val="right" w:pos="4153" w:leader="none"/>
        <w:tab w:val="left" w:pos="8306" w:leader="underscore"/>
      </w:tabs>
      <w:rPr>
        <w:rStyle w:val="120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pStyle w:val="1034"/>
      <w:rPr>
        <w:rStyle w:val="1207"/>
        <w:rFonts w:ascii="隶书" w:eastAsia="隶书"/>
        <w:b/>
        <w:i/>
        <w:sz w:val="18"/>
      </w:rPr>
    </w:pPr>
    <w:r>
      <w:rPr>
        <w:rFonts w:ascii="隶书" w:eastAsia="隶书"/>
        <w:b/>
        <w:i/>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right" w:pos="4153" w:leader="none"/>
        <w:tab w:val="left" w:pos="8306" w:leader="underscore"/>
      </w:tabs>
      <w:rPr>
        <w:rStyle w:val="1207"/>
        <w:sz w:val="18"/>
      </w:rPr>
    </w:pPr>
    <w:r>
      <w:rPr>
        <w:sz w:val="18"/>
      </w:rPr>
    </w:r>
    <w:r/>
  </w:p>
  <w:p>
    <w:pPr>
      <w:pStyle w:val="1034"/>
      <w:rPr>
        <w:rStyle w:val="1207"/>
        <w:sz w:val="18"/>
      </w:rP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0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name w:val="Heading 1"/>
    <w:basedOn w:val="983"/>
    <w:next w:val="983"/>
    <w:link w:val="1055"/>
    <w:uiPriority w:val="9"/>
    <w:qFormat/>
    <w:pPr>
      <w:keepLines/>
      <w:keepNext/>
      <w:spacing w:before="480" w:after="200"/>
      <w:outlineLvl w:val="0"/>
    </w:pPr>
    <w:rPr>
      <w:rFonts w:ascii="Arial" w:hAnsi="Arial" w:eastAsia="Arial" w:cs="Arial"/>
      <w:sz w:val="40"/>
      <w:szCs w:val="40"/>
    </w:rPr>
  </w:style>
  <w:style w:type="paragraph" w:styleId="985">
    <w:name w:val="Heading 2"/>
    <w:basedOn w:val="983"/>
    <w:next w:val="98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86">
    <w:name w:val="Heading 3"/>
    <w:basedOn w:val="983"/>
    <w:next w:val="983"/>
    <w:link w:val="1057"/>
    <w:uiPriority w:val="9"/>
    <w:unhideWhenUsed/>
    <w:qFormat/>
    <w:pPr>
      <w:keepLines/>
      <w:keepNext/>
      <w:spacing w:before="320" w:after="200"/>
      <w:outlineLvl w:val="2"/>
    </w:pPr>
    <w:rPr>
      <w:rFonts w:ascii="Arial" w:hAnsi="Arial" w:eastAsia="Arial" w:cs="Arial"/>
      <w:sz w:val="30"/>
      <w:szCs w:val="30"/>
    </w:rPr>
  </w:style>
  <w:style w:type="paragraph" w:styleId="987">
    <w:name w:val="Heading 4"/>
    <w:basedOn w:val="983"/>
    <w:next w:val="983"/>
    <w:uiPriority w:val="0"/>
    <w:qFormat/>
    <w:pPr>
      <w:keepLines/>
      <w:keepNext/>
      <w:spacing w:before="280" w:after="290" w:line="372" w:lineRule="auto"/>
      <w:outlineLvl w:val="3"/>
    </w:pPr>
    <w:rPr>
      <w:rFonts w:ascii="Cambria" w:hAnsi="Cambria"/>
      <w:b/>
      <w:bCs/>
      <w:sz w:val="28"/>
      <w:szCs w:val="28"/>
    </w:rPr>
  </w:style>
  <w:style w:type="paragraph" w:styleId="988">
    <w:name w:val="Heading 5"/>
    <w:basedOn w:val="983"/>
    <w:next w:val="983"/>
    <w:uiPriority w:val="0"/>
    <w:qFormat/>
    <w:pPr>
      <w:keepLines/>
      <w:keepNext/>
      <w:spacing w:before="280" w:after="290" w:line="372" w:lineRule="auto"/>
      <w:outlineLvl w:val="4"/>
    </w:pPr>
    <w:rPr>
      <w:b/>
      <w:bCs/>
      <w:sz w:val="28"/>
      <w:szCs w:val="28"/>
    </w:rPr>
  </w:style>
  <w:style w:type="paragraph" w:styleId="989">
    <w:name w:val="Heading 6"/>
    <w:basedOn w:val="983"/>
    <w:next w:val="983"/>
    <w:link w:val="1060"/>
    <w:uiPriority w:val="9"/>
    <w:unhideWhenUsed/>
    <w:qFormat/>
    <w:pPr>
      <w:keepLines/>
      <w:keepNext/>
      <w:spacing w:before="320" w:after="200"/>
      <w:outlineLvl w:val="5"/>
    </w:pPr>
    <w:rPr>
      <w:rFonts w:ascii="Arial" w:hAnsi="Arial" w:eastAsia="Arial" w:cs="Arial"/>
      <w:b/>
      <w:bCs/>
      <w:sz w:val="22"/>
      <w:szCs w:val="22"/>
    </w:rPr>
  </w:style>
  <w:style w:type="paragraph" w:styleId="990">
    <w:name w:val="Heading 7"/>
    <w:basedOn w:val="983"/>
    <w:next w:val="983"/>
    <w:link w:val="1061"/>
    <w:uiPriority w:val="9"/>
    <w:unhideWhenUsed/>
    <w:qFormat/>
    <w:pPr>
      <w:keepLines/>
      <w:keepNext/>
      <w:spacing w:before="320" w:after="200"/>
      <w:outlineLvl w:val="6"/>
    </w:pPr>
    <w:rPr>
      <w:rFonts w:ascii="Arial" w:hAnsi="Arial" w:eastAsia="Arial" w:cs="Arial"/>
      <w:b/>
      <w:bCs/>
      <w:i/>
      <w:iCs/>
      <w:sz w:val="22"/>
      <w:szCs w:val="22"/>
    </w:rPr>
  </w:style>
  <w:style w:type="paragraph" w:styleId="991">
    <w:name w:val="Heading 8"/>
    <w:basedOn w:val="983"/>
    <w:next w:val="983"/>
    <w:link w:val="1062"/>
    <w:uiPriority w:val="9"/>
    <w:unhideWhenUsed/>
    <w:qFormat/>
    <w:pPr>
      <w:keepLines/>
      <w:keepNext/>
      <w:spacing w:before="320" w:after="200"/>
      <w:outlineLvl w:val="7"/>
    </w:pPr>
    <w:rPr>
      <w:rFonts w:ascii="Arial" w:hAnsi="Arial" w:eastAsia="Arial" w:cs="Arial"/>
      <w:i/>
      <w:iCs/>
      <w:sz w:val="22"/>
      <w:szCs w:val="22"/>
    </w:rPr>
  </w:style>
  <w:style w:type="paragraph" w:styleId="992">
    <w:name w:val="Heading 9"/>
    <w:basedOn w:val="983"/>
    <w:next w:val="983"/>
    <w:link w:val="1063"/>
    <w:uiPriority w:val="9"/>
    <w:unhideWhenUsed/>
    <w:qFormat/>
    <w:pPr>
      <w:keepLines/>
      <w:keepNext/>
      <w:spacing w:before="320" w:after="200"/>
      <w:outlineLvl w:val="8"/>
    </w:pPr>
    <w:rPr>
      <w:rFonts w:ascii="Arial" w:hAnsi="Arial" w:eastAsia="Arial" w:cs="Arial"/>
      <w:i/>
      <w:iCs/>
      <w:sz w:val="21"/>
      <w:szCs w:val="21"/>
    </w:rPr>
  </w:style>
  <w:style w:type="character" w:styleId="993" w:default="1">
    <w:name w:val="Default Paragraph Font"/>
    <w:uiPriority w:val="0"/>
    <w:semiHidden/>
    <w:qFormat/>
  </w:style>
  <w:style w:type="table" w:styleId="994" w:default="1">
    <w:name w:val="Normal Table"/>
    <w:uiPriority w:val="0"/>
    <w:semiHidden/>
    <w:qFormat/>
    <w:tblPr>
      <w:tblCellMar>
        <w:left w:w="108" w:type="dxa"/>
        <w:top w:w="0" w:type="dxa"/>
        <w:right w:w="108" w:type="dxa"/>
        <w:bottom w:w="0" w:type="dxa"/>
      </w:tblCellMar>
    </w:tblPr>
  </w:style>
  <w:style w:type="paragraph" w:styleId="995">
    <w:name w:val="toc 7"/>
    <w:basedOn w:val="983"/>
    <w:next w:val="983"/>
    <w:uiPriority w:val="39"/>
    <w:unhideWhenUsed/>
    <w:qFormat/>
    <w:pPr>
      <w:ind w:left="1701" w:right="0" w:firstLine="0"/>
      <w:spacing w:after="57"/>
    </w:pPr>
  </w:style>
  <w:style w:type="paragraph" w:styleId="996">
    <w:name w:val="Caption"/>
    <w:basedOn w:val="983"/>
    <w:next w:val="9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97">
    <w:name w:val="Body Text"/>
    <w:basedOn w:val="983"/>
    <w:next w:val="998"/>
    <w:uiPriority w:val="99"/>
    <w:qFormat/>
    <w:pPr>
      <w:spacing w:after="120"/>
    </w:pPr>
    <w:rPr>
      <w:rFonts w:ascii="Calibri" w:hAnsi="Calibri"/>
    </w:rPr>
  </w:style>
  <w:style w:type="paragraph" w:styleId="998">
    <w:name w:val="toc 2"/>
    <w:basedOn w:val="983"/>
    <w:next w:val="983"/>
    <w:uiPriority w:val="39"/>
    <w:unhideWhenUsed/>
    <w:qFormat/>
    <w:pPr>
      <w:ind w:left="283" w:right="0" w:firstLine="0"/>
      <w:spacing w:after="57"/>
    </w:pPr>
  </w:style>
  <w:style w:type="paragraph" w:styleId="999">
    <w:name w:val="Body Text Indent"/>
    <w:basedOn w:val="983"/>
    <w:next w:val="1000"/>
    <w:uiPriority w:val="0"/>
    <w:qFormat/>
    <w:pPr>
      <w:ind w:left="420"/>
      <w:spacing w:after="120"/>
    </w:pPr>
    <w:rPr>
      <w:rFonts w:ascii="Calibri" w:hAnsi="Calibri"/>
    </w:rPr>
  </w:style>
  <w:style w:type="paragraph" w:styleId="1000">
    <w:name w:val="envelope return"/>
    <w:basedOn w:val="983"/>
    <w:uiPriority w:val="0"/>
    <w:qFormat/>
    <w:rPr>
      <w:rFonts w:ascii="Arial" w:hAnsi="Arial"/>
    </w:rPr>
  </w:style>
  <w:style w:type="paragraph" w:styleId="1001">
    <w:name w:val="Block Text"/>
    <w:basedOn w:val="983"/>
    <w:uiPriority w:val="99"/>
    <w:unhideWhenUsed/>
    <w:qFormat/>
    <w:pPr>
      <w:ind w:left="1440" w:right="1440"/>
      <w:spacing w:after="120"/>
    </w:pPr>
  </w:style>
  <w:style w:type="paragraph" w:styleId="1002">
    <w:name w:val="index 4"/>
    <w:basedOn w:val="983"/>
    <w:next w:val="983"/>
    <w:uiPriority w:val="0"/>
    <w:qFormat/>
    <w:pPr>
      <w:ind w:left="600"/>
    </w:pPr>
  </w:style>
  <w:style w:type="paragraph" w:styleId="1003">
    <w:name w:val="toc 5"/>
    <w:basedOn w:val="983"/>
    <w:next w:val="983"/>
    <w:uiPriority w:val="39"/>
    <w:unhideWhenUsed/>
    <w:qFormat/>
    <w:pPr>
      <w:ind w:left="1134" w:right="0" w:firstLine="0"/>
      <w:spacing w:after="57"/>
    </w:pPr>
  </w:style>
  <w:style w:type="paragraph" w:styleId="1004">
    <w:name w:val="toc 3"/>
    <w:basedOn w:val="983"/>
    <w:next w:val="983"/>
    <w:uiPriority w:val="39"/>
    <w:unhideWhenUsed/>
    <w:qFormat/>
    <w:pPr>
      <w:ind w:left="567" w:right="0" w:firstLine="0"/>
      <w:spacing w:after="57"/>
    </w:pPr>
  </w:style>
  <w:style w:type="paragraph" w:styleId="1005">
    <w:name w:val="toc 8"/>
    <w:basedOn w:val="983"/>
    <w:next w:val="983"/>
    <w:uiPriority w:val="39"/>
    <w:unhideWhenUsed/>
    <w:qFormat/>
    <w:pPr>
      <w:ind w:left="1984" w:right="0" w:firstLine="0"/>
      <w:spacing w:after="57"/>
    </w:pPr>
  </w:style>
  <w:style w:type="paragraph" w:styleId="1006">
    <w:name w:val="endnote text"/>
    <w:basedOn w:val="983"/>
    <w:link w:val="1201"/>
    <w:uiPriority w:val="99"/>
    <w:semiHidden/>
    <w:unhideWhenUsed/>
    <w:qFormat/>
    <w:pPr>
      <w:spacing w:after="0" w:line="240" w:lineRule="auto"/>
    </w:pPr>
    <w:rPr>
      <w:sz w:val="20"/>
    </w:rPr>
  </w:style>
  <w:style w:type="paragraph" w:styleId="1007">
    <w:name w:val="Footer"/>
    <w:basedOn w:val="983"/>
    <w:uiPriority w:val="0"/>
    <w:qFormat/>
    <w:pPr>
      <w:jc w:val="left"/>
      <w:tabs>
        <w:tab w:val="center" w:pos="4153" w:leader="none"/>
        <w:tab w:val="right" w:pos="8306" w:leader="none"/>
      </w:tabs>
    </w:pPr>
    <w:rPr>
      <w:sz w:val="18"/>
      <w:szCs w:val="18"/>
    </w:rPr>
  </w:style>
  <w:style w:type="paragraph" w:styleId="1008">
    <w:name w:val="Header"/>
    <w:basedOn w:val="98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009">
    <w:name w:val="toc 1"/>
    <w:basedOn w:val="983"/>
    <w:next w:val="983"/>
    <w:uiPriority w:val="39"/>
    <w:qFormat/>
  </w:style>
  <w:style w:type="paragraph" w:styleId="1010">
    <w:name w:val="toc 4"/>
    <w:basedOn w:val="983"/>
    <w:next w:val="983"/>
    <w:uiPriority w:val="39"/>
    <w:unhideWhenUsed/>
    <w:qFormat/>
    <w:pPr>
      <w:ind w:left="850" w:right="0" w:firstLine="0"/>
      <w:spacing w:after="57"/>
    </w:pPr>
  </w:style>
  <w:style w:type="paragraph" w:styleId="1011">
    <w:name w:val="Subtitle"/>
    <w:basedOn w:val="983"/>
    <w:next w:val="983"/>
    <w:link w:val="1067"/>
    <w:uiPriority w:val="11"/>
    <w:qFormat/>
    <w:pPr>
      <w:spacing w:before="200" w:after="200"/>
    </w:pPr>
    <w:rPr>
      <w:sz w:val="24"/>
      <w:szCs w:val="24"/>
    </w:rPr>
  </w:style>
  <w:style w:type="paragraph" w:styleId="1012">
    <w:name w:val="footnote text"/>
    <w:basedOn w:val="983"/>
    <w:link w:val="1200"/>
    <w:uiPriority w:val="99"/>
    <w:semiHidden/>
    <w:unhideWhenUsed/>
    <w:qFormat/>
    <w:pPr>
      <w:spacing w:after="40" w:line="240" w:lineRule="auto"/>
    </w:pPr>
    <w:rPr>
      <w:sz w:val="18"/>
    </w:rPr>
  </w:style>
  <w:style w:type="paragraph" w:styleId="1013">
    <w:name w:val="toc 6"/>
    <w:basedOn w:val="983"/>
    <w:next w:val="983"/>
    <w:uiPriority w:val="39"/>
    <w:unhideWhenUsed/>
    <w:qFormat/>
    <w:pPr>
      <w:ind w:left="1417" w:right="0" w:firstLine="0"/>
      <w:spacing w:after="57"/>
    </w:pPr>
  </w:style>
  <w:style w:type="paragraph" w:styleId="1014">
    <w:name w:val="table of figures"/>
    <w:basedOn w:val="983"/>
    <w:next w:val="983"/>
    <w:uiPriority w:val="99"/>
    <w:unhideWhenUsed/>
    <w:qFormat/>
    <w:pPr>
      <w:spacing w:after="0" w:afterAutospacing="0"/>
    </w:pPr>
  </w:style>
  <w:style w:type="paragraph" w:styleId="1015">
    <w:name w:val="toc 9"/>
    <w:basedOn w:val="983"/>
    <w:next w:val="983"/>
    <w:uiPriority w:val="39"/>
    <w:unhideWhenUsed/>
    <w:qFormat/>
    <w:pPr>
      <w:ind w:left="2268" w:right="0" w:firstLine="0"/>
      <w:spacing w:after="57"/>
    </w:pPr>
  </w:style>
  <w:style w:type="paragraph" w:styleId="1016">
    <w:name w:val="Body Text 2"/>
    <w:basedOn w:val="983"/>
    <w:uiPriority w:val="0"/>
    <w:qFormat/>
    <w:pPr>
      <w:jc w:val="center"/>
      <w:widowControl/>
    </w:pPr>
    <w:rPr>
      <w:rFonts w:ascii="楷体_GB2312" w:eastAsia="楷体_GB2312"/>
      <w:sz w:val="28"/>
      <w:szCs w:val="28"/>
    </w:rPr>
  </w:style>
  <w:style w:type="paragraph" w:styleId="1017">
    <w:name w:val="Normal (Web)"/>
    <w:basedOn w:val="983"/>
    <w:uiPriority w:val="99"/>
    <w:qFormat/>
    <w:pPr>
      <w:jc w:val="left"/>
      <w:spacing w:before="100" w:beforeAutospacing="1" w:after="100" w:afterAutospacing="1"/>
      <w:widowControl/>
    </w:pPr>
    <w:rPr>
      <w:rFonts w:ascii="宋体" w:hAnsi="宋体" w:cs="宋体"/>
      <w:sz w:val="24"/>
    </w:rPr>
  </w:style>
  <w:style w:type="paragraph" w:styleId="1018">
    <w:name w:val="Title"/>
    <w:basedOn w:val="983"/>
    <w:next w:val="983"/>
    <w:link w:val="1066"/>
    <w:uiPriority w:val="10"/>
    <w:qFormat/>
    <w:pPr>
      <w:contextualSpacing/>
      <w:spacing w:before="300" w:after="200"/>
    </w:pPr>
    <w:rPr>
      <w:sz w:val="48"/>
      <w:szCs w:val="48"/>
    </w:rPr>
  </w:style>
  <w:style w:type="paragraph" w:styleId="1019">
    <w:name w:val="Body Text First Indent"/>
    <w:basedOn w:val="997"/>
    <w:uiPriority w:val="0"/>
    <w:qFormat/>
    <w:pPr>
      <w:ind w:firstLine="420"/>
    </w:pPr>
  </w:style>
  <w:style w:type="paragraph" w:styleId="1020">
    <w:name w:val="Body Text First Indent 2"/>
    <w:basedOn w:val="999"/>
    <w:next w:val="983"/>
    <w:uiPriority w:val="0"/>
    <w:qFormat/>
    <w:pPr>
      <w:ind w:firstLine="420"/>
      <w:spacing w:line="360" w:lineRule="auto"/>
    </w:pPr>
    <w:rPr>
      <w:color w:val="000000"/>
      <w:sz w:val="20"/>
    </w:rPr>
  </w:style>
  <w:style w:type="table" w:styleId="1021">
    <w:name w:val="Table Grid"/>
    <w:basedOn w:val="99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endnote reference"/>
    <w:basedOn w:val="993"/>
    <w:uiPriority w:val="99"/>
    <w:semiHidden/>
    <w:unhideWhenUsed/>
    <w:qFormat/>
    <w:rPr>
      <w:vertAlign w:val="superscript"/>
    </w:rPr>
  </w:style>
  <w:style w:type="character" w:styleId="1023">
    <w:name w:val="page number"/>
    <w:basedOn w:val="993"/>
    <w:uiPriority w:val="0"/>
    <w:qFormat/>
  </w:style>
  <w:style w:type="character" w:styleId="1024">
    <w:name w:val="Hyperlink"/>
    <w:uiPriority w:val="99"/>
    <w:unhideWhenUsed/>
    <w:qFormat/>
    <w:rPr>
      <w:color w:val="0563c1" w:themeColor="hyperlink"/>
      <w:u w:val="single"/>
      <w14:textFill>
        <w14:solidFill>
          <w14:schemeClr w14:val="hlink"/>
        </w14:solidFill>
      </w14:textFill>
    </w:rPr>
  </w:style>
  <w:style w:type="character" w:styleId="1025">
    <w:name w:val="footnote reference"/>
    <w:basedOn w:val="993"/>
    <w:uiPriority w:val="99"/>
    <w:unhideWhenUsed/>
    <w:qFormat/>
    <w:rPr>
      <w:vertAlign w:val="superscript"/>
    </w:rPr>
  </w:style>
  <w:style w:type="paragraph" w:styleId="1026" w:customStyle="1">
    <w:name w:val="一级条标题"/>
    <w:basedOn w:val="1027"/>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basedOn w:val="1028"/>
    <w:next w:val="9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8" w:customStyle="1">
    <w:name w:val="正文111"/>
    <w:next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文本1"/>
    <w:basedOn w:val="1030"/>
    <w:next w:val="1028"/>
    <w:uiPriority w:val="0"/>
    <w:qFormat/>
    <w:pPr>
      <w:spacing w:after="120"/>
    </w:pPr>
  </w:style>
  <w:style w:type="paragraph" w:styleId="1030" w:customStyle="1">
    <w:name w:val="正文13"/>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首行缩进1"/>
    <w:basedOn w:val="1032"/>
    <w:uiPriority w:val="0"/>
    <w:qFormat/>
    <w:pPr>
      <w:ind w:firstLine="420"/>
      <w:spacing w:after="120" w:line="240" w:lineRule="auto"/>
    </w:pPr>
    <w:rPr>
      <w:rFonts w:eastAsia="宋体"/>
      <w:sz w:val="21"/>
    </w:rPr>
  </w:style>
  <w:style w:type="paragraph" w:styleId="1032" w:customStyle="1">
    <w:name w:val="正文文本11"/>
    <w:basedOn w:val="1033"/>
    <w:next w:val="1034"/>
    <w:uiPriority w:val="0"/>
    <w:qFormat/>
    <w:rPr>
      <w:rFonts w:ascii="仿宋_GB2312" w:eastAsia="仿宋_GB2312"/>
      <w:color w:val="000000"/>
      <w:sz w:val="24"/>
      <w:u w:val="single"/>
    </w:rPr>
  </w:style>
  <w:style w:type="paragraph" w:styleId="1033" w:customStyle="1">
    <w:name w:val="正文112"/>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11"/>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5" w:customStyle="1">
    <w:name w:val="正文文本 21"/>
    <w:basedOn w:val="1028"/>
    <w:uiPriority w:val="0"/>
    <w:qFormat/>
    <w:pPr>
      <w:jc w:val="center"/>
      <w:widowControl/>
    </w:pPr>
    <w:rPr>
      <w:rFonts w:ascii="楷体_GB2312" w:eastAsia="楷体_GB2312"/>
      <w:sz w:val="28"/>
      <w:szCs w:val="28"/>
    </w:rPr>
  </w:style>
  <w:style w:type="paragraph" w:styleId="1036" w:customStyle="1">
    <w:name w:val="段"/>
    <w:basedOn w:val="1037"/>
    <w:next w:val="983"/>
    <w:uiPriority w:val="0"/>
    <w:qFormat/>
    <w:pPr>
      <w:ind w:firstLine="200"/>
      <w:widowControl/>
    </w:pPr>
    <w:rPr>
      <w:sz w:val="20"/>
    </w:rPr>
  </w:style>
  <w:style w:type="paragraph" w:styleId="1037" w:customStyle="1">
    <w:name w:val="正文1"/>
    <w:basedOn w:val="1028"/>
    <w:next w:val="1038"/>
    <w:link w:val="1207"/>
    <w:uiPriority w:val="0"/>
    <w:qFormat/>
    <w:pPr>
      <w:jc w:val="left"/>
      <w:spacing w:line="360" w:lineRule="atLeast"/>
    </w:pPr>
    <w:rPr>
      <w:rFonts w:ascii="宋体" w:hAnsiTheme="minorHAnsi" w:eastAsiaTheme="minorEastAsia" w:cstheme="minorBidi"/>
      <w:sz w:val="24"/>
      <w:szCs w:val="20"/>
    </w:rPr>
  </w:style>
  <w:style w:type="paragraph" w:styleId="1038" w:customStyle="1">
    <w:name w:val="文本块1"/>
    <w:basedOn w:val="1039"/>
    <w:next w:val="983"/>
    <w:uiPriority w:val="0"/>
    <w:qFormat/>
    <w:pPr>
      <w:ind w:left="420" w:right="33"/>
      <w:jc w:val="left"/>
    </w:pPr>
    <w:rPr>
      <w:rFonts w:ascii="Times New Roman" w:hAnsi="Times New Roman" w:eastAsia="宋体"/>
      <w:sz w:val="24"/>
      <w:szCs w:val="20"/>
    </w:rPr>
  </w:style>
  <w:style w:type="paragraph" w:styleId="1039" w:customStyle="1">
    <w:name w:val="正文12"/>
    <w:next w:val="1040"/>
    <w:uiPriority w:val="0"/>
    <w:qFormat/>
    <w:rPr>
      <w:rFonts w:hint="default" w:ascii="Times New Roman" w:hAnsi="Times New Roman" w:eastAsia="宋体" w:cs="Times New Roman"/>
      <w:lang w:val="en-US" w:eastAsia="zh-CN" w:bidi="ar-SA"/>
    </w:rPr>
  </w:style>
  <w:style w:type="paragraph" w:styleId="1040" w:customStyle="1">
    <w:name w:val="文本块11"/>
    <w:basedOn w:val="1041"/>
    <w:uiPriority w:val="0"/>
    <w:qFormat/>
    <w:pPr>
      <w:ind w:left="256" w:right="6" w:firstLine="624"/>
    </w:pPr>
    <w:rPr>
      <w:rFonts w:ascii="Arial" w:hAnsi="Arial" w:eastAsia="仿宋"/>
      <w:sz w:val="28"/>
    </w:rPr>
  </w:style>
  <w:style w:type="paragraph" w:styleId="1041" w:customStyle="1">
    <w:name w:val="正文121"/>
    <w:next w:val="104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42" w:customStyle="1">
    <w:name w:val="正文首行缩进 211"/>
    <w:basedOn w:val="1043"/>
    <w:next w:val="1041"/>
    <w:uiPriority w:val="0"/>
    <w:qFormat/>
    <w:pPr>
      <w:ind w:firstLine="420"/>
    </w:pPr>
    <w:rPr>
      <w:sz w:val="24"/>
    </w:rPr>
  </w:style>
  <w:style w:type="paragraph" w:styleId="1043" w:customStyle="1">
    <w:name w:val="正文文本缩进111"/>
    <w:basedOn w:val="983"/>
    <w:next w:val="1044"/>
    <w:uiPriority w:val="0"/>
    <w:qFormat/>
    <w:pPr>
      <w:ind w:firstLine="192"/>
    </w:pPr>
    <w:rPr>
      <w:sz w:val="28"/>
    </w:rPr>
  </w:style>
  <w:style w:type="paragraph" w:styleId="1044" w:customStyle="1">
    <w:name w:val="样式 正文文本缩进 + 首行缩进:  2 字符 行距: 1.5 倍行距"/>
    <w:basedOn w:val="1045"/>
    <w:uiPriority w:val="0"/>
    <w:qFormat/>
    <w:pPr>
      <w:ind w:firstLine="645"/>
      <w:spacing w:before="156" w:after="120"/>
    </w:pPr>
    <w:rPr>
      <w:rFonts w:ascii="Calibri" w:hAnsi="Calibri"/>
      <w:sz w:val="28"/>
    </w:rPr>
  </w:style>
  <w:style w:type="paragraph" w:styleId="1045" w:customStyle="1">
    <w:name w:val="正文文本缩进1"/>
    <w:basedOn w:val="1034"/>
    <w:next w:val="1044"/>
    <w:uiPriority w:val="0"/>
    <w:qFormat/>
    <w:pPr>
      <w:ind w:left="420"/>
      <w:spacing w:after="120"/>
    </w:pPr>
  </w:style>
  <w:style w:type="paragraph" w:styleId="1046" w:customStyle="1">
    <w:name w:val="脚注文本1"/>
    <w:basedOn w:val="1039"/>
    <w:next w:val="1047"/>
    <w:uiPriority w:val="0"/>
    <w:qFormat/>
    <w:pPr>
      <w:jc w:val="left"/>
    </w:pPr>
    <w:rPr>
      <w:rFonts w:ascii="宋体" w:hAnsi="Arial" w:eastAsia="Times New Roman"/>
      <w:sz w:val="18"/>
      <w:szCs w:val="18"/>
    </w:rPr>
  </w:style>
  <w:style w:type="paragraph" w:styleId="1047" w:customStyle="1">
    <w:name w:val="索引 51"/>
    <w:basedOn w:val="1028"/>
    <w:next w:val="1037"/>
    <w:uiPriority w:val="0"/>
    <w:qFormat/>
    <w:pPr>
      <w:ind w:left="800"/>
    </w:pPr>
    <w:rPr>
      <w:rFonts w:ascii="Calibri" w:hAnsi="Calibri"/>
      <w:sz w:val="22"/>
      <w:szCs w:val="22"/>
    </w:rPr>
  </w:style>
  <w:style w:type="paragraph" w:styleId="1048" w:customStyle="1">
    <w:name w:val="目录 11"/>
    <w:basedOn w:val="1039"/>
    <w:next w:val="1034"/>
    <w:uiPriority w:val="0"/>
    <w:qFormat/>
    <w:pPr>
      <w:jc w:val="left"/>
      <w:spacing w:before="120" w:after="120"/>
    </w:pPr>
    <w:rPr>
      <w:rFonts w:ascii="Calibri" w:hAnsi="Calibri"/>
      <w:b/>
      <w:bCs/>
      <w:caps/>
      <w:sz w:val="20"/>
      <w:szCs w:val="20"/>
    </w:rPr>
  </w:style>
  <w:style w:type="paragraph" w:styleId="1049" w:customStyle="1">
    <w:name w:val="寄信人地址1"/>
    <w:basedOn w:val="1039"/>
    <w:uiPriority w:val="0"/>
    <w:qFormat/>
    <w:rPr>
      <w:rFonts w:ascii="Arial" w:hAnsi="Arial" w:eastAsia="Arial"/>
    </w:rPr>
  </w:style>
  <w:style w:type="paragraph" w:styleId="1050" w:customStyle="1">
    <w:name w:val="标题 41"/>
    <w:basedOn w:val="1033"/>
    <w:next w:val="1039"/>
    <w:uiPriority w:val="9"/>
    <w:unhideWhenUsed/>
    <w:qFormat/>
    <w:pPr>
      <w:keepLines/>
      <w:keepNext/>
      <w:spacing w:before="320"/>
      <w:outlineLvl w:val="3"/>
    </w:pPr>
    <w:rPr>
      <w:rFonts w:ascii="Arial" w:hAnsi="Arial" w:eastAsia="Arial" w:cs="Arial"/>
      <w:b/>
      <w:bCs/>
      <w:sz w:val="26"/>
      <w:szCs w:val="26"/>
    </w:rPr>
  </w:style>
  <w:style w:type="paragraph" w:styleId="1051" w:customStyle="1">
    <w:name w:val="正文首行缩进11"/>
    <w:basedOn w:val="1029"/>
    <w:next w:val="1052"/>
    <w:uiPriority w:val="0"/>
    <w:qFormat/>
    <w:pPr>
      <w:ind w:firstLine="420"/>
    </w:pPr>
    <w:rPr>
      <w:rFonts w:ascii="仿宋_GB2312" w:hAnsi="Times New Roman" w:eastAsia="仿宋_GB2312"/>
      <w:sz w:val="30"/>
      <w:szCs w:val="30"/>
    </w:rPr>
  </w:style>
  <w:style w:type="paragraph" w:styleId="1052" w:customStyle="1">
    <w:name w:val="正文首行缩进 22"/>
    <w:basedOn w:val="1053"/>
    <w:next w:val="1033"/>
    <w:uiPriority w:val="0"/>
    <w:qFormat/>
    <w:pPr>
      <w:ind w:left="0" w:firstLine="420"/>
      <w:spacing w:after="0" w:line="360" w:lineRule="auto"/>
    </w:pPr>
    <w:rPr>
      <w:rFonts w:ascii="宋体" w:hAnsi="宋体"/>
      <w:sz w:val="20"/>
      <w:szCs w:val="20"/>
    </w:rPr>
  </w:style>
  <w:style w:type="paragraph" w:styleId="1053" w:customStyle="1">
    <w:name w:val="正文文本缩进2"/>
    <w:basedOn w:val="1033"/>
    <w:uiPriority w:val="0"/>
    <w:qFormat/>
    <w:pPr>
      <w:ind w:left="420"/>
      <w:spacing w:after="120"/>
    </w:pPr>
  </w:style>
  <w:style w:type="paragraph" w:styleId="1054" w:customStyle="1">
    <w:name w:val="样式 首行缩进:  2 字符"/>
    <w:basedOn w:val="983"/>
    <w:uiPriority w:val="99"/>
    <w:qFormat/>
    <w:pPr>
      <w:ind w:firstLine="560"/>
    </w:pPr>
    <w:rPr>
      <w:sz w:val="24"/>
    </w:rPr>
  </w:style>
  <w:style w:type="character" w:styleId="1055" w:customStyle="1">
    <w:name w:val="Heading 1 Char"/>
    <w:basedOn w:val="993"/>
    <w:link w:val="984"/>
    <w:uiPriority w:val="9"/>
    <w:qFormat/>
    <w:rPr>
      <w:rFonts w:ascii="Arial" w:hAnsi="Arial" w:eastAsia="Arial" w:cs="Arial"/>
      <w:sz w:val="40"/>
      <w:szCs w:val="40"/>
    </w:rPr>
  </w:style>
  <w:style w:type="character" w:styleId="1056" w:customStyle="1">
    <w:name w:val="Heading 2 Char"/>
    <w:basedOn w:val="993"/>
    <w:uiPriority w:val="9"/>
    <w:qFormat/>
    <w:rPr>
      <w:rFonts w:ascii="Arial" w:hAnsi="Arial" w:eastAsia="Arial" w:cs="Arial"/>
      <w:sz w:val="34"/>
    </w:rPr>
  </w:style>
  <w:style w:type="character" w:styleId="1057" w:customStyle="1">
    <w:name w:val="Heading 3 Char"/>
    <w:basedOn w:val="993"/>
    <w:link w:val="986"/>
    <w:uiPriority w:val="9"/>
    <w:qFormat/>
    <w:rPr>
      <w:rFonts w:ascii="Arial" w:hAnsi="Arial" w:eastAsia="Arial" w:cs="Arial"/>
      <w:sz w:val="30"/>
      <w:szCs w:val="30"/>
    </w:rPr>
  </w:style>
  <w:style w:type="character" w:styleId="1058" w:customStyle="1">
    <w:name w:val="Heading 4 Char"/>
    <w:basedOn w:val="993"/>
    <w:uiPriority w:val="9"/>
    <w:qFormat/>
    <w:rPr>
      <w:rFonts w:ascii="Arial" w:hAnsi="Arial" w:eastAsia="Arial" w:cs="Arial"/>
      <w:b/>
      <w:bCs/>
      <w:sz w:val="26"/>
      <w:szCs w:val="26"/>
    </w:rPr>
  </w:style>
  <w:style w:type="character" w:styleId="1059" w:customStyle="1">
    <w:name w:val="Heading 5 Char"/>
    <w:basedOn w:val="993"/>
    <w:uiPriority w:val="9"/>
    <w:qFormat/>
    <w:rPr>
      <w:rFonts w:ascii="Arial" w:hAnsi="Arial" w:eastAsia="Arial" w:cs="Arial"/>
      <w:b/>
      <w:bCs/>
      <w:sz w:val="24"/>
      <w:szCs w:val="24"/>
    </w:rPr>
  </w:style>
  <w:style w:type="character" w:styleId="1060" w:customStyle="1">
    <w:name w:val="Heading 6 Char"/>
    <w:basedOn w:val="993"/>
    <w:link w:val="989"/>
    <w:uiPriority w:val="9"/>
    <w:qFormat/>
    <w:rPr>
      <w:rFonts w:ascii="Arial" w:hAnsi="Arial" w:eastAsia="Arial" w:cs="Arial"/>
      <w:b/>
      <w:bCs/>
      <w:sz w:val="22"/>
      <w:szCs w:val="22"/>
    </w:rPr>
  </w:style>
  <w:style w:type="character" w:styleId="1061" w:customStyle="1">
    <w:name w:val="Heading 7 Char"/>
    <w:basedOn w:val="993"/>
    <w:link w:val="990"/>
    <w:uiPriority w:val="9"/>
    <w:qFormat/>
    <w:rPr>
      <w:rFonts w:ascii="Arial" w:hAnsi="Arial" w:eastAsia="Arial" w:cs="Arial"/>
      <w:b/>
      <w:bCs/>
      <w:i/>
      <w:iCs/>
      <w:sz w:val="22"/>
      <w:szCs w:val="22"/>
    </w:rPr>
  </w:style>
  <w:style w:type="character" w:styleId="1062" w:customStyle="1">
    <w:name w:val="Heading 8 Char"/>
    <w:basedOn w:val="993"/>
    <w:link w:val="991"/>
    <w:uiPriority w:val="9"/>
    <w:qFormat/>
    <w:rPr>
      <w:rFonts w:ascii="Arial" w:hAnsi="Arial" w:eastAsia="Arial" w:cs="Arial"/>
      <w:i/>
      <w:iCs/>
      <w:sz w:val="22"/>
      <w:szCs w:val="22"/>
    </w:rPr>
  </w:style>
  <w:style w:type="character" w:styleId="1063" w:customStyle="1">
    <w:name w:val="Heading 9 Char"/>
    <w:basedOn w:val="993"/>
    <w:link w:val="992"/>
    <w:uiPriority w:val="9"/>
    <w:qFormat/>
    <w:rPr>
      <w:rFonts w:ascii="Arial" w:hAnsi="Arial" w:eastAsia="Arial" w:cs="Arial"/>
      <w:i/>
      <w:iCs/>
      <w:sz w:val="21"/>
      <w:szCs w:val="21"/>
    </w:rPr>
  </w:style>
  <w:style w:type="paragraph" w:styleId="1064">
    <w:name w:val="List Paragraph"/>
    <w:basedOn w:val="983"/>
    <w:uiPriority w:val="34"/>
    <w:qFormat/>
    <w:pPr>
      <w:contextualSpacing/>
      <w:ind w:left="720"/>
    </w:pPr>
  </w:style>
  <w:style w:type="paragraph" w:styleId="1065">
    <w:name w:val="No Spacing"/>
    <w:uiPriority w:val="1"/>
    <w:qFormat/>
    <w:pPr>
      <w:spacing w:before="0" w:after="0" w:line="240" w:lineRule="auto"/>
    </w:pPr>
    <w:rPr>
      <w:rFonts w:hint="default" w:asciiTheme="minorHAnsi" w:hAnsiTheme="minorHAnsi" w:eastAsiaTheme="minorEastAsia" w:cstheme="minorBidi"/>
    </w:rPr>
  </w:style>
  <w:style w:type="character" w:styleId="1066" w:customStyle="1">
    <w:name w:val="Title Char"/>
    <w:basedOn w:val="993"/>
    <w:link w:val="1018"/>
    <w:uiPriority w:val="10"/>
    <w:qFormat/>
    <w:rPr>
      <w:sz w:val="48"/>
      <w:szCs w:val="48"/>
    </w:rPr>
  </w:style>
  <w:style w:type="character" w:styleId="1067" w:customStyle="1">
    <w:name w:val="Subtitle Char"/>
    <w:basedOn w:val="993"/>
    <w:link w:val="1011"/>
    <w:uiPriority w:val="11"/>
    <w:qFormat/>
    <w:rPr>
      <w:sz w:val="24"/>
      <w:szCs w:val="24"/>
    </w:rPr>
  </w:style>
  <w:style w:type="paragraph" w:styleId="1068">
    <w:name w:val="Quote"/>
    <w:basedOn w:val="983"/>
    <w:next w:val="983"/>
    <w:link w:val="1069"/>
    <w:uiPriority w:val="29"/>
    <w:qFormat/>
    <w:pPr>
      <w:ind w:left="720" w:right="720"/>
    </w:pPr>
    <w:rPr>
      <w:i/>
    </w:rPr>
  </w:style>
  <w:style w:type="character" w:styleId="1069" w:customStyle="1">
    <w:name w:val="Quote Char"/>
    <w:link w:val="1068"/>
    <w:uiPriority w:val="29"/>
    <w:qFormat/>
    <w:rPr>
      <w:i/>
    </w:rPr>
  </w:style>
  <w:style w:type="paragraph" w:styleId="1070">
    <w:name w:val="Intense Quote"/>
    <w:basedOn w:val="983"/>
    <w:next w:val="983"/>
    <w:link w:val="1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1" w:customStyle="1">
    <w:name w:val="Intense Quote Char"/>
    <w:link w:val="1070"/>
    <w:uiPriority w:val="30"/>
    <w:qFormat/>
    <w:rPr>
      <w:i/>
    </w:rPr>
  </w:style>
  <w:style w:type="character" w:styleId="1072" w:customStyle="1">
    <w:name w:val="Header Char"/>
    <w:basedOn w:val="993"/>
    <w:uiPriority w:val="99"/>
    <w:qFormat/>
  </w:style>
  <w:style w:type="character" w:styleId="1073" w:customStyle="1">
    <w:name w:val="Footer Char"/>
    <w:basedOn w:val="993"/>
    <w:uiPriority w:val="99"/>
    <w:qFormat/>
  </w:style>
  <w:style w:type="character" w:styleId="1074" w:customStyle="1">
    <w:name w:val="Caption Char"/>
    <w:uiPriority w:val="99"/>
    <w:qFormat/>
  </w:style>
  <w:style w:type="table" w:styleId="1075" w:customStyle="1">
    <w:name w:val="Table Grid Light"/>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6" w:customStyle="1">
    <w:name w:val="Plain Table 1"/>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Plain Table 2"/>
    <w:basedOn w:val="9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3"/>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Plain Table 4"/>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Plain Table 5"/>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Grid Table 1 Light"/>
    <w:basedOn w:val="9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1"/>
    <w:basedOn w:val="9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2"/>
    <w:basedOn w:val="9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3"/>
    <w:basedOn w:val="9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4"/>
    <w:basedOn w:val="9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5"/>
    <w:basedOn w:val="9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6"/>
    <w:basedOn w:val="9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8" w:customStyle="1">
    <w:name w:val="Grid Table 2"/>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2 - Accent 1"/>
    <w:basedOn w:val="9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90" w:customStyle="1">
    <w:name w:val="Grid Table 2 - Accent 2"/>
    <w:basedOn w:val="9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91" w:customStyle="1">
    <w:name w:val="Grid Table 2 - Accent 3"/>
    <w:basedOn w:val="9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92" w:customStyle="1">
    <w:name w:val="Grid Table 2 - Accent 4"/>
    <w:basedOn w:val="9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93" w:customStyle="1">
    <w:name w:val="Grid Table 2 - Accent 5"/>
    <w:basedOn w:val="9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94" w:customStyle="1">
    <w:name w:val="Grid Table 2 - Accent 6"/>
    <w:basedOn w:val="9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95" w:customStyle="1">
    <w:name w:val="Grid Table 3"/>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1"/>
    <w:basedOn w:val="9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2"/>
    <w:basedOn w:val="9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3"/>
    <w:basedOn w:val="9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4"/>
    <w:basedOn w:val="9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5"/>
    <w:basedOn w:val="9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6"/>
    <w:basedOn w:val="9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4"/>
    <w:basedOn w:val="9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3" w:customStyle="1">
    <w:name w:val="Grid Table 4 - Accent 1"/>
    <w:basedOn w:val="9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04" w:customStyle="1">
    <w:name w:val="Grid Table 4 - Accent 2"/>
    <w:basedOn w:val="99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05" w:customStyle="1">
    <w:name w:val="Grid Table 4 - Accent 3"/>
    <w:basedOn w:val="9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06" w:customStyle="1">
    <w:name w:val="Grid Table 4 - Accent 4"/>
    <w:basedOn w:val="99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07" w:customStyle="1">
    <w:name w:val="Grid Table 4 - Accent 5"/>
    <w:basedOn w:val="9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08" w:customStyle="1">
    <w:name w:val="Grid Table 4 - Accent 6"/>
    <w:basedOn w:val="9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9" w:customStyle="1">
    <w:name w:val="Grid Table 5 Dark"/>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0" w:customStyle="1">
    <w:name w:val="Grid Table 5 Dark- Accent 1"/>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11" w:customStyle="1">
    <w:name w:val="Grid Table 5 Dark - Accent 2"/>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12" w:customStyle="1">
    <w:name w:val="Grid Table 5 Dark - Accent 3"/>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13" w:customStyle="1">
    <w:name w:val="Grid Table 5 Dark- Accent 4"/>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14" w:customStyle="1">
    <w:name w:val="Grid Table 5 Dark - Accent 5"/>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15" w:customStyle="1">
    <w:name w:val="Grid Table 5 Dark - Accent 6"/>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16" w:customStyle="1">
    <w:name w:val="Grid Table 6 Colorful"/>
    <w:basedOn w:val="9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7" w:customStyle="1">
    <w:name w:val="Grid Table 6 Colorful - Accent 1"/>
    <w:basedOn w:val="99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18" w:customStyle="1">
    <w:name w:val="Grid Table 6 Colorful - Accent 2"/>
    <w:basedOn w:val="9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19" w:customStyle="1">
    <w:name w:val="Grid Table 6 Colorful - Accent 3"/>
    <w:basedOn w:val="99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20" w:customStyle="1">
    <w:name w:val="Grid Table 6 Colorful - Accent 4"/>
    <w:basedOn w:val="9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21" w:customStyle="1">
    <w:name w:val="Grid Table 6 Colorful - Accent 5"/>
    <w:basedOn w:val="9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2" w:customStyle="1">
    <w:name w:val="Grid Table 6 Colorful - Accent 6"/>
    <w:basedOn w:val="99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23" w:customStyle="1">
    <w:name w:val="Grid Table 7 Colorful"/>
    <w:basedOn w:val="9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Grid Table 7 Colorful - Accent 1"/>
    <w:basedOn w:val="99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25" w:customStyle="1">
    <w:name w:val="Grid Table 7 Colorful - Accent 2"/>
    <w:basedOn w:val="99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6" w:customStyle="1">
    <w:name w:val="Grid Table 7 Colorful - Accent 3"/>
    <w:basedOn w:val="99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27" w:customStyle="1">
    <w:name w:val="Grid Table 7 Colorful - Accent 4"/>
    <w:basedOn w:val="9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8" w:customStyle="1">
    <w:name w:val="Grid Table 7 Colorful - Accent 5"/>
    <w:basedOn w:val="99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29" w:customStyle="1">
    <w:name w:val="Grid Table 7 Colorful - Accent 6"/>
    <w:basedOn w:val="9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30" w:customStyle="1">
    <w:name w:val="List Table 1 Light"/>
    <w:basedOn w:val="9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1" w:customStyle="1">
    <w:name w:val="List Table 1 Light - Accent 1"/>
    <w:basedOn w:val="9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basedOn w:val="99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basedOn w:val="9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basedOn w:val="9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basedOn w:val="99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basedOn w:val="99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37" w:customStyle="1">
    <w:name w:val="List Table 2"/>
    <w:basedOn w:val="9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8" w:customStyle="1">
    <w:name w:val="List Table 2 - Accent 1"/>
    <w:basedOn w:val="99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39" w:customStyle="1">
    <w:name w:val="List Table 2 - Accent 2"/>
    <w:basedOn w:val="9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40" w:customStyle="1">
    <w:name w:val="List Table 2 - Accent 3"/>
    <w:basedOn w:val="99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41" w:customStyle="1">
    <w:name w:val="List Table 2 - Accent 4"/>
    <w:basedOn w:val="99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42" w:customStyle="1">
    <w:name w:val="List Table 2 - Accent 5"/>
    <w:basedOn w:val="9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43" w:customStyle="1">
    <w:name w:val="List Table 2 - Accent 6"/>
    <w:basedOn w:val="9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44" w:customStyle="1">
    <w:name w:val="List Table 3"/>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3 - Accent 1"/>
    <w:basedOn w:val="9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46" w:customStyle="1">
    <w:name w:val="List Table 3 - Accent 2"/>
    <w:basedOn w:val="9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47" w:customStyle="1">
    <w:name w:val="List Table 3 - Accent 3"/>
    <w:basedOn w:val="9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8" w:customStyle="1">
    <w:name w:val="List Table 3 - Accent 4"/>
    <w:basedOn w:val="9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49" w:customStyle="1">
    <w:name w:val="List Table 3 - Accent 5"/>
    <w:basedOn w:val="99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50" w:customStyle="1">
    <w:name w:val="List Table 3 - Accent 6"/>
    <w:basedOn w:val="99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51" w:customStyle="1">
    <w:name w:val="List Table 4"/>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4 - Accent 1"/>
    <w:basedOn w:val="99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3" w:customStyle="1">
    <w:name w:val="List Table 4 - Accent 2"/>
    <w:basedOn w:val="99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54" w:customStyle="1">
    <w:name w:val="List Table 4 - Accent 3"/>
    <w:basedOn w:val="99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55" w:customStyle="1">
    <w:name w:val="List Table 4 - Accent 4"/>
    <w:basedOn w:val="99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56" w:customStyle="1">
    <w:name w:val="List Table 4 - Accent 5"/>
    <w:basedOn w:val="9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57" w:customStyle="1">
    <w:name w:val="List Table 4 - Accent 6"/>
    <w:basedOn w:val="9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8" w:customStyle="1">
    <w:name w:val="List Table 5 Dark"/>
    <w:basedOn w:val="9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1"/>
    <w:basedOn w:val="99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2"/>
    <w:basedOn w:val="9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3"/>
    <w:basedOn w:val="9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4"/>
    <w:basedOn w:val="9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5"/>
    <w:basedOn w:val="9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6"/>
    <w:basedOn w:val="9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6 Colorful"/>
    <w:basedOn w:val="9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6" w:customStyle="1">
    <w:name w:val="List Table 6 Colorful - Accent 1"/>
    <w:basedOn w:val="9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67" w:customStyle="1">
    <w:name w:val="List Table 6 Colorful - Accent 2"/>
    <w:basedOn w:val="9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68" w:customStyle="1">
    <w:name w:val="List Table 6 Colorful - Accent 3"/>
    <w:basedOn w:val="9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69" w:customStyle="1">
    <w:name w:val="List Table 6 Colorful - Accent 4"/>
    <w:basedOn w:val="9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70" w:customStyle="1">
    <w:name w:val="List Table 6 Colorful - Accent 5"/>
    <w:basedOn w:val="9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71" w:customStyle="1">
    <w:name w:val="List Table 6 Colorful - Accent 6"/>
    <w:basedOn w:val="9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72" w:customStyle="1">
    <w:name w:val="List Table 7 Colorful"/>
    <w:basedOn w:val="9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3" w:customStyle="1">
    <w:name w:val="List Table 7 Colorful - Accent 1"/>
    <w:basedOn w:val="9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74" w:customStyle="1">
    <w:name w:val="List Table 7 Colorful - Accent 2"/>
    <w:basedOn w:val="99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5" w:customStyle="1">
    <w:name w:val="List Table 7 Colorful - Accent 3"/>
    <w:basedOn w:val="9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76" w:customStyle="1">
    <w:name w:val="List Table 7 Colorful - Accent 4"/>
    <w:basedOn w:val="9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7" w:customStyle="1">
    <w:name w:val="List Table 7 Colorful - Accent 5"/>
    <w:basedOn w:val="9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78" w:customStyle="1">
    <w:name w:val="List Table 7 Colorful - Accent 6"/>
    <w:basedOn w:val="99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9" w:customStyle="1">
    <w:name w:val="Lined - Accent"/>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Lined - Accent 1"/>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1" w:customStyle="1">
    <w:name w:val="Lined - Accent 2"/>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2" w:customStyle="1">
    <w:name w:val="Lined - Accent 3"/>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3" w:customStyle="1">
    <w:name w:val="Lined - Accent 4"/>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84" w:customStyle="1">
    <w:name w:val="Lined - Accent 5"/>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85" w:customStyle="1">
    <w:name w:val="Lined - Accent 6"/>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6" w:customStyle="1">
    <w:name w:val="Bordered &amp; Lined - Accent"/>
    <w:basedOn w:val="9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Bordered &amp; Lined - Accent 1"/>
    <w:basedOn w:val="9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88" w:customStyle="1">
    <w:name w:val="Bordered &amp; Lined - Accent 2"/>
    <w:basedOn w:val="9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89" w:customStyle="1">
    <w:name w:val="Bordered &amp; Lined - Accent 3"/>
    <w:basedOn w:val="99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0" w:customStyle="1">
    <w:name w:val="Bordered &amp; Lined - Accent 4"/>
    <w:basedOn w:val="9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91" w:customStyle="1">
    <w:name w:val="Bordered &amp; Lined - Accent 5"/>
    <w:basedOn w:val="9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2" w:customStyle="1">
    <w:name w:val="Bordered &amp; Lined - Accent 6"/>
    <w:basedOn w:val="99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3" w:customStyle="1">
    <w:name w:val="Bordered"/>
    <w:basedOn w:val="9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4" w:customStyle="1">
    <w:name w:val="Bordered - Accent 1"/>
    <w:basedOn w:val="9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95" w:customStyle="1">
    <w:name w:val="Bordered - Accent 2"/>
    <w:basedOn w:val="9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96" w:customStyle="1">
    <w:name w:val="Bordered - Accent 3"/>
    <w:basedOn w:val="9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97" w:customStyle="1">
    <w:name w:val="Bordered - Accent 4"/>
    <w:basedOn w:val="9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98" w:customStyle="1">
    <w:name w:val="Bordered - Accent 5"/>
    <w:basedOn w:val="9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99" w:customStyle="1">
    <w:name w:val="Bordered - Accent 6"/>
    <w:basedOn w:val="9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00" w:customStyle="1">
    <w:name w:val="Footnote Text Char"/>
    <w:link w:val="1012"/>
    <w:uiPriority w:val="99"/>
    <w:qFormat/>
    <w:rPr>
      <w:sz w:val="18"/>
    </w:rPr>
  </w:style>
  <w:style w:type="character" w:styleId="1201" w:customStyle="1">
    <w:name w:val="Endnote Text Char"/>
    <w:link w:val="1006"/>
    <w:uiPriority w:val="99"/>
    <w:qFormat/>
    <w:rPr>
      <w:sz w:val="20"/>
    </w:rPr>
  </w:style>
  <w:style w:type="paragraph" w:styleId="1202" w:customStyle="1">
    <w:name w:val="TOC Heading"/>
    <w:uiPriority w:val="39"/>
    <w:unhideWhenUsed/>
    <w:qFormat/>
    <w:rPr>
      <w:rFonts w:hint="default" w:asciiTheme="minorHAnsi" w:hAnsiTheme="minorHAnsi" w:eastAsiaTheme="minorEastAsia" w:cstheme="minorBidi"/>
    </w:rPr>
  </w:style>
  <w:style w:type="paragraph" w:styleId="1203" w:customStyle="1">
    <w:name w:val="正文1111"/>
    <w:next w:val="12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题 211"/>
    <w:next w:val="1203"/>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205" w:customStyle="1">
    <w:name w:val="正文首行缩进 21"/>
    <w:basedOn w:val="1045"/>
    <w:next w:val="1028"/>
    <w:uiPriority w:val="0"/>
    <w:qFormat/>
    <w:pPr>
      <w:ind w:firstLine="420"/>
    </w:pPr>
  </w:style>
  <w:style w:type="paragraph" w:styleId="1206" w:customStyle="1">
    <w:name w:val="WPSOffice手动目录 1"/>
    <w:uiPriority w:val="0"/>
    <w:qFormat/>
    <w:rPr>
      <w:rFonts w:hint="default" w:ascii="Times New Roman" w:hAnsi="Times New Roman" w:eastAsia="宋体" w:cs="Times New Roman"/>
      <w:sz w:val="20"/>
      <w:szCs w:val="20"/>
    </w:rPr>
  </w:style>
  <w:style w:type="character" w:styleId="1207" w:customStyle="1">
    <w:name w:val="NormalCharacter"/>
    <w:link w:val="1037"/>
    <w:uiPriority w:val="0"/>
    <w:semiHidden/>
    <w:qFormat/>
    <w:rPr>
      <w:rFonts w:ascii="宋体" w:hAnsiTheme="minorHAnsi" w:eastAsiaTheme="minorEastAsia" w:cstheme="minorBidi"/>
      <w:sz w:val="24"/>
      <w:szCs w:val="20"/>
    </w:rPr>
  </w:style>
  <w:style w:type="paragraph" w:styleId="1208" w:customStyle="1">
    <w:name w:val="标题 111"/>
    <w:basedOn w:val="1034"/>
    <w:next w:val="1034"/>
    <w:uiPriority w:val="0"/>
    <w:qFormat/>
    <w:pPr>
      <w:jc w:val="center"/>
      <w:keepLines/>
      <w:keepNext/>
      <w:spacing w:line="578" w:lineRule="auto"/>
      <w:outlineLvl w:val="0"/>
    </w:pPr>
    <w:rPr>
      <w:rFonts w:eastAsia="新宋体"/>
      <w:b/>
      <w:bCs/>
      <w:sz w:val="30"/>
      <w:szCs w:val="44"/>
    </w:rPr>
  </w:style>
  <w:style w:type="paragraph" w:styleId="120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table" w:styleId="1210" w:customStyle="1">
    <w:name w:val="网格型1"/>
    <w:basedOn w:val="1211"/>
    <w:uiPriority w:val="39"/>
    <w:qFormat/>
    <w:tblPr/>
  </w:style>
  <w:style w:type="table" w:styleId="1211" w:customStyle="1">
    <w:name w:val="普通表格1"/>
    <w:uiPriority w:val="99"/>
    <w:unhideWhenUsed/>
    <w:qFormat/>
    <w:tblPr/>
  </w:style>
  <w:style w:type="paragraph" w:styleId="1212" w:customStyle="1">
    <w:name w:val="UserStyle_38"/>
    <w:basedOn w:val="983"/>
    <w:next w:val="983"/>
    <w:uiPriority w:val="0"/>
    <w:qFormat/>
    <w:pPr>
      <w:ind w:firstLine="480"/>
      <w:spacing w:line="360" w:lineRule="auto"/>
    </w:pPr>
    <w:rPr>
      <w:rFonts w:ascii="宋体" w:hAnsi="宋体"/>
      <w:sz w:val="24"/>
    </w:rPr>
  </w:style>
  <w:style w:type="paragraph" w:styleId="1213" w:customStyle="1">
    <w:name w:val="页眉1"/>
    <w:basedOn w:val="1028"/>
    <w:uiPriority w:val="0"/>
    <w:qFormat/>
    <w:pPr>
      <w:jc w:val="center"/>
      <w:tabs>
        <w:tab w:val="center" w:pos="4153" w:leader="none"/>
        <w:tab w:val="right" w:pos="8306" w:leader="none"/>
      </w:tabs>
      <w:pBdr>
        <w:bottom w:val="single" w:color="000000" w:sz="6" w:space="1"/>
      </w:pBdr>
    </w:pPr>
    <w:rPr>
      <w:sz w:val="18"/>
      <w:szCs w:val="18"/>
    </w:rPr>
  </w:style>
  <w:style w:type="paragraph" w:styleId="1214" w:customStyle="1">
    <w:name w:val="页脚1"/>
    <w:basedOn w:val="1039"/>
    <w:uiPriority w:val="0"/>
    <w:qFormat/>
    <w:pPr>
      <w:jc w:val="left"/>
      <w:tabs>
        <w:tab w:val="center" w:pos="4153" w:leader="none"/>
        <w:tab w:val="right" w:pos="8306" w:leader="none"/>
      </w:tabs>
    </w:pPr>
    <w:rPr>
      <w:sz w:val="18"/>
      <w:szCs w:val="18"/>
    </w:rPr>
  </w:style>
  <w:style w:type="paragraph" w:styleId="1215" w:customStyle="1">
    <w:name w:val="_Style 13"/>
    <w:uiPriority w:val="0"/>
    <w:qFormat/>
    <w:pPr>
      <w:ind w:left="0"/>
      <w:jc w:val="left"/>
      <w:spacing w:before="120" w:after="120" w:line="288" w:lineRule="auto"/>
    </w:pPr>
    <w:rPr>
      <w:rFonts w:ascii="Arial" w:hAnsi="Arial" w:eastAsia="等线" w:cs="Arial"/>
      <w:sz w:val="22"/>
      <w:szCs w:val="22"/>
    </w:r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徐玉玉</cp:lastModifiedBy>
  <cp:revision>46</cp:revision>
  <dcterms:created xsi:type="dcterms:W3CDTF">2023-07-07T07:59:00Z</dcterms:created>
  <dcterms:modified xsi:type="dcterms:W3CDTF">2026-05-11T01:18:39Z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77AC33276F5045D9AAF8B03C937A57B4_13</vt:lpwstr>
  </property>
  <property fmtid="{D5CDD505-2E9C-101B-9397-08002B2CF9AE}" pid="4" name="KSOTemplateDocerSaveRecord">
    <vt:lpwstr>eyJoZGlkIjoiNjBiMDYyN2JiMDA5ZGJjYjMzNWJhMTJmZjA5MzNjZWEiLCJ1c2VySWQiOiIzODI5NTE0MjkifQ==</vt:lpwstr>
  </property>
</Properties>
</file>